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14838">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bCs/>
          <w:sz w:val="32"/>
          <w:szCs w:val="32"/>
        </w:rPr>
        <w:t>药理学</w:t>
      </w:r>
      <w:r>
        <w:rPr>
          <w:rFonts w:hint="eastAsia" w:ascii="黑体" w:hAnsi="黑体" w:eastAsia="黑体"/>
          <w:bCs/>
          <w:sz w:val="32"/>
          <w:szCs w:val="32"/>
        </w:rPr>
        <w:t>》本科课程教学大纲</w:t>
      </w:r>
    </w:p>
    <w:p w14:paraId="73071199">
      <w:pPr>
        <w:spacing w:before="326" w:beforeLines="100"/>
        <w:outlineLvl w:val="0"/>
        <w:rPr>
          <w:rFonts w:ascii="Arial" w:hAnsi="Arial" w:eastAsia="黑体"/>
          <w:sz w:val="28"/>
        </w:rPr>
      </w:pPr>
      <w:r>
        <w:rPr>
          <w:rFonts w:ascii="Arial" w:hAnsi="Arial" w:eastAsia="黑体"/>
          <w:sz w:val="28"/>
        </w:rPr>
        <w:t>一</w:t>
      </w:r>
      <w:r>
        <w:rPr>
          <w:rFonts w:hint="eastAsia" w:ascii="Arial" w:hAnsi="Arial" w:eastAsia="黑体"/>
          <w:sz w:val="28"/>
        </w:rPr>
        <w:t>、课程</w:t>
      </w:r>
      <w:r>
        <w:rPr>
          <w:rFonts w:ascii="Arial" w:hAnsi="Arial" w:eastAsia="黑体"/>
          <w:sz w:val="28"/>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3E2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noWrap w:val="0"/>
            <w:vAlign w:val="center"/>
          </w:tcPr>
          <w:p w14:paraId="5F6EA2CB">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课程名称</w:t>
            </w:r>
          </w:p>
        </w:tc>
        <w:tc>
          <w:tcPr>
            <w:tcW w:w="6585" w:type="dxa"/>
            <w:gridSpan w:val="6"/>
            <w:tcBorders>
              <w:top w:val="single" w:color="auto" w:sz="12" w:space="0"/>
              <w:right w:val="single" w:color="auto" w:sz="12" w:space="0"/>
            </w:tcBorders>
            <w:noWrap w:val="0"/>
            <w:vAlign w:val="center"/>
          </w:tcPr>
          <w:p w14:paraId="0BDFB29C">
            <w:pPr>
              <w:rPr>
                <w:rFonts w:ascii="Times New Roman" w:hAnsi="Times New Roman"/>
                <w:color w:val="000000"/>
                <w:sz w:val="21"/>
                <w:szCs w:val="21"/>
              </w:rPr>
            </w:pPr>
            <w:r>
              <w:rPr>
                <w:rFonts w:hint="eastAsia" w:ascii="Times New Roman" w:hAnsi="Times New Roman"/>
                <w:color w:val="000000"/>
                <w:sz w:val="21"/>
                <w:szCs w:val="21"/>
              </w:rPr>
              <w:t>药理学</w:t>
            </w:r>
          </w:p>
        </w:tc>
      </w:tr>
      <w:tr w14:paraId="4262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noWrap w:val="0"/>
            <w:vAlign w:val="center"/>
          </w:tcPr>
          <w:p w14:paraId="4952E926">
            <w:pPr>
              <w:snapToGrid w:val="0"/>
              <w:jc w:val="center"/>
              <w:rPr>
                <w:rFonts w:ascii="Times New Roman" w:hAnsi="Times New Roman" w:eastAsia="黑体"/>
                <w:bCs/>
                <w:color w:val="000000"/>
                <w:sz w:val="21"/>
                <w:szCs w:val="21"/>
              </w:rPr>
            </w:pPr>
          </w:p>
        </w:tc>
        <w:tc>
          <w:tcPr>
            <w:tcW w:w="6585" w:type="dxa"/>
            <w:gridSpan w:val="6"/>
            <w:tcBorders>
              <w:right w:val="single" w:color="auto" w:sz="12" w:space="0"/>
            </w:tcBorders>
            <w:noWrap w:val="0"/>
            <w:vAlign w:val="center"/>
          </w:tcPr>
          <w:p w14:paraId="036A4BF9">
            <w:pPr>
              <w:rPr>
                <w:rFonts w:ascii="Times New Roman" w:hAnsi="Times New Roman"/>
                <w:color w:val="000000"/>
                <w:sz w:val="21"/>
                <w:szCs w:val="21"/>
              </w:rPr>
            </w:pPr>
            <w:r>
              <w:rPr>
                <w:rFonts w:hint="eastAsia" w:ascii="黑体" w:hAnsi="黑体" w:eastAsia="黑体"/>
                <w:color w:val="000000"/>
                <w:sz w:val="21"/>
                <w:szCs w:val="21"/>
              </w:rPr>
              <w:t>Pharmacology</w:t>
            </w:r>
          </w:p>
        </w:tc>
      </w:tr>
      <w:tr w14:paraId="41F9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7EE7B16C">
            <w:pPr>
              <w:snapToGrid w:val="0"/>
              <w:jc w:val="center"/>
              <w:rPr>
                <w:rFonts w:ascii="Times New Roman" w:hAnsi="Times New Roman" w:eastAsia="黑体"/>
                <w:bCs/>
                <w:color w:val="000000"/>
                <w:sz w:val="21"/>
                <w:szCs w:val="21"/>
              </w:rPr>
            </w:pPr>
            <w:r>
              <w:rPr>
                <w:rFonts w:ascii="Times New Roman" w:hAnsi="Times New Roman" w:eastAsia="黑体"/>
                <w:bCs/>
                <w:color w:val="000000"/>
                <w:sz w:val="21"/>
                <w:szCs w:val="21"/>
              </w:rPr>
              <w:t>课程代码</w:t>
            </w:r>
          </w:p>
        </w:tc>
        <w:tc>
          <w:tcPr>
            <w:tcW w:w="2260" w:type="dxa"/>
            <w:noWrap w:val="0"/>
            <w:vAlign w:val="center"/>
          </w:tcPr>
          <w:p w14:paraId="06985714">
            <w:pPr>
              <w:rPr>
                <w:rFonts w:ascii="黑体" w:hAnsi="黑体" w:eastAsia="黑体"/>
                <w:color w:val="000000"/>
                <w:sz w:val="21"/>
                <w:szCs w:val="21"/>
              </w:rPr>
            </w:pPr>
            <w:r>
              <w:rPr>
                <w:rFonts w:hint="eastAsia" w:ascii="黑体" w:hAnsi="黑体" w:eastAsia="黑体"/>
                <w:color w:val="000000"/>
                <w:sz w:val="21"/>
                <w:szCs w:val="21"/>
              </w:rPr>
              <w:t>2</w:t>
            </w:r>
            <w:r>
              <w:rPr>
                <w:rFonts w:ascii="黑体" w:hAnsi="黑体" w:eastAsia="黑体"/>
                <w:color w:val="000000"/>
                <w:sz w:val="21"/>
                <w:szCs w:val="21"/>
              </w:rPr>
              <w:t>170004</w:t>
            </w:r>
          </w:p>
        </w:tc>
        <w:tc>
          <w:tcPr>
            <w:tcW w:w="2126" w:type="dxa"/>
            <w:gridSpan w:val="2"/>
            <w:noWrap w:val="0"/>
            <w:vAlign w:val="center"/>
          </w:tcPr>
          <w:p w14:paraId="2FFE7D61">
            <w:pPr>
              <w:snapToGrid w:val="0"/>
              <w:jc w:val="center"/>
              <w:rPr>
                <w:rFonts w:ascii="Times New Roman" w:hAnsi="Times New Roman" w:eastAsia="黑体"/>
                <w:bCs/>
                <w:color w:val="000000"/>
                <w:sz w:val="21"/>
                <w:szCs w:val="21"/>
              </w:rPr>
            </w:pPr>
            <w:r>
              <w:rPr>
                <w:rFonts w:ascii="Times New Roman" w:hAnsi="Times New Roman" w:eastAsia="黑体"/>
                <w:bCs/>
                <w:color w:val="000000"/>
                <w:sz w:val="21"/>
                <w:szCs w:val="21"/>
              </w:rPr>
              <w:t>课程学分</w:t>
            </w:r>
          </w:p>
        </w:tc>
        <w:tc>
          <w:tcPr>
            <w:tcW w:w="2199" w:type="dxa"/>
            <w:gridSpan w:val="3"/>
            <w:tcBorders>
              <w:right w:val="single" w:color="auto" w:sz="12" w:space="0"/>
            </w:tcBorders>
            <w:noWrap w:val="0"/>
            <w:vAlign w:val="center"/>
          </w:tcPr>
          <w:p w14:paraId="2D5DCE7F">
            <w:pPr>
              <w:rPr>
                <w:rFonts w:ascii="Times New Roman" w:hAnsi="Times New Roman"/>
                <w:color w:val="000000"/>
                <w:sz w:val="21"/>
                <w:szCs w:val="21"/>
              </w:rPr>
            </w:pPr>
            <w:r>
              <w:rPr>
                <w:rFonts w:hint="eastAsia" w:ascii="Times New Roman" w:hAnsi="Times New Roman"/>
                <w:color w:val="000000"/>
                <w:sz w:val="21"/>
                <w:szCs w:val="21"/>
              </w:rPr>
              <w:t>3.0</w:t>
            </w:r>
          </w:p>
        </w:tc>
      </w:tr>
      <w:tr w14:paraId="06B1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53B430CE">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课程学时</w:t>
            </w:r>
          </w:p>
        </w:tc>
        <w:tc>
          <w:tcPr>
            <w:tcW w:w="2260" w:type="dxa"/>
            <w:noWrap w:val="0"/>
            <w:vAlign w:val="center"/>
          </w:tcPr>
          <w:p w14:paraId="36AE82D9">
            <w:pPr>
              <w:rPr>
                <w:rFonts w:ascii="Times New Roman" w:hAnsi="Times New Roman"/>
                <w:color w:val="000000"/>
                <w:sz w:val="21"/>
                <w:szCs w:val="21"/>
              </w:rPr>
            </w:pPr>
            <w:r>
              <w:rPr>
                <w:rFonts w:hint="eastAsia" w:ascii="Times New Roman" w:hAnsi="Times New Roman"/>
                <w:color w:val="000000"/>
                <w:sz w:val="21"/>
                <w:szCs w:val="21"/>
              </w:rPr>
              <w:t>48</w:t>
            </w:r>
          </w:p>
        </w:tc>
        <w:tc>
          <w:tcPr>
            <w:tcW w:w="1272" w:type="dxa"/>
            <w:noWrap w:val="0"/>
            <w:vAlign w:val="center"/>
          </w:tcPr>
          <w:p w14:paraId="265D7672">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理论学时</w:t>
            </w:r>
          </w:p>
        </w:tc>
        <w:tc>
          <w:tcPr>
            <w:tcW w:w="854" w:type="dxa"/>
            <w:noWrap w:val="0"/>
            <w:vAlign w:val="center"/>
          </w:tcPr>
          <w:p w14:paraId="10718374">
            <w:pPr>
              <w:rPr>
                <w:rFonts w:ascii="Times New Roman" w:hAnsi="Times New Roman"/>
                <w:color w:val="000000"/>
                <w:sz w:val="21"/>
                <w:szCs w:val="21"/>
              </w:rPr>
            </w:pPr>
            <w:r>
              <w:rPr>
                <w:rFonts w:hint="eastAsia" w:ascii="Times New Roman" w:hAnsi="Times New Roman"/>
                <w:color w:val="000000"/>
                <w:sz w:val="21"/>
                <w:szCs w:val="21"/>
              </w:rPr>
              <w:t>32</w:t>
            </w:r>
          </w:p>
        </w:tc>
        <w:tc>
          <w:tcPr>
            <w:tcW w:w="1413" w:type="dxa"/>
            <w:gridSpan w:val="2"/>
            <w:noWrap w:val="0"/>
            <w:vAlign w:val="center"/>
          </w:tcPr>
          <w:p w14:paraId="172E2391">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实践学时</w:t>
            </w:r>
          </w:p>
        </w:tc>
        <w:tc>
          <w:tcPr>
            <w:tcW w:w="786" w:type="dxa"/>
            <w:tcBorders>
              <w:right w:val="single" w:color="auto" w:sz="12" w:space="0"/>
            </w:tcBorders>
            <w:noWrap w:val="0"/>
            <w:vAlign w:val="center"/>
          </w:tcPr>
          <w:p w14:paraId="1DD7B5D8">
            <w:pPr>
              <w:rPr>
                <w:rFonts w:ascii="Times New Roman" w:hAnsi="Times New Roman"/>
                <w:color w:val="000000"/>
                <w:sz w:val="21"/>
                <w:szCs w:val="21"/>
              </w:rPr>
            </w:pPr>
            <w:r>
              <w:rPr>
                <w:rFonts w:hint="eastAsia" w:ascii="Times New Roman" w:hAnsi="Times New Roman"/>
                <w:color w:val="000000"/>
                <w:sz w:val="21"/>
                <w:szCs w:val="21"/>
              </w:rPr>
              <w:t>16</w:t>
            </w:r>
          </w:p>
        </w:tc>
      </w:tr>
      <w:tr w14:paraId="4ACD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020564C8">
            <w:pPr>
              <w:snapToGrid w:val="0"/>
              <w:jc w:val="center"/>
              <w:rPr>
                <w:rFonts w:ascii="Times New Roman" w:hAnsi="Times New Roman" w:eastAsia="黑体"/>
                <w:bCs/>
                <w:color w:val="000000"/>
                <w:sz w:val="21"/>
                <w:szCs w:val="21"/>
              </w:rPr>
            </w:pPr>
            <w:r>
              <w:rPr>
                <w:rFonts w:ascii="Times New Roman" w:hAnsi="Times New Roman" w:eastAsia="黑体"/>
                <w:bCs/>
                <w:color w:val="000000"/>
                <w:sz w:val="21"/>
                <w:szCs w:val="21"/>
              </w:rPr>
              <w:t>开课</w:t>
            </w:r>
            <w:r>
              <w:rPr>
                <w:rFonts w:hint="eastAsia" w:ascii="Times New Roman" w:hAnsi="Times New Roman" w:eastAsia="黑体"/>
                <w:bCs/>
                <w:color w:val="000000"/>
                <w:sz w:val="21"/>
                <w:szCs w:val="21"/>
              </w:rPr>
              <w:t>学院</w:t>
            </w:r>
          </w:p>
        </w:tc>
        <w:tc>
          <w:tcPr>
            <w:tcW w:w="2260" w:type="dxa"/>
            <w:noWrap w:val="0"/>
            <w:vAlign w:val="center"/>
          </w:tcPr>
          <w:p w14:paraId="44551504">
            <w:pPr>
              <w:rPr>
                <w:rFonts w:ascii="黑体" w:hAnsi="黑体" w:eastAsia="黑体"/>
                <w:color w:val="000000"/>
                <w:sz w:val="21"/>
                <w:szCs w:val="21"/>
              </w:rPr>
            </w:pPr>
            <w:r>
              <w:rPr>
                <w:rFonts w:hint="eastAsia" w:ascii="Times New Roman" w:hAnsi="Times New Roman"/>
                <w:color w:val="000000"/>
                <w:sz w:val="21"/>
                <w:szCs w:val="21"/>
              </w:rPr>
              <w:t>健康管理学院</w:t>
            </w:r>
          </w:p>
        </w:tc>
        <w:tc>
          <w:tcPr>
            <w:tcW w:w="2126" w:type="dxa"/>
            <w:gridSpan w:val="2"/>
            <w:noWrap w:val="0"/>
            <w:vAlign w:val="center"/>
          </w:tcPr>
          <w:p w14:paraId="48A24846">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适用</w:t>
            </w:r>
            <w:r>
              <w:rPr>
                <w:rFonts w:ascii="Times New Roman" w:hAnsi="Times New Roman" w:eastAsia="黑体"/>
                <w:bCs/>
                <w:color w:val="000000"/>
                <w:sz w:val="21"/>
                <w:szCs w:val="21"/>
              </w:rPr>
              <w:t>专业</w:t>
            </w:r>
            <w:r>
              <w:rPr>
                <w:rFonts w:hint="eastAsia" w:ascii="Times New Roman" w:hAnsi="Times New Roman" w:eastAsia="黑体"/>
                <w:bCs/>
                <w:color w:val="000000"/>
                <w:sz w:val="21"/>
                <w:szCs w:val="21"/>
              </w:rPr>
              <w:t>与年级</w:t>
            </w:r>
          </w:p>
        </w:tc>
        <w:tc>
          <w:tcPr>
            <w:tcW w:w="2199" w:type="dxa"/>
            <w:gridSpan w:val="3"/>
            <w:tcBorders>
              <w:right w:val="single" w:color="auto" w:sz="12" w:space="0"/>
            </w:tcBorders>
            <w:noWrap w:val="0"/>
            <w:vAlign w:val="center"/>
          </w:tcPr>
          <w:p w14:paraId="2A9085FA">
            <w:pPr>
              <w:rPr>
                <w:rFonts w:ascii="Times New Roman" w:hAnsi="Times New Roman"/>
                <w:color w:val="000000"/>
                <w:sz w:val="21"/>
                <w:szCs w:val="21"/>
              </w:rPr>
            </w:pPr>
            <w:r>
              <w:rPr>
                <w:rFonts w:hint="eastAsia" w:ascii="Times New Roman" w:hAnsi="Times New Roman" w:cs="仿宋"/>
                <w:color w:val="000000"/>
                <w:sz w:val="21"/>
                <w:szCs w:val="21"/>
                <w:lang w:eastAsia="zh-Hans"/>
              </w:rPr>
              <w:t>养老服务管理</w:t>
            </w:r>
            <w:r>
              <w:rPr>
                <w:rFonts w:hint="eastAsia" w:ascii="Times New Roman" w:hAnsi="Times New Roman" w:cs="仿宋"/>
                <w:color w:val="000000"/>
                <w:sz w:val="21"/>
                <w:szCs w:val="21"/>
              </w:rPr>
              <w:t>专业二年级第</w:t>
            </w:r>
            <w:r>
              <w:rPr>
                <w:rFonts w:hint="eastAsia" w:ascii="Times New Roman" w:hAnsi="Times New Roman" w:cs="仿宋"/>
                <w:color w:val="000000"/>
                <w:sz w:val="21"/>
                <w:szCs w:val="21"/>
                <w:lang w:eastAsia="zh-Hans"/>
              </w:rPr>
              <w:t>二</w:t>
            </w:r>
            <w:r>
              <w:rPr>
                <w:rFonts w:hint="eastAsia" w:ascii="Times New Roman" w:hAnsi="Times New Roman" w:cs="仿宋"/>
                <w:color w:val="000000"/>
                <w:sz w:val="21"/>
                <w:szCs w:val="21"/>
              </w:rPr>
              <w:t>学期</w:t>
            </w:r>
          </w:p>
        </w:tc>
      </w:tr>
      <w:tr w14:paraId="3AEA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6EA78730">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课程类别与性质</w:t>
            </w:r>
          </w:p>
        </w:tc>
        <w:tc>
          <w:tcPr>
            <w:tcW w:w="2260" w:type="dxa"/>
            <w:noWrap w:val="0"/>
            <w:vAlign w:val="center"/>
          </w:tcPr>
          <w:p w14:paraId="2AD61A3F">
            <w:pPr>
              <w:rPr>
                <w:rFonts w:ascii="Times New Roman" w:hAnsi="Times New Roman"/>
                <w:color w:val="000000"/>
                <w:sz w:val="21"/>
                <w:szCs w:val="21"/>
              </w:rPr>
            </w:pPr>
            <w:r>
              <w:rPr>
                <w:rFonts w:hint="eastAsia" w:ascii="Times New Roman" w:hAnsi="Times New Roman"/>
                <w:color w:val="000000"/>
                <w:sz w:val="21"/>
                <w:szCs w:val="21"/>
              </w:rPr>
              <w:t>专业基础必修课</w:t>
            </w:r>
          </w:p>
        </w:tc>
        <w:tc>
          <w:tcPr>
            <w:tcW w:w="2126" w:type="dxa"/>
            <w:gridSpan w:val="2"/>
            <w:noWrap w:val="0"/>
            <w:vAlign w:val="center"/>
          </w:tcPr>
          <w:p w14:paraId="32C9EE72">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考核方式</w:t>
            </w:r>
          </w:p>
        </w:tc>
        <w:tc>
          <w:tcPr>
            <w:tcW w:w="2199" w:type="dxa"/>
            <w:gridSpan w:val="3"/>
            <w:tcBorders>
              <w:right w:val="single" w:color="auto" w:sz="12" w:space="0"/>
            </w:tcBorders>
            <w:noWrap w:val="0"/>
            <w:vAlign w:val="center"/>
          </w:tcPr>
          <w:p w14:paraId="5655B5FF">
            <w:pPr>
              <w:rPr>
                <w:rFonts w:ascii="Times New Roman" w:hAnsi="Times New Roman"/>
                <w:color w:val="000000"/>
                <w:sz w:val="21"/>
                <w:szCs w:val="21"/>
              </w:rPr>
            </w:pPr>
            <w:r>
              <w:rPr>
                <w:rFonts w:hint="eastAsia" w:ascii="Times New Roman" w:hAnsi="Times New Roman"/>
                <w:color w:val="000000"/>
                <w:sz w:val="21"/>
                <w:szCs w:val="21"/>
              </w:rPr>
              <w:t>考查</w:t>
            </w:r>
          </w:p>
        </w:tc>
      </w:tr>
      <w:tr w14:paraId="232D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noWrap w:val="0"/>
            <w:vAlign w:val="center"/>
          </w:tcPr>
          <w:p w14:paraId="65616E50">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选</w:t>
            </w:r>
            <w:r>
              <w:rPr>
                <w:rFonts w:ascii="Times New Roman" w:hAnsi="Times New Roman" w:eastAsia="黑体"/>
                <w:bCs/>
                <w:color w:val="000000"/>
                <w:sz w:val="21"/>
                <w:szCs w:val="21"/>
              </w:rPr>
              <w:t>用教材</w:t>
            </w:r>
          </w:p>
        </w:tc>
        <w:tc>
          <w:tcPr>
            <w:tcW w:w="4386" w:type="dxa"/>
            <w:gridSpan w:val="3"/>
            <w:noWrap w:val="0"/>
            <w:vAlign w:val="center"/>
          </w:tcPr>
          <w:p w14:paraId="2FC39E12">
            <w:pPr>
              <w:rPr>
                <w:rFonts w:ascii="Times New Roman" w:hAnsi="Times New Roman"/>
                <w:color w:val="000000"/>
                <w:sz w:val="21"/>
                <w:szCs w:val="21"/>
              </w:rPr>
            </w:pPr>
            <w:r>
              <w:rPr>
                <w:rFonts w:hint="eastAsia" w:ascii="Times New Roman" w:hAnsi="Times New Roman"/>
                <w:color w:val="000000"/>
                <w:sz w:val="21"/>
                <w:szCs w:val="21"/>
              </w:rPr>
              <w:t>《药理学》第</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版，</w:t>
            </w:r>
            <w:r>
              <w:rPr>
                <w:rFonts w:hint="eastAsia" w:ascii="Times New Roman" w:hAnsi="Times New Roman"/>
                <w:color w:val="000000"/>
                <w:sz w:val="21"/>
                <w:szCs w:val="21"/>
                <w:lang w:val="en-US" w:eastAsia="zh-CN"/>
              </w:rPr>
              <w:t>杨俊卿、陈立</w:t>
            </w:r>
            <w:r>
              <w:rPr>
                <w:rFonts w:hint="eastAsia" w:ascii="Times New Roman" w:hAnsi="Times New Roman"/>
                <w:color w:val="000000"/>
                <w:sz w:val="21"/>
                <w:szCs w:val="21"/>
              </w:rPr>
              <w:t>主编，人民卫生出版社</w:t>
            </w:r>
            <w:r>
              <w:rPr>
                <w:rFonts w:ascii="Times New Roman" w:hAnsi="Times New Roman"/>
                <w:color w:val="000000"/>
                <w:sz w:val="21"/>
                <w:szCs w:val="21"/>
              </w:rPr>
              <w:t>.</w:t>
            </w:r>
          </w:p>
        </w:tc>
        <w:tc>
          <w:tcPr>
            <w:tcW w:w="1413" w:type="dxa"/>
            <w:gridSpan w:val="2"/>
            <w:noWrap w:val="0"/>
            <w:vAlign w:val="center"/>
          </w:tcPr>
          <w:p w14:paraId="22E04ACA">
            <w:pPr>
              <w:snapToGrid w:val="0"/>
              <w:jc w:val="center"/>
              <w:rPr>
                <w:rFonts w:ascii="Arial" w:hAnsi="Arial" w:eastAsia="黑体"/>
                <w:bCs/>
                <w:color w:val="000000"/>
                <w:sz w:val="21"/>
                <w:szCs w:val="21"/>
              </w:rPr>
            </w:pPr>
            <w:r>
              <w:rPr>
                <w:rFonts w:hint="eastAsia" w:ascii="Arial" w:hAnsi="Arial" w:eastAsia="黑体"/>
                <w:bCs/>
                <w:color w:val="000000"/>
                <w:sz w:val="21"/>
                <w:szCs w:val="21"/>
              </w:rPr>
              <w:t>是否为</w:t>
            </w:r>
          </w:p>
          <w:p w14:paraId="5D30F8E2">
            <w:pPr>
              <w:snapToGrid w:val="0"/>
              <w:jc w:val="center"/>
              <w:rPr>
                <w:rFonts w:ascii="Arial" w:hAnsi="Arial" w:eastAsia="黑体"/>
                <w:bCs/>
                <w:color w:val="000000"/>
                <w:sz w:val="21"/>
                <w:szCs w:val="21"/>
              </w:rPr>
            </w:pPr>
            <w:r>
              <w:rPr>
                <w:rFonts w:hint="eastAsia" w:ascii="Arial" w:hAnsi="Arial" w:eastAsia="黑体"/>
                <w:bCs/>
                <w:color w:val="000000"/>
                <w:sz w:val="21"/>
                <w:szCs w:val="21"/>
              </w:rPr>
              <w:t>马工程教材</w:t>
            </w:r>
          </w:p>
        </w:tc>
        <w:tc>
          <w:tcPr>
            <w:tcW w:w="786" w:type="dxa"/>
            <w:tcBorders>
              <w:right w:val="single" w:color="auto" w:sz="12" w:space="0"/>
            </w:tcBorders>
            <w:noWrap w:val="0"/>
            <w:vAlign w:val="center"/>
          </w:tcPr>
          <w:p w14:paraId="24D7E113">
            <w:pPr>
              <w:rPr>
                <w:rFonts w:ascii="Times New Roman" w:hAnsi="Times New Roman"/>
                <w:color w:val="000000"/>
                <w:sz w:val="21"/>
                <w:szCs w:val="21"/>
              </w:rPr>
            </w:pPr>
            <w:r>
              <w:rPr>
                <w:rFonts w:hint="eastAsia" w:ascii="Times New Roman" w:hAnsi="Times New Roman"/>
                <w:color w:val="000000"/>
                <w:sz w:val="21"/>
                <w:szCs w:val="21"/>
              </w:rPr>
              <w:t>否</w:t>
            </w:r>
          </w:p>
        </w:tc>
      </w:tr>
      <w:tr w14:paraId="037F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noWrap w:val="0"/>
            <w:vAlign w:val="center"/>
          </w:tcPr>
          <w:p w14:paraId="48995FF3">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ascii="Times New Roman" w:hAnsi="Times New Roman" w:eastAsia="黑体"/>
                <w:bCs/>
                <w:color w:val="000000"/>
                <w:sz w:val="21"/>
                <w:szCs w:val="21"/>
              </w:rPr>
            </w:pPr>
            <w:r>
              <w:rPr>
                <w:rFonts w:ascii="Times New Roman" w:hAnsi="Times New Roman" w:eastAsia="黑体"/>
                <w:bCs/>
                <w:color w:val="000000"/>
                <w:sz w:val="21"/>
                <w:szCs w:val="21"/>
              </w:rPr>
              <w:t>先修课程</w:t>
            </w:r>
          </w:p>
        </w:tc>
        <w:tc>
          <w:tcPr>
            <w:tcW w:w="6585" w:type="dxa"/>
            <w:gridSpan w:val="6"/>
            <w:tcBorders>
              <w:right w:val="single" w:color="auto" w:sz="12" w:space="0"/>
            </w:tcBorders>
            <w:noWrap w:val="0"/>
            <w:vAlign w:val="center"/>
          </w:tcPr>
          <w:p w14:paraId="77DB8CF2">
            <w:pPr>
              <w:keepNext w:val="0"/>
              <w:keepLines w:val="0"/>
              <w:pageBreakBefore w:val="0"/>
              <w:widowControl/>
              <w:kinsoku/>
              <w:wordWrap/>
              <w:overflowPunct/>
              <w:topLinePunct w:val="0"/>
              <w:autoSpaceDE/>
              <w:autoSpaceDN/>
              <w:bidi w:val="0"/>
              <w:adjustRightInd/>
              <w:spacing w:line="220" w:lineRule="exact"/>
              <w:textAlignment w:val="auto"/>
              <w:rPr>
                <w:rFonts w:ascii="Times New Roman" w:hAnsi="Times New Roman"/>
                <w:color w:val="000000"/>
                <w:sz w:val="21"/>
                <w:szCs w:val="21"/>
              </w:rPr>
            </w:pPr>
            <w:r>
              <w:rPr>
                <w:rFonts w:hint="eastAsia" w:ascii="Times New Roman" w:hAnsi="Times New Roman"/>
                <w:color w:val="000000"/>
                <w:sz w:val="21"/>
                <w:szCs w:val="21"/>
              </w:rPr>
              <w:t>正常人体结构学</w:t>
            </w:r>
            <w:r>
              <w:rPr>
                <w:rFonts w:ascii="Times New Roman" w:hAnsi="Times New Roman"/>
                <w:color w:val="000000"/>
                <w:sz w:val="21"/>
                <w:szCs w:val="21"/>
              </w:rPr>
              <w:t>2170001</w:t>
            </w:r>
            <w:r>
              <w:rPr>
                <w:rFonts w:hint="eastAsia" w:ascii="Times New Roman" w:hAnsi="Times New Roman"/>
                <w:color w:val="000000"/>
                <w:sz w:val="21"/>
                <w:szCs w:val="21"/>
              </w:rPr>
              <w:t>（3）正常人体功能学</w:t>
            </w:r>
            <w:r>
              <w:rPr>
                <w:rFonts w:ascii="Times New Roman" w:hAnsi="Times New Roman"/>
                <w:color w:val="000000"/>
                <w:sz w:val="21"/>
                <w:szCs w:val="21"/>
              </w:rPr>
              <w:t>217000</w:t>
            </w:r>
            <w:r>
              <w:rPr>
                <w:rFonts w:hint="eastAsia" w:ascii="Times New Roman" w:hAnsi="Times New Roman"/>
                <w:color w:val="000000"/>
                <w:sz w:val="21"/>
                <w:szCs w:val="21"/>
              </w:rPr>
              <w:t>2（3）疾病学基础</w:t>
            </w:r>
            <w:r>
              <w:rPr>
                <w:rFonts w:ascii="Times New Roman" w:hAnsi="Times New Roman"/>
                <w:color w:val="000000"/>
                <w:sz w:val="21"/>
                <w:szCs w:val="21"/>
              </w:rPr>
              <w:t>217000</w:t>
            </w:r>
            <w:r>
              <w:rPr>
                <w:rFonts w:hint="eastAsia" w:ascii="Times New Roman" w:hAnsi="Times New Roman"/>
                <w:color w:val="000000"/>
                <w:sz w:val="21"/>
                <w:szCs w:val="21"/>
              </w:rPr>
              <w:t>3（4）</w:t>
            </w:r>
          </w:p>
        </w:tc>
      </w:tr>
      <w:tr w14:paraId="53D6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52" w:hRule="atLeast"/>
        </w:trPr>
        <w:tc>
          <w:tcPr>
            <w:tcW w:w="1691" w:type="dxa"/>
            <w:tcBorders>
              <w:left w:val="single" w:color="auto" w:sz="12" w:space="0"/>
            </w:tcBorders>
            <w:noWrap w:val="0"/>
            <w:vAlign w:val="center"/>
          </w:tcPr>
          <w:p w14:paraId="100F4D89">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ascii="Times New Roman" w:hAnsi="Times New Roman" w:eastAsia="黑体"/>
                <w:bCs/>
                <w:color w:val="000000"/>
                <w:sz w:val="21"/>
                <w:szCs w:val="21"/>
              </w:rPr>
            </w:pPr>
            <w:r>
              <w:rPr>
                <w:rFonts w:ascii="Times New Roman" w:hAnsi="Times New Roman" w:eastAsia="黑体"/>
                <w:bCs/>
                <w:color w:val="000000"/>
                <w:sz w:val="21"/>
                <w:szCs w:val="21"/>
              </w:rPr>
              <w:t>课程简介</w:t>
            </w:r>
          </w:p>
        </w:tc>
        <w:tc>
          <w:tcPr>
            <w:tcW w:w="6585" w:type="dxa"/>
            <w:gridSpan w:val="6"/>
            <w:tcBorders>
              <w:right w:val="single" w:color="auto" w:sz="12" w:space="0"/>
            </w:tcBorders>
            <w:noWrap w:val="0"/>
            <w:vAlign w:val="top"/>
          </w:tcPr>
          <w:p w14:paraId="73B74C25">
            <w:pPr>
              <w:keepNext w:val="0"/>
              <w:keepLines w:val="0"/>
              <w:pageBreakBefore w:val="0"/>
              <w:widowControl/>
              <w:kinsoku/>
              <w:wordWrap/>
              <w:overflowPunct/>
              <w:topLinePunct w:val="0"/>
              <w:autoSpaceDE/>
              <w:autoSpaceDN/>
              <w:bidi w:val="0"/>
              <w:adjustRightInd/>
              <w:spacing w:line="220" w:lineRule="exact"/>
              <w:textAlignment w:val="auto"/>
              <w:rPr>
                <w:rFonts w:ascii="Times New Roman" w:hAnsi="Times New Roman"/>
                <w:color w:val="000000"/>
                <w:sz w:val="21"/>
                <w:szCs w:val="21"/>
              </w:rPr>
            </w:pPr>
            <w:r>
              <w:rPr>
                <w:rFonts w:hint="eastAsia" w:ascii="Times New Roman" w:hAnsi="Times New Roman"/>
                <w:color w:val="000000"/>
                <w:sz w:val="21"/>
                <w:szCs w:val="21"/>
              </w:rPr>
              <w:t>《药理学》是研究药物与机体（包括病原体）间相互作用及其规律的学科。是连接基础医学与临床医学、医学与药学的桥梁和纽带。药理学阐明了药学与机体间相互作用和作用规律，作为临床治疗学的基础，指导临床合理用药，发挥药物最佳疗效、减少不良反应。本门课程的任务是通过药理学的理论与实验教学，为防病治病提供理论基础；同时在正确掌握药理学基础理论、基础知识和基本技能的基础上，培养学生分析、综合和独立学习的工作能力，认真严肃、关爱生命的职业素养，为学生成为</w:t>
            </w:r>
            <w:r>
              <w:rPr>
                <w:rFonts w:hint="eastAsia" w:ascii="Times New Roman" w:hAnsi="Times New Roman"/>
                <w:color w:val="000000"/>
                <w:sz w:val="21"/>
                <w:szCs w:val="21"/>
                <w:lang w:eastAsia="zh-Hans"/>
              </w:rPr>
              <w:t>养老服务管理</w:t>
            </w:r>
            <w:r>
              <w:rPr>
                <w:rFonts w:hint="eastAsia" w:ascii="Times New Roman" w:hAnsi="Times New Roman"/>
                <w:color w:val="000000"/>
                <w:sz w:val="21"/>
                <w:szCs w:val="21"/>
              </w:rPr>
              <w:t>专业人才奠定扎实的理论基础。</w:t>
            </w:r>
          </w:p>
          <w:p w14:paraId="74373992">
            <w:pPr>
              <w:keepNext w:val="0"/>
              <w:keepLines w:val="0"/>
              <w:pageBreakBefore w:val="0"/>
              <w:widowControl/>
              <w:kinsoku/>
              <w:wordWrap/>
              <w:overflowPunct/>
              <w:topLinePunct w:val="0"/>
              <w:autoSpaceDE/>
              <w:autoSpaceDN/>
              <w:bidi w:val="0"/>
              <w:adjustRightInd/>
              <w:spacing w:line="220" w:lineRule="exact"/>
              <w:textAlignment w:val="auto"/>
              <w:rPr>
                <w:rFonts w:ascii="Times New Roman" w:hAnsi="Times New Roman"/>
                <w:color w:val="000000"/>
                <w:sz w:val="21"/>
                <w:szCs w:val="21"/>
              </w:rPr>
            </w:pPr>
            <w:r>
              <w:rPr>
                <w:rFonts w:hint="eastAsia" w:ascii="Times New Roman" w:hAnsi="Times New Roman"/>
                <w:color w:val="000000"/>
                <w:sz w:val="21"/>
                <w:szCs w:val="21"/>
              </w:rPr>
              <w:t xml:space="preserve">    本课程教学总时数48学时，其中理论教学32学时、实践教学16学时。</w:t>
            </w:r>
            <w:bookmarkStart w:id="0" w:name="_GoBack"/>
            <w:bookmarkEnd w:id="0"/>
          </w:p>
        </w:tc>
      </w:tr>
      <w:tr w14:paraId="33AD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noWrap w:val="0"/>
            <w:vAlign w:val="center"/>
          </w:tcPr>
          <w:p w14:paraId="5C5642FD">
            <w:pPr>
              <w:keepNext w:val="0"/>
              <w:keepLines w:val="0"/>
              <w:pageBreakBefore w:val="0"/>
              <w:widowControl/>
              <w:kinsoku/>
              <w:wordWrap/>
              <w:overflowPunct/>
              <w:topLinePunct w:val="0"/>
              <w:autoSpaceDE/>
              <w:autoSpaceDN/>
              <w:bidi w:val="0"/>
              <w:adjustRightInd/>
              <w:snapToGrid w:val="0"/>
              <w:spacing w:line="220" w:lineRule="exact"/>
              <w:jc w:val="center"/>
              <w:textAlignment w:val="auto"/>
              <w:rPr>
                <w:rFonts w:ascii="Times New Roman" w:hAnsi="Times New Roman" w:eastAsia="黑体"/>
                <w:bCs/>
                <w:color w:val="000000"/>
                <w:sz w:val="21"/>
                <w:szCs w:val="21"/>
              </w:rPr>
            </w:pPr>
            <w:r>
              <w:rPr>
                <w:rFonts w:ascii="Times New Roman" w:hAnsi="Times New Roman" w:eastAsia="黑体"/>
                <w:bCs/>
                <w:color w:val="000000"/>
                <w:sz w:val="21"/>
                <w:szCs w:val="21"/>
              </w:rPr>
              <w:t>选课建议</w:t>
            </w:r>
            <w:r>
              <w:rPr>
                <w:rFonts w:hint="eastAsia" w:ascii="Times New Roman" w:hAnsi="Times New Roman" w:eastAsia="黑体"/>
                <w:bCs/>
                <w:color w:val="000000"/>
                <w:sz w:val="21"/>
                <w:szCs w:val="21"/>
              </w:rPr>
              <w:t>与学习要求</w:t>
            </w:r>
          </w:p>
        </w:tc>
        <w:tc>
          <w:tcPr>
            <w:tcW w:w="6585" w:type="dxa"/>
            <w:gridSpan w:val="6"/>
            <w:tcBorders>
              <w:bottom w:val="double" w:color="auto" w:sz="4" w:space="0"/>
              <w:right w:val="single" w:color="auto" w:sz="12" w:space="0"/>
            </w:tcBorders>
            <w:noWrap w:val="0"/>
            <w:vAlign w:val="top"/>
          </w:tcPr>
          <w:p w14:paraId="4B4CCB66">
            <w:pPr>
              <w:keepNext w:val="0"/>
              <w:keepLines w:val="0"/>
              <w:pageBreakBefore w:val="0"/>
              <w:widowControl/>
              <w:kinsoku/>
              <w:wordWrap/>
              <w:overflowPunct/>
              <w:topLinePunct w:val="0"/>
              <w:autoSpaceDE/>
              <w:autoSpaceDN/>
              <w:bidi w:val="0"/>
              <w:adjustRightInd/>
              <w:spacing w:line="220" w:lineRule="exact"/>
              <w:textAlignment w:val="auto"/>
              <w:rPr>
                <w:rFonts w:ascii="Times New Roman" w:hAnsi="Times New Roman"/>
                <w:color w:val="000000"/>
                <w:sz w:val="21"/>
                <w:szCs w:val="21"/>
              </w:rPr>
            </w:pPr>
            <w:r>
              <w:rPr>
                <w:rFonts w:ascii="Times New Roman" w:hAnsi="Times New Roman"/>
                <w:color w:val="000000"/>
                <w:sz w:val="21"/>
                <w:szCs w:val="21"/>
              </w:rPr>
              <w:t>该课程适合</w:t>
            </w:r>
            <w:r>
              <w:rPr>
                <w:rFonts w:hint="eastAsia" w:ascii="Times New Roman" w:hAnsi="Times New Roman"/>
                <w:color w:val="000000"/>
                <w:sz w:val="21"/>
                <w:szCs w:val="21"/>
              </w:rPr>
              <w:t>于养老服务管理专业二年级第二学期学生，且具有一定的人体解剖学、细胞生物学及疾病学基础的学生学习。药理学作为一门专业基础必修课，是学习其他基础医学和临床医学课程的基础。开设本课程的目的在于使学生掌握药理学的基本理论知识及重要的新进展，加强基本技能的训练，培养学生独立分析问题和解决问题的能力，为后续学习、参加临床实践及科学研究打下坚实的理论基础，从而为培养面向21世纪高级养老服务管理类人才服务。</w:t>
            </w:r>
          </w:p>
        </w:tc>
      </w:tr>
      <w:tr w14:paraId="11D4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81" w:hRule="atLeast"/>
        </w:trPr>
        <w:tc>
          <w:tcPr>
            <w:tcW w:w="1691" w:type="dxa"/>
            <w:tcBorders>
              <w:top w:val="double" w:color="auto" w:sz="4" w:space="0"/>
              <w:left w:val="single" w:color="auto" w:sz="12" w:space="0"/>
            </w:tcBorders>
            <w:noWrap w:val="0"/>
            <w:vAlign w:val="center"/>
          </w:tcPr>
          <w:p w14:paraId="275DF1B1">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大纲编写人</w:t>
            </w:r>
          </w:p>
        </w:tc>
        <w:tc>
          <w:tcPr>
            <w:tcW w:w="3532" w:type="dxa"/>
            <w:gridSpan w:val="2"/>
            <w:tcBorders>
              <w:top w:val="double" w:color="auto" w:sz="4" w:space="0"/>
            </w:tcBorders>
            <w:noWrap w:val="0"/>
            <w:vAlign w:val="center"/>
          </w:tcPr>
          <w:p w14:paraId="121026CB">
            <w:pPr>
              <w:rPr>
                <w:rFonts w:ascii="黑体" w:hAnsi="黑体" w:eastAsia="黑体"/>
                <w:color w:val="000000"/>
                <w:sz w:val="21"/>
                <w:szCs w:val="21"/>
              </w:rPr>
            </w:pPr>
            <w:r>
              <w:rPr>
                <w:rFonts w:ascii="黑体" w:hAnsi="黑体" w:eastAsia="黑体"/>
                <w:color w:val="000000"/>
                <w:sz w:val="21"/>
                <w:szCs w:val="21"/>
              </w:rPr>
              <w:drawing>
                <wp:inline distT="0" distB="0" distL="114300" distR="114300">
                  <wp:extent cx="245745" cy="649605"/>
                  <wp:effectExtent l="0" t="0" r="17145" b="1905"/>
                  <wp:docPr id="1" name="图片 3" descr="b1551b5a7bfccb435c49863c66936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b1551b5a7bfccb435c49863c669369a.jpg"/>
                          <pic:cNvPicPr>
                            <a:picLocks noChangeAspect="1"/>
                          </pic:cNvPicPr>
                        </pic:nvPicPr>
                        <pic:blipFill>
                          <a:blip r:embed="rId5">
                            <a:biLevel thresh="50000"/>
                            <a:grayscl/>
                          </a:blip>
                          <a:srcRect l="41188" t="11526" r="30853" b="9485"/>
                          <a:stretch>
                            <a:fillRect/>
                          </a:stretch>
                        </pic:blipFill>
                        <pic:spPr>
                          <a:xfrm rot="5400000">
                            <a:off x="0" y="0"/>
                            <a:ext cx="245745" cy="649605"/>
                          </a:xfrm>
                          <a:prstGeom prst="rect">
                            <a:avLst/>
                          </a:prstGeom>
                          <a:noFill/>
                          <a:ln>
                            <a:noFill/>
                          </a:ln>
                        </pic:spPr>
                      </pic:pic>
                    </a:graphicData>
                  </a:graphic>
                </wp:inline>
              </w:drawing>
            </w:r>
          </w:p>
        </w:tc>
        <w:tc>
          <w:tcPr>
            <w:tcW w:w="1425" w:type="dxa"/>
            <w:gridSpan w:val="2"/>
            <w:tcBorders>
              <w:top w:val="double" w:color="auto" w:sz="4" w:space="0"/>
            </w:tcBorders>
            <w:noWrap w:val="0"/>
            <w:vAlign w:val="center"/>
          </w:tcPr>
          <w:p w14:paraId="7CD73C6C">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制/修订时间</w:t>
            </w:r>
          </w:p>
        </w:tc>
        <w:tc>
          <w:tcPr>
            <w:tcW w:w="1628" w:type="dxa"/>
            <w:gridSpan w:val="2"/>
            <w:tcBorders>
              <w:top w:val="double" w:color="auto" w:sz="4" w:space="0"/>
              <w:right w:val="single" w:color="auto" w:sz="12" w:space="0"/>
            </w:tcBorders>
            <w:noWrap w:val="0"/>
            <w:vAlign w:val="center"/>
          </w:tcPr>
          <w:p w14:paraId="0379254A">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58B4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noWrap w:val="0"/>
            <w:vAlign w:val="center"/>
          </w:tcPr>
          <w:p w14:paraId="3F61D079">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专业负责人</w:t>
            </w:r>
          </w:p>
        </w:tc>
        <w:tc>
          <w:tcPr>
            <w:tcW w:w="3532" w:type="dxa"/>
            <w:gridSpan w:val="2"/>
            <w:noWrap w:val="0"/>
            <w:vAlign w:val="center"/>
          </w:tcPr>
          <w:p w14:paraId="1E1F9887">
            <w:pPr>
              <w:rPr>
                <w:rFonts w:hint="eastAsia" w:ascii="黑体" w:hAnsi="黑体" w:eastAsia="黑体"/>
                <w:color w:val="000000"/>
                <w:sz w:val="21"/>
                <w:szCs w:val="21"/>
                <w:lang w:eastAsia="zh-CN"/>
              </w:rPr>
            </w:pPr>
            <w:r>
              <w:rPr>
                <w:rFonts w:hint="eastAsia" w:ascii="黑体" w:hAnsi="黑体" w:eastAsia="黑体"/>
                <w:color w:val="000000"/>
                <w:sz w:val="21"/>
                <w:szCs w:val="21"/>
                <w:lang w:eastAsia="zh-CN"/>
              </w:rPr>
              <w:drawing>
                <wp:inline distT="0" distB="0" distL="114300" distR="114300">
                  <wp:extent cx="514350" cy="280035"/>
                  <wp:effectExtent l="0" t="0" r="0" b="5715"/>
                  <wp:docPr id="2" name="图片 2" descr="李中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中平"/>
                          <pic:cNvPicPr>
                            <a:picLocks noChangeAspect="1"/>
                          </pic:cNvPicPr>
                        </pic:nvPicPr>
                        <pic:blipFill>
                          <a:blip r:embed="rId6"/>
                          <a:stretch>
                            <a:fillRect/>
                          </a:stretch>
                        </pic:blipFill>
                        <pic:spPr>
                          <a:xfrm>
                            <a:off x="0" y="0"/>
                            <a:ext cx="514350" cy="280035"/>
                          </a:xfrm>
                          <a:prstGeom prst="rect">
                            <a:avLst/>
                          </a:prstGeom>
                          <a:noFill/>
                          <a:ln>
                            <a:noFill/>
                          </a:ln>
                        </pic:spPr>
                      </pic:pic>
                    </a:graphicData>
                  </a:graphic>
                </wp:inline>
              </w:drawing>
            </w:r>
          </w:p>
        </w:tc>
        <w:tc>
          <w:tcPr>
            <w:tcW w:w="1425" w:type="dxa"/>
            <w:gridSpan w:val="2"/>
            <w:noWrap w:val="0"/>
            <w:vAlign w:val="center"/>
          </w:tcPr>
          <w:p w14:paraId="31A8B6B5">
            <w:pPr>
              <w:snapToGrid w:val="0"/>
              <w:jc w:val="center"/>
              <w:rPr>
                <w:rFonts w:ascii="Arial" w:hAnsi="Arial" w:eastAsia="黑体"/>
                <w:bCs/>
                <w:color w:val="000000"/>
                <w:sz w:val="21"/>
                <w:szCs w:val="21"/>
              </w:rPr>
            </w:pPr>
            <w:r>
              <w:rPr>
                <w:rFonts w:hint="eastAsia" w:ascii="Arial" w:hAnsi="Arial" w:eastAsia="黑体"/>
                <w:bCs/>
                <w:color w:val="000000"/>
                <w:sz w:val="21"/>
                <w:szCs w:val="21"/>
              </w:rPr>
              <w:t>审定时间</w:t>
            </w:r>
          </w:p>
        </w:tc>
        <w:tc>
          <w:tcPr>
            <w:tcW w:w="1628" w:type="dxa"/>
            <w:gridSpan w:val="2"/>
            <w:tcBorders>
              <w:right w:val="single" w:color="auto" w:sz="12" w:space="0"/>
            </w:tcBorders>
            <w:noWrap w:val="0"/>
            <w:vAlign w:val="center"/>
          </w:tcPr>
          <w:p w14:paraId="3E1747E6">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3F88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noWrap w:val="0"/>
            <w:vAlign w:val="center"/>
          </w:tcPr>
          <w:p w14:paraId="1FB02EF1">
            <w:pPr>
              <w:snapToGrid w:val="0"/>
              <w:jc w:val="center"/>
              <w:rPr>
                <w:rFonts w:ascii="Times New Roman" w:hAnsi="Times New Roman" w:eastAsia="黑体"/>
                <w:bCs/>
                <w:color w:val="000000"/>
                <w:sz w:val="21"/>
                <w:szCs w:val="21"/>
              </w:rPr>
            </w:pPr>
            <w:r>
              <w:rPr>
                <w:rFonts w:hint="eastAsia" w:ascii="Times New Roman" w:hAnsi="Times New Roman" w:eastAsia="黑体"/>
                <w:bCs/>
                <w:color w:val="000000"/>
                <w:sz w:val="21"/>
                <w:szCs w:val="21"/>
              </w:rPr>
              <w:t>学院负责人</w:t>
            </w:r>
          </w:p>
        </w:tc>
        <w:tc>
          <w:tcPr>
            <w:tcW w:w="3532" w:type="dxa"/>
            <w:gridSpan w:val="2"/>
            <w:tcBorders>
              <w:bottom w:val="single" w:color="auto" w:sz="12" w:space="0"/>
            </w:tcBorders>
            <w:noWrap w:val="0"/>
            <w:vAlign w:val="center"/>
          </w:tcPr>
          <w:p w14:paraId="7275884E">
            <w:pPr>
              <w:rPr>
                <w:rFonts w:ascii="黑体" w:hAnsi="黑体" w:eastAsia="黑体"/>
                <w:color w:val="000000"/>
                <w:sz w:val="21"/>
                <w:szCs w:val="21"/>
              </w:rPr>
            </w:pPr>
            <w:r>
              <w:rPr>
                <w:rFonts w:hint="eastAsia" w:ascii="Times New Roman" w:hAnsi="Times New Roman"/>
                <w:color w:val="000000"/>
                <w:sz w:val="21"/>
                <w:szCs w:val="21"/>
              </w:rPr>
              <w:drawing>
                <wp:inline distT="0" distB="0" distL="114300" distR="114300">
                  <wp:extent cx="467360" cy="319405"/>
                  <wp:effectExtent l="0" t="0" r="8890" b="444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467360" cy="319405"/>
                          </a:xfrm>
                          <a:prstGeom prst="rect">
                            <a:avLst/>
                          </a:prstGeom>
                          <a:noFill/>
                          <a:ln>
                            <a:noFill/>
                          </a:ln>
                        </pic:spPr>
                      </pic:pic>
                    </a:graphicData>
                  </a:graphic>
                </wp:inline>
              </w:drawing>
            </w:r>
          </w:p>
        </w:tc>
        <w:tc>
          <w:tcPr>
            <w:tcW w:w="1425" w:type="dxa"/>
            <w:gridSpan w:val="2"/>
            <w:tcBorders>
              <w:bottom w:val="single" w:color="auto" w:sz="12" w:space="0"/>
            </w:tcBorders>
            <w:noWrap w:val="0"/>
            <w:vAlign w:val="center"/>
          </w:tcPr>
          <w:p w14:paraId="6936DC0E">
            <w:pPr>
              <w:snapToGrid w:val="0"/>
              <w:jc w:val="center"/>
              <w:rPr>
                <w:rFonts w:ascii="Arial" w:hAnsi="Arial" w:eastAsia="黑体"/>
                <w:bCs/>
                <w:color w:val="000000"/>
                <w:sz w:val="21"/>
                <w:szCs w:val="21"/>
              </w:rPr>
            </w:pPr>
            <w:r>
              <w:rPr>
                <w:rFonts w:hint="eastAsia" w:ascii="Arial" w:hAnsi="Arial" w:eastAsia="黑体"/>
                <w:bCs/>
                <w:color w:val="000000"/>
                <w:sz w:val="21"/>
                <w:szCs w:val="21"/>
              </w:rPr>
              <w:t>批准时间</w:t>
            </w:r>
          </w:p>
        </w:tc>
        <w:tc>
          <w:tcPr>
            <w:tcW w:w="1628" w:type="dxa"/>
            <w:gridSpan w:val="2"/>
            <w:tcBorders>
              <w:bottom w:val="single" w:color="auto" w:sz="12" w:space="0"/>
              <w:right w:val="single" w:color="auto" w:sz="12" w:space="0"/>
            </w:tcBorders>
            <w:noWrap w:val="0"/>
            <w:vAlign w:val="center"/>
          </w:tcPr>
          <w:p w14:paraId="51283E7D">
            <w:pP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4年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bl>
    <w:p w14:paraId="217374E7">
      <w:pPr>
        <w:spacing w:before="326" w:beforeLines="100"/>
        <w:outlineLvl w:val="0"/>
        <w:rPr>
          <w:rFonts w:hint="eastAsia" w:ascii="Arial" w:hAnsi="Arial" w:eastAsia="黑体"/>
          <w:sz w:val="28"/>
        </w:rPr>
      </w:pPr>
      <w:r>
        <w:rPr>
          <w:rFonts w:hint="eastAsia" w:ascii="Arial" w:hAnsi="Arial" w:eastAsia="黑体"/>
          <w:sz w:val="28"/>
        </w:rPr>
        <w:t>二、课程目标与毕业要求</w:t>
      </w:r>
    </w:p>
    <w:p w14:paraId="200CC7E1">
      <w:pPr>
        <w:spacing w:before="163" w:beforeLines="50" w:after="163" w:afterLines="50"/>
        <w:outlineLvl w:val="1"/>
        <w:rPr>
          <w:rFonts w:ascii="Times New Roman" w:hAnsi="Times New Roman"/>
          <w:b/>
        </w:rPr>
      </w:pPr>
      <w:r>
        <w:rPr>
          <w:rFonts w:hint="eastAsia" w:ascii="Times New Roman" w:hAnsi="Times New Roman"/>
          <w:b/>
        </w:rPr>
        <w:t>（一）课程目标</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6243D2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noWrap w:val="0"/>
            <w:vAlign w:val="center"/>
          </w:tcPr>
          <w:p w14:paraId="64333EC7">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类型</w:t>
            </w:r>
          </w:p>
        </w:tc>
        <w:tc>
          <w:tcPr>
            <w:tcW w:w="782" w:type="dxa"/>
            <w:noWrap w:val="0"/>
            <w:vAlign w:val="center"/>
          </w:tcPr>
          <w:p w14:paraId="653630CE">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序号</w:t>
            </w:r>
          </w:p>
        </w:tc>
        <w:tc>
          <w:tcPr>
            <w:tcW w:w="6458" w:type="dxa"/>
            <w:noWrap w:val="0"/>
            <w:vAlign w:val="center"/>
          </w:tcPr>
          <w:p w14:paraId="265C5995">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内容</w:t>
            </w:r>
          </w:p>
        </w:tc>
      </w:tr>
      <w:tr w14:paraId="23E57C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noWrap w:val="0"/>
            <w:vAlign w:val="center"/>
          </w:tcPr>
          <w:p w14:paraId="3874B058">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知识目标</w:t>
            </w:r>
          </w:p>
        </w:tc>
        <w:tc>
          <w:tcPr>
            <w:tcW w:w="764" w:type="dxa"/>
            <w:noWrap w:val="0"/>
            <w:vAlign w:val="center"/>
          </w:tcPr>
          <w:p w14:paraId="2672CCB1">
            <w:pPr>
              <w:jc w:val="center"/>
              <w:rPr>
                <w:rFonts w:ascii="Arial" w:hAnsi="Arial" w:cs="Arial"/>
                <w:color w:val="000000"/>
                <w:sz w:val="21"/>
                <w:szCs w:val="21"/>
              </w:rPr>
            </w:pPr>
            <w:r>
              <w:rPr>
                <w:rFonts w:ascii="Arial" w:hAnsi="Arial" w:cs="Arial"/>
                <w:color w:val="000000"/>
                <w:sz w:val="21"/>
                <w:szCs w:val="21"/>
              </w:rPr>
              <w:t>1</w:t>
            </w:r>
          </w:p>
        </w:tc>
        <w:tc>
          <w:tcPr>
            <w:tcW w:w="6306" w:type="dxa"/>
            <w:noWrap w:val="0"/>
            <w:vAlign w:val="center"/>
          </w:tcPr>
          <w:p w14:paraId="72EA8F7D">
            <w:pPr>
              <w:rPr>
                <w:color w:val="000000"/>
                <w:sz w:val="21"/>
                <w:szCs w:val="21"/>
              </w:rPr>
            </w:pPr>
            <w:r>
              <w:rPr>
                <w:rFonts w:hint="eastAsia" w:ascii="Times New Roman" w:hAnsi="Times New Roman" w:cs="Times New Roman"/>
                <w:color w:val="000000"/>
                <w:sz w:val="21"/>
                <w:szCs w:val="21"/>
              </w:rPr>
              <w:t>掌握药理学专业知识。</w:t>
            </w:r>
          </w:p>
        </w:tc>
      </w:tr>
      <w:tr w14:paraId="0DDFA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noWrap w:val="0"/>
            <w:vAlign w:val="center"/>
          </w:tcPr>
          <w:p w14:paraId="70519B91">
            <w:pPr>
              <w:snapToGrid w:val="0"/>
              <w:jc w:val="center"/>
              <w:rPr>
                <w:rFonts w:ascii="Times New Roman" w:hAnsi="Times New Roman" w:eastAsia="黑体"/>
                <w:bCs/>
                <w:color w:val="000000"/>
                <w:sz w:val="21"/>
                <w:szCs w:val="20"/>
              </w:rPr>
            </w:pPr>
          </w:p>
        </w:tc>
        <w:tc>
          <w:tcPr>
            <w:tcW w:w="782" w:type="dxa"/>
            <w:noWrap w:val="0"/>
            <w:vAlign w:val="center"/>
          </w:tcPr>
          <w:p w14:paraId="4FA64068">
            <w:pPr>
              <w:jc w:val="center"/>
              <w:rPr>
                <w:rFonts w:ascii="Arial" w:hAnsi="Arial" w:cs="Arial"/>
                <w:color w:val="000000"/>
                <w:sz w:val="21"/>
                <w:szCs w:val="21"/>
              </w:rPr>
            </w:pPr>
            <w:r>
              <w:rPr>
                <w:rFonts w:ascii="Arial" w:hAnsi="Arial" w:cs="Arial"/>
                <w:color w:val="000000"/>
                <w:sz w:val="21"/>
                <w:szCs w:val="21"/>
              </w:rPr>
              <w:t>2</w:t>
            </w:r>
          </w:p>
        </w:tc>
        <w:tc>
          <w:tcPr>
            <w:tcW w:w="6458" w:type="dxa"/>
            <w:noWrap w:val="0"/>
            <w:vAlign w:val="center"/>
          </w:tcPr>
          <w:p w14:paraId="4D851053">
            <w:pP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具有自主学习的基本能力，能够适应不断变化的社会健康保健需要</w:t>
            </w:r>
          </w:p>
        </w:tc>
      </w:tr>
      <w:tr w14:paraId="09820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noWrap w:val="0"/>
            <w:vAlign w:val="center"/>
          </w:tcPr>
          <w:p w14:paraId="71EFE71A">
            <w:pPr>
              <w:snapToGrid w:val="0"/>
              <w:jc w:val="center"/>
              <w:rPr>
                <w:rFonts w:ascii="Times New Roman" w:hAnsi="Times New Roman" w:eastAsia="黑体"/>
                <w:bCs/>
                <w:color w:val="000000"/>
                <w:sz w:val="21"/>
                <w:szCs w:val="20"/>
              </w:rPr>
            </w:pPr>
          </w:p>
        </w:tc>
        <w:tc>
          <w:tcPr>
            <w:tcW w:w="782" w:type="dxa"/>
            <w:noWrap w:val="0"/>
            <w:vAlign w:val="center"/>
          </w:tcPr>
          <w:p w14:paraId="75299052">
            <w:pPr>
              <w:jc w:val="center"/>
              <w:rPr>
                <w:rFonts w:ascii="Arial" w:hAnsi="Arial" w:cs="Arial"/>
                <w:color w:val="000000"/>
                <w:sz w:val="21"/>
                <w:szCs w:val="21"/>
              </w:rPr>
            </w:pPr>
            <w:r>
              <w:rPr>
                <w:rFonts w:hint="eastAsia" w:ascii="Arial" w:hAnsi="Arial" w:cs="Arial"/>
                <w:color w:val="000000"/>
                <w:sz w:val="21"/>
                <w:szCs w:val="21"/>
              </w:rPr>
              <w:t>3</w:t>
            </w:r>
          </w:p>
        </w:tc>
        <w:tc>
          <w:tcPr>
            <w:tcW w:w="6458" w:type="dxa"/>
            <w:noWrap w:val="0"/>
            <w:vAlign w:val="center"/>
          </w:tcPr>
          <w:p w14:paraId="46D9C8B0">
            <w:pPr>
              <w:rPr>
                <w:rFonts w:hint="eastAsia"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具有</w:t>
            </w:r>
            <w:r>
              <w:rPr>
                <w:rFonts w:hint="eastAsia" w:ascii="Times New Roman" w:hAnsi="Times New Roman" w:eastAsia="宋体" w:cs="Times New Roman"/>
                <w:color w:val="000000"/>
                <w:sz w:val="21"/>
                <w:szCs w:val="21"/>
                <w:lang w:eastAsia="zh-Hans"/>
              </w:rPr>
              <w:t>养老服务管理</w:t>
            </w:r>
            <w:r>
              <w:rPr>
                <w:rFonts w:hint="eastAsia" w:ascii="Times New Roman" w:hAnsi="Times New Roman" w:eastAsia="宋体" w:cs="Times New Roman"/>
                <w:color w:val="000000"/>
                <w:sz w:val="21"/>
                <w:szCs w:val="21"/>
              </w:rPr>
              <w:t>专业所需相关的实践知识储备。</w:t>
            </w:r>
          </w:p>
        </w:tc>
      </w:tr>
      <w:tr w14:paraId="3DC13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noWrap w:val="0"/>
            <w:vAlign w:val="center"/>
          </w:tcPr>
          <w:p w14:paraId="0D023530">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技能目标</w:t>
            </w:r>
          </w:p>
        </w:tc>
        <w:tc>
          <w:tcPr>
            <w:tcW w:w="782" w:type="dxa"/>
            <w:noWrap w:val="0"/>
            <w:vAlign w:val="center"/>
          </w:tcPr>
          <w:p w14:paraId="742E2A64">
            <w:pPr>
              <w:jc w:val="center"/>
              <w:rPr>
                <w:rFonts w:ascii="Times New Roman" w:hAnsi="Times New Roman"/>
                <w:color w:val="000000"/>
                <w:sz w:val="20"/>
                <w:szCs w:val="20"/>
              </w:rPr>
            </w:pPr>
            <w:r>
              <w:rPr>
                <w:rFonts w:hint="eastAsia" w:ascii="Arial" w:hAnsi="Arial" w:cs="Arial"/>
                <w:color w:val="000000"/>
                <w:sz w:val="21"/>
                <w:szCs w:val="21"/>
              </w:rPr>
              <w:t>4</w:t>
            </w:r>
          </w:p>
        </w:tc>
        <w:tc>
          <w:tcPr>
            <w:tcW w:w="6458" w:type="dxa"/>
            <w:noWrap w:val="0"/>
            <w:vAlign w:val="center"/>
          </w:tcPr>
          <w:p w14:paraId="26DA4FDB">
            <w:pPr>
              <w:rPr>
                <w:rFonts w:hAnsi="Times New Roman"/>
                <w:color w:val="000000"/>
                <w:sz w:val="20"/>
                <w:szCs w:val="20"/>
              </w:rPr>
            </w:pPr>
            <w:r>
              <w:rPr>
                <w:rFonts w:hint="eastAsia" w:ascii="Times New Roman" w:hAnsi="Times New Roman" w:cs="Times New Roman"/>
                <w:color w:val="000000"/>
                <w:sz w:val="21"/>
                <w:szCs w:val="21"/>
              </w:rPr>
              <w:t>健康评估能力：能全面评估老年人的身心、社会及精神方面的健康状态，具有健康监测、健康风险评估能力。</w:t>
            </w:r>
          </w:p>
        </w:tc>
      </w:tr>
      <w:tr w14:paraId="73059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noWrap w:val="0"/>
            <w:vAlign w:val="center"/>
          </w:tcPr>
          <w:p w14:paraId="6B21EDA8">
            <w:pPr>
              <w:snapToGrid w:val="0"/>
              <w:jc w:val="center"/>
              <w:rPr>
                <w:rFonts w:eastAsia="黑体"/>
                <w:bCs/>
                <w:color w:val="000000"/>
                <w:sz w:val="21"/>
                <w:szCs w:val="20"/>
              </w:rPr>
            </w:pPr>
          </w:p>
        </w:tc>
        <w:tc>
          <w:tcPr>
            <w:tcW w:w="782" w:type="dxa"/>
            <w:noWrap w:val="0"/>
            <w:vAlign w:val="center"/>
          </w:tcPr>
          <w:p w14:paraId="56408CEA">
            <w:pPr>
              <w:jc w:val="center"/>
              <w:rPr>
                <w:rFonts w:ascii="Arial" w:hAnsi="Arial" w:cs="Arial"/>
                <w:color w:val="000000"/>
                <w:sz w:val="21"/>
                <w:szCs w:val="21"/>
              </w:rPr>
            </w:pPr>
            <w:r>
              <w:rPr>
                <w:rFonts w:hint="eastAsia" w:ascii="Arial" w:hAnsi="Arial" w:cs="Arial"/>
                <w:color w:val="000000"/>
                <w:sz w:val="21"/>
                <w:szCs w:val="21"/>
              </w:rPr>
              <w:t>5</w:t>
            </w:r>
          </w:p>
        </w:tc>
        <w:tc>
          <w:tcPr>
            <w:tcW w:w="6458" w:type="dxa"/>
            <w:noWrap w:val="0"/>
            <w:vAlign w:val="center"/>
          </w:tcPr>
          <w:p w14:paraId="7E2E41CB">
            <w:pPr>
              <w:rPr>
                <w:color w:val="000000"/>
                <w:sz w:val="21"/>
                <w:szCs w:val="21"/>
              </w:rPr>
            </w:pPr>
            <w:r>
              <w:rPr>
                <w:rFonts w:hint="eastAsia" w:ascii="Times New Roman" w:hAnsi="Times New Roman"/>
                <w:color w:val="000000"/>
                <w:sz w:val="21"/>
                <w:szCs w:val="21"/>
              </w:rPr>
              <w:t>健康教育能力：能确定老年人的健康需求，并采用合适的健康教育策略。</w:t>
            </w:r>
          </w:p>
        </w:tc>
      </w:tr>
      <w:tr w14:paraId="4618A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noWrap w:val="0"/>
            <w:vAlign w:val="center"/>
          </w:tcPr>
          <w:p w14:paraId="10851DD1">
            <w:pPr>
              <w:snapToGrid w:val="0"/>
              <w:jc w:val="center"/>
              <w:rPr>
                <w:rFonts w:ascii="Arial" w:hAnsi="Arial" w:eastAsia="黑体" w:cs="Arial"/>
                <w:bCs/>
                <w:color w:val="000000"/>
                <w:sz w:val="21"/>
                <w:szCs w:val="20"/>
              </w:rPr>
            </w:pPr>
            <w:r>
              <w:rPr>
                <w:rFonts w:hint="eastAsia" w:ascii="Arial" w:hAnsi="Arial" w:eastAsia="黑体" w:cs="Arial"/>
                <w:bCs/>
                <w:color w:val="000000"/>
                <w:sz w:val="21"/>
                <w:szCs w:val="20"/>
              </w:rPr>
              <w:t>素养目标</w:t>
            </w:r>
          </w:p>
          <w:p w14:paraId="4E9A50C7">
            <w:pPr>
              <w:snapToGrid w:val="0"/>
              <w:jc w:val="center"/>
              <w:rPr>
                <w:rFonts w:ascii="Times New Roman" w:hAnsi="Times New Roman" w:eastAsia="黑体"/>
                <w:bCs/>
                <w:color w:val="000000"/>
                <w:sz w:val="21"/>
                <w:szCs w:val="20"/>
              </w:rPr>
            </w:pPr>
            <w:r>
              <w:rPr>
                <w:rFonts w:hint="eastAsia" w:ascii="Times New Roman" w:hAnsi="Times New Roman" w:eastAsia="黑体"/>
                <w:bCs/>
                <w:color w:val="000000"/>
                <w:sz w:val="21"/>
                <w:szCs w:val="20"/>
              </w:rPr>
              <w:t>(含课程思政目标</w:t>
            </w:r>
            <w:r>
              <w:rPr>
                <w:rFonts w:ascii="Times New Roman" w:hAnsi="Times New Roman" w:eastAsia="黑体"/>
                <w:bCs/>
                <w:color w:val="000000"/>
                <w:sz w:val="21"/>
                <w:szCs w:val="20"/>
              </w:rPr>
              <w:t>)</w:t>
            </w:r>
          </w:p>
        </w:tc>
        <w:tc>
          <w:tcPr>
            <w:tcW w:w="782" w:type="dxa"/>
            <w:noWrap w:val="0"/>
            <w:vAlign w:val="center"/>
          </w:tcPr>
          <w:p w14:paraId="2E8786B4">
            <w:pPr>
              <w:jc w:val="center"/>
              <w:rPr>
                <w:rFonts w:ascii="Arial" w:hAnsi="Arial" w:cs="Arial"/>
                <w:color w:val="000000"/>
                <w:sz w:val="21"/>
                <w:szCs w:val="21"/>
              </w:rPr>
            </w:pPr>
            <w:r>
              <w:rPr>
                <w:rFonts w:hint="eastAsia" w:ascii="Arial" w:hAnsi="Arial" w:cs="Arial"/>
                <w:color w:val="000000"/>
                <w:sz w:val="21"/>
                <w:szCs w:val="21"/>
              </w:rPr>
              <w:t>6</w:t>
            </w:r>
          </w:p>
        </w:tc>
        <w:tc>
          <w:tcPr>
            <w:tcW w:w="6458" w:type="dxa"/>
            <w:noWrap w:val="0"/>
            <w:vAlign w:val="center"/>
          </w:tcPr>
          <w:p w14:paraId="1D3E8CD8">
            <w:pPr>
              <w:rPr>
                <w:color w:val="000000"/>
                <w:sz w:val="21"/>
                <w:szCs w:val="21"/>
              </w:rPr>
            </w:pPr>
            <w:r>
              <w:rPr>
                <w:rFonts w:hint="eastAsia" w:ascii="Times New Roman" w:hAnsi="Times New Roman"/>
                <w:color w:val="000000"/>
                <w:sz w:val="21"/>
                <w:szCs w:val="21"/>
              </w:rPr>
              <w:t>批判性思维能力：有质疑精神，具有初步运用辩证思维和决策的能力，能进行逻辑的分析与批判，以保证安全有效的专业实践。</w:t>
            </w:r>
          </w:p>
        </w:tc>
      </w:tr>
      <w:tr w14:paraId="3C810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noWrap w:val="0"/>
            <w:vAlign w:val="center"/>
          </w:tcPr>
          <w:p w14:paraId="7D3AC048">
            <w:pPr>
              <w:rPr>
                <w:color w:val="000000"/>
                <w:sz w:val="21"/>
                <w:szCs w:val="21"/>
              </w:rPr>
            </w:pPr>
          </w:p>
        </w:tc>
        <w:tc>
          <w:tcPr>
            <w:tcW w:w="782" w:type="dxa"/>
            <w:noWrap w:val="0"/>
            <w:vAlign w:val="center"/>
          </w:tcPr>
          <w:p w14:paraId="4636289D">
            <w:pPr>
              <w:jc w:val="center"/>
              <w:rPr>
                <w:rFonts w:ascii="Arial" w:hAnsi="Arial" w:cs="Arial"/>
                <w:color w:val="000000"/>
                <w:sz w:val="21"/>
                <w:szCs w:val="21"/>
              </w:rPr>
            </w:pPr>
            <w:r>
              <w:rPr>
                <w:rFonts w:hint="eastAsia" w:ascii="Arial" w:hAnsi="Arial" w:cs="Arial"/>
                <w:color w:val="000000"/>
                <w:sz w:val="21"/>
                <w:szCs w:val="21"/>
              </w:rPr>
              <w:t>7</w:t>
            </w:r>
          </w:p>
        </w:tc>
        <w:tc>
          <w:tcPr>
            <w:tcW w:w="6458" w:type="dxa"/>
            <w:noWrap w:val="0"/>
            <w:vAlign w:val="center"/>
          </w:tcPr>
          <w:p w14:paraId="1DE28EDB">
            <w:pPr>
              <w:rPr>
                <w:color w:val="000000"/>
                <w:sz w:val="21"/>
                <w:szCs w:val="21"/>
              </w:rPr>
            </w:pPr>
            <w:r>
              <w:rPr>
                <w:rFonts w:hint="eastAsia"/>
                <w:color w:val="000000"/>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tc>
      </w:tr>
    </w:tbl>
    <w:p w14:paraId="0FCF1AE3">
      <w:pPr>
        <w:spacing w:before="163" w:beforeLines="50" w:after="163" w:afterLines="50"/>
        <w:outlineLvl w:val="1"/>
        <w:rPr>
          <w:rFonts w:ascii="Times New Roman" w:hAnsi="Times New Roman"/>
          <w:b/>
        </w:rPr>
      </w:pPr>
      <w:r>
        <w:rPr>
          <w:rFonts w:hint="eastAsia" w:ascii="Times New Roman" w:hAnsi="Times New Roman"/>
          <w:b/>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B4EF68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noWrap w:val="0"/>
            <w:vAlign w:val="top"/>
          </w:tcPr>
          <w:p w14:paraId="4696FCCC">
            <w:pPr>
              <w:rPr>
                <w:rFonts w:ascii="Times New Roman" w:hAnsi="Times New Roman"/>
                <w:b/>
                <w:color w:val="000000"/>
                <w:sz w:val="21"/>
                <w:szCs w:val="21"/>
              </w:rPr>
            </w:pPr>
            <w:r>
              <w:rPr>
                <w:rFonts w:ascii="Times New Roman" w:hAnsi="Times New Roman"/>
                <w:b/>
                <w:color w:val="000000"/>
                <w:sz w:val="21"/>
                <w:szCs w:val="21"/>
              </w:rPr>
              <w:t>LO1品德修养</w:t>
            </w:r>
            <w:r>
              <w:rPr>
                <w:rFonts w:ascii="Times New Roman" w:hAnsi="Times New Roman"/>
                <w:color w:val="000000"/>
                <w:sz w:val="21"/>
                <w:szCs w:val="21"/>
              </w:rPr>
              <w:t>：</w:t>
            </w:r>
            <w:r>
              <w:rPr>
                <w:rFonts w:hint="eastAsia" w:ascii="Times New Roman" w:hAnsi="Times New Roman"/>
                <w:color w:val="000000"/>
                <w:sz w:val="21"/>
                <w:szCs w:val="21"/>
              </w:rPr>
              <w:t>④</w:t>
            </w:r>
            <w:r>
              <w:rPr>
                <w:rFonts w:ascii="Times New Roman" w:hAnsi="Times New Roman"/>
                <w:color w:val="000000"/>
                <w:sz w:val="21"/>
                <w:szCs w:val="21"/>
              </w:rPr>
              <w:t>诚信尽责，为人诚实，信守承诺，勤奋努力，精益求精，勇于担责。</w:t>
            </w:r>
          </w:p>
        </w:tc>
      </w:tr>
      <w:tr w14:paraId="0AF31E2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noWrap w:val="0"/>
            <w:vAlign w:val="top"/>
          </w:tcPr>
          <w:p w14:paraId="33DF131B">
            <w:pPr>
              <w:rPr>
                <w:rFonts w:ascii="Times New Roman" w:hAnsi="Times New Roman"/>
                <w:color w:val="000000"/>
                <w:sz w:val="21"/>
                <w:szCs w:val="21"/>
              </w:rPr>
            </w:pPr>
            <w:r>
              <w:rPr>
                <w:rFonts w:ascii="Times New Roman" w:hAnsi="Times New Roman"/>
                <w:b/>
                <w:color w:val="000000"/>
                <w:sz w:val="21"/>
                <w:szCs w:val="21"/>
              </w:rPr>
              <w:t>LO2专业能力</w:t>
            </w:r>
            <w:r>
              <w:rPr>
                <w:rFonts w:ascii="Times New Roman" w:hAnsi="Times New Roman"/>
                <w:color w:val="000000"/>
                <w:sz w:val="21"/>
                <w:szCs w:val="21"/>
              </w:rPr>
              <w:t>：</w:t>
            </w:r>
            <w:r>
              <w:rPr>
                <w:rFonts w:hint="eastAsia" w:ascii="Times New Roman" w:hAnsi="Times New Roman"/>
                <w:color w:val="000000"/>
                <w:sz w:val="21"/>
                <w:szCs w:val="21"/>
              </w:rPr>
              <w:t>②健康评估能力：能全面评估老年人的身心、社会及精神方面的健康状态，具有健康监测、健康风险评估能力。④批判性思维能力：有质疑精神，具有初步运用辩证思维和决策的能力，能进行逻辑的分析与批判，以保证安全有效的专业实践。⑤健康教育能力：能确定老年人的健康需求，并采用合适的健康教育策略。</w:t>
            </w:r>
          </w:p>
        </w:tc>
      </w:tr>
      <w:tr w14:paraId="627DB46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noWrap w:val="0"/>
            <w:vAlign w:val="top"/>
          </w:tcPr>
          <w:p w14:paraId="4705FBF3">
            <w:pPr>
              <w:rPr>
                <w:rFonts w:ascii="Times New Roman" w:hAnsi="Times New Roman"/>
                <w:b/>
                <w:color w:val="000000"/>
                <w:sz w:val="21"/>
                <w:szCs w:val="21"/>
              </w:rPr>
            </w:pPr>
            <w:r>
              <w:rPr>
                <w:rFonts w:ascii="Times New Roman" w:hAnsi="Times New Roman"/>
                <w:b/>
                <w:color w:val="000000"/>
                <w:sz w:val="21"/>
                <w:szCs w:val="21"/>
              </w:rPr>
              <w:t>LO5健康发展</w:t>
            </w:r>
            <w:r>
              <w:rPr>
                <w:rFonts w:ascii="Times New Roman" w:hAnsi="Times New Roman"/>
                <w:color w:val="000000"/>
                <w:sz w:val="21"/>
                <w:szCs w:val="21"/>
              </w:rPr>
              <w:t>：</w:t>
            </w:r>
            <w:r>
              <w:rPr>
                <w:rFonts w:hint="eastAsia" w:ascii="Times New Roman" w:hAnsi="Times New Roman"/>
                <w:color w:val="000000"/>
                <w:sz w:val="21"/>
                <w:szCs w:val="21"/>
              </w:rPr>
              <w:t>①</w:t>
            </w:r>
            <w:r>
              <w:rPr>
                <w:rFonts w:ascii="Times New Roman" w:hAnsi="Times New Roman"/>
                <w:color w:val="000000"/>
                <w:sz w:val="21"/>
                <w:szCs w:val="21"/>
              </w:rPr>
              <w:t>身体健康，具有良好的卫生习惯，积极参加体育活动。</w:t>
            </w:r>
          </w:p>
        </w:tc>
      </w:tr>
    </w:tbl>
    <w:p w14:paraId="65D9F1A0">
      <w:pPr>
        <w:spacing w:before="163" w:beforeLines="50" w:after="163" w:afterLines="50"/>
        <w:outlineLvl w:val="1"/>
        <w:rPr>
          <w:rFonts w:ascii="Times New Roman" w:hAnsi="Times New Roman"/>
          <w:b/>
        </w:rPr>
      </w:pPr>
      <w:r>
        <w:rPr>
          <w:rFonts w:hint="eastAsia" w:ascii="Times New Roman" w:hAnsi="Times New Roman"/>
          <w:b/>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69A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noWrap w:val="0"/>
            <w:vAlign w:val="center"/>
          </w:tcPr>
          <w:p w14:paraId="4683BE30">
            <w:pPr>
              <w:snapToGrid w:val="0"/>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毕业要求</w:t>
            </w:r>
          </w:p>
        </w:tc>
        <w:tc>
          <w:tcPr>
            <w:tcW w:w="794" w:type="dxa"/>
            <w:tcBorders>
              <w:top w:val="single" w:color="auto" w:sz="12" w:space="0"/>
              <w:left w:val="single" w:color="auto" w:sz="4" w:space="0"/>
            </w:tcBorders>
            <w:noWrap w:val="0"/>
            <w:vAlign w:val="center"/>
          </w:tcPr>
          <w:p w14:paraId="40EFF4E9">
            <w:pPr>
              <w:snapToGrid w:val="0"/>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指标点</w:t>
            </w:r>
          </w:p>
        </w:tc>
        <w:tc>
          <w:tcPr>
            <w:tcW w:w="794" w:type="dxa"/>
            <w:tcBorders>
              <w:top w:val="single" w:color="auto" w:sz="12" w:space="0"/>
              <w:right w:val="double" w:color="auto" w:sz="4" w:space="0"/>
            </w:tcBorders>
            <w:noWrap w:val="0"/>
            <w:vAlign w:val="center"/>
          </w:tcPr>
          <w:p w14:paraId="2A535A20">
            <w:pPr>
              <w:snapToGrid w:val="0"/>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支撑度</w:t>
            </w:r>
          </w:p>
        </w:tc>
        <w:tc>
          <w:tcPr>
            <w:tcW w:w="4763" w:type="dxa"/>
            <w:tcBorders>
              <w:top w:val="single" w:color="auto" w:sz="12" w:space="0"/>
            </w:tcBorders>
            <w:noWrap w:val="0"/>
            <w:vAlign w:val="center"/>
          </w:tcPr>
          <w:p w14:paraId="273ECD60">
            <w:pPr>
              <w:snapToGrid w:val="0"/>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课程目标</w:t>
            </w:r>
          </w:p>
        </w:tc>
        <w:tc>
          <w:tcPr>
            <w:tcW w:w="1348" w:type="dxa"/>
            <w:tcBorders>
              <w:top w:val="single" w:color="auto" w:sz="12" w:space="0"/>
              <w:right w:val="single" w:color="auto" w:sz="12" w:space="0"/>
            </w:tcBorders>
            <w:noWrap w:val="0"/>
            <w:vAlign w:val="center"/>
          </w:tcPr>
          <w:p w14:paraId="1B35798D">
            <w:pPr>
              <w:snapToGrid w:val="0"/>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对指标点的贡献度</w:t>
            </w:r>
          </w:p>
        </w:tc>
      </w:tr>
      <w:tr w14:paraId="3DCF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noWrap w:val="0"/>
            <w:vAlign w:val="center"/>
          </w:tcPr>
          <w:p w14:paraId="6EA5243E">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LO1</w:t>
            </w:r>
          </w:p>
          <w:p w14:paraId="636075E1">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品德修养</w:t>
            </w:r>
          </w:p>
        </w:tc>
        <w:tc>
          <w:tcPr>
            <w:tcW w:w="794" w:type="dxa"/>
            <w:tcBorders>
              <w:left w:val="single" w:color="auto" w:sz="4" w:space="0"/>
            </w:tcBorders>
            <w:noWrap w:val="0"/>
            <w:vAlign w:val="center"/>
          </w:tcPr>
          <w:p w14:paraId="6EBE2DFD">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④</w:t>
            </w:r>
          </w:p>
        </w:tc>
        <w:tc>
          <w:tcPr>
            <w:tcW w:w="794" w:type="dxa"/>
            <w:tcBorders>
              <w:right w:val="double" w:color="auto" w:sz="4" w:space="0"/>
            </w:tcBorders>
            <w:noWrap w:val="0"/>
            <w:vAlign w:val="center"/>
          </w:tcPr>
          <w:p w14:paraId="53FFEFCD">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w:t>
            </w:r>
          </w:p>
        </w:tc>
        <w:tc>
          <w:tcPr>
            <w:tcW w:w="4763" w:type="dxa"/>
            <w:noWrap w:val="0"/>
            <w:vAlign w:val="center"/>
          </w:tcPr>
          <w:p w14:paraId="04F09F7F">
            <w:pP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7. 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tc>
        <w:tc>
          <w:tcPr>
            <w:tcW w:w="1348" w:type="dxa"/>
            <w:tcBorders>
              <w:right w:val="single" w:color="auto" w:sz="12" w:space="0"/>
            </w:tcBorders>
            <w:noWrap w:val="0"/>
            <w:vAlign w:val="center"/>
          </w:tcPr>
          <w:p w14:paraId="6DBB42F0">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100%</w:t>
            </w:r>
          </w:p>
        </w:tc>
      </w:tr>
      <w:tr w14:paraId="31ED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noWrap w:val="0"/>
            <w:vAlign w:val="center"/>
          </w:tcPr>
          <w:p w14:paraId="164B476E">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LO2专业能力</w:t>
            </w:r>
          </w:p>
        </w:tc>
        <w:tc>
          <w:tcPr>
            <w:tcW w:w="794" w:type="dxa"/>
            <w:vMerge w:val="restart"/>
            <w:tcBorders>
              <w:left w:val="single" w:color="auto" w:sz="4" w:space="0"/>
            </w:tcBorders>
            <w:noWrap w:val="0"/>
            <w:vAlign w:val="center"/>
          </w:tcPr>
          <w:p w14:paraId="3F0B333C">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②</w:t>
            </w:r>
          </w:p>
        </w:tc>
        <w:tc>
          <w:tcPr>
            <w:tcW w:w="794" w:type="dxa"/>
            <w:vMerge w:val="restart"/>
            <w:tcBorders>
              <w:right w:val="double" w:color="auto" w:sz="4" w:space="0"/>
            </w:tcBorders>
            <w:noWrap w:val="0"/>
            <w:vAlign w:val="center"/>
          </w:tcPr>
          <w:p w14:paraId="1CF96A6D">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H</w:t>
            </w:r>
          </w:p>
        </w:tc>
        <w:tc>
          <w:tcPr>
            <w:tcW w:w="4763" w:type="dxa"/>
            <w:noWrap w:val="0"/>
            <w:vAlign w:val="center"/>
          </w:tcPr>
          <w:p w14:paraId="68C7FAC9">
            <w:pP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1.掌握药理学专业知识。</w:t>
            </w:r>
          </w:p>
        </w:tc>
        <w:tc>
          <w:tcPr>
            <w:tcW w:w="1348" w:type="dxa"/>
            <w:tcBorders>
              <w:right w:val="single" w:color="auto" w:sz="12" w:space="0"/>
            </w:tcBorders>
            <w:noWrap w:val="0"/>
            <w:vAlign w:val="center"/>
          </w:tcPr>
          <w:p w14:paraId="6F7B7475">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60%</w:t>
            </w:r>
          </w:p>
        </w:tc>
      </w:tr>
      <w:tr w14:paraId="79593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noWrap w:val="0"/>
            <w:vAlign w:val="center"/>
          </w:tcPr>
          <w:p w14:paraId="44C81BA2">
            <w:pPr>
              <w:jc w:val="center"/>
              <w:rPr>
                <w:rFonts w:hint="default" w:ascii="Times New Roman" w:hAnsi="Times New Roman" w:eastAsia="宋体" w:cs="Times New Roman"/>
                <w:b/>
                <w:bCs/>
                <w:color w:val="000000"/>
                <w:sz w:val="21"/>
                <w:szCs w:val="21"/>
              </w:rPr>
            </w:pPr>
          </w:p>
        </w:tc>
        <w:tc>
          <w:tcPr>
            <w:tcW w:w="794" w:type="dxa"/>
            <w:vMerge w:val="continue"/>
            <w:tcBorders>
              <w:left w:val="single" w:color="auto" w:sz="4" w:space="0"/>
            </w:tcBorders>
            <w:noWrap w:val="0"/>
            <w:vAlign w:val="center"/>
          </w:tcPr>
          <w:p w14:paraId="39F0BF82">
            <w:pPr>
              <w:jc w:val="center"/>
              <w:rPr>
                <w:rFonts w:hint="default" w:ascii="Times New Roman" w:hAnsi="Times New Roman" w:eastAsia="宋体" w:cs="Times New Roman"/>
                <w:bCs/>
                <w:color w:val="000000"/>
                <w:sz w:val="21"/>
                <w:szCs w:val="21"/>
              </w:rPr>
            </w:pPr>
          </w:p>
        </w:tc>
        <w:tc>
          <w:tcPr>
            <w:tcW w:w="794" w:type="dxa"/>
            <w:vMerge w:val="continue"/>
            <w:tcBorders>
              <w:right w:val="double" w:color="auto" w:sz="4" w:space="0"/>
            </w:tcBorders>
            <w:noWrap w:val="0"/>
            <w:vAlign w:val="center"/>
          </w:tcPr>
          <w:p w14:paraId="01A52AB6">
            <w:pPr>
              <w:jc w:val="center"/>
              <w:rPr>
                <w:rFonts w:hint="default" w:ascii="Times New Roman" w:hAnsi="Times New Roman" w:eastAsia="宋体" w:cs="Times New Roman"/>
                <w:color w:val="000000"/>
                <w:sz w:val="21"/>
                <w:szCs w:val="21"/>
              </w:rPr>
            </w:pPr>
          </w:p>
        </w:tc>
        <w:tc>
          <w:tcPr>
            <w:tcW w:w="4763" w:type="dxa"/>
            <w:noWrap w:val="0"/>
            <w:vAlign w:val="center"/>
          </w:tcPr>
          <w:p w14:paraId="6791F0FD">
            <w:pP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2.</w:t>
            </w:r>
            <w:r>
              <w:rPr>
                <w:rFonts w:hint="default" w:ascii="Times New Roman" w:hAnsi="Times New Roman" w:eastAsia="宋体" w:cs="Times New Roman"/>
                <w:color w:val="000000"/>
                <w:sz w:val="21"/>
                <w:szCs w:val="21"/>
              </w:rPr>
              <w:t xml:space="preserve"> 具有自主学习的基本能力，能够适应不断变化的社会健康保健需要。</w:t>
            </w:r>
          </w:p>
        </w:tc>
        <w:tc>
          <w:tcPr>
            <w:tcW w:w="1348" w:type="dxa"/>
            <w:tcBorders>
              <w:right w:val="single" w:color="auto" w:sz="12" w:space="0"/>
            </w:tcBorders>
            <w:noWrap w:val="0"/>
            <w:vAlign w:val="center"/>
          </w:tcPr>
          <w:p w14:paraId="26E7BED4">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20%</w:t>
            </w:r>
          </w:p>
        </w:tc>
      </w:tr>
      <w:tr w14:paraId="0D74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noWrap w:val="0"/>
            <w:vAlign w:val="center"/>
          </w:tcPr>
          <w:p w14:paraId="4240388A">
            <w:pPr>
              <w:jc w:val="center"/>
              <w:rPr>
                <w:rFonts w:hint="default" w:ascii="Times New Roman" w:hAnsi="Times New Roman" w:eastAsia="宋体" w:cs="Times New Roman"/>
                <w:b/>
                <w:bCs/>
                <w:color w:val="000000"/>
                <w:sz w:val="21"/>
                <w:szCs w:val="21"/>
              </w:rPr>
            </w:pPr>
          </w:p>
        </w:tc>
        <w:tc>
          <w:tcPr>
            <w:tcW w:w="794" w:type="dxa"/>
            <w:vMerge w:val="continue"/>
            <w:tcBorders>
              <w:left w:val="single" w:color="auto" w:sz="4" w:space="0"/>
            </w:tcBorders>
            <w:noWrap w:val="0"/>
            <w:vAlign w:val="center"/>
          </w:tcPr>
          <w:p w14:paraId="6C245F34">
            <w:pPr>
              <w:jc w:val="center"/>
              <w:rPr>
                <w:rFonts w:hint="default" w:ascii="Times New Roman" w:hAnsi="Times New Roman" w:eastAsia="宋体" w:cs="Times New Roman"/>
                <w:bCs/>
                <w:color w:val="000000"/>
                <w:sz w:val="21"/>
                <w:szCs w:val="21"/>
              </w:rPr>
            </w:pPr>
          </w:p>
        </w:tc>
        <w:tc>
          <w:tcPr>
            <w:tcW w:w="794" w:type="dxa"/>
            <w:vMerge w:val="continue"/>
            <w:tcBorders>
              <w:right w:val="double" w:color="auto" w:sz="4" w:space="0"/>
            </w:tcBorders>
            <w:noWrap w:val="0"/>
            <w:vAlign w:val="center"/>
          </w:tcPr>
          <w:p w14:paraId="114E9499">
            <w:pPr>
              <w:jc w:val="center"/>
              <w:rPr>
                <w:rFonts w:hint="default" w:ascii="Times New Roman" w:hAnsi="Times New Roman" w:eastAsia="宋体" w:cs="Times New Roman"/>
                <w:color w:val="000000"/>
                <w:sz w:val="21"/>
                <w:szCs w:val="21"/>
              </w:rPr>
            </w:pPr>
          </w:p>
        </w:tc>
        <w:tc>
          <w:tcPr>
            <w:tcW w:w="4763" w:type="dxa"/>
            <w:noWrap w:val="0"/>
            <w:vAlign w:val="center"/>
          </w:tcPr>
          <w:p w14:paraId="45AD1867">
            <w:pP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3. 具有</w:t>
            </w:r>
            <w:r>
              <w:rPr>
                <w:rFonts w:hint="default" w:ascii="Times New Roman" w:hAnsi="Times New Roman" w:eastAsia="宋体" w:cs="Times New Roman"/>
                <w:color w:val="000000"/>
                <w:sz w:val="21"/>
                <w:szCs w:val="21"/>
                <w:lang w:eastAsia="zh-Hans"/>
              </w:rPr>
              <w:t>养老服务管理</w:t>
            </w:r>
            <w:r>
              <w:rPr>
                <w:rFonts w:hint="default" w:ascii="Times New Roman" w:hAnsi="Times New Roman" w:eastAsia="宋体" w:cs="Times New Roman"/>
                <w:bCs/>
                <w:color w:val="000000"/>
                <w:sz w:val="21"/>
                <w:szCs w:val="21"/>
              </w:rPr>
              <w:t>专业所需相关的实践知识储备。</w:t>
            </w:r>
          </w:p>
        </w:tc>
        <w:tc>
          <w:tcPr>
            <w:tcW w:w="1348" w:type="dxa"/>
            <w:tcBorders>
              <w:right w:val="single" w:color="auto" w:sz="12" w:space="0"/>
            </w:tcBorders>
            <w:noWrap w:val="0"/>
            <w:vAlign w:val="center"/>
          </w:tcPr>
          <w:p w14:paraId="2655738E">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20%</w:t>
            </w:r>
          </w:p>
        </w:tc>
      </w:tr>
      <w:tr w14:paraId="41B9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noWrap w:val="0"/>
            <w:vAlign w:val="center"/>
          </w:tcPr>
          <w:p w14:paraId="687E3451">
            <w:pPr>
              <w:jc w:val="center"/>
              <w:rPr>
                <w:rFonts w:hint="default" w:ascii="Times New Roman" w:hAnsi="Times New Roman" w:eastAsia="宋体" w:cs="Times New Roman"/>
                <w:b/>
                <w:bCs/>
                <w:color w:val="000000"/>
                <w:sz w:val="21"/>
                <w:szCs w:val="21"/>
              </w:rPr>
            </w:pPr>
          </w:p>
        </w:tc>
        <w:tc>
          <w:tcPr>
            <w:tcW w:w="794" w:type="dxa"/>
            <w:tcBorders>
              <w:left w:val="single" w:color="auto" w:sz="4" w:space="0"/>
            </w:tcBorders>
            <w:noWrap w:val="0"/>
            <w:vAlign w:val="center"/>
          </w:tcPr>
          <w:p w14:paraId="5AF3C951">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④</w:t>
            </w:r>
          </w:p>
        </w:tc>
        <w:tc>
          <w:tcPr>
            <w:tcW w:w="794" w:type="dxa"/>
            <w:tcBorders>
              <w:right w:val="double" w:color="auto" w:sz="4" w:space="0"/>
            </w:tcBorders>
            <w:noWrap w:val="0"/>
            <w:vAlign w:val="center"/>
          </w:tcPr>
          <w:p w14:paraId="6512AD47">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H</w:t>
            </w:r>
          </w:p>
        </w:tc>
        <w:tc>
          <w:tcPr>
            <w:tcW w:w="4763" w:type="dxa"/>
            <w:noWrap w:val="0"/>
            <w:vAlign w:val="center"/>
          </w:tcPr>
          <w:p w14:paraId="13419D05">
            <w:pP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6. 批判性思维能力：有质疑精神，具有初步运用辩证思维和决策的能力，能进行逻辑的分析与批判，以保证安全有效的专业实践。</w:t>
            </w:r>
          </w:p>
        </w:tc>
        <w:tc>
          <w:tcPr>
            <w:tcW w:w="1348" w:type="dxa"/>
            <w:tcBorders>
              <w:right w:val="single" w:color="auto" w:sz="12" w:space="0"/>
            </w:tcBorders>
            <w:noWrap w:val="0"/>
            <w:vAlign w:val="center"/>
          </w:tcPr>
          <w:p w14:paraId="61635593">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100%</w:t>
            </w:r>
          </w:p>
        </w:tc>
      </w:tr>
      <w:tr w14:paraId="0576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noWrap w:val="0"/>
            <w:vAlign w:val="center"/>
          </w:tcPr>
          <w:p w14:paraId="3F6B933C">
            <w:pPr>
              <w:jc w:val="center"/>
              <w:rPr>
                <w:rFonts w:hint="default" w:ascii="Times New Roman" w:hAnsi="Times New Roman" w:eastAsia="宋体" w:cs="Times New Roman"/>
                <w:b/>
                <w:bCs/>
                <w:color w:val="000000"/>
                <w:sz w:val="21"/>
                <w:szCs w:val="21"/>
              </w:rPr>
            </w:pPr>
          </w:p>
        </w:tc>
        <w:tc>
          <w:tcPr>
            <w:tcW w:w="794" w:type="dxa"/>
            <w:tcBorders>
              <w:left w:val="single" w:color="auto" w:sz="4" w:space="0"/>
            </w:tcBorders>
            <w:noWrap w:val="0"/>
            <w:vAlign w:val="center"/>
          </w:tcPr>
          <w:p w14:paraId="51F3F580">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⑤</w:t>
            </w:r>
          </w:p>
        </w:tc>
        <w:tc>
          <w:tcPr>
            <w:tcW w:w="794" w:type="dxa"/>
            <w:tcBorders>
              <w:right w:val="double" w:color="auto" w:sz="4" w:space="0"/>
            </w:tcBorders>
            <w:noWrap w:val="0"/>
            <w:vAlign w:val="center"/>
          </w:tcPr>
          <w:p w14:paraId="7586F19A">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M</w:t>
            </w:r>
          </w:p>
        </w:tc>
        <w:tc>
          <w:tcPr>
            <w:tcW w:w="4763" w:type="dxa"/>
            <w:noWrap w:val="0"/>
            <w:vAlign w:val="center"/>
          </w:tcPr>
          <w:p w14:paraId="7C59A235">
            <w:pP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5. 健康教育能力：能确定老年人的健康需求，并采用合适的健康教育策略。</w:t>
            </w:r>
          </w:p>
        </w:tc>
        <w:tc>
          <w:tcPr>
            <w:tcW w:w="1348" w:type="dxa"/>
            <w:tcBorders>
              <w:right w:val="single" w:color="auto" w:sz="12" w:space="0"/>
            </w:tcBorders>
            <w:noWrap w:val="0"/>
            <w:vAlign w:val="center"/>
          </w:tcPr>
          <w:p w14:paraId="24DB7B6A">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100%</w:t>
            </w:r>
          </w:p>
        </w:tc>
      </w:tr>
      <w:tr w14:paraId="0D33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noWrap w:val="0"/>
            <w:vAlign w:val="center"/>
          </w:tcPr>
          <w:p w14:paraId="3EE6AEFC">
            <w:pPr>
              <w:jc w:val="center"/>
              <w:rPr>
                <w:rFonts w:hint="default" w:ascii="Times New Roman" w:hAnsi="Times New Roman" w:eastAsia="宋体" w:cs="Times New Roman"/>
                <w:b/>
                <w:bCs/>
                <w:color w:val="000000"/>
                <w:sz w:val="21"/>
                <w:szCs w:val="21"/>
              </w:rPr>
            </w:pPr>
            <w:r>
              <w:rPr>
                <w:rFonts w:hint="default" w:ascii="Times New Roman" w:hAnsi="Times New Roman" w:eastAsia="宋体" w:cs="Times New Roman"/>
                <w:b/>
                <w:color w:val="000000"/>
                <w:sz w:val="21"/>
                <w:szCs w:val="21"/>
              </w:rPr>
              <w:t>LO5健康发展</w:t>
            </w:r>
          </w:p>
        </w:tc>
        <w:tc>
          <w:tcPr>
            <w:tcW w:w="794" w:type="dxa"/>
            <w:tcBorders>
              <w:left w:val="single" w:color="auto" w:sz="4" w:space="0"/>
            </w:tcBorders>
            <w:noWrap w:val="0"/>
            <w:vAlign w:val="center"/>
          </w:tcPr>
          <w:p w14:paraId="37486C21">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①</w:t>
            </w:r>
          </w:p>
        </w:tc>
        <w:tc>
          <w:tcPr>
            <w:tcW w:w="794" w:type="dxa"/>
            <w:tcBorders>
              <w:right w:val="double" w:color="auto" w:sz="4" w:space="0"/>
            </w:tcBorders>
            <w:noWrap w:val="0"/>
            <w:vAlign w:val="center"/>
          </w:tcPr>
          <w:p w14:paraId="1E9606E3">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H</w:t>
            </w:r>
          </w:p>
        </w:tc>
        <w:tc>
          <w:tcPr>
            <w:tcW w:w="4763" w:type="dxa"/>
            <w:noWrap w:val="0"/>
            <w:vAlign w:val="center"/>
          </w:tcPr>
          <w:p w14:paraId="2D56FF5B">
            <w:pP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4. 健康评估能力：能全面评估老年人的身心、社会及精神方面的健康状态，具有健康监测、健康风险评估能力。</w:t>
            </w:r>
          </w:p>
        </w:tc>
        <w:tc>
          <w:tcPr>
            <w:tcW w:w="1348" w:type="dxa"/>
            <w:tcBorders>
              <w:right w:val="single" w:color="auto" w:sz="12" w:space="0"/>
            </w:tcBorders>
            <w:noWrap w:val="0"/>
            <w:vAlign w:val="center"/>
          </w:tcPr>
          <w:p w14:paraId="53F77DDA">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100%</w:t>
            </w:r>
          </w:p>
        </w:tc>
      </w:tr>
    </w:tbl>
    <w:p w14:paraId="441FF76B">
      <w:pPr>
        <w:spacing w:before="326" w:beforeLines="100" w:line="360" w:lineRule="auto"/>
        <w:outlineLvl w:val="0"/>
        <w:rPr>
          <w:rFonts w:ascii="黑体" w:eastAsia="黑体"/>
          <w:sz w:val="28"/>
        </w:rPr>
      </w:pPr>
      <w:r>
        <w:rPr>
          <w:rFonts w:hint="eastAsia" w:ascii="黑体" w:eastAsia="黑体"/>
          <w:sz w:val="28"/>
        </w:rPr>
        <w:t>三、</w:t>
      </w:r>
      <w:r>
        <w:rPr>
          <w:rFonts w:ascii="黑体" w:eastAsia="黑体"/>
          <w:sz w:val="28"/>
        </w:rPr>
        <w:t>课程内容</w:t>
      </w:r>
      <w:r>
        <w:rPr>
          <w:rFonts w:hint="eastAsia" w:ascii="黑体" w:eastAsia="黑体"/>
          <w:sz w:val="28"/>
        </w:rPr>
        <w:t>与教学设计</w:t>
      </w:r>
    </w:p>
    <w:p w14:paraId="7A709CC7">
      <w:pPr>
        <w:spacing w:before="163" w:beforeLines="50" w:after="163" w:afterLines="50"/>
        <w:outlineLvl w:val="1"/>
        <w:rPr>
          <w:rFonts w:ascii="Times New Roman" w:hAnsi="Times New Roman"/>
          <w:b/>
        </w:rPr>
      </w:pPr>
      <w:r>
        <w:rPr>
          <w:rFonts w:hint="eastAsia" w:ascii="Times New Roman" w:hAnsi="Times New Roman"/>
          <w:b/>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89D16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11DE5640">
            <w:pPr>
              <w:rPr>
                <w:rFonts w:hint="eastAsia" w:ascii="Times New Roman" w:hAnsi="Times New Roman"/>
                <w:color w:val="000000"/>
                <w:sz w:val="21"/>
                <w:szCs w:val="21"/>
              </w:rPr>
            </w:pPr>
            <w:r>
              <w:rPr>
                <w:rFonts w:hint="eastAsia" w:ascii="Times New Roman" w:hAnsi="Times New Roman"/>
                <w:bCs/>
                <w:color w:val="000000"/>
                <w:sz w:val="21"/>
                <w:szCs w:val="21"/>
              </w:rPr>
              <w:t xml:space="preserve">第一单元 </w:t>
            </w:r>
            <w:r>
              <w:rPr>
                <w:rFonts w:hint="eastAsia" w:ascii="Times New Roman" w:hAnsi="Times New Roman"/>
                <w:color w:val="000000"/>
                <w:sz w:val="21"/>
                <w:szCs w:val="21"/>
              </w:rPr>
              <w:t>药理学总论、药物效应动力学</w:t>
            </w:r>
          </w:p>
          <w:p w14:paraId="2B116910">
            <w:pPr>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73BAF59E">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知道药物、药理学、药效学、药动学的概念。药物的基本作用、药物作用的两重性、副反应、毒性反应、过敏反应、耐受性、受体激动剂、受体阻断剂、药物的量效关系、治疗指数、效能、效价强度等概念。</w:t>
            </w:r>
          </w:p>
          <w:p w14:paraId="2774E9E9">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理解药理学的性质和任务、药理学学习方法。局部作用、吸收作用、药物作用的选择性、后遗效应、继发反应、对因治疗、对症治疗、安全范围、依赖性等概念。</w:t>
            </w:r>
          </w:p>
          <w:p w14:paraId="58FD0197">
            <w:pPr>
              <w:rPr>
                <w:rFonts w:hint="eastAsia"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了解药理学发展简史、新药的开发与研究。了解受体与药物作用的关系、受体调节及临床意义，药物其他作用机制。</w:t>
            </w:r>
            <w:r>
              <w:rPr>
                <w:rFonts w:hint="eastAsia" w:ascii="Times New Roman" w:hAnsi="Times New Roman"/>
                <w:color w:val="000000"/>
                <w:sz w:val="21"/>
                <w:szCs w:val="21"/>
              </w:rPr>
              <w:t xml:space="preserve">              </w:t>
            </w:r>
          </w:p>
          <w:p w14:paraId="7EE87915">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15EDC66F">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 xml:space="preserve">能阐述药物、药理学、药物效应动力学、药物代谢动力学的概念；   </w:t>
            </w:r>
          </w:p>
          <w:p w14:paraId="30B0A3F4">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能理解药理学的发展简史；能运用药理学学习方法</w:t>
            </w:r>
          </w:p>
          <w:p w14:paraId="26889115">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能理解新药开发与研究的基本过程。</w:t>
            </w:r>
          </w:p>
          <w:p w14:paraId="6B994E76">
            <w:pPr>
              <w:rPr>
                <w:rFonts w:hint="eastAsia" w:ascii="Times New Roman" w:hAnsi="Times New Roman" w:cs="仿宋"/>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学会归纳、比较重要的基本概念。</w:t>
            </w:r>
          </w:p>
          <w:p w14:paraId="695941D6">
            <w:pPr>
              <w:rPr>
                <w:rFonts w:hint="eastAsia"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5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⑤</w:t>
            </w:r>
            <w:r>
              <w:rPr>
                <w:rFonts w:ascii="Times New Roman" w:hAnsi="Times New Roman"/>
                <w:color w:val="000000"/>
                <w:sz w:val="21"/>
                <w:szCs w:val="21"/>
              </w:rPr>
              <w:fldChar w:fldCharType="end"/>
            </w:r>
            <w:r>
              <w:rPr>
                <w:rFonts w:hint="eastAsia" w:ascii="Times New Roman" w:hAnsi="Times New Roman" w:cs="仿宋"/>
                <w:color w:val="000000"/>
                <w:sz w:val="21"/>
                <w:szCs w:val="21"/>
              </w:rPr>
              <w:t>具有药效学基本知识和基本理论，能举例解释药物作用的两重性，解释药物对机体作用道理。</w:t>
            </w:r>
          </w:p>
          <w:p w14:paraId="344A03ED">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29A10703">
            <w:pPr>
              <w:rPr>
                <w:rFonts w:ascii="Times New Roman" w:hAnsi="Times New Roman"/>
                <w:color w:val="000000"/>
                <w:sz w:val="21"/>
                <w:szCs w:val="21"/>
              </w:rPr>
            </w:pPr>
            <w:r>
              <w:rPr>
                <w:rFonts w:hint="eastAsia" w:ascii="Times New Roman" w:hAnsi="Times New Roman"/>
                <w:color w:val="000000"/>
                <w:sz w:val="21"/>
                <w:szCs w:val="21"/>
              </w:rPr>
              <w:t>通过学习药理学总论、药物效应动力学</w:t>
            </w:r>
            <w:r>
              <w:rPr>
                <w:rFonts w:hint="eastAsia" w:ascii="Times New Roman" w:hAnsi="Times New Roman"/>
                <w:bCs/>
                <w:sz w:val="21"/>
                <w:szCs w:val="21"/>
              </w:rPr>
              <w:t>,</w:t>
            </w:r>
            <w:r>
              <w:rPr>
                <w:rFonts w:hint="eastAsia" w:ascii="Times New Roman" w:hAnsi="Times New Roman"/>
                <w:color w:val="000000"/>
                <w:sz w:val="21"/>
                <w:szCs w:val="21"/>
              </w:rPr>
              <w:t>充分认识到药理学知识的重要性，从而能进行主动、积极的学习，增强尊重科学</w:t>
            </w:r>
            <w:r>
              <w:rPr>
                <w:rFonts w:ascii="Times New Roman" w:hAnsi="Times New Roman"/>
                <w:color w:val="000000"/>
                <w:sz w:val="21"/>
                <w:szCs w:val="21"/>
              </w:rPr>
              <w:t>，</w:t>
            </w:r>
            <w:r>
              <w:rPr>
                <w:rFonts w:hint="eastAsia" w:ascii="Times New Roman" w:hAnsi="Times New Roman"/>
                <w:color w:val="000000"/>
                <w:sz w:val="21"/>
                <w:szCs w:val="21"/>
              </w:rPr>
              <w:t>珍惜健康</w:t>
            </w:r>
            <w:r>
              <w:rPr>
                <w:rFonts w:ascii="Times New Roman" w:hAnsi="Times New Roman"/>
                <w:color w:val="000000"/>
                <w:sz w:val="21"/>
                <w:szCs w:val="21"/>
              </w:rPr>
              <w:t>，</w:t>
            </w:r>
            <w:r>
              <w:rPr>
                <w:rFonts w:hint="eastAsia" w:ascii="Times New Roman" w:hAnsi="Times New Roman"/>
                <w:color w:val="000000"/>
                <w:sz w:val="21"/>
                <w:szCs w:val="21"/>
              </w:rPr>
              <w:t>救死扶伤的坚定信念。</w:t>
            </w:r>
          </w:p>
          <w:p w14:paraId="4E5D099E">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403C2C8D">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药物及药理学概念</w:t>
            </w:r>
          </w:p>
          <w:p w14:paraId="0F7ECD45">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药物作用的基本规律</w:t>
            </w:r>
          </w:p>
          <w:p w14:paraId="59C6E058">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药物常见的不良反应。</w:t>
            </w:r>
          </w:p>
          <w:p w14:paraId="53FC9CE6">
            <w:pPr>
              <w:rPr>
                <w:rFonts w:hint="eastAsia" w:ascii="Times New Roman" w:hAnsi="Times New Roman" w:cs="仿宋"/>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药物的量效关系及量效曲线。</w:t>
            </w:r>
          </w:p>
          <w:p w14:paraId="19101619">
            <w:pPr>
              <w:rPr>
                <w:rFonts w:hint="eastAsia" w:ascii="Times New Roman" w:hAnsi="Times New Roman" w:cs="仿宋"/>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5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⑤</w:t>
            </w:r>
            <w:r>
              <w:rPr>
                <w:rFonts w:ascii="Times New Roman" w:hAnsi="Times New Roman"/>
                <w:color w:val="000000"/>
                <w:sz w:val="21"/>
                <w:szCs w:val="21"/>
              </w:rPr>
              <w:fldChar w:fldCharType="end"/>
            </w:r>
            <w:r>
              <w:rPr>
                <w:rFonts w:hint="eastAsia" w:ascii="Times New Roman" w:hAnsi="Times New Roman" w:cs="仿宋"/>
                <w:color w:val="000000"/>
                <w:sz w:val="21"/>
                <w:szCs w:val="21"/>
              </w:rPr>
              <w:t xml:space="preserve">效能、效价强度、安全范围、治疗指数。 </w:t>
            </w:r>
          </w:p>
          <w:p w14:paraId="36E74905">
            <w:pPr>
              <w:rPr>
                <w:rFonts w:ascii="Times New Roman" w:hAnsi="Times New Roman"/>
                <w:color w:val="000000"/>
                <w:sz w:val="21"/>
                <w:szCs w:val="21"/>
              </w:rPr>
            </w:pPr>
            <w:r>
              <w:rPr>
                <w:rFonts w:ascii="Times New Roman" w:hAnsi="Times New Roman" w:cs="仿宋"/>
                <w:color w:val="000000"/>
                <w:sz w:val="21"/>
                <w:szCs w:val="21"/>
              </w:rPr>
              <w:fldChar w:fldCharType="begin"/>
            </w:r>
            <w:r>
              <w:rPr>
                <w:rFonts w:ascii="Times New Roman" w:hAnsi="Times New Roman" w:cs="仿宋"/>
                <w:color w:val="000000"/>
                <w:sz w:val="21"/>
                <w:szCs w:val="21"/>
              </w:rPr>
              <w:instrText xml:space="preserve"> </w:instrText>
            </w:r>
            <w:r>
              <w:rPr>
                <w:rFonts w:hint="eastAsia" w:ascii="Times New Roman" w:hAnsi="Times New Roman" w:cs="仿宋"/>
                <w:color w:val="000000"/>
                <w:sz w:val="21"/>
                <w:szCs w:val="21"/>
              </w:rPr>
              <w:instrText xml:space="preserve">= 6 \* GB3</w:instrText>
            </w:r>
            <w:r>
              <w:rPr>
                <w:rFonts w:ascii="Times New Roman" w:hAnsi="Times New Roman" w:cs="仿宋"/>
                <w:color w:val="000000"/>
                <w:sz w:val="21"/>
                <w:szCs w:val="21"/>
              </w:rPr>
              <w:instrText xml:space="preserve"> </w:instrText>
            </w:r>
            <w:r>
              <w:rPr>
                <w:rFonts w:ascii="Times New Roman" w:hAnsi="Times New Roman" w:cs="仿宋"/>
                <w:color w:val="000000"/>
                <w:sz w:val="21"/>
                <w:szCs w:val="21"/>
              </w:rPr>
              <w:fldChar w:fldCharType="separate"/>
            </w:r>
            <w:r>
              <w:rPr>
                <w:rFonts w:hint="eastAsia" w:ascii="Times New Roman" w:hAnsi="Times New Roman" w:cs="仿宋"/>
                <w:color w:val="000000"/>
                <w:sz w:val="21"/>
                <w:szCs w:val="21"/>
              </w:rPr>
              <w:t>⑥</w:t>
            </w:r>
            <w:r>
              <w:rPr>
                <w:rFonts w:ascii="Times New Roman" w:hAnsi="Times New Roman" w:cs="仿宋"/>
                <w:color w:val="000000"/>
                <w:sz w:val="21"/>
                <w:szCs w:val="21"/>
              </w:rPr>
              <w:fldChar w:fldCharType="end"/>
            </w:r>
            <w:r>
              <w:rPr>
                <w:rFonts w:hint="eastAsia" w:ascii="Times New Roman" w:hAnsi="Times New Roman" w:cs="仿宋"/>
                <w:color w:val="000000"/>
                <w:sz w:val="21"/>
                <w:szCs w:val="21"/>
              </w:rPr>
              <w:t>受体激动剂、受体拮抗剂和受体调节：受体上调与受体下调。</w:t>
            </w:r>
          </w:p>
        </w:tc>
      </w:tr>
      <w:tr w14:paraId="603706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786C31D2">
            <w:pPr>
              <w:rPr>
                <w:rFonts w:hint="eastAsia" w:ascii="Times New Roman" w:hAnsi="Times New Roman" w:cs="仿宋"/>
                <w:color w:val="000000"/>
                <w:sz w:val="21"/>
                <w:szCs w:val="21"/>
              </w:rPr>
            </w:pPr>
            <w:r>
              <w:rPr>
                <w:rFonts w:hint="eastAsia" w:ascii="Times New Roman" w:hAnsi="Times New Roman"/>
                <w:bCs/>
                <w:color w:val="000000"/>
                <w:sz w:val="21"/>
                <w:szCs w:val="21"/>
              </w:rPr>
              <w:t xml:space="preserve">第二单元 </w:t>
            </w:r>
            <w:r>
              <w:rPr>
                <w:rFonts w:hint="eastAsia" w:ascii="Times New Roman" w:hAnsi="Times New Roman" w:cs="仿宋"/>
                <w:color w:val="000000"/>
                <w:sz w:val="21"/>
                <w:szCs w:val="21"/>
              </w:rPr>
              <w:t>药物代谢动力学、影响药物作用的因素</w:t>
            </w:r>
          </w:p>
          <w:p w14:paraId="55BAA1A4">
            <w:pPr>
              <w:rPr>
                <w:rFonts w:ascii="Times New Roman" w:hAnsi="Times New Roman" w:cs="仿宋"/>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4705340B">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药物的体内过程及其影响因素；首关消除、肝肠循环的概念；血-脑脊液屏障的意义；肝药酶及其特点；生物利用度、半衰期、稳态血药浓度等药动学参数概念及临床意义。影响药物作用的机体方面的因素；个体差异、高敏性等概念。</w:t>
            </w:r>
          </w:p>
          <w:p w14:paraId="480D4A63">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理解血药浓度变化的时间过程，时量曲线及其意义。表观分布容积、清除率等药动学参数的概念及其临床意义；恒比消除、恒量消除的概念和特点。</w:t>
            </w:r>
          </w:p>
          <w:p w14:paraId="57F940CD">
            <w:pPr>
              <w:rPr>
                <w:rFonts w:hint="eastAsia"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了解影响药物作用的药物方面的因素；安慰剂、配伍禁忌、协同作用、拮抗作用等概念。药物相互作用及合理用药的原则。</w:t>
            </w:r>
            <w:r>
              <w:rPr>
                <w:rFonts w:hint="eastAsia" w:ascii="Times New Roman" w:hAnsi="Times New Roman"/>
                <w:color w:val="000000"/>
                <w:sz w:val="21"/>
                <w:szCs w:val="21"/>
              </w:rPr>
              <w:t xml:space="preserve"> </w:t>
            </w:r>
          </w:p>
          <w:p w14:paraId="54A192C3">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7604771B">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能运用药动学的知识解释药物体内过程对药物作用的影响。</w:t>
            </w:r>
          </w:p>
          <w:p w14:paraId="3E001C54">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综合药动学基本知识和基本理论，能理解临床用药中采用负荷剂量给药的目的。</w:t>
            </w:r>
          </w:p>
          <w:p w14:paraId="3E263945">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能运用药物作用的个体差异、指导患者个体化用药。</w:t>
            </w:r>
          </w:p>
          <w:p w14:paraId="3653DB27">
            <w:pPr>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具有分析药物和机体的具体情况指导合理用药的能力。</w:t>
            </w:r>
            <w:r>
              <w:rPr>
                <w:rFonts w:ascii="Times New Roman" w:hAnsi="Times New Roman"/>
                <w:bCs/>
                <w:color w:val="000000"/>
                <w:sz w:val="21"/>
                <w:szCs w:val="21"/>
              </w:rPr>
              <w:t xml:space="preserve">                                                                                                                                                                                                                                                         </w:t>
            </w:r>
          </w:p>
          <w:p w14:paraId="707828B0">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5D6AA691">
            <w:pPr>
              <w:rPr>
                <w:rFonts w:ascii="Times New Roman" w:hAnsi="Times New Roman"/>
                <w:bCs/>
                <w:sz w:val="21"/>
                <w:szCs w:val="21"/>
              </w:rPr>
            </w:pPr>
            <w:r>
              <w:rPr>
                <w:rFonts w:hint="eastAsia" w:ascii="Times New Roman" w:hAnsi="Times New Roman"/>
                <w:color w:val="000000"/>
                <w:sz w:val="21"/>
                <w:szCs w:val="21"/>
              </w:rPr>
              <w:t>通过学习</w:t>
            </w:r>
            <w:r>
              <w:rPr>
                <w:rFonts w:hint="eastAsia" w:ascii="Times New Roman" w:hAnsi="Times New Roman" w:cs="仿宋"/>
                <w:color w:val="000000"/>
                <w:sz w:val="21"/>
                <w:szCs w:val="21"/>
              </w:rPr>
              <w:t>药物代谢动力学、影响药物作用的因素</w:t>
            </w:r>
            <w:r>
              <w:rPr>
                <w:rFonts w:hint="eastAsia" w:ascii="Times New Roman" w:hAnsi="Times New Roman"/>
                <w:bCs/>
                <w:sz w:val="21"/>
                <w:szCs w:val="21"/>
              </w:rPr>
              <w:t>,</w:t>
            </w:r>
            <w:r>
              <w:rPr>
                <w:rFonts w:hint="eastAsia" w:ascii="Times New Roman" w:hAnsi="Times New Roman"/>
                <w:color w:val="000000"/>
                <w:sz w:val="21"/>
                <w:szCs w:val="21"/>
              </w:rPr>
              <w:t xml:space="preserve"> 充分认识到药理学知识的重要性，从而能进行主动、积极的学习，增强尊重科学</w:t>
            </w:r>
            <w:r>
              <w:rPr>
                <w:rFonts w:ascii="Times New Roman" w:hAnsi="Times New Roman"/>
                <w:color w:val="000000"/>
                <w:sz w:val="21"/>
                <w:szCs w:val="21"/>
              </w:rPr>
              <w:t>，</w:t>
            </w:r>
            <w:r>
              <w:rPr>
                <w:rFonts w:hint="eastAsia" w:ascii="Times New Roman" w:hAnsi="Times New Roman"/>
                <w:color w:val="000000"/>
                <w:sz w:val="21"/>
                <w:szCs w:val="21"/>
              </w:rPr>
              <w:t>珍惜健康</w:t>
            </w:r>
            <w:r>
              <w:rPr>
                <w:rFonts w:ascii="Times New Roman" w:hAnsi="Times New Roman"/>
                <w:color w:val="000000"/>
                <w:sz w:val="21"/>
                <w:szCs w:val="21"/>
              </w:rPr>
              <w:t>，</w:t>
            </w:r>
            <w:r>
              <w:rPr>
                <w:rFonts w:hint="eastAsia" w:ascii="Times New Roman" w:hAnsi="Times New Roman"/>
                <w:color w:val="000000"/>
                <w:sz w:val="21"/>
                <w:szCs w:val="21"/>
              </w:rPr>
              <w:t>救死扶伤的坚定信念。</w:t>
            </w:r>
          </w:p>
          <w:p w14:paraId="201ACDDC">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79AD76E1">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药物在体内的过程其影响因素。</w:t>
            </w:r>
          </w:p>
          <w:p w14:paraId="309FF2A1">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首关消除、肝肠循环、血-脑脊液屏障的概念与意义；</w:t>
            </w:r>
          </w:p>
          <w:p w14:paraId="67A9CC98">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恒比消除、恒量消除、 生物利用度、 半衰期（t1/2）的概念与意义。</w:t>
            </w:r>
          </w:p>
          <w:p w14:paraId="035F8172">
            <w:pPr>
              <w:rPr>
                <w:rFonts w:ascii="Times New Roman" w:hAnsi="Times New Roman" w:cs="仿宋"/>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机体及药物方面影响药物作用的因素</w:t>
            </w:r>
          </w:p>
        </w:tc>
      </w:tr>
      <w:tr w14:paraId="7CC0102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4F0D6E31">
            <w:pPr>
              <w:rPr>
                <w:rFonts w:hint="eastAsia" w:ascii="Times New Roman" w:hAnsi="Times New Roman"/>
                <w:color w:val="000000"/>
                <w:sz w:val="21"/>
                <w:szCs w:val="21"/>
              </w:rPr>
            </w:pPr>
            <w:r>
              <w:rPr>
                <w:rFonts w:hint="eastAsia" w:ascii="Times New Roman" w:hAnsi="Times New Roman"/>
                <w:bCs/>
                <w:color w:val="000000"/>
                <w:sz w:val="21"/>
                <w:szCs w:val="21"/>
              </w:rPr>
              <w:t xml:space="preserve">第三单元 </w:t>
            </w:r>
            <w:r>
              <w:rPr>
                <w:rFonts w:hint="eastAsia" w:ascii="Times New Roman" w:hAnsi="Times New Roman" w:cs="仿宋"/>
                <w:color w:val="000000"/>
                <w:sz w:val="21"/>
                <w:szCs w:val="21"/>
              </w:rPr>
              <w:t>传出神经系统药物概述，拟胆碱药、抗胆碱药</w:t>
            </w:r>
          </w:p>
          <w:p w14:paraId="36D9E3EC">
            <w:pPr>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4881D197">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知道传出神经系统受体的分类、分布及效应。毛果芸香碱的药理作用、临床应用及用药注意事项。阿托品的药理作用、临床应用、不良反应及禁忌证。</w:t>
            </w:r>
          </w:p>
          <w:p w14:paraId="70D7D299">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理解传出神经系统药物的作用方式及药物分类。新斯的明的药理作用、临床应用及禁忌证；有机磷酸酯类中毒机制及解毒药物的特点。东莨菪碱、山莨菪碱的作用特点及临床应用；其他M受体阻断药的作用特点。</w:t>
            </w:r>
          </w:p>
          <w:p w14:paraId="47F14787">
            <w:pPr>
              <w:rPr>
                <w:rFonts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了解传出神经系统的分类、递质的生物合成及代谢。有机磷酸酯类中毒的临床表现；其他拟胆碱药的作用特点。神经节阻断药的临床应用及两类骨骼肌松弛药物的异同点。</w:t>
            </w:r>
          </w:p>
          <w:p w14:paraId="5BB9BC39">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4980DF8D">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能分析传出神经系统受体的分类和生理效应；</w:t>
            </w:r>
          </w:p>
          <w:p w14:paraId="1050FCA8">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能运用药物作用方式对药物进行分类的方法。</w:t>
            </w:r>
          </w:p>
          <w:p w14:paraId="5B13BD92">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学会观察拟胆碱药的疗效及不良反应。M受体阻断药疗效及药物不良反应。</w:t>
            </w:r>
          </w:p>
          <w:p w14:paraId="3DDCBB78">
            <w:pPr>
              <w:rPr>
                <w:rFonts w:hint="eastAsia" w:ascii="Times New Roman" w:hAnsi="Times New Roman" w:cs="仿宋"/>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具有根据患者体征分析有机磷酸酯类中毒和抢救的能力。</w:t>
            </w:r>
          </w:p>
          <w:p w14:paraId="28872A56">
            <w:pPr>
              <w:rPr>
                <w:rFonts w:ascii="Times New Roman" w:hAnsi="Times New Roman"/>
                <w:bCs/>
                <w:color w:val="000000"/>
                <w:sz w:val="21"/>
                <w:szCs w:val="21"/>
              </w:rPr>
            </w:pPr>
            <w:r>
              <w:rPr>
                <w:rFonts w:ascii="Times New Roman" w:hAnsi="Times New Roman" w:cs="仿宋"/>
                <w:color w:val="000000"/>
                <w:sz w:val="21"/>
                <w:szCs w:val="21"/>
              </w:rPr>
              <w:fldChar w:fldCharType="begin"/>
            </w:r>
            <w:r>
              <w:rPr>
                <w:rFonts w:ascii="Times New Roman" w:hAnsi="Times New Roman" w:cs="仿宋"/>
                <w:color w:val="000000"/>
                <w:sz w:val="21"/>
                <w:szCs w:val="21"/>
              </w:rPr>
              <w:instrText xml:space="preserve"> </w:instrText>
            </w:r>
            <w:r>
              <w:rPr>
                <w:rFonts w:hint="eastAsia" w:ascii="Times New Roman" w:hAnsi="Times New Roman" w:cs="仿宋"/>
                <w:color w:val="000000"/>
                <w:sz w:val="21"/>
                <w:szCs w:val="21"/>
              </w:rPr>
              <w:instrText xml:space="preserve">= 5 \* GB3</w:instrText>
            </w:r>
            <w:r>
              <w:rPr>
                <w:rFonts w:ascii="Times New Roman" w:hAnsi="Times New Roman" w:cs="仿宋"/>
                <w:color w:val="000000"/>
                <w:sz w:val="21"/>
                <w:szCs w:val="21"/>
              </w:rPr>
              <w:instrText xml:space="preserve"> </w:instrText>
            </w:r>
            <w:r>
              <w:rPr>
                <w:rFonts w:ascii="Times New Roman" w:hAnsi="Times New Roman" w:cs="仿宋"/>
                <w:color w:val="000000"/>
                <w:sz w:val="21"/>
                <w:szCs w:val="21"/>
              </w:rPr>
              <w:fldChar w:fldCharType="separate"/>
            </w:r>
            <w:r>
              <w:rPr>
                <w:rFonts w:hint="eastAsia" w:ascii="Times New Roman" w:hAnsi="Times New Roman" w:cs="仿宋"/>
                <w:color w:val="000000"/>
                <w:sz w:val="21"/>
                <w:szCs w:val="21"/>
              </w:rPr>
              <w:t>⑤</w:t>
            </w:r>
            <w:r>
              <w:rPr>
                <w:rFonts w:ascii="Times New Roman" w:hAnsi="Times New Roman" w:cs="仿宋"/>
                <w:color w:val="000000"/>
                <w:sz w:val="21"/>
                <w:szCs w:val="21"/>
              </w:rPr>
              <w:fldChar w:fldCharType="end"/>
            </w:r>
            <w:r>
              <w:rPr>
                <w:rFonts w:hint="eastAsia" w:ascii="Times New Roman" w:hAnsi="Times New Roman" w:cs="仿宋"/>
                <w:color w:val="000000"/>
                <w:sz w:val="21"/>
                <w:szCs w:val="21"/>
              </w:rPr>
              <w:t>具有分析正确使用阿托品等M受体阻断药的能力。</w:t>
            </w:r>
          </w:p>
          <w:p w14:paraId="4316B52C">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15D3C24B">
            <w:pPr>
              <w:rPr>
                <w:rFonts w:ascii="Times New Roman" w:hAnsi="Times New Roman"/>
                <w:bCs/>
                <w:color w:val="000000"/>
                <w:sz w:val="21"/>
                <w:szCs w:val="21"/>
              </w:rPr>
            </w:pPr>
            <w:r>
              <w:rPr>
                <w:rFonts w:hint="eastAsia" w:ascii="Times New Roman" w:hAnsi="Times New Roman"/>
                <w:color w:val="000000"/>
                <w:sz w:val="21"/>
                <w:szCs w:val="21"/>
              </w:rPr>
              <w:t>通过学习本单元</w:t>
            </w:r>
            <w:r>
              <w:rPr>
                <w:rFonts w:hint="eastAsia" w:ascii="Times New Roman" w:hAnsi="Times New Roman"/>
                <w:bCs/>
                <w:sz w:val="21"/>
                <w:szCs w:val="21"/>
              </w:rPr>
              <w:t>,</w:t>
            </w:r>
            <w:r>
              <w:rPr>
                <w:rFonts w:hint="eastAsia" w:ascii="Times New Roman" w:hAnsi="Times New Roman"/>
                <w:color w:val="000000"/>
                <w:sz w:val="21"/>
                <w:szCs w:val="21"/>
              </w:rPr>
              <w:t xml:space="preserve"> 充分认识到药理学知识的重要性，从而能进行主动、积极的学习，增强尊重科学</w:t>
            </w:r>
            <w:r>
              <w:rPr>
                <w:rFonts w:ascii="Times New Roman" w:hAnsi="Times New Roman"/>
                <w:color w:val="000000"/>
                <w:sz w:val="21"/>
                <w:szCs w:val="21"/>
              </w:rPr>
              <w:t>，</w:t>
            </w:r>
            <w:r>
              <w:rPr>
                <w:rFonts w:hint="eastAsia" w:ascii="Times New Roman" w:hAnsi="Times New Roman"/>
                <w:color w:val="000000"/>
                <w:sz w:val="21"/>
                <w:szCs w:val="21"/>
              </w:rPr>
              <w:t>珍惜健康</w:t>
            </w:r>
            <w:r>
              <w:rPr>
                <w:rFonts w:ascii="Times New Roman" w:hAnsi="Times New Roman"/>
                <w:color w:val="000000"/>
                <w:sz w:val="21"/>
                <w:szCs w:val="21"/>
              </w:rPr>
              <w:t>，</w:t>
            </w:r>
            <w:r>
              <w:rPr>
                <w:rFonts w:hint="eastAsia" w:ascii="Times New Roman" w:hAnsi="Times New Roman"/>
                <w:color w:val="000000"/>
                <w:sz w:val="21"/>
                <w:szCs w:val="21"/>
              </w:rPr>
              <w:t>救死扶伤的坚定信念。</w:t>
            </w:r>
          </w:p>
          <w:p w14:paraId="1FE44BAA">
            <w:pPr>
              <w:rPr>
                <w:rFonts w:hint="eastAsia"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6B289835">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传出神经系统药物分类。</w:t>
            </w:r>
          </w:p>
          <w:p w14:paraId="782F926D">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传出神经系统按递质分类。</w:t>
            </w:r>
          </w:p>
          <w:p w14:paraId="7716FD47">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毛果芸香碱的药理作用、临床应用及用药注意事项。</w:t>
            </w:r>
          </w:p>
          <w:p w14:paraId="1834B95A">
            <w:pPr>
              <w:rPr>
                <w:rFonts w:hint="eastAsia" w:ascii="Times New Roman" w:hAnsi="Times New Roman" w:cs="仿宋"/>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新斯的明的药理作用、临床应用及禁忌证。</w:t>
            </w:r>
          </w:p>
          <w:p w14:paraId="11D92492">
            <w:pPr>
              <w:rPr>
                <w:rFonts w:hint="eastAsia" w:ascii="Times New Roman" w:hAnsi="Times New Roman" w:cs="仿宋"/>
                <w:color w:val="000000"/>
                <w:sz w:val="21"/>
                <w:szCs w:val="21"/>
              </w:rPr>
            </w:pPr>
            <w:r>
              <w:rPr>
                <w:rFonts w:ascii="Times New Roman" w:hAnsi="Times New Roman" w:cs="仿宋"/>
                <w:color w:val="000000"/>
                <w:sz w:val="21"/>
                <w:szCs w:val="21"/>
              </w:rPr>
              <w:fldChar w:fldCharType="begin"/>
            </w:r>
            <w:r>
              <w:rPr>
                <w:rFonts w:ascii="Times New Roman" w:hAnsi="Times New Roman" w:cs="仿宋"/>
                <w:color w:val="000000"/>
                <w:sz w:val="21"/>
                <w:szCs w:val="21"/>
              </w:rPr>
              <w:instrText xml:space="preserve"> </w:instrText>
            </w:r>
            <w:r>
              <w:rPr>
                <w:rFonts w:hint="eastAsia" w:ascii="Times New Roman" w:hAnsi="Times New Roman" w:cs="仿宋"/>
                <w:color w:val="000000"/>
                <w:sz w:val="21"/>
                <w:szCs w:val="21"/>
              </w:rPr>
              <w:instrText xml:space="preserve">= 5 \* GB3</w:instrText>
            </w:r>
            <w:r>
              <w:rPr>
                <w:rFonts w:ascii="Times New Roman" w:hAnsi="Times New Roman" w:cs="仿宋"/>
                <w:color w:val="000000"/>
                <w:sz w:val="21"/>
                <w:szCs w:val="21"/>
              </w:rPr>
              <w:instrText xml:space="preserve"> </w:instrText>
            </w:r>
            <w:r>
              <w:rPr>
                <w:rFonts w:ascii="Times New Roman" w:hAnsi="Times New Roman" w:cs="仿宋"/>
                <w:color w:val="000000"/>
                <w:sz w:val="21"/>
                <w:szCs w:val="21"/>
              </w:rPr>
              <w:fldChar w:fldCharType="separate"/>
            </w:r>
            <w:r>
              <w:rPr>
                <w:rFonts w:hint="eastAsia" w:ascii="Times New Roman" w:hAnsi="Times New Roman" w:cs="仿宋"/>
                <w:color w:val="000000"/>
                <w:sz w:val="21"/>
                <w:szCs w:val="21"/>
              </w:rPr>
              <w:t>⑤</w:t>
            </w:r>
            <w:r>
              <w:rPr>
                <w:rFonts w:ascii="Times New Roman" w:hAnsi="Times New Roman" w:cs="仿宋"/>
                <w:color w:val="000000"/>
                <w:sz w:val="21"/>
                <w:szCs w:val="21"/>
              </w:rPr>
              <w:fldChar w:fldCharType="end"/>
            </w:r>
            <w:r>
              <w:rPr>
                <w:rFonts w:hint="eastAsia" w:ascii="Times New Roman" w:hAnsi="Times New Roman" w:cs="仿宋"/>
                <w:color w:val="000000"/>
                <w:sz w:val="21"/>
                <w:szCs w:val="21"/>
              </w:rPr>
              <w:t>阿托品的药理作用、临床应用、不良反应及禁忌证。</w:t>
            </w:r>
          </w:p>
          <w:p w14:paraId="7100EB64">
            <w:pPr>
              <w:rPr>
                <w:rFonts w:ascii="Times New Roman" w:hAnsi="Times New Roman"/>
                <w:color w:val="000000"/>
                <w:sz w:val="21"/>
                <w:szCs w:val="21"/>
              </w:rPr>
            </w:pPr>
            <w:r>
              <w:rPr>
                <w:rFonts w:ascii="Times New Roman" w:hAnsi="Times New Roman" w:cs="仿宋"/>
                <w:color w:val="000000"/>
                <w:sz w:val="21"/>
                <w:szCs w:val="21"/>
              </w:rPr>
              <w:fldChar w:fldCharType="begin"/>
            </w:r>
            <w:r>
              <w:rPr>
                <w:rFonts w:ascii="Times New Roman" w:hAnsi="Times New Roman" w:cs="仿宋"/>
                <w:color w:val="000000"/>
                <w:sz w:val="21"/>
                <w:szCs w:val="21"/>
              </w:rPr>
              <w:instrText xml:space="preserve"> </w:instrText>
            </w:r>
            <w:r>
              <w:rPr>
                <w:rFonts w:hint="eastAsia" w:ascii="Times New Roman" w:hAnsi="Times New Roman" w:cs="仿宋"/>
                <w:color w:val="000000"/>
                <w:sz w:val="21"/>
                <w:szCs w:val="21"/>
              </w:rPr>
              <w:instrText xml:space="preserve">= 6 \* GB3</w:instrText>
            </w:r>
            <w:r>
              <w:rPr>
                <w:rFonts w:ascii="Times New Roman" w:hAnsi="Times New Roman" w:cs="仿宋"/>
                <w:color w:val="000000"/>
                <w:sz w:val="21"/>
                <w:szCs w:val="21"/>
              </w:rPr>
              <w:instrText xml:space="preserve"> </w:instrText>
            </w:r>
            <w:r>
              <w:rPr>
                <w:rFonts w:ascii="Times New Roman" w:hAnsi="Times New Roman" w:cs="仿宋"/>
                <w:color w:val="000000"/>
                <w:sz w:val="21"/>
                <w:szCs w:val="21"/>
              </w:rPr>
              <w:fldChar w:fldCharType="separate"/>
            </w:r>
            <w:r>
              <w:rPr>
                <w:rFonts w:hint="eastAsia" w:ascii="Times New Roman" w:hAnsi="Times New Roman" w:cs="仿宋"/>
                <w:color w:val="000000"/>
                <w:sz w:val="21"/>
                <w:szCs w:val="21"/>
              </w:rPr>
              <w:t>⑥</w:t>
            </w:r>
            <w:r>
              <w:rPr>
                <w:rFonts w:ascii="Times New Roman" w:hAnsi="Times New Roman" w:cs="仿宋"/>
                <w:color w:val="000000"/>
                <w:sz w:val="21"/>
                <w:szCs w:val="21"/>
              </w:rPr>
              <w:fldChar w:fldCharType="end"/>
            </w:r>
            <w:r>
              <w:rPr>
                <w:rFonts w:hint="eastAsia" w:ascii="Times New Roman" w:hAnsi="Times New Roman" w:cs="仿宋"/>
                <w:color w:val="000000"/>
                <w:sz w:val="21"/>
                <w:szCs w:val="21"/>
              </w:rPr>
              <w:t>东莨菪碱、山莨菪碱的作用特点及临床应用。</w:t>
            </w:r>
          </w:p>
        </w:tc>
      </w:tr>
      <w:tr w14:paraId="3272EE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0F342ADE">
            <w:pPr>
              <w:rPr>
                <w:rFonts w:hint="eastAsia" w:ascii="Times New Roman" w:hAnsi="Times New Roman" w:cs="仿宋"/>
                <w:color w:val="000000"/>
                <w:sz w:val="21"/>
                <w:szCs w:val="21"/>
              </w:rPr>
            </w:pPr>
            <w:r>
              <w:rPr>
                <w:rFonts w:hint="eastAsia" w:ascii="Times New Roman" w:hAnsi="Times New Roman"/>
                <w:bCs/>
                <w:color w:val="000000"/>
                <w:sz w:val="21"/>
                <w:szCs w:val="21"/>
              </w:rPr>
              <w:t xml:space="preserve">第四单元 </w:t>
            </w:r>
            <w:r>
              <w:rPr>
                <w:rFonts w:hint="eastAsia" w:ascii="Times New Roman" w:hAnsi="Times New Roman" w:cs="仿宋"/>
                <w:color w:val="000000"/>
                <w:sz w:val="21"/>
                <w:szCs w:val="21"/>
              </w:rPr>
              <w:t>拟肾上腺素药、抗肾上腺素药、麻醉药</w:t>
            </w:r>
          </w:p>
          <w:p w14:paraId="3B6C3458">
            <w:pPr>
              <w:rPr>
                <w:rFonts w:ascii="Times New Roman" w:hAnsi="Times New Roman"/>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57CF444D">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肾上腺素、去甲肾上腺素、异丙肾上腺素的药理作用、临床应用及主要不良反应。β受体阻断药的药理作用、临床应用、不良反应及禁忌证。局部麻醉药的概念及药理作用、常用局部麻醉药的作用特点、临床应用和不良反应。</w:t>
            </w:r>
          </w:p>
          <w:p w14:paraId="2B8B00E9">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理解多巴胺、麻黄碱、间羟胺的作用特点及临床应用。α受体阻断药酚妥拉明的药理作用、临床应用、不良反应。理解局麻药的给药方法及用药注意事项。</w:t>
            </w:r>
          </w:p>
          <w:p w14:paraId="2BBD632B">
            <w:pPr>
              <w:rPr>
                <w:rFonts w:hint="eastAsia"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了解其他拟肾上腺素药的作用特点。其他抗肾上腺素药的作用特点及临床应用。常用的吸入性麻醉药和静脉麻醉药的临床应用。</w:t>
            </w:r>
          </w:p>
          <w:p w14:paraId="6E2996AB">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4DB4AFD7">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学会观察拟肾上腺素药的疗效及不良反应。抗肾上腺素药物疗效及防止不良反应。根据适应证合理选择局麻药物及防止不良反应。</w:t>
            </w:r>
          </w:p>
          <w:p w14:paraId="5709124B">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具有分析应用拟肾上腺素药及处置药物不良反应的能力。指导合理应用抗肾上腺素药的能力。</w:t>
            </w:r>
          </w:p>
          <w:p w14:paraId="7821D134">
            <w:pPr>
              <w:rPr>
                <w:rFonts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 xml:space="preserve">具有与患者及家属就麻醉药应用、不良反应与注意事项进行有效沟通的能力 。  </w:t>
            </w:r>
          </w:p>
          <w:p w14:paraId="478B0717">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3C0C6304">
            <w:pPr>
              <w:rPr>
                <w:rFonts w:ascii="Times New Roman" w:hAnsi="Times New Roman"/>
                <w:color w:val="000000"/>
                <w:sz w:val="21"/>
                <w:szCs w:val="21"/>
              </w:rPr>
            </w:pPr>
            <w:r>
              <w:rPr>
                <w:rFonts w:hint="eastAsia" w:ascii="Times New Roman" w:hAnsi="Times New Roman"/>
                <w:color w:val="000000"/>
                <w:sz w:val="21"/>
                <w:szCs w:val="21"/>
              </w:rPr>
              <w:t>通过本章学习</w:t>
            </w:r>
            <w:r>
              <w:rPr>
                <w:rFonts w:hint="eastAsia" w:ascii="Times New Roman" w:hAnsi="Times New Roman"/>
                <w:bCs/>
                <w:sz w:val="21"/>
                <w:szCs w:val="21"/>
              </w:rPr>
              <w:t>,</w:t>
            </w:r>
            <w:r>
              <w:rPr>
                <w:rFonts w:hint="eastAsia" w:ascii="Times New Roman" w:hAnsi="Times New Roman"/>
                <w:color w:val="000000"/>
                <w:sz w:val="21"/>
                <w:szCs w:val="21"/>
              </w:rPr>
              <w:t>充分认识到药理学知识的重要性，从而能进行主动、积极的学习，增强尊重科学</w:t>
            </w:r>
            <w:r>
              <w:rPr>
                <w:rFonts w:ascii="Times New Roman" w:hAnsi="Times New Roman"/>
                <w:color w:val="000000"/>
                <w:sz w:val="21"/>
                <w:szCs w:val="21"/>
              </w:rPr>
              <w:t>，</w:t>
            </w:r>
            <w:r>
              <w:rPr>
                <w:rFonts w:hint="eastAsia" w:ascii="Times New Roman" w:hAnsi="Times New Roman"/>
                <w:color w:val="000000"/>
                <w:sz w:val="21"/>
                <w:szCs w:val="21"/>
              </w:rPr>
              <w:t>珍惜健康</w:t>
            </w:r>
            <w:r>
              <w:rPr>
                <w:rFonts w:ascii="Times New Roman" w:hAnsi="Times New Roman"/>
                <w:color w:val="000000"/>
                <w:sz w:val="21"/>
                <w:szCs w:val="21"/>
              </w:rPr>
              <w:t>，</w:t>
            </w:r>
            <w:r>
              <w:rPr>
                <w:rFonts w:hint="eastAsia" w:ascii="Times New Roman" w:hAnsi="Times New Roman"/>
                <w:color w:val="000000"/>
                <w:sz w:val="21"/>
                <w:szCs w:val="21"/>
              </w:rPr>
              <w:t>救死扶伤的坚定信念。</w:t>
            </w:r>
          </w:p>
          <w:p w14:paraId="2470A49A">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7ED944F7">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肾上腺素、去甲肾上腺素、异丙肾上腺素及多巴胺主要激动的受体及药理作用。</w:t>
            </w:r>
          </w:p>
          <w:p w14:paraId="1AC9438D">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β受体阻断代表药的药理作用、临床应用、不良反应及禁忌证。</w:t>
            </w:r>
          </w:p>
          <w:p w14:paraId="0882A6FD">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α受体阻断药能翻转升压效应。</w:t>
            </w:r>
          </w:p>
          <w:p w14:paraId="0FD81957">
            <w:pPr>
              <w:rPr>
                <w:rFonts w:hint="eastAsia" w:ascii="Times New Roman" w:hAnsi="Times New Roman" w:cs="仿宋"/>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局部麻醉药的概念。</w:t>
            </w:r>
          </w:p>
          <w:p w14:paraId="53895D29">
            <w:pPr>
              <w:rPr>
                <w:rFonts w:ascii="Times New Roman" w:hAnsi="Times New Roman"/>
                <w:color w:val="000000"/>
                <w:sz w:val="21"/>
                <w:szCs w:val="21"/>
              </w:rPr>
            </w:pPr>
            <w:r>
              <w:rPr>
                <w:rFonts w:ascii="Times New Roman" w:hAnsi="Times New Roman" w:cs="仿宋"/>
                <w:color w:val="000000"/>
                <w:sz w:val="21"/>
                <w:szCs w:val="21"/>
              </w:rPr>
              <w:fldChar w:fldCharType="begin"/>
            </w:r>
            <w:r>
              <w:rPr>
                <w:rFonts w:ascii="Times New Roman" w:hAnsi="Times New Roman" w:cs="仿宋"/>
                <w:color w:val="000000"/>
                <w:sz w:val="21"/>
                <w:szCs w:val="21"/>
              </w:rPr>
              <w:instrText xml:space="preserve"> </w:instrText>
            </w:r>
            <w:r>
              <w:rPr>
                <w:rFonts w:hint="eastAsia" w:ascii="Times New Roman" w:hAnsi="Times New Roman" w:cs="仿宋"/>
                <w:color w:val="000000"/>
                <w:sz w:val="21"/>
                <w:szCs w:val="21"/>
              </w:rPr>
              <w:instrText xml:space="preserve">= 5 \* GB3</w:instrText>
            </w:r>
            <w:r>
              <w:rPr>
                <w:rFonts w:ascii="Times New Roman" w:hAnsi="Times New Roman" w:cs="仿宋"/>
                <w:color w:val="000000"/>
                <w:sz w:val="21"/>
                <w:szCs w:val="21"/>
              </w:rPr>
              <w:instrText xml:space="preserve"> </w:instrText>
            </w:r>
            <w:r>
              <w:rPr>
                <w:rFonts w:ascii="Times New Roman" w:hAnsi="Times New Roman" w:cs="仿宋"/>
                <w:color w:val="000000"/>
                <w:sz w:val="21"/>
                <w:szCs w:val="21"/>
              </w:rPr>
              <w:fldChar w:fldCharType="separate"/>
            </w:r>
            <w:r>
              <w:rPr>
                <w:rFonts w:hint="eastAsia" w:ascii="Times New Roman" w:hAnsi="Times New Roman" w:cs="仿宋"/>
                <w:color w:val="000000"/>
                <w:sz w:val="21"/>
                <w:szCs w:val="21"/>
              </w:rPr>
              <w:t>⑤</w:t>
            </w:r>
            <w:r>
              <w:rPr>
                <w:rFonts w:ascii="Times New Roman" w:hAnsi="Times New Roman" w:cs="仿宋"/>
                <w:color w:val="000000"/>
                <w:sz w:val="21"/>
                <w:szCs w:val="21"/>
              </w:rPr>
              <w:fldChar w:fldCharType="end"/>
            </w:r>
            <w:r>
              <w:rPr>
                <w:rFonts w:hint="eastAsia" w:ascii="Times New Roman" w:hAnsi="Times New Roman" w:cs="仿宋"/>
                <w:color w:val="000000"/>
                <w:sz w:val="21"/>
                <w:szCs w:val="21"/>
              </w:rPr>
              <w:t>常用局麻药物的作用异同点。</w:t>
            </w:r>
          </w:p>
        </w:tc>
      </w:tr>
      <w:tr w14:paraId="3832AD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24EF17AC">
            <w:pPr>
              <w:rPr>
                <w:rFonts w:hint="eastAsia" w:ascii="Times New Roman" w:hAnsi="Times New Roman" w:cs="仿宋"/>
                <w:color w:val="000000"/>
                <w:sz w:val="21"/>
                <w:szCs w:val="21"/>
              </w:rPr>
            </w:pPr>
            <w:r>
              <w:rPr>
                <w:rFonts w:hint="eastAsia" w:ascii="Times New Roman" w:hAnsi="Times New Roman"/>
                <w:bCs/>
                <w:color w:val="000000"/>
                <w:sz w:val="21"/>
                <w:szCs w:val="21"/>
              </w:rPr>
              <w:t xml:space="preserve">第五单元 </w:t>
            </w:r>
            <w:r>
              <w:rPr>
                <w:rFonts w:hint="eastAsia" w:ascii="Times New Roman" w:hAnsi="Times New Roman" w:cs="仿宋"/>
                <w:color w:val="000000"/>
                <w:sz w:val="21"/>
                <w:szCs w:val="21"/>
              </w:rPr>
              <w:t>镇静催眠药和抗惊厥药抗癫痫药，抗帕金森病药及抗阿尔茨海默病药</w:t>
            </w:r>
          </w:p>
          <w:p w14:paraId="7BC3F0F2">
            <w:pPr>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689D2566">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知道苯二氮䓬类药物的药理作用、临床应用及不良反应。苯妥英钠的药理作用、临床应用及不良反应，各型癫痫的合理选药。抗帕金森病药的分类及常用药名称，左旋多巴的药理作用、临床应用及不良反应。</w:t>
            </w:r>
          </w:p>
          <w:p w14:paraId="19D30626">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镇静催眠药的分类及代表药物，巴比妥类药物的作用特点、临床应用、主要不良反应及注意事项。苯巴比妥、丙戊酸钠、卡马西平、乙琥胺等药的作用特点及临床应用。抗阿尔茨海默病药的分类、常用药物的作用特点。</w:t>
            </w:r>
          </w:p>
          <w:p w14:paraId="45F53DD1">
            <w:pPr>
              <w:rPr>
                <w:rFonts w:hint="eastAsia"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了解水合氯醛的作用特点及临床应用；硫酸镁的药理作用及临床应用。癫痫的分型及抗癫痫药的用药原则。其他抗帕金森病药的作用特点，抗帕金林病药的用药原则。</w:t>
            </w:r>
            <w:r>
              <w:rPr>
                <w:rFonts w:hint="eastAsia" w:ascii="Times New Roman" w:hAnsi="Times New Roman"/>
                <w:color w:val="000000"/>
                <w:sz w:val="21"/>
                <w:szCs w:val="21"/>
              </w:rPr>
              <w:t xml:space="preserve">  </w:t>
            </w:r>
          </w:p>
          <w:p w14:paraId="4287986D">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121D3C04">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学会观察本类药物的疗效及不良反应。</w:t>
            </w:r>
          </w:p>
          <w:p w14:paraId="5FEC3B3C">
            <w:pPr>
              <w:rPr>
                <w:rFonts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具有指导患者合理用药的能力，并严格遵守精神药品管理相关法规和制度。</w:t>
            </w:r>
          </w:p>
          <w:p w14:paraId="2E10D665">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具有根据癫痫分型分析合理选用抗癫痫药物的能力。</w:t>
            </w:r>
          </w:p>
          <w:p w14:paraId="3B51EEB7">
            <w:pPr>
              <w:rPr>
                <w:rFonts w:ascii="Times New Roman" w:hAnsi="Times New Roman"/>
                <w:bCs/>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具有指导患者合理用药的能力。</w:t>
            </w:r>
          </w:p>
          <w:p w14:paraId="2929B656">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3CD3A932">
            <w:pPr>
              <w:rPr>
                <w:rFonts w:ascii="Times New Roman" w:hAnsi="Times New Roman"/>
                <w:color w:val="000000"/>
                <w:sz w:val="21"/>
                <w:szCs w:val="21"/>
              </w:rPr>
            </w:pPr>
            <w:r>
              <w:rPr>
                <w:rFonts w:hint="eastAsia" w:ascii="Times New Roman" w:hAnsi="Times New Roman"/>
                <w:color w:val="000000"/>
                <w:sz w:val="21"/>
                <w:szCs w:val="21"/>
              </w:rPr>
              <w:t>通过本章学习</w:t>
            </w:r>
            <w:r>
              <w:rPr>
                <w:rFonts w:hint="eastAsia" w:ascii="Times New Roman" w:hAnsi="Times New Roman"/>
                <w:bCs/>
                <w:sz w:val="21"/>
                <w:szCs w:val="21"/>
              </w:rPr>
              <w:t>,</w:t>
            </w:r>
            <w:r>
              <w:rPr>
                <w:rFonts w:hint="eastAsia" w:ascii="Times New Roman" w:hAnsi="Times New Roman"/>
                <w:color w:val="000000"/>
                <w:sz w:val="21"/>
                <w:szCs w:val="21"/>
              </w:rPr>
              <w:t>充分认识到药理学知识的重要性，从而能进行主动、积极的学习，增强尊重科学</w:t>
            </w:r>
            <w:r>
              <w:rPr>
                <w:rFonts w:ascii="Times New Roman" w:hAnsi="Times New Roman"/>
                <w:color w:val="000000"/>
                <w:sz w:val="21"/>
                <w:szCs w:val="21"/>
              </w:rPr>
              <w:t>，</w:t>
            </w:r>
            <w:r>
              <w:rPr>
                <w:rFonts w:hint="eastAsia" w:ascii="Times New Roman" w:hAnsi="Times New Roman"/>
                <w:color w:val="000000"/>
                <w:sz w:val="21"/>
                <w:szCs w:val="21"/>
              </w:rPr>
              <w:t>珍惜健康</w:t>
            </w:r>
            <w:r>
              <w:rPr>
                <w:rFonts w:ascii="Times New Roman" w:hAnsi="Times New Roman"/>
                <w:color w:val="000000"/>
                <w:sz w:val="21"/>
                <w:szCs w:val="21"/>
              </w:rPr>
              <w:t>，</w:t>
            </w:r>
            <w:r>
              <w:rPr>
                <w:rFonts w:hint="eastAsia" w:ascii="Times New Roman" w:hAnsi="Times New Roman"/>
                <w:color w:val="000000"/>
                <w:sz w:val="21"/>
                <w:szCs w:val="21"/>
              </w:rPr>
              <w:t>救死扶伤的坚定信念。</w:t>
            </w:r>
          </w:p>
          <w:p w14:paraId="7D522B0E">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08ED77F4">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苯二氮䓬类的药理作用、临床应用及不良反应。</w:t>
            </w:r>
          </w:p>
          <w:p w14:paraId="4983CAE8">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镇静催眠药的分类及代表药物</w:t>
            </w:r>
          </w:p>
          <w:p w14:paraId="3123B139">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根据癫痫发作类型合理选择药物</w:t>
            </w:r>
          </w:p>
          <w:p w14:paraId="689E70F8">
            <w:pPr>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抗帕金森病药的分类及常用药名称，左旋多巴的药理作用、临床应用及不良反应。</w:t>
            </w:r>
          </w:p>
        </w:tc>
      </w:tr>
      <w:tr w14:paraId="150A5E2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28E7B49D">
            <w:pPr>
              <w:rPr>
                <w:rFonts w:ascii="Times New Roman" w:hAnsi="Times New Roman" w:cs="仿宋"/>
                <w:color w:val="000000"/>
                <w:sz w:val="21"/>
                <w:szCs w:val="21"/>
              </w:rPr>
            </w:pPr>
            <w:r>
              <w:rPr>
                <w:rFonts w:hint="eastAsia" w:ascii="Times New Roman" w:hAnsi="Times New Roman"/>
                <w:bCs/>
                <w:color w:val="000000"/>
                <w:sz w:val="21"/>
                <w:szCs w:val="21"/>
              </w:rPr>
              <w:t xml:space="preserve">第六单元 </w:t>
            </w:r>
            <w:r>
              <w:rPr>
                <w:rFonts w:hint="eastAsia" w:ascii="Times New Roman" w:hAnsi="Times New Roman" w:cs="仿宋"/>
                <w:color w:val="000000"/>
                <w:sz w:val="21"/>
                <w:szCs w:val="21"/>
              </w:rPr>
              <w:t>抗精神失常药镇痛药、解热镇痛抗炎药、枢兴奋药与促大脑功能恢复药</w:t>
            </w:r>
          </w:p>
          <w:p w14:paraId="52322A35">
            <w:pPr>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056FFA14">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知道氯丙嗪的药理作用、临床应用、不良反应及禁忌证。吗啡、哌替啶的药理作用、临床应用、不良反应及注意事项。解热镇痛抗炎药的药理作用及作用机制、主要不良反应； 阿司匹林的药理作用、临床应用和不良反应。解热镇痛抗炎药的药理作用及作用机制、主要不良反应； 阿司匹林的药理作用、临床应用和不良反应。</w:t>
            </w:r>
          </w:p>
          <w:p w14:paraId="0E3BDABC">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氯氮平、利培酮、碳酸锂、丙米嗪的作用特点及临床应用。可待因、芬太尼、美沙酮、喷他佐辛、纳洛酮的作用特点及临床应用。对乙酰氨基酚、吲哚美辛、布洛芬的作用特点及临床应用。咖啡因、尼可刹米、洛贝林的药理作用、临床应用及不良反应。</w:t>
            </w:r>
          </w:p>
          <w:p w14:paraId="05413110">
            <w:pPr>
              <w:rPr>
                <w:rFonts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其他抗精神失常药的作用特点、临床应用及主要不良反应。其他镇痛药的作用特点。了解解热镇痛抗炎药的分类及代表药物名称，其他解热镇痛抗炎药的作用特点和临床应用。其他中枢兴奋药作用和临床应用。</w:t>
            </w:r>
          </w:p>
          <w:p w14:paraId="3666CD1D">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61FC7AEA">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学会观察本类药物的疗效及不良反应。</w:t>
            </w:r>
          </w:p>
          <w:p w14:paraId="5C8D5DE8">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具有指导精神失常患者合理使用抗精神失常药、镇痛药的能力，并能充分认识滥用麻醉药品的危害性。</w:t>
            </w:r>
          </w:p>
          <w:p w14:paraId="37F4561F">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分析本类药物常用配伍用药的合理性；指导患者合理用药。</w:t>
            </w:r>
          </w:p>
          <w:p w14:paraId="097174F4">
            <w:pPr>
              <w:rPr>
                <w:rFonts w:hint="eastAsia" w:ascii="Times New Roman" w:hAnsi="Times New Roman" w:cs="仿宋"/>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 xml:space="preserve">具有根据适应证合理选用解热镇痛抗炎药物及防治不良反应的能力。  </w:t>
            </w:r>
          </w:p>
          <w:p w14:paraId="3083776F">
            <w:pPr>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5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⑤</w:t>
            </w:r>
            <w:r>
              <w:rPr>
                <w:rFonts w:ascii="Times New Roman" w:hAnsi="Times New Roman"/>
                <w:color w:val="000000"/>
                <w:sz w:val="21"/>
                <w:szCs w:val="21"/>
              </w:rPr>
              <w:fldChar w:fldCharType="end"/>
            </w:r>
            <w:r>
              <w:rPr>
                <w:rFonts w:hint="eastAsia" w:ascii="Times New Roman" w:hAnsi="Times New Roman" w:cs="仿宋"/>
                <w:color w:val="000000"/>
                <w:sz w:val="21"/>
                <w:szCs w:val="21"/>
              </w:rPr>
              <w:t>具有指导患者合理选用中枢兴奋药及促大脑功能恢复药的能力。</w:t>
            </w:r>
          </w:p>
          <w:p w14:paraId="21BADE31">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3C0C43E9">
            <w:pPr>
              <w:rPr>
                <w:rFonts w:ascii="Times New Roman" w:hAnsi="Times New Roman"/>
                <w:color w:val="000000"/>
                <w:sz w:val="21"/>
                <w:szCs w:val="21"/>
              </w:rPr>
            </w:pPr>
            <w:r>
              <w:rPr>
                <w:rFonts w:hint="eastAsia" w:ascii="Times New Roman" w:hAnsi="Times New Roman"/>
                <w:color w:val="000000"/>
                <w:sz w:val="21"/>
                <w:szCs w:val="21"/>
              </w:rPr>
              <w:t>通过本章学习</w:t>
            </w:r>
            <w:r>
              <w:rPr>
                <w:rFonts w:hint="eastAsia" w:ascii="Times New Roman" w:hAnsi="Times New Roman"/>
                <w:bCs/>
                <w:sz w:val="21"/>
                <w:szCs w:val="21"/>
              </w:rPr>
              <w:t>,</w:t>
            </w:r>
            <w:r>
              <w:rPr>
                <w:rFonts w:hint="eastAsia" w:ascii="Times New Roman" w:hAnsi="Times New Roman"/>
                <w:color w:val="000000"/>
                <w:sz w:val="21"/>
                <w:szCs w:val="21"/>
              </w:rPr>
              <w:t>充分认识到药理学知识的重要性，从而能进行主动、积极的学习，增强尊重科学</w:t>
            </w:r>
            <w:r>
              <w:rPr>
                <w:rFonts w:ascii="Times New Roman" w:hAnsi="Times New Roman"/>
                <w:color w:val="000000"/>
                <w:sz w:val="21"/>
                <w:szCs w:val="21"/>
              </w:rPr>
              <w:t>，</w:t>
            </w:r>
            <w:r>
              <w:rPr>
                <w:rFonts w:hint="eastAsia" w:ascii="Times New Roman" w:hAnsi="Times New Roman"/>
                <w:color w:val="000000"/>
                <w:sz w:val="21"/>
                <w:szCs w:val="21"/>
              </w:rPr>
              <w:t>珍惜健康</w:t>
            </w:r>
            <w:r>
              <w:rPr>
                <w:rFonts w:ascii="Times New Roman" w:hAnsi="Times New Roman"/>
                <w:color w:val="000000"/>
                <w:sz w:val="21"/>
                <w:szCs w:val="21"/>
              </w:rPr>
              <w:t>，</w:t>
            </w:r>
            <w:r>
              <w:rPr>
                <w:rFonts w:hint="eastAsia" w:ascii="Times New Roman" w:hAnsi="Times New Roman"/>
                <w:color w:val="000000"/>
                <w:sz w:val="21"/>
                <w:szCs w:val="21"/>
              </w:rPr>
              <w:t>救死扶伤的坚定信念。</w:t>
            </w:r>
          </w:p>
          <w:p w14:paraId="559B26DC">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306A9E0D">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氯丙嗪的药理作用、临床应用、不良反应及禁忌证。</w:t>
            </w:r>
          </w:p>
          <w:p w14:paraId="54F3E234">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吗啡、哌替啶的药理作用、临床应用、不良反应及注意事项。</w:t>
            </w:r>
          </w:p>
          <w:p w14:paraId="60E69B37">
            <w:pPr>
              <w:rPr>
                <w:rFonts w:ascii="Times New Roman" w:hAnsi="Times New Roman"/>
                <w:bCs/>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解热镇痛抗炎药的药理作用及作用机制、主要不良反应； 阿司匹林的药理作用、临床应用和不良反应。</w:t>
            </w:r>
          </w:p>
        </w:tc>
      </w:tr>
      <w:tr w14:paraId="5BCEEF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2E8299B6">
            <w:pPr>
              <w:rPr>
                <w:rFonts w:hint="eastAsia" w:ascii="Times New Roman" w:hAnsi="Times New Roman"/>
                <w:color w:val="000000"/>
                <w:sz w:val="21"/>
                <w:szCs w:val="21"/>
              </w:rPr>
            </w:pPr>
            <w:r>
              <w:rPr>
                <w:rFonts w:hint="eastAsia" w:ascii="Times New Roman" w:hAnsi="Times New Roman"/>
                <w:bCs/>
                <w:color w:val="000000"/>
                <w:sz w:val="21"/>
                <w:szCs w:val="21"/>
              </w:rPr>
              <w:t xml:space="preserve">第七单元 </w:t>
            </w:r>
            <w:r>
              <w:rPr>
                <w:rFonts w:hint="eastAsia" w:ascii="Times New Roman" w:hAnsi="Times New Roman" w:cs="仿宋"/>
                <w:color w:val="000000"/>
                <w:sz w:val="21"/>
                <w:szCs w:val="21"/>
              </w:rPr>
              <w:t>抗高血压药</w:t>
            </w:r>
          </w:p>
          <w:p w14:paraId="3B690D33">
            <w:pPr>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4504EAC4">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知道利尿药、β受体阻断药、钙通道阻滞药、血管紧张素转化酶抑制药及血管紧张素Ⅱ受体阻断药的作用机制、作用特点、临床应用及不良反应。</w:t>
            </w:r>
          </w:p>
          <w:p w14:paraId="26435A90">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理解抗高血压药的分类各类、代表药物名称及抗高血压药的临床应用原则。</w:t>
            </w:r>
          </w:p>
          <w:p w14:paraId="27AE05C3">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了解中枢性降压药、α1受体阻断药、血管扩张药的降压特点、作用机制和临床应用。</w:t>
            </w:r>
          </w:p>
          <w:p w14:paraId="4344CB35">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4B6E8171">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具有观察药物疗效和常见不良反应的能力。</w:t>
            </w:r>
          </w:p>
          <w:p w14:paraId="62E5E5C4">
            <w:pPr>
              <w:rPr>
                <w:rFonts w:hint="eastAsia" w:ascii="Times New Roman" w:hAnsi="Times New Roman"/>
                <w:bCs/>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能够与患者及家属进行沟通，开展防治高血压病的健康教育，指导患者合理用药。</w:t>
            </w:r>
          </w:p>
          <w:p w14:paraId="15F58261">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04A3AC23">
            <w:pPr>
              <w:rPr>
                <w:rFonts w:ascii="Times New Roman" w:hAnsi="Times New Roman"/>
                <w:color w:val="000000"/>
                <w:sz w:val="21"/>
                <w:szCs w:val="21"/>
              </w:rPr>
            </w:pPr>
            <w:r>
              <w:rPr>
                <w:rFonts w:hint="eastAsia" w:ascii="Times New Roman" w:hAnsi="Times New Roman"/>
                <w:color w:val="000000"/>
                <w:sz w:val="21"/>
                <w:szCs w:val="21"/>
              </w:rPr>
              <w:t>通过学习本章</w:t>
            </w:r>
            <w:r>
              <w:rPr>
                <w:rFonts w:hint="eastAsia" w:ascii="Times New Roman" w:hAnsi="Times New Roman"/>
                <w:bCs/>
                <w:color w:val="000000"/>
                <w:sz w:val="21"/>
                <w:szCs w:val="21"/>
              </w:rPr>
              <w:t>,</w:t>
            </w:r>
            <w:r>
              <w:rPr>
                <w:rFonts w:hint="eastAsia" w:ascii="Times New Roman" w:hAnsi="Times New Roman"/>
                <w:color w:val="000000"/>
                <w:sz w:val="21"/>
                <w:szCs w:val="21"/>
              </w:rPr>
              <w:t>充分认识到药理学知识的重要性，从而能进行主动、积极的学习，增强尊重科学</w:t>
            </w:r>
            <w:r>
              <w:rPr>
                <w:rFonts w:ascii="Times New Roman" w:hAnsi="Times New Roman"/>
                <w:color w:val="000000"/>
                <w:sz w:val="21"/>
                <w:szCs w:val="21"/>
              </w:rPr>
              <w:t>，</w:t>
            </w:r>
            <w:r>
              <w:rPr>
                <w:rFonts w:hint="eastAsia" w:ascii="Times New Roman" w:hAnsi="Times New Roman"/>
                <w:color w:val="000000"/>
                <w:sz w:val="21"/>
                <w:szCs w:val="21"/>
              </w:rPr>
              <w:t>珍惜健康</w:t>
            </w:r>
            <w:r>
              <w:rPr>
                <w:rFonts w:ascii="Times New Roman" w:hAnsi="Times New Roman"/>
                <w:color w:val="000000"/>
                <w:sz w:val="21"/>
                <w:szCs w:val="21"/>
              </w:rPr>
              <w:t>，</w:t>
            </w:r>
            <w:r>
              <w:rPr>
                <w:rFonts w:hint="eastAsia" w:ascii="Times New Roman" w:hAnsi="Times New Roman"/>
                <w:color w:val="000000"/>
                <w:sz w:val="21"/>
                <w:szCs w:val="21"/>
              </w:rPr>
              <w:t>救死扶伤的坚定信念。</w:t>
            </w:r>
          </w:p>
          <w:p w14:paraId="1DA18578">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0453DB99">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一线抗高血压药的作用机制、作用特点、临床应用及不良反应。</w:t>
            </w:r>
          </w:p>
          <w:p w14:paraId="10468523">
            <w:pPr>
              <w:rPr>
                <w:rFonts w:ascii="Times New Roman" w:hAnsi="Times New Roman"/>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抗高血压药的临床应用原则。</w:t>
            </w:r>
          </w:p>
        </w:tc>
      </w:tr>
      <w:tr w14:paraId="17E5BA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7323E1E9">
            <w:pPr>
              <w:rPr>
                <w:rFonts w:hint="eastAsia" w:ascii="Times New Roman" w:hAnsi="Times New Roman" w:cs="仿宋"/>
                <w:color w:val="000000"/>
                <w:sz w:val="21"/>
                <w:szCs w:val="21"/>
              </w:rPr>
            </w:pPr>
            <w:r>
              <w:rPr>
                <w:rFonts w:hint="eastAsia" w:ascii="Times New Roman" w:hAnsi="Times New Roman"/>
                <w:bCs/>
                <w:color w:val="000000"/>
                <w:sz w:val="21"/>
                <w:szCs w:val="21"/>
              </w:rPr>
              <w:t xml:space="preserve">第八单元 </w:t>
            </w:r>
            <w:r>
              <w:rPr>
                <w:rFonts w:hint="eastAsia" w:ascii="Times New Roman" w:hAnsi="Times New Roman" w:cs="仿宋"/>
                <w:color w:val="000000"/>
                <w:sz w:val="21"/>
                <w:szCs w:val="21"/>
              </w:rPr>
              <w:t>抗心律失常药、抗充血性心力衰竭药</w:t>
            </w:r>
          </w:p>
          <w:p w14:paraId="0722618B">
            <w:pPr>
              <w:rPr>
                <w:rFonts w:ascii="Times New Roman" w:hAnsi="Times New Roman" w:cs="仿宋"/>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347A65C0">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知道抗心律失常药的分类，各类代表药的药理作用、临床应用及不良反应。血管紧张素转化酶抑制药、利尿药、β受体阻断药、醛固酮拮抗剂、强心苷的药理作用、临床应用、不良反应及注意事项。</w:t>
            </w:r>
          </w:p>
          <w:p w14:paraId="351E9E8C">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理解抗心律失常药的基本电生理作用及临床常见心律失常的选药。抗充血性心力衰竭药的分类及代表药物名称、血管紧张素Ⅱ受体阻断药、血管扩张药、非苷类正性肌力药的作用特点及临床应用。</w:t>
            </w:r>
          </w:p>
          <w:p w14:paraId="1EC0CDD3">
            <w:pPr>
              <w:rPr>
                <w:rFonts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了解正常心肌电生理及心律失常发生的电生理机制。强心苷类药物的给药方法及相互作用、血管扩张药及非苷类正性肌力药的不良反应及注意事项。</w:t>
            </w:r>
            <w:r>
              <w:rPr>
                <w:rFonts w:hint="eastAsia" w:ascii="Times New Roman" w:hAnsi="Times New Roman"/>
                <w:color w:val="000000"/>
                <w:sz w:val="21"/>
                <w:szCs w:val="21"/>
              </w:rPr>
              <w:t xml:space="preserve">     </w:t>
            </w:r>
          </w:p>
          <w:p w14:paraId="19D14BAD">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4FE71CE7">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学会观察抗心律失常药物的疗效及判断不良反应的能力。</w:t>
            </w:r>
          </w:p>
          <w:p w14:paraId="7CDA0C7E">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具有根据适应证指导合理选择药物及防治不良反应的能力。</w:t>
            </w:r>
          </w:p>
          <w:p w14:paraId="07B7B257">
            <w:pPr>
              <w:rPr>
                <w:rFonts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能与患者及家属进行沟通，帮助和指导患者正确合理用药。</w:t>
            </w:r>
          </w:p>
          <w:p w14:paraId="191895FC">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75162B15">
            <w:pPr>
              <w:rPr>
                <w:rFonts w:ascii="Times New Roman" w:hAnsi="Times New Roman"/>
                <w:bCs/>
                <w:color w:val="000000"/>
                <w:sz w:val="21"/>
                <w:szCs w:val="21"/>
              </w:rPr>
            </w:pPr>
            <w:r>
              <w:rPr>
                <w:rFonts w:hint="eastAsia" w:ascii="Times New Roman" w:hAnsi="Times New Roman"/>
                <w:color w:val="000000"/>
                <w:sz w:val="21"/>
                <w:szCs w:val="21"/>
              </w:rPr>
              <w:t>通过学习本章，增强尊重科学</w:t>
            </w:r>
            <w:r>
              <w:rPr>
                <w:rFonts w:ascii="Times New Roman" w:hAnsi="Times New Roman"/>
                <w:color w:val="000000"/>
                <w:sz w:val="21"/>
                <w:szCs w:val="21"/>
              </w:rPr>
              <w:t>,</w:t>
            </w:r>
            <w:r>
              <w:rPr>
                <w:rFonts w:hint="eastAsia" w:ascii="Times New Roman" w:hAnsi="Times New Roman"/>
                <w:color w:val="000000"/>
                <w:sz w:val="21"/>
                <w:szCs w:val="21"/>
              </w:rPr>
              <w:t>珍惜健康</w:t>
            </w:r>
            <w:r>
              <w:rPr>
                <w:rFonts w:ascii="Times New Roman" w:hAnsi="Times New Roman"/>
                <w:color w:val="000000"/>
                <w:sz w:val="21"/>
                <w:szCs w:val="21"/>
              </w:rPr>
              <w:t>,</w:t>
            </w:r>
            <w:r>
              <w:rPr>
                <w:rFonts w:hint="eastAsia" w:ascii="Times New Roman" w:hAnsi="Times New Roman"/>
                <w:color w:val="000000"/>
                <w:sz w:val="21"/>
                <w:szCs w:val="21"/>
              </w:rPr>
              <w:t>救死扶伤的坚定信念。</w:t>
            </w:r>
          </w:p>
          <w:p w14:paraId="68F5DFDE">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02219622">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抗心律失常药的分类，各类代表药的药理作用、临床应用及不良反应。</w:t>
            </w:r>
          </w:p>
          <w:p w14:paraId="754837B4">
            <w:pPr>
              <w:rPr>
                <w:rFonts w:ascii="Times New Roman" w:hAnsi="Times New Roman"/>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血管紧张素转化酶抑制药、利尿药、β受体阻断药、醛固酮拮抗剂、强心苷的药理作用、临床应用、不良反应及注意事项。</w:t>
            </w:r>
          </w:p>
        </w:tc>
      </w:tr>
      <w:tr w14:paraId="231352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6F9C9F75">
            <w:pPr>
              <w:rPr>
                <w:rFonts w:ascii="Times New Roman" w:hAnsi="Times New Roman" w:cs="仿宋"/>
                <w:color w:val="000000"/>
                <w:sz w:val="21"/>
                <w:szCs w:val="21"/>
              </w:rPr>
            </w:pPr>
            <w:r>
              <w:rPr>
                <w:rFonts w:hint="eastAsia" w:ascii="Times New Roman" w:hAnsi="Times New Roman"/>
                <w:bCs/>
                <w:color w:val="000000"/>
                <w:sz w:val="21"/>
                <w:szCs w:val="21"/>
              </w:rPr>
              <w:t>第九单元</w:t>
            </w:r>
            <w:r>
              <w:rPr>
                <w:rFonts w:hint="eastAsia" w:ascii="Times New Roman" w:hAnsi="Times New Roman" w:cs="仿宋"/>
                <w:color w:val="000000"/>
                <w:sz w:val="21"/>
                <w:szCs w:val="21"/>
              </w:rPr>
              <w:t>抗心绞痛药、调血脂药、利尿药及脱水药</w:t>
            </w:r>
          </w:p>
          <w:p w14:paraId="15AA812E">
            <w:pPr>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024F972A">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抗心绞痛药的作用及分类，硝酸甘油、普萘洛尔、硝苯地平的抗心绞痛作用及临床应用。他汀类、贝特类药调血脂作用、临床应用及主要不良反应。呋塞米、氢氯噻嗪、螺内酯的利尿作用特点、临床应用、不良反应和用药注意事项。</w:t>
            </w:r>
          </w:p>
          <w:p w14:paraId="2EEE8CB9">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理解硝酸甘油的给药方法，硝酸酯类与β受体阻断药联合用药的目的和意义。调血脂药的分类及代表药物，血脂异常的选药及用药原则。利尿药的分类、各类药物的作用机制；甘露醇的作用和临床应用。</w:t>
            </w:r>
          </w:p>
          <w:p w14:paraId="1C136A17">
            <w:pPr>
              <w:rPr>
                <w:rFonts w:ascii="Times New Roman" w:hAnsi="Times New Roman"/>
                <w:color w:val="000000"/>
                <w:sz w:val="21"/>
                <w:szCs w:val="21"/>
              </w:rPr>
            </w:pPr>
            <w:r>
              <w:rPr>
                <w:rFonts w:hint="eastAsia" w:ascii="Times New Roman" w:hAnsi="Times New Roman"/>
                <w:color w:val="000000"/>
                <w:sz w:val="21"/>
                <w:szCs w:val="21"/>
              </w:rPr>
              <w:t>③</w:t>
            </w:r>
            <w:r>
              <w:rPr>
                <w:rFonts w:hint="eastAsia" w:ascii="Times New Roman" w:hAnsi="Times New Roman" w:cs="仿宋"/>
                <w:color w:val="000000"/>
                <w:sz w:val="21"/>
                <w:szCs w:val="21"/>
              </w:rPr>
              <w:t>了解硝酸甘油、普萘洛尔、硝苯地平的常见不良反应。其他调血脂药的作用特点及临床适应证。其他利尿药和脱水药的作用特点及临床应用。</w:t>
            </w:r>
          </w:p>
          <w:p w14:paraId="7466173F">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4CCE89E7">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学会观察本类药物的疗效及不良反应。</w:t>
            </w:r>
          </w:p>
          <w:p w14:paraId="0789AABD">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具有指导合理选用抗心绞痛药物、调血脂药物及指导患者合理用药的能力。</w:t>
            </w:r>
            <w:r>
              <w:rPr>
                <w:rFonts w:hint="eastAsia" w:ascii="Times New Roman" w:hAnsi="Times New Roman"/>
                <w:color w:val="000000"/>
                <w:sz w:val="21"/>
                <w:szCs w:val="21"/>
              </w:rPr>
              <w:t>③</w:t>
            </w:r>
            <w:r>
              <w:rPr>
                <w:rFonts w:hint="eastAsia" w:ascii="Times New Roman" w:hAnsi="Times New Roman" w:cs="仿宋"/>
                <w:color w:val="000000"/>
                <w:sz w:val="21"/>
                <w:szCs w:val="21"/>
              </w:rPr>
              <w:t>具有指导患者改变生活方式、合理用药并确定用药目标的能力。</w:t>
            </w:r>
          </w:p>
          <w:p w14:paraId="385558D4">
            <w:pPr>
              <w:rPr>
                <w:rFonts w:hint="eastAsia" w:ascii="Times New Roman" w:hAnsi="Times New Roman" w:cs="仿宋"/>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学会根据适应证指导合理选择利尿药、脱水药及防治不良反应。</w:t>
            </w:r>
          </w:p>
          <w:p w14:paraId="7E913931">
            <w:pPr>
              <w:rPr>
                <w:rFonts w:ascii="Times New Roman" w:hAnsi="Times New Roman"/>
                <w:color w:val="000000"/>
                <w:sz w:val="21"/>
                <w:szCs w:val="21"/>
              </w:rPr>
            </w:pPr>
            <w:r>
              <w:rPr>
                <w:rFonts w:ascii="Times New Roman" w:hAnsi="Times New Roman" w:cs="仿宋"/>
                <w:color w:val="000000"/>
                <w:sz w:val="21"/>
                <w:szCs w:val="21"/>
              </w:rPr>
              <w:fldChar w:fldCharType="begin"/>
            </w:r>
            <w:r>
              <w:rPr>
                <w:rFonts w:ascii="Times New Roman" w:hAnsi="Times New Roman" w:cs="仿宋"/>
                <w:color w:val="000000"/>
                <w:sz w:val="21"/>
                <w:szCs w:val="21"/>
              </w:rPr>
              <w:instrText xml:space="preserve"> </w:instrText>
            </w:r>
            <w:r>
              <w:rPr>
                <w:rFonts w:hint="eastAsia" w:ascii="Times New Roman" w:hAnsi="Times New Roman" w:cs="仿宋"/>
                <w:color w:val="000000"/>
                <w:sz w:val="21"/>
                <w:szCs w:val="21"/>
              </w:rPr>
              <w:instrText xml:space="preserve">= 5 \* GB3</w:instrText>
            </w:r>
            <w:r>
              <w:rPr>
                <w:rFonts w:ascii="Times New Roman" w:hAnsi="Times New Roman" w:cs="仿宋"/>
                <w:color w:val="000000"/>
                <w:sz w:val="21"/>
                <w:szCs w:val="21"/>
              </w:rPr>
              <w:instrText xml:space="preserve"> </w:instrText>
            </w:r>
            <w:r>
              <w:rPr>
                <w:rFonts w:ascii="Times New Roman" w:hAnsi="Times New Roman" w:cs="仿宋"/>
                <w:color w:val="000000"/>
                <w:sz w:val="21"/>
                <w:szCs w:val="21"/>
              </w:rPr>
              <w:fldChar w:fldCharType="separate"/>
            </w:r>
            <w:r>
              <w:rPr>
                <w:rFonts w:hint="eastAsia" w:ascii="Times New Roman" w:hAnsi="Times New Roman" w:cs="仿宋"/>
                <w:color w:val="000000"/>
                <w:sz w:val="21"/>
                <w:szCs w:val="21"/>
              </w:rPr>
              <w:t>⑤</w:t>
            </w:r>
            <w:r>
              <w:rPr>
                <w:rFonts w:ascii="Times New Roman" w:hAnsi="Times New Roman" w:cs="仿宋"/>
                <w:color w:val="000000"/>
                <w:sz w:val="21"/>
                <w:szCs w:val="21"/>
              </w:rPr>
              <w:fldChar w:fldCharType="end"/>
            </w:r>
            <w:r>
              <w:rPr>
                <w:rFonts w:hint="eastAsia" w:ascii="Times New Roman" w:hAnsi="Times New Roman" w:cs="仿宋"/>
                <w:color w:val="000000"/>
                <w:sz w:val="21"/>
                <w:szCs w:val="21"/>
              </w:rPr>
              <w:t>具有指导患者合理应用利尿药，开展用药咨询服务的能力。</w:t>
            </w:r>
            <w:r>
              <w:rPr>
                <w:rFonts w:hint="eastAsia" w:ascii="Times New Roman" w:hAnsi="Times New Roman"/>
                <w:bCs/>
                <w:color w:val="000000"/>
                <w:sz w:val="21"/>
                <w:szCs w:val="21"/>
              </w:rPr>
              <w:t>②</w:t>
            </w:r>
            <w:r>
              <w:rPr>
                <w:rFonts w:hint="eastAsia" w:ascii="Times New Roman" w:hAnsi="Times New Roman"/>
                <w:color w:val="000000"/>
                <w:sz w:val="21"/>
                <w:szCs w:val="21"/>
              </w:rPr>
              <w:t>能说出其他利尿药、脱水药的特点；</w:t>
            </w:r>
          </w:p>
          <w:p w14:paraId="4A9D4CA4">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293545EB">
            <w:pPr>
              <w:rPr>
                <w:rFonts w:ascii="Times New Roman" w:hAnsi="Times New Roman"/>
                <w:color w:val="000000"/>
                <w:sz w:val="21"/>
                <w:szCs w:val="21"/>
              </w:rPr>
            </w:pPr>
            <w:r>
              <w:rPr>
                <w:rFonts w:hint="eastAsia" w:ascii="Times New Roman" w:hAnsi="Times New Roman"/>
                <w:color w:val="000000"/>
                <w:sz w:val="21"/>
                <w:szCs w:val="21"/>
              </w:rPr>
              <w:t>通过学习本章</w:t>
            </w:r>
            <w:r>
              <w:rPr>
                <w:rFonts w:hint="eastAsia" w:ascii="Times New Roman" w:hAnsi="Times New Roman"/>
                <w:bCs/>
                <w:color w:val="000000"/>
                <w:sz w:val="21"/>
                <w:szCs w:val="21"/>
              </w:rPr>
              <w:t>,</w:t>
            </w:r>
            <w:r>
              <w:rPr>
                <w:rFonts w:hint="eastAsia" w:ascii="Times New Roman" w:hAnsi="Times New Roman"/>
                <w:color w:val="000000"/>
                <w:sz w:val="21"/>
                <w:szCs w:val="21"/>
              </w:rPr>
              <w:t>充分认识到药理学知识的重要性，从而能进行主动、积极的学习，增强尊重科学</w:t>
            </w:r>
            <w:r>
              <w:rPr>
                <w:rFonts w:ascii="Times New Roman" w:hAnsi="Times New Roman"/>
                <w:color w:val="000000"/>
                <w:sz w:val="21"/>
                <w:szCs w:val="21"/>
              </w:rPr>
              <w:t>，</w:t>
            </w:r>
            <w:r>
              <w:rPr>
                <w:rFonts w:hint="eastAsia" w:ascii="Times New Roman" w:hAnsi="Times New Roman"/>
                <w:color w:val="000000"/>
                <w:sz w:val="21"/>
                <w:szCs w:val="21"/>
              </w:rPr>
              <w:t>珍惜健康</w:t>
            </w:r>
            <w:r>
              <w:rPr>
                <w:rFonts w:ascii="Times New Roman" w:hAnsi="Times New Roman"/>
                <w:color w:val="000000"/>
                <w:sz w:val="21"/>
                <w:szCs w:val="21"/>
              </w:rPr>
              <w:t>，</w:t>
            </w:r>
            <w:r>
              <w:rPr>
                <w:rFonts w:hint="eastAsia" w:ascii="Times New Roman" w:hAnsi="Times New Roman"/>
                <w:color w:val="000000"/>
                <w:sz w:val="21"/>
                <w:szCs w:val="21"/>
              </w:rPr>
              <w:t>救死扶伤的坚定信念。</w:t>
            </w:r>
          </w:p>
          <w:p w14:paraId="27B50FD4">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7A04334D">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抗心绞痛药的作用及分类，硝酸甘油、普萘洛尔、硝苯地平的抗心绞痛作用及临床应用。</w:t>
            </w:r>
          </w:p>
          <w:p w14:paraId="4239B676">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他汀类、贝特类药调血脂作用、临床应用及主要不良反应。</w:t>
            </w:r>
          </w:p>
          <w:p w14:paraId="0025DECB">
            <w:pPr>
              <w:rPr>
                <w:rFonts w:ascii="Times New Roman" w:hAnsi="Times New Roman"/>
                <w:color w:val="000000"/>
                <w:sz w:val="21"/>
                <w:szCs w:val="21"/>
              </w:rPr>
            </w:pPr>
            <w:r>
              <w:rPr>
                <w:rFonts w:hint="eastAsia" w:ascii="Times New Roman" w:hAnsi="Times New Roman"/>
                <w:color w:val="000000"/>
                <w:sz w:val="21"/>
                <w:szCs w:val="21"/>
              </w:rPr>
              <w:t>③</w:t>
            </w:r>
            <w:r>
              <w:rPr>
                <w:rFonts w:hint="eastAsia" w:ascii="Times New Roman" w:hAnsi="Times New Roman" w:cs="仿宋"/>
                <w:color w:val="000000"/>
                <w:sz w:val="21"/>
                <w:szCs w:val="21"/>
              </w:rPr>
              <w:t>呋塞米、氢氯噻嗪、螺内酯的利尿作用特点、临床应用、不良反应和用药注意事项。</w:t>
            </w:r>
          </w:p>
        </w:tc>
      </w:tr>
      <w:tr w14:paraId="060F512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5281A040">
            <w:pPr>
              <w:rPr>
                <w:rFonts w:ascii="Times New Roman" w:hAnsi="Times New Roman" w:cs="仿宋"/>
                <w:color w:val="000000"/>
                <w:sz w:val="21"/>
                <w:szCs w:val="21"/>
              </w:rPr>
            </w:pPr>
            <w:r>
              <w:rPr>
                <w:rFonts w:hint="eastAsia" w:ascii="Times New Roman" w:hAnsi="Times New Roman"/>
                <w:bCs/>
                <w:color w:val="000000"/>
                <w:sz w:val="21"/>
                <w:szCs w:val="21"/>
              </w:rPr>
              <w:t xml:space="preserve">第十单元 </w:t>
            </w:r>
            <w:r>
              <w:rPr>
                <w:rFonts w:hint="eastAsia" w:ascii="Times New Roman" w:hAnsi="Times New Roman" w:cs="仿宋"/>
                <w:color w:val="000000"/>
                <w:sz w:val="21"/>
                <w:szCs w:val="21"/>
              </w:rPr>
              <w:t>作用于消化系统的药物、作用于呼吸系统的药物</w:t>
            </w:r>
          </w:p>
          <w:p w14:paraId="2A6FAC24">
            <w:pPr>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632A26BB">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知道抗消化性溃疡药的分类及各类代表药的药理作用、临床应用和主要不良反应。糖皮质激素、沙丁胺醇、氨茶碱的平喘作用及临床应用。</w:t>
            </w:r>
          </w:p>
          <w:p w14:paraId="550EC52F">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理解促胃肠动力药、止吐药的药理作用及临床应用。平喘药的分类，色甘酸钠的作用及临床应用，可待因的镇咳作用及临床应用。</w:t>
            </w:r>
          </w:p>
          <w:p w14:paraId="6E5A301B">
            <w:pPr>
              <w:rPr>
                <w:rFonts w:ascii="Times New Roman" w:hAnsi="Times New Roman"/>
                <w:color w:val="000000"/>
                <w:sz w:val="21"/>
                <w:szCs w:val="21"/>
              </w:rPr>
            </w:pPr>
            <w:r>
              <w:rPr>
                <w:rFonts w:hint="eastAsia" w:ascii="Times New Roman" w:hAnsi="Times New Roman"/>
                <w:color w:val="000000"/>
                <w:sz w:val="21"/>
                <w:szCs w:val="21"/>
              </w:rPr>
              <w:t>③</w:t>
            </w:r>
            <w:r>
              <w:rPr>
                <w:rFonts w:hint="eastAsia" w:ascii="Times New Roman" w:hAnsi="Times New Roman" w:cs="仿宋"/>
                <w:color w:val="000000"/>
                <w:sz w:val="21"/>
                <w:szCs w:val="21"/>
              </w:rPr>
              <w:t>了解助消化药、泻药及止泻药的药理作用及临床应用。右美沙芬、喷托维林、氯化铵、乙酰半胱氨酸的药理作用及临床应用。</w:t>
            </w:r>
          </w:p>
          <w:p w14:paraId="2F866326">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656A7ADB">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学会观察抗消化性溃疡药、止吐药、各类平喘药的疗效和不良反应。</w:t>
            </w:r>
          </w:p>
          <w:p w14:paraId="23605B7F">
            <w:pPr>
              <w:rPr>
                <w:rFonts w:ascii="Times New Roman" w:hAnsi="Times New Roman"/>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具有根据适应证指导合理选择抗消化性溃疡药、平喘药及镇咳药，并具有指导不良反应防治的能力。</w:t>
            </w:r>
          </w:p>
          <w:p w14:paraId="71CE6635">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26A5BAEE">
            <w:pPr>
              <w:rPr>
                <w:rFonts w:hint="eastAsia" w:ascii="Times New Roman" w:hAnsi="Times New Roman"/>
                <w:color w:val="000000"/>
                <w:sz w:val="21"/>
                <w:szCs w:val="21"/>
              </w:rPr>
            </w:pPr>
            <w:r>
              <w:rPr>
                <w:rFonts w:hint="eastAsia" w:ascii="Times New Roman" w:hAnsi="Times New Roman"/>
                <w:color w:val="000000"/>
                <w:sz w:val="21"/>
                <w:szCs w:val="21"/>
              </w:rPr>
              <w:t>使学生认识到药理学的重要性，学会主动学习与知识转化。</w:t>
            </w:r>
          </w:p>
          <w:p w14:paraId="299F2487">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0BB9C8C9">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抗消化性溃疡药的分类及各类代表药的药理作用、临床应用和主要不良反应。</w:t>
            </w:r>
          </w:p>
          <w:p w14:paraId="4683AFF3">
            <w:pPr>
              <w:rPr>
                <w:rFonts w:ascii="Times New Roman" w:hAnsi="Times New Roman"/>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糖皮质激素、沙丁胺醇、氨茶碱的平喘作用及临床应用。</w:t>
            </w:r>
          </w:p>
        </w:tc>
      </w:tr>
      <w:tr w14:paraId="2AFEDA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400E2E89">
            <w:pPr>
              <w:rPr>
                <w:rFonts w:hint="eastAsia" w:ascii="Times New Roman" w:hAnsi="Times New Roman" w:cs="仿宋"/>
                <w:color w:val="000000"/>
                <w:sz w:val="21"/>
                <w:szCs w:val="21"/>
              </w:rPr>
            </w:pPr>
            <w:r>
              <w:rPr>
                <w:rFonts w:hint="eastAsia" w:ascii="Times New Roman" w:hAnsi="Times New Roman"/>
                <w:bCs/>
                <w:color w:val="000000"/>
                <w:sz w:val="21"/>
                <w:szCs w:val="21"/>
              </w:rPr>
              <w:t xml:space="preserve">第十一单元 </w:t>
            </w:r>
            <w:r>
              <w:rPr>
                <w:rFonts w:hint="eastAsia" w:ascii="Times New Roman" w:hAnsi="Times New Roman" w:cs="仿宋"/>
                <w:color w:val="000000"/>
                <w:sz w:val="21"/>
                <w:szCs w:val="21"/>
              </w:rPr>
              <w:t>子宫平滑肌收缩药与舒张药、作用于血液及造血系统的药物、拟组胺药与抗组胺药</w:t>
            </w:r>
          </w:p>
          <w:p w14:paraId="50A089B4">
            <w:pPr>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7A5CD453">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 xml:space="preserve">知道缩宫素的药理作用、临床应用及主要不良反应。抗贫血药（铁制剂、叶酸、维生素B12）、抗凝血药（肝素、香豆素类）的临床应用及不良反应。 </w:t>
            </w:r>
          </w:p>
          <w:p w14:paraId="5492F894">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理解麦角新碱的药理作用及临床应用。维生素K、氨甲苯酸、阿司匹林、双嘧达莫、链激酶、尿激酶的作用及临床应用。常用H1受体阻断药的药理作用、临床应用及不良反应。</w:t>
            </w:r>
          </w:p>
          <w:p w14:paraId="11B51776">
            <w:pPr>
              <w:rPr>
                <w:rFonts w:hint="eastAsia"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了解其他子宫平滑肌收缩药与舒张药的药理作用及临床应用。叶酸、维生素B12的作用、血容量充药、促白细胞生成药的药理作用和临床应用</w:t>
            </w:r>
            <w:r>
              <w:rPr>
                <w:rFonts w:hint="eastAsia" w:ascii="Times New Roman" w:hAnsi="Times New Roman"/>
                <w:bCs/>
                <w:color w:val="000000"/>
                <w:sz w:val="21"/>
                <w:szCs w:val="21"/>
              </w:rPr>
              <w:t>。</w:t>
            </w:r>
          </w:p>
          <w:p w14:paraId="60848F40">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4F64B05D">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学会合理应用子宫平滑肌收缩药。</w:t>
            </w:r>
          </w:p>
          <w:p w14:paraId="5028FABA">
            <w:pPr>
              <w:rPr>
                <w:rFonts w:hint="eastAsia" w:ascii="Times New Roman" w:hAnsi="Times New Roman"/>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具有根据适应证指导合理选择子宫平滑肌收缩药、抗贫血药、常用H1受体阻断药及观察不良反应的能力。</w:t>
            </w:r>
          </w:p>
          <w:p w14:paraId="6398A9D5">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12B94B8B">
            <w:pPr>
              <w:rPr>
                <w:rFonts w:hint="eastAsia" w:ascii="Times New Roman" w:hAnsi="Times New Roman"/>
                <w:color w:val="000000"/>
                <w:sz w:val="21"/>
                <w:szCs w:val="21"/>
              </w:rPr>
            </w:pPr>
            <w:r>
              <w:rPr>
                <w:rFonts w:hint="eastAsia" w:ascii="Times New Roman" w:hAnsi="Times New Roman"/>
                <w:color w:val="000000"/>
                <w:sz w:val="21"/>
                <w:szCs w:val="21"/>
              </w:rPr>
              <w:t>使学生认识到药理学的重要性，学会主动学习与知识转化。</w:t>
            </w:r>
          </w:p>
          <w:p w14:paraId="7B524DE7">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0C571076">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缩宫素的药理作用、临床应用及主要不良反应。</w:t>
            </w:r>
          </w:p>
          <w:p w14:paraId="72FF037A">
            <w:pPr>
              <w:rPr>
                <w:rFonts w:ascii="Times New Roman" w:hAnsi="Times New Roman"/>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抗贫血药（铁制剂、叶酸、维生素B12）、抗凝血药（肝素、香豆素类）的临床应用及不良反应。</w:t>
            </w:r>
          </w:p>
        </w:tc>
      </w:tr>
      <w:tr w14:paraId="4FA059B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31E9D988">
            <w:pPr>
              <w:rPr>
                <w:rFonts w:hint="eastAsia" w:ascii="Times New Roman" w:hAnsi="Times New Roman" w:cs="仿宋"/>
                <w:color w:val="000000"/>
                <w:sz w:val="21"/>
                <w:szCs w:val="21"/>
              </w:rPr>
            </w:pPr>
            <w:r>
              <w:rPr>
                <w:rFonts w:hint="eastAsia" w:ascii="Times New Roman" w:hAnsi="Times New Roman"/>
                <w:bCs/>
                <w:color w:val="000000"/>
                <w:sz w:val="21"/>
                <w:szCs w:val="21"/>
              </w:rPr>
              <w:t>第十二单元</w:t>
            </w:r>
            <w:r>
              <w:rPr>
                <w:rFonts w:hint="eastAsia" w:ascii="Times New Roman" w:hAnsi="Times New Roman" w:cs="仿宋"/>
                <w:color w:val="000000"/>
                <w:sz w:val="21"/>
                <w:szCs w:val="21"/>
              </w:rPr>
              <w:t>肾上腺皮质激素类药、甲状腺激素和抗甲状腺药</w:t>
            </w:r>
          </w:p>
          <w:p w14:paraId="3E281969">
            <w:pPr>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3E09B802">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知道糖皮质激素类药物的药理作用、临床应用、不良反应及禁忌证。硫脲类、碘及碘化物的药理作用、临床应用及不良反应。</w:t>
            </w:r>
          </w:p>
          <w:p w14:paraId="2158FDCE">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理解糖皮质激素类药物的分类、分泌调节、用法、疗程及合理应用原则。甲状腺激素、β受体阻断药的药理作用及临床应用。</w:t>
            </w:r>
          </w:p>
          <w:p w14:paraId="157D88A3">
            <w:pPr>
              <w:rPr>
                <w:rFonts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了解糖皮质激素类药物的体内过程、盐皮质激素类药物及促皮质激素类药物的作用及临床应用。甲状腺激素的合成、释放与调节，放射性碘的作用特点及临床应用。</w:t>
            </w:r>
          </w:p>
          <w:p w14:paraId="6435BC54">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4036B21A">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学会观察肾上腺皮质激素类药、甲状腺激素类药与抗甲状腺药的疗效及不良反应。</w:t>
            </w:r>
          </w:p>
          <w:p w14:paraId="749568F9">
            <w:pPr>
              <w:rPr>
                <w:rFonts w:ascii="Times New Roman" w:hAnsi="Times New Roman"/>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具有指导患者正确使用肾上腺皮质激素类药、甲状腺激素类药与抗甲状腺药的能力。</w:t>
            </w:r>
          </w:p>
          <w:p w14:paraId="3B51CFCE">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3005625B">
            <w:pPr>
              <w:rPr>
                <w:rFonts w:hint="eastAsia" w:ascii="Times New Roman" w:hAnsi="Times New Roman"/>
                <w:color w:val="000000"/>
                <w:sz w:val="21"/>
                <w:szCs w:val="21"/>
              </w:rPr>
            </w:pPr>
            <w:r>
              <w:rPr>
                <w:rFonts w:hint="eastAsia" w:ascii="Times New Roman" w:hAnsi="Times New Roman"/>
                <w:color w:val="000000"/>
                <w:sz w:val="21"/>
                <w:szCs w:val="21"/>
              </w:rPr>
              <w:t>使学生认识到药理学的重要性，学会主动学习与知识转化。</w:t>
            </w:r>
          </w:p>
          <w:p w14:paraId="5FD5FF6E">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62703AED">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糖皮质激素类药物的药理作用、临床应用、不良反应及禁忌证。</w:t>
            </w:r>
          </w:p>
          <w:p w14:paraId="3C9F81E5">
            <w:pPr>
              <w:rPr>
                <w:rFonts w:ascii="Times New Roman" w:hAnsi="Times New Roman"/>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硫脲类、碘及碘化物的药理作用、临床应用及不良反应。</w:t>
            </w:r>
          </w:p>
        </w:tc>
      </w:tr>
      <w:tr w14:paraId="61EA2EE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68BB413C">
            <w:pPr>
              <w:rPr>
                <w:rFonts w:hint="eastAsia" w:ascii="Times New Roman" w:hAnsi="Times New Roman" w:cs="仿宋"/>
                <w:color w:val="000000"/>
                <w:sz w:val="21"/>
                <w:szCs w:val="21"/>
              </w:rPr>
            </w:pPr>
            <w:r>
              <w:rPr>
                <w:rFonts w:hint="eastAsia" w:ascii="Times New Roman" w:hAnsi="Times New Roman"/>
                <w:bCs/>
                <w:color w:val="000000"/>
                <w:sz w:val="21"/>
                <w:szCs w:val="21"/>
              </w:rPr>
              <w:t>第十三单元</w:t>
            </w:r>
            <w:r>
              <w:rPr>
                <w:rFonts w:hint="eastAsia" w:ascii="Times New Roman" w:hAnsi="Times New Roman" w:cs="仿宋"/>
                <w:color w:val="000000"/>
                <w:sz w:val="21"/>
                <w:szCs w:val="21"/>
              </w:rPr>
              <w:t>胰岛素和口服降血糖药、性激素类药及避孕药、抗骨质疏松症药</w:t>
            </w:r>
          </w:p>
          <w:p w14:paraId="5593A867">
            <w:pPr>
              <w:rPr>
                <w:rFonts w:ascii="Times New Roman" w:hAnsi="Times New Roman" w:cs="仿宋"/>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0B27AF25">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知道胰岛素的药理作用、临床应用及不良反应。避孕药的药理作用、临床应用、不良反应及注意事项。双磷酸盐、雌激素的药理作用、临床应用及不良反应。</w:t>
            </w:r>
          </w:p>
          <w:p w14:paraId="3DB27E48">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理解磺酰脲类和双胍类降糖药的药理作用、临床应用及不良反应。性激素类药物的药理作用、不良反应及注意事项。抗骨质疏松症药的分类，降钙素、钙剂、维生素D的作用及临床应用。</w:t>
            </w:r>
          </w:p>
          <w:p w14:paraId="39FFD87C">
            <w:pPr>
              <w:rPr>
                <w:rFonts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了解口服降糖药的分类，胰岛素增敏药、α-葡萄糖苷酶抑制剂、促胰岛素分泌药的作用特点及临床应用。抗性激素类药、促性腺激素类药的临床应用特点。其他抗骨质疏松症药的作用特点及临床应用。</w:t>
            </w:r>
          </w:p>
          <w:p w14:paraId="20B8144B">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686BE524">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学会观察胰岛素、口服降血糖药、性激素类、避孕药、抗骨质疏松症药的疗效及不良反应。</w:t>
            </w:r>
          </w:p>
          <w:p w14:paraId="71815ECD">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具有指导患者正确使用胰岛素及口服降血糖药的能力。</w:t>
            </w:r>
          </w:p>
          <w:p w14:paraId="5CA2A0CA">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具有根据适应证指导合理选择药物及防治不良反应的能力。</w:t>
            </w:r>
          </w:p>
          <w:p w14:paraId="15E4FCA8">
            <w:pPr>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具有指导患者正确使用抗骨质疏松症药的能力</w:t>
            </w:r>
          </w:p>
          <w:p w14:paraId="2FF1B5A1">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7071A758">
            <w:pPr>
              <w:rPr>
                <w:rFonts w:ascii="Times New Roman" w:hAnsi="Times New Roman"/>
                <w:color w:val="000000"/>
                <w:sz w:val="21"/>
                <w:szCs w:val="21"/>
              </w:rPr>
            </w:pPr>
            <w:r>
              <w:rPr>
                <w:rFonts w:hint="eastAsia" w:ascii="Times New Roman" w:hAnsi="Times New Roman"/>
                <w:color w:val="000000"/>
                <w:sz w:val="21"/>
                <w:szCs w:val="21"/>
              </w:rPr>
              <w:t>通过学习本章</w:t>
            </w:r>
            <w:r>
              <w:rPr>
                <w:rFonts w:hint="eastAsia" w:ascii="Times New Roman" w:hAnsi="Times New Roman"/>
                <w:bCs/>
                <w:color w:val="000000"/>
                <w:sz w:val="21"/>
                <w:szCs w:val="21"/>
              </w:rPr>
              <w:t>,</w:t>
            </w:r>
            <w:r>
              <w:rPr>
                <w:rFonts w:hint="eastAsia" w:ascii="Times New Roman" w:hAnsi="Times New Roman"/>
                <w:color w:val="000000"/>
                <w:sz w:val="21"/>
                <w:szCs w:val="21"/>
              </w:rPr>
              <w:t>充分认识到药理学知识的重要性，从而能进行主动、积极的学习，增强尊重科学</w:t>
            </w:r>
            <w:r>
              <w:rPr>
                <w:rFonts w:ascii="Times New Roman" w:hAnsi="Times New Roman"/>
                <w:color w:val="000000"/>
                <w:sz w:val="21"/>
                <w:szCs w:val="21"/>
              </w:rPr>
              <w:t>，</w:t>
            </w:r>
            <w:r>
              <w:rPr>
                <w:rFonts w:hint="eastAsia" w:ascii="Times New Roman" w:hAnsi="Times New Roman"/>
                <w:color w:val="000000"/>
                <w:sz w:val="21"/>
                <w:szCs w:val="21"/>
              </w:rPr>
              <w:t>珍惜健康</w:t>
            </w:r>
            <w:r>
              <w:rPr>
                <w:rFonts w:ascii="Times New Roman" w:hAnsi="Times New Roman"/>
                <w:color w:val="000000"/>
                <w:sz w:val="21"/>
                <w:szCs w:val="21"/>
              </w:rPr>
              <w:t>，</w:t>
            </w:r>
            <w:r>
              <w:rPr>
                <w:rFonts w:hint="eastAsia" w:ascii="Times New Roman" w:hAnsi="Times New Roman"/>
                <w:color w:val="000000"/>
                <w:sz w:val="21"/>
                <w:szCs w:val="21"/>
              </w:rPr>
              <w:t>救死扶伤的坚定信念。</w:t>
            </w:r>
          </w:p>
          <w:p w14:paraId="414BB08C">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58212AFE">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胰岛素的药理作用、临床应用及不良反应。</w:t>
            </w:r>
          </w:p>
          <w:p w14:paraId="44C53390">
            <w:pPr>
              <w:rPr>
                <w:rFonts w:hint="eastAsia" w:ascii="Times New Roman" w:hAnsi="Times New Roman"/>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避孕药的药理作用、临床应用、不良反应及注意事项。</w:t>
            </w:r>
          </w:p>
        </w:tc>
      </w:tr>
      <w:tr w14:paraId="34B6F8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2927A4CC">
            <w:pPr>
              <w:rPr>
                <w:rFonts w:hint="eastAsia" w:ascii="Times New Roman" w:hAnsi="Times New Roman" w:cs="仿宋"/>
                <w:color w:val="000000"/>
                <w:sz w:val="21"/>
                <w:szCs w:val="21"/>
              </w:rPr>
            </w:pPr>
            <w:r>
              <w:rPr>
                <w:rFonts w:hint="eastAsia" w:ascii="Times New Roman" w:hAnsi="Times New Roman"/>
                <w:bCs/>
                <w:color w:val="000000"/>
                <w:sz w:val="21"/>
                <w:szCs w:val="21"/>
              </w:rPr>
              <w:t>第十四单元</w:t>
            </w:r>
            <w:r>
              <w:rPr>
                <w:rFonts w:hint="eastAsia" w:ascii="Times New Roman" w:hAnsi="Times New Roman" w:cs="仿宋"/>
                <w:color w:val="000000"/>
                <w:sz w:val="21"/>
                <w:szCs w:val="21"/>
              </w:rPr>
              <w:t>抗菌药概述、抗生素</w:t>
            </w:r>
          </w:p>
          <w:p w14:paraId="15063C4C">
            <w:pPr>
              <w:rPr>
                <w:rFonts w:ascii="Times New Roman" w:hAnsi="Times New Roman" w:cs="仿宋"/>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1A8E7412">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抗生素、抗菌谱、抗菌活性、化疗指数、抗菌药、抗生素后效应、耐药性等基本概念；抗菌药物、病原体、机体三者间的相互关系及临床意义。青霉素类、大环内酯类、氨基糖苷类抗生素的抗菌作用、临床应用及不良反应；头孢菌素类药物的抗菌作用规律、临床应用及不良反应。</w:t>
            </w:r>
          </w:p>
          <w:p w14:paraId="0A545A88">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理解抗菌药物的合理应用原则，细菌耐药性的预防措施。四环素类、氯霉素类抗生素的抗菌作用、临床应用及不良反应。</w:t>
            </w:r>
          </w:p>
          <w:p w14:paraId="1A2E81EE">
            <w:pPr>
              <w:rPr>
                <w:rFonts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了解抗菌药物的作用机制、耐药性的产生机制。其他β-内酰胺类、林可霉素类、万古霉素类抗生素的抗菌作用特点、临床应用及不良反应。</w:t>
            </w:r>
          </w:p>
          <w:p w14:paraId="717C8B5B">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7B523447">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具有观察抗菌药物作用及判断不良反应的能力。</w:t>
            </w:r>
          </w:p>
          <w:p w14:paraId="7050967A">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树立合理使用抗菌药物的概念，能够指导正确选用抗菌药物。</w:t>
            </w:r>
          </w:p>
          <w:p w14:paraId="1176BE80">
            <w:pPr>
              <w:rPr>
                <w:rFonts w:hint="eastAsia" w:ascii="Times New Roman" w:hAnsi="Times New Roman" w:cs="仿宋"/>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具有根据适应证合理指导选择抗生素及防治不良反应的能力。</w:t>
            </w:r>
          </w:p>
          <w:p w14:paraId="750EDF6C">
            <w:pPr>
              <w:rPr>
                <w:rFonts w:ascii="Times New Roman" w:hAnsi="Times New Roman"/>
                <w:color w:val="000000"/>
                <w:sz w:val="21"/>
                <w:szCs w:val="21"/>
              </w:rPr>
            </w:pPr>
            <w:r>
              <w:rPr>
                <w:rFonts w:ascii="Times New Roman" w:hAnsi="Times New Roman"/>
                <w:color w:val="000000"/>
                <w:sz w:val="21"/>
                <w:szCs w:val="21"/>
              </w:rPr>
              <w:fldChar w:fldCharType="begin"/>
            </w:r>
            <w:r>
              <w:rPr>
                <w:rFonts w:ascii="Times New Roman" w:hAnsi="Times New Roman"/>
                <w:color w:val="000000"/>
                <w:sz w:val="21"/>
                <w:szCs w:val="21"/>
              </w:rPr>
              <w:instrText xml:space="preserve"> </w:instrText>
            </w:r>
            <w:r>
              <w:rPr>
                <w:rFonts w:hint="eastAsia" w:ascii="Times New Roman" w:hAnsi="Times New Roman"/>
                <w:color w:val="000000"/>
                <w:sz w:val="21"/>
                <w:szCs w:val="21"/>
              </w:rPr>
              <w:instrText xml:space="preserve">= 4 \* GB3</w:instrText>
            </w:r>
            <w:r>
              <w:rPr>
                <w:rFonts w:ascii="Times New Roman" w:hAnsi="Times New Roman"/>
                <w:color w:val="000000"/>
                <w:sz w:val="21"/>
                <w:szCs w:val="21"/>
              </w:rPr>
              <w:instrText xml:space="preserve"> </w:instrText>
            </w:r>
            <w:r>
              <w:rPr>
                <w:rFonts w:ascii="Times New Roman" w:hAnsi="Times New Roman"/>
                <w:color w:val="000000"/>
                <w:sz w:val="21"/>
                <w:szCs w:val="21"/>
              </w:rPr>
              <w:fldChar w:fldCharType="separate"/>
            </w:r>
            <w:r>
              <w:rPr>
                <w:rFonts w:hint="eastAsia" w:ascii="Times New Roman" w:hAnsi="Times New Roman"/>
                <w:color w:val="000000"/>
                <w:sz w:val="21"/>
                <w:szCs w:val="21"/>
              </w:rPr>
              <w:t>④</w:t>
            </w:r>
            <w:r>
              <w:rPr>
                <w:rFonts w:ascii="Times New Roman" w:hAnsi="Times New Roman"/>
                <w:color w:val="000000"/>
                <w:sz w:val="21"/>
                <w:szCs w:val="21"/>
              </w:rPr>
              <w:fldChar w:fldCharType="end"/>
            </w:r>
            <w:r>
              <w:rPr>
                <w:rFonts w:hint="eastAsia" w:ascii="Times New Roman" w:hAnsi="Times New Roman" w:cs="仿宋"/>
                <w:color w:val="000000"/>
                <w:sz w:val="21"/>
                <w:szCs w:val="21"/>
              </w:rPr>
              <w:t>充分认识各类抗生素药理作用和不良反应，能够指导患者合理使用药物，避免</w:t>
            </w:r>
          </w:p>
          <w:p w14:paraId="562948BC">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15716908">
            <w:pPr>
              <w:rPr>
                <w:rFonts w:hint="eastAsia" w:ascii="Times New Roman" w:hAnsi="Times New Roman"/>
                <w:color w:val="000000"/>
                <w:sz w:val="21"/>
                <w:szCs w:val="21"/>
              </w:rPr>
            </w:pPr>
            <w:r>
              <w:rPr>
                <w:rFonts w:hint="eastAsia" w:ascii="Times New Roman" w:hAnsi="Times New Roman"/>
                <w:color w:val="000000"/>
                <w:sz w:val="21"/>
                <w:szCs w:val="21"/>
              </w:rPr>
              <w:t>使学生认识到药理学的重要性，学会主动学习与知识转化。</w:t>
            </w:r>
          </w:p>
          <w:p w14:paraId="7FF5D89B">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6B792CDA">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抗生素、抗菌谱、抗菌活性、化疗指数、抗菌药、抗生素后效应、耐药性等基本概念；</w:t>
            </w:r>
          </w:p>
          <w:p w14:paraId="7B94D68E">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抗菌药物、病原体、机体三者间的相互关系及临床意义。</w:t>
            </w:r>
          </w:p>
          <w:p w14:paraId="37C9B21B">
            <w:pPr>
              <w:rPr>
                <w:rFonts w:hint="eastAsia"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青霉素类、大环内酯类、氨基糖苷类、头孢菌素类抗生素的抗菌作用、临床应用及不良反应。</w:t>
            </w:r>
          </w:p>
        </w:tc>
      </w:tr>
      <w:tr w14:paraId="6D955F1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4DB51F7D">
            <w:pPr>
              <w:rPr>
                <w:rFonts w:hint="eastAsia" w:ascii="Times New Roman" w:hAnsi="Times New Roman" w:cs="仿宋"/>
                <w:color w:val="000000"/>
                <w:sz w:val="21"/>
                <w:szCs w:val="21"/>
              </w:rPr>
            </w:pPr>
            <w:r>
              <w:rPr>
                <w:rFonts w:hint="eastAsia" w:ascii="Times New Roman" w:hAnsi="Times New Roman"/>
                <w:bCs/>
                <w:color w:val="000000"/>
                <w:sz w:val="21"/>
                <w:szCs w:val="21"/>
              </w:rPr>
              <w:t xml:space="preserve">第十五单元 </w:t>
            </w:r>
            <w:r>
              <w:rPr>
                <w:rFonts w:hint="eastAsia" w:ascii="Times New Roman" w:hAnsi="Times New Roman" w:cs="仿宋"/>
                <w:color w:val="000000"/>
                <w:sz w:val="21"/>
                <w:szCs w:val="21"/>
              </w:rPr>
              <w:t>人工合成抗菌药、抗结核病药</w:t>
            </w:r>
            <w:r>
              <w:rPr>
                <w:rFonts w:hint="eastAsia" w:ascii="Times New Roman" w:hAnsi="Times New Roman"/>
                <w:color w:val="000000"/>
                <w:sz w:val="21"/>
                <w:szCs w:val="21"/>
              </w:rPr>
              <w:t xml:space="preserve">  </w:t>
            </w:r>
          </w:p>
          <w:p w14:paraId="693370B1">
            <w:pPr>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6F3E34ED">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知道氟喹诺酮类药、磺胺类药的抗菌谱、临床应用及不良反应。一线抗结核病药的抗菌作用、临床应用及不良反应。</w:t>
            </w:r>
          </w:p>
          <w:p w14:paraId="25AB1A34">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理解氟喹诺酮类药、磺胺类药的抗菌机制及甲氧苄啶的抗菌增效作用。抗结核病药的用药原则。</w:t>
            </w:r>
          </w:p>
          <w:p w14:paraId="25CBD3FE">
            <w:pPr>
              <w:rPr>
                <w:rFonts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了解硝基呋喃、甲硝唑和小檗碱的临床应用。对氨基水杨酸等二线抗结核病药的作用特点及临床应用。</w:t>
            </w:r>
          </w:p>
          <w:p w14:paraId="1FA97044">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5AAB221C">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学会观察氟喹诺酮类药和磺胺类药的疗效及不良反应。</w:t>
            </w:r>
          </w:p>
          <w:p w14:paraId="61806D00">
            <w:pPr>
              <w:rPr>
                <w:rFonts w:ascii="Times New Roman" w:hAnsi="Times New Roman"/>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具有指导合理选用氟喹诺酮类药、磺胺类药和抗结核病的能力。</w:t>
            </w:r>
          </w:p>
          <w:p w14:paraId="0FCF0217">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0D09AE82">
            <w:pPr>
              <w:rPr>
                <w:rFonts w:hint="eastAsia" w:ascii="Times New Roman" w:hAnsi="Times New Roman"/>
                <w:color w:val="000000"/>
                <w:sz w:val="21"/>
                <w:szCs w:val="21"/>
              </w:rPr>
            </w:pPr>
            <w:r>
              <w:rPr>
                <w:rFonts w:hint="eastAsia" w:ascii="Times New Roman" w:hAnsi="Times New Roman"/>
                <w:color w:val="000000"/>
                <w:sz w:val="21"/>
                <w:szCs w:val="21"/>
              </w:rPr>
              <w:t>使学生认识到药理学的重要性，学会主动学习与知识转化。</w:t>
            </w:r>
          </w:p>
          <w:p w14:paraId="00985384">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75D55C4B">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氟喹诺酮类药、磺胺类药的抗菌谱、临床应用及不良反应。</w:t>
            </w:r>
          </w:p>
          <w:p w14:paraId="4AAF742C">
            <w:pPr>
              <w:rPr>
                <w:rFonts w:hint="eastAsia" w:ascii="Times New Roman" w:hAnsi="Times New Roman"/>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一线抗结核病药的抗菌作用、临床应用及不良反应。</w:t>
            </w:r>
          </w:p>
        </w:tc>
      </w:tr>
      <w:tr w14:paraId="51FB376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noWrap w:val="0"/>
            <w:vAlign w:val="top"/>
          </w:tcPr>
          <w:p w14:paraId="213350E2">
            <w:pPr>
              <w:rPr>
                <w:rFonts w:hint="eastAsia" w:ascii="Times New Roman" w:hAnsi="Times New Roman" w:cs="仿宋"/>
                <w:color w:val="000000"/>
                <w:sz w:val="21"/>
                <w:szCs w:val="21"/>
              </w:rPr>
            </w:pPr>
            <w:r>
              <w:rPr>
                <w:rFonts w:hint="eastAsia" w:ascii="Times New Roman" w:hAnsi="Times New Roman"/>
                <w:bCs/>
                <w:color w:val="000000"/>
                <w:sz w:val="21"/>
                <w:szCs w:val="21"/>
              </w:rPr>
              <w:t xml:space="preserve">第十六单元 </w:t>
            </w:r>
            <w:r>
              <w:rPr>
                <w:rFonts w:hint="eastAsia" w:ascii="Times New Roman" w:hAnsi="Times New Roman" w:cs="仿宋"/>
                <w:color w:val="000000"/>
                <w:sz w:val="21"/>
                <w:szCs w:val="21"/>
              </w:rPr>
              <w:t>抗真菌药及抗病毒药、抗寄生虫药、抗恶性肿瘤药 、影响免疫功能的药物</w:t>
            </w:r>
          </w:p>
          <w:p w14:paraId="59A9738B">
            <w:pPr>
              <w:rPr>
                <w:rFonts w:ascii="Times New Roman" w:hAnsi="Times New Roman"/>
                <w:bCs/>
                <w:color w:val="000000"/>
                <w:sz w:val="21"/>
                <w:szCs w:val="21"/>
              </w:rPr>
            </w:pPr>
            <w:r>
              <w:rPr>
                <w:rFonts w:hint="eastAsia" w:ascii="Times New Roman" w:hAnsi="Times New Roman"/>
                <w:bCs/>
                <w:color w:val="000000"/>
                <w:sz w:val="21"/>
                <w:szCs w:val="21"/>
              </w:rPr>
              <w:t>1</w:t>
            </w:r>
            <w:r>
              <w:rPr>
                <w:rFonts w:ascii="Times New Roman" w:hAnsi="Times New Roman"/>
                <w:bCs/>
                <w:color w:val="000000"/>
                <w:sz w:val="21"/>
                <w:szCs w:val="21"/>
              </w:rPr>
              <w:t>.</w:t>
            </w:r>
            <w:r>
              <w:rPr>
                <w:rFonts w:hint="eastAsia" w:ascii="Times New Roman" w:hAnsi="Times New Roman"/>
                <w:bCs/>
                <w:color w:val="000000"/>
                <w:sz w:val="21"/>
                <w:szCs w:val="21"/>
              </w:rPr>
              <w:t>核心知识点：</w:t>
            </w:r>
          </w:p>
          <w:p w14:paraId="4B5B3D57">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知道两性霉素B、氟康唑、特比奈芬的抗真菌作用、临床应用及不良反应。常用抗恶性肿瘤药的药理作用及临床应用。</w:t>
            </w:r>
          </w:p>
          <w:p w14:paraId="50CEC702">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理解阿昔洛韦、利巴韦林、干扰素的抗病毒作用、临床应用及不良反应。氯喹、伯氨喹、乙胺嘧啶的抗疟作用特点、临床应用及不良反应；甲硝唑的药理作用、临床应用及不良反应。抗恶性肿瘤药的主要不良反应。免疫抑制药的共同特点；常用免疫抑制药环孢素、抗代谢药及烷化剂的药理作用、临床应用及主要不良反应。</w:t>
            </w:r>
          </w:p>
          <w:p w14:paraId="329C35CD">
            <w:pPr>
              <w:rPr>
                <w:rFonts w:hint="eastAsia"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了解抗真菌药、抗病毒药的分类；抗疟药的作用环节和分类；青蒿素的作用特点及临床应用；抗肠蠕虫药的作用及临床应用。抗恶性肿瘤药的作用机制，抗恶性肿瘤药的合理应用。常用免疫增强药如左旋咪唑、转移因子、胸腺素、白介素-2及干扰素等的药理作用、临床应用及不良反应。</w:t>
            </w:r>
          </w:p>
          <w:p w14:paraId="2CAA42B7">
            <w:pPr>
              <w:rPr>
                <w:rFonts w:ascii="Times New Roman" w:hAnsi="Times New Roman"/>
                <w:bCs/>
                <w:color w:val="000000"/>
                <w:sz w:val="21"/>
                <w:szCs w:val="21"/>
              </w:rPr>
            </w:pPr>
            <w:r>
              <w:rPr>
                <w:rFonts w:hint="eastAsia" w:ascii="Times New Roman" w:hAnsi="Times New Roman"/>
                <w:bCs/>
                <w:color w:val="000000"/>
                <w:sz w:val="21"/>
                <w:szCs w:val="21"/>
              </w:rPr>
              <w:t>2</w:t>
            </w:r>
            <w:r>
              <w:rPr>
                <w:rFonts w:ascii="Times New Roman" w:hAnsi="Times New Roman"/>
                <w:bCs/>
                <w:color w:val="000000"/>
                <w:sz w:val="21"/>
                <w:szCs w:val="21"/>
              </w:rPr>
              <w:t>.</w:t>
            </w:r>
            <w:r>
              <w:rPr>
                <w:rFonts w:hint="eastAsia" w:ascii="Times New Roman" w:hAnsi="Times New Roman"/>
                <w:bCs/>
                <w:color w:val="000000"/>
                <w:sz w:val="21"/>
                <w:szCs w:val="21"/>
              </w:rPr>
              <w:t>能力要求：</w:t>
            </w:r>
          </w:p>
          <w:p w14:paraId="378ECC9F">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学会观察抗真菌药、抗病毒药、抗寄生虫药、恶性肿瘤药、免疫功能药物的疗效及不良反应。</w:t>
            </w:r>
          </w:p>
          <w:p w14:paraId="34451DD8">
            <w:pPr>
              <w:rPr>
                <w:rFonts w:hint="eastAsia" w:ascii="Times New Roman" w:hAnsi="Times New Roman" w:cs="仿宋"/>
                <w:color w:val="000000"/>
                <w:sz w:val="21"/>
                <w:szCs w:val="21"/>
              </w:rPr>
            </w:pPr>
            <w:r>
              <w:rPr>
                <w:rFonts w:hint="eastAsia" w:ascii="Times New Roman" w:hAnsi="Times New Roman"/>
                <w:bCs/>
                <w:color w:val="000000"/>
                <w:sz w:val="21"/>
                <w:szCs w:val="21"/>
              </w:rPr>
              <w:t>②</w:t>
            </w:r>
            <w:r>
              <w:rPr>
                <w:rFonts w:hint="eastAsia" w:ascii="Times New Roman" w:hAnsi="Times New Roman" w:cs="仿宋"/>
                <w:color w:val="000000"/>
                <w:sz w:val="21"/>
                <w:szCs w:val="21"/>
              </w:rPr>
              <w:t>能与患者有效沟通，具有指导合理选用抗真菌药、抗病毒药、抗恶性肿瘤药的能力。</w:t>
            </w:r>
          </w:p>
          <w:p w14:paraId="77B58C5F">
            <w:pPr>
              <w:rPr>
                <w:rFonts w:hint="eastAsia" w:ascii="Times New Roman" w:hAnsi="Times New Roman"/>
                <w:color w:val="000000"/>
                <w:sz w:val="21"/>
                <w:szCs w:val="21"/>
              </w:rPr>
            </w:pPr>
            <w:r>
              <w:rPr>
                <w:rFonts w:hint="eastAsia" w:ascii="Times New Roman" w:hAnsi="Times New Roman"/>
                <w:bCs/>
                <w:color w:val="000000"/>
                <w:sz w:val="21"/>
                <w:szCs w:val="21"/>
              </w:rPr>
              <w:t>③</w:t>
            </w:r>
            <w:r>
              <w:rPr>
                <w:rFonts w:hint="eastAsia" w:ascii="Times New Roman" w:hAnsi="Times New Roman" w:cs="仿宋"/>
                <w:color w:val="000000"/>
                <w:sz w:val="21"/>
                <w:szCs w:val="21"/>
              </w:rPr>
              <w:t>能正确认知影响免疫功能药物的利弊，并能指导患者合理用药的能力。</w:t>
            </w:r>
          </w:p>
          <w:p w14:paraId="64504DEF">
            <w:pPr>
              <w:rPr>
                <w:rFonts w:ascii="Times New Roman" w:hAnsi="Times New Roman"/>
                <w:bCs/>
                <w:color w:val="000000"/>
                <w:sz w:val="21"/>
                <w:szCs w:val="21"/>
              </w:rPr>
            </w:pPr>
            <w:r>
              <w:rPr>
                <w:rFonts w:hint="eastAsia" w:ascii="Times New Roman" w:hAnsi="Times New Roman"/>
                <w:bCs/>
                <w:color w:val="000000"/>
                <w:sz w:val="21"/>
                <w:szCs w:val="21"/>
              </w:rPr>
              <w:t>3</w:t>
            </w:r>
            <w:r>
              <w:rPr>
                <w:rFonts w:ascii="Times New Roman" w:hAnsi="Times New Roman"/>
                <w:bCs/>
                <w:color w:val="000000"/>
                <w:sz w:val="21"/>
                <w:szCs w:val="21"/>
              </w:rPr>
              <w:t>.</w:t>
            </w:r>
            <w:r>
              <w:rPr>
                <w:rFonts w:hint="eastAsia" w:ascii="Times New Roman" w:hAnsi="Times New Roman"/>
                <w:bCs/>
                <w:color w:val="000000"/>
                <w:sz w:val="21"/>
                <w:szCs w:val="21"/>
              </w:rPr>
              <w:t>预期学习成果：</w:t>
            </w:r>
          </w:p>
          <w:p w14:paraId="27408A9A">
            <w:pPr>
              <w:rPr>
                <w:rFonts w:hint="eastAsia" w:ascii="Times New Roman" w:hAnsi="Times New Roman"/>
                <w:color w:val="000000"/>
                <w:sz w:val="20"/>
                <w:szCs w:val="20"/>
              </w:rPr>
            </w:pPr>
            <w:r>
              <w:rPr>
                <w:rFonts w:hint="eastAsia" w:ascii="Times New Roman" w:hAnsi="Times New Roman"/>
                <w:color w:val="000000"/>
                <w:sz w:val="20"/>
                <w:szCs w:val="20"/>
              </w:rPr>
              <w:t>理解抗真菌药，具备处理真菌感染性疾病的能力以及常见抗肿瘤药物的不良反应处理能力。养成良好的饮食、卫生习惯，确立积极、健康的生活态度，做好宣教工作。</w:t>
            </w:r>
          </w:p>
          <w:p w14:paraId="464C0D5B">
            <w:pPr>
              <w:rPr>
                <w:rFonts w:ascii="Times New Roman" w:hAnsi="Times New Roman"/>
                <w:bCs/>
                <w:color w:val="000000"/>
                <w:sz w:val="21"/>
                <w:szCs w:val="21"/>
              </w:rPr>
            </w:pPr>
            <w:r>
              <w:rPr>
                <w:rFonts w:hint="eastAsia" w:ascii="Times New Roman" w:hAnsi="Times New Roman"/>
                <w:bCs/>
                <w:color w:val="000000"/>
                <w:sz w:val="21"/>
                <w:szCs w:val="21"/>
              </w:rPr>
              <w:t>4</w:t>
            </w:r>
            <w:r>
              <w:rPr>
                <w:rFonts w:ascii="Times New Roman" w:hAnsi="Times New Roman"/>
                <w:bCs/>
                <w:color w:val="000000"/>
                <w:sz w:val="21"/>
                <w:szCs w:val="21"/>
              </w:rPr>
              <w:t>.</w:t>
            </w:r>
            <w:r>
              <w:rPr>
                <w:rFonts w:hint="eastAsia" w:ascii="Times New Roman" w:hAnsi="Times New Roman"/>
                <w:bCs/>
                <w:color w:val="000000"/>
                <w:sz w:val="21"/>
                <w:szCs w:val="21"/>
              </w:rPr>
              <w:t>教学难点：</w:t>
            </w:r>
          </w:p>
          <w:p w14:paraId="7F0C042D">
            <w:pPr>
              <w:rPr>
                <w:rFonts w:hint="eastAsia" w:ascii="Times New Roman" w:hAnsi="Times New Roman" w:cs="仿宋"/>
                <w:color w:val="000000"/>
                <w:sz w:val="21"/>
                <w:szCs w:val="21"/>
              </w:rPr>
            </w:pPr>
            <w:r>
              <w:rPr>
                <w:rFonts w:hint="eastAsia" w:ascii="Times New Roman" w:hAnsi="Times New Roman"/>
                <w:bCs/>
                <w:color w:val="000000"/>
                <w:sz w:val="21"/>
                <w:szCs w:val="21"/>
              </w:rPr>
              <w:t>①</w:t>
            </w:r>
            <w:r>
              <w:rPr>
                <w:rFonts w:hint="eastAsia" w:ascii="Times New Roman" w:hAnsi="Times New Roman" w:cs="仿宋"/>
                <w:color w:val="000000"/>
                <w:sz w:val="21"/>
                <w:szCs w:val="21"/>
              </w:rPr>
              <w:t>两性霉素B、氟康唑、特比奈芬的抗真菌作用、临床应用及不良反应。</w:t>
            </w:r>
          </w:p>
          <w:p w14:paraId="41F35699">
            <w:pPr>
              <w:rPr>
                <w:rFonts w:hint="eastAsia" w:ascii="Times New Roman" w:hAnsi="Times New Roman" w:cs="仿宋"/>
                <w:color w:val="000000"/>
                <w:sz w:val="21"/>
                <w:szCs w:val="21"/>
              </w:rPr>
            </w:pPr>
            <w:r>
              <w:rPr>
                <w:rFonts w:hint="eastAsia" w:ascii="Times New Roman" w:hAnsi="Times New Roman"/>
                <w:color w:val="000000"/>
                <w:sz w:val="21"/>
                <w:szCs w:val="21"/>
              </w:rPr>
              <w:t>②</w:t>
            </w:r>
            <w:r>
              <w:rPr>
                <w:rFonts w:hint="eastAsia" w:ascii="Times New Roman" w:hAnsi="Times New Roman" w:cs="仿宋"/>
                <w:color w:val="000000"/>
                <w:sz w:val="21"/>
                <w:szCs w:val="21"/>
              </w:rPr>
              <w:t>常用抗恶性肿瘤药的药理作用及临床应用。</w:t>
            </w:r>
          </w:p>
          <w:p w14:paraId="6E8E290B">
            <w:pPr>
              <w:rPr>
                <w:rFonts w:hint="eastAsia" w:ascii="Times New Roman" w:hAnsi="Times New Roman"/>
                <w:color w:val="000000"/>
                <w:sz w:val="21"/>
                <w:szCs w:val="21"/>
              </w:rPr>
            </w:pPr>
            <w:r>
              <w:rPr>
                <w:rFonts w:hint="eastAsia" w:ascii="Times New Roman" w:hAnsi="Times New Roman"/>
                <w:color w:val="000000"/>
                <w:sz w:val="21"/>
                <w:szCs w:val="21"/>
              </w:rPr>
              <w:t>③</w:t>
            </w:r>
            <w:r>
              <w:rPr>
                <w:rFonts w:hint="eastAsia" w:ascii="Times New Roman" w:hAnsi="Times New Roman" w:cs="仿宋"/>
                <w:color w:val="000000"/>
                <w:sz w:val="21"/>
                <w:szCs w:val="21"/>
              </w:rPr>
              <w:t>抗病毒作用、临床应用及不良反应。</w:t>
            </w:r>
          </w:p>
        </w:tc>
      </w:tr>
    </w:tbl>
    <w:p w14:paraId="0EFB5DCA">
      <w:pPr>
        <w:spacing w:before="163" w:beforeLines="50" w:after="163" w:afterLines="50"/>
        <w:outlineLvl w:val="1"/>
        <w:rPr>
          <w:rFonts w:ascii="Times New Roman" w:hAnsi="Times New Roman"/>
          <w:b/>
        </w:rPr>
      </w:pPr>
      <w:r>
        <w:rPr>
          <w:rFonts w:hint="eastAsia" w:ascii="Times New Roman" w:hAnsi="Times New Roman"/>
          <w:b/>
        </w:rPr>
        <w:t>（二）教学单元对课程目标的支撑关系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931"/>
        <w:gridCol w:w="905"/>
        <w:gridCol w:w="851"/>
        <w:gridCol w:w="793"/>
        <w:gridCol w:w="850"/>
        <w:gridCol w:w="992"/>
        <w:gridCol w:w="993"/>
        <w:gridCol w:w="992"/>
      </w:tblGrid>
      <w:tr w14:paraId="2C61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931" w:type="dxa"/>
            <w:tcBorders>
              <w:top w:val="single" w:color="auto" w:sz="12" w:space="0"/>
              <w:left w:val="single" w:color="auto" w:sz="4" w:space="0"/>
              <w:tl2br w:val="single" w:color="auto" w:sz="4" w:space="0"/>
            </w:tcBorders>
            <w:noWrap w:val="0"/>
            <w:vAlign w:val="top"/>
          </w:tcPr>
          <w:p w14:paraId="22717D45">
            <w:pPr>
              <w:snapToGrid w:val="0"/>
              <w:jc w:val="center"/>
              <w:rPr>
                <w:rFonts w:ascii="Arial" w:hAnsi="Arial" w:eastAsia="黑体"/>
                <w:bCs/>
                <w:color w:val="000000"/>
                <w:sz w:val="21"/>
                <w:szCs w:val="20"/>
              </w:rPr>
            </w:pPr>
            <w:r>
              <w:rPr>
                <w:rFonts w:hint="eastAsia" w:ascii="Arial" w:hAnsi="Arial" w:eastAsia="黑体"/>
                <w:bCs/>
                <w:color w:val="000000"/>
                <w:sz w:val="21"/>
                <w:szCs w:val="20"/>
              </w:rPr>
              <w:t>课程目标</w:t>
            </w:r>
          </w:p>
          <w:p w14:paraId="3541B65D">
            <w:pPr>
              <w:snapToGrid w:val="0"/>
              <w:jc w:val="center"/>
              <w:rPr>
                <w:rFonts w:ascii="Arial" w:hAnsi="Arial" w:eastAsia="黑体"/>
                <w:bCs/>
                <w:color w:val="000000"/>
                <w:sz w:val="21"/>
                <w:szCs w:val="20"/>
              </w:rPr>
            </w:pPr>
          </w:p>
          <w:p w14:paraId="7FCE935E">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905" w:type="dxa"/>
            <w:tcBorders>
              <w:top w:val="single" w:color="auto" w:sz="12" w:space="0"/>
            </w:tcBorders>
            <w:noWrap w:val="0"/>
            <w:vAlign w:val="center"/>
          </w:tcPr>
          <w:p w14:paraId="384C1BC8">
            <w:pPr>
              <w:snapToGrid w:val="0"/>
              <w:jc w:val="center"/>
              <w:rPr>
                <w:rFonts w:ascii="Arial" w:hAnsi="Arial" w:eastAsia="黑体"/>
                <w:bCs/>
                <w:color w:val="000000"/>
                <w:sz w:val="21"/>
                <w:szCs w:val="20"/>
              </w:rPr>
            </w:pPr>
            <w:r>
              <w:rPr>
                <w:rFonts w:hint="eastAsia" w:ascii="Arial" w:hAnsi="Arial" w:eastAsia="黑体"/>
                <w:bCs/>
                <w:color w:val="000000"/>
                <w:sz w:val="21"/>
                <w:szCs w:val="20"/>
              </w:rPr>
              <w:t>1</w:t>
            </w:r>
          </w:p>
        </w:tc>
        <w:tc>
          <w:tcPr>
            <w:tcW w:w="851" w:type="dxa"/>
            <w:tcBorders>
              <w:top w:val="single" w:color="auto" w:sz="12" w:space="0"/>
            </w:tcBorders>
            <w:noWrap w:val="0"/>
            <w:vAlign w:val="center"/>
          </w:tcPr>
          <w:p w14:paraId="75A37196">
            <w:pPr>
              <w:snapToGrid w:val="0"/>
              <w:jc w:val="center"/>
              <w:rPr>
                <w:rFonts w:ascii="Arial" w:hAnsi="Arial" w:eastAsia="黑体"/>
                <w:bCs/>
                <w:color w:val="000000"/>
                <w:sz w:val="21"/>
                <w:szCs w:val="20"/>
              </w:rPr>
            </w:pPr>
            <w:r>
              <w:rPr>
                <w:rFonts w:hint="eastAsia" w:ascii="Arial" w:hAnsi="Arial" w:eastAsia="黑体"/>
                <w:bCs/>
                <w:color w:val="000000"/>
                <w:sz w:val="21"/>
                <w:szCs w:val="20"/>
              </w:rPr>
              <w:t>2</w:t>
            </w:r>
          </w:p>
        </w:tc>
        <w:tc>
          <w:tcPr>
            <w:tcW w:w="793" w:type="dxa"/>
            <w:tcBorders>
              <w:top w:val="single" w:color="auto" w:sz="12" w:space="0"/>
            </w:tcBorders>
            <w:noWrap w:val="0"/>
            <w:vAlign w:val="center"/>
          </w:tcPr>
          <w:p w14:paraId="10799343">
            <w:pPr>
              <w:snapToGrid w:val="0"/>
              <w:jc w:val="center"/>
              <w:rPr>
                <w:rFonts w:ascii="Arial" w:hAnsi="Arial" w:eastAsia="黑体"/>
                <w:bCs/>
                <w:color w:val="000000"/>
                <w:sz w:val="21"/>
                <w:szCs w:val="20"/>
              </w:rPr>
            </w:pPr>
            <w:r>
              <w:rPr>
                <w:rFonts w:hint="eastAsia" w:ascii="Arial" w:hAnsi="Arial" w:eastAsia="黑体"/>
                <w:bCs/>
                <w:color w:val="000000"/>
                <w:sz w:val="21"/>
                <w:szCs w:val="20"/>
              </w:rPr>
              <w:t>3</w:t>
            </w:r>
          </w:p>
        </w:tc>
        <w:tc>
          <w:tcPr>
            <w:tcW w:w="850" w:type="dxa"/>
            <w:tcBorders>
              <w:top w:val="single" w:color="auto" w:sz="12" w:space="0"/>
            </w:tcBorders>
            <w:noWrap w:val="0"/>
            <w:vAlign w:val="center"/>
          </w:tcPr>
          <w:p w14:paraId="1545F5D2">
            <w:pPr>
              <w:snapToGrid w:val="0"/>
              <w:jc w:val="center"/>
              <w:rPr>
                <w:rFonts w:ascii="Arial" w:hAnsi="Arial" w:eastAsia="黑体"/>
                <w:bCs/>
                <w:color w:val="000000"/>
                <w:sz w:val="21"/>
                <w:szCs w:val="20"/>
              </w:rPr>
            </w:pPr>
            <w:r>
              <w:rPr>
                <w:rFonts w:hint="eastAsia" w:ascii="Arial" w:hAnsi="Arial" w:eastAsia="黑体"/>
                <w:bCs/>
                <w:color w:val="000000"/>
                <w:sz w:val="21"/>
                <w:szCs w:val="20"/>
              </w:rPr>
              <w:t>4</w:t>
            </w:r>
          </w:p>
        </w:tc>
        <w:tc>
          <w:tcPr>
            <w:tcW w:w="992" w:type="dxa"/>
            <w:tcBorders>
              <w:top w:val="single" w:color="auto" w:sz="12" w:space="0"/>
            </w:tcBorders>
            <w:noWrap w:val="0"/>
            <w:vAlign w:val="center"/>
          </w:tcPr>
          <w:p w14:paraId="18D455C1">
            <w:pPr>
              <w:snapToGrid w:val="0"/>
              <w:jc w:val="center"/>
              <w:rPr>
                <w:rFonts w:ascii="Arial" w:hAnsi="Arial" w:eastAsia="黑体"/>
                <w:bCs/>
                <w:color w:val="000000"/>
                <w:sz w:val="21"/>
                <w:szCs w:val="20"/>
              </w:rPr>
            </w:pPr>
            <w:r>
              <w:rPr>
                <w:rFonts w:hint="eastAsia" w:ascii="Arial" w:hAnsi="Arial" w:eastAsia="黑体"/>
                <w:bCs/>
                <w:color w:val="000000"/>
                <w:sz w:val="21"/>
                <w:szCs w:val="20"/>
              </w:rPr>
              <w:t>5</w:t>
            </w:r>
          </w:p>
        </w:tc>
        <w:tc>
          <w:tcPr>
            <w:tcW w:w="993" w:type="dxa"/>
            <w:tcBorders>
              <w:top w:val="single" w:color="auto" w:sz="12" w:space="0"/>
              <w:bottom w:val="single" w:color="auto" w:sz="4" w:space="0"/>
              <w:right w:val="single" w:color="auto" w:sz="4" w:space="0"/>
            </w:tcBorders>
            <w:noWrap w:val="0"/>
            <w:vAlign w:val="center"/>
          </w:tcPr>
          <w:p w14:paraId="0B8BAB54">
            <w:pPr>
              <w:snapToGrid w:val="0"/>
              <w:jc w:val="center"/>
              <w:rPr>
                <w:rFonts w:ascii="Arial" w:hAnsi="Arial" w:eastAsia="黑体"/>
                <w:b/>
                <w:bCs/>
                <w:color w:val="000000"/>
                <w:sz w:val="21"/>
                <w:szCs w:val="20"/>
              </w:rPr>
            </w:pPr>
            <w:r>
              <w:rPr>
                <w:rFonts w:hint="eastAsia" w:ascii="Arial" w:hAnsi="Arial" w:eastAsia="黑体"/>
                <w:b/>
                <w:bCs/>
                <w:color w:val="000000"/>
                <w:sz w:val="21"/>
                <w:szCs w:val="20"/>
              </w:rPr>
              <w:t>6</w:t>
            </w:r>
          </w:p>
        </w:tc>
        <w:tc>
          <w:tcPr>
            <w:tcW w:w="992" w:type="dxa"/>
            <w:tcBorders>
              <w:top w:val="single" w:color="auto" w:sz="12" w:space="0"/>
              <w:left w:val="single" w:color="auto" w:sz="4" w:space="0"/>
              <w:right w:val="single" w:color="auto" w:sz="4" w:space="0"/>
            </w:tcBorders>
            <w:noWrap w:val="0"/>
            <w:vAlign w:val="center"/>
          </w:tcPr>
          <w:p w14:paraId="31338AE0">
            <w:pPr>
              <w:snapToGrid w:val="0"/>
              <w:jc w:val="center"/>
              <w:rPr>
                <w:rFonts w:ascii="Arial" w:hAnsi="Arial" w:eastAsia="黑体"/>
                <w:bCs/>
                <w:color w:val="000000"/>
                <w:sz w:val="21"/>
                <w:szCs w:val="20"/>
              </w:rPr>
            </w:pPr>
            <w:r>
              <w:rPr>
                <w:rFonts w:hint="eastAsia" w:ascii="Arial" w:hAnsi="Arial" w:eastAsia="黑体"/>
                <w:bCs/>
                <w:color w:val="000000"/>
                <w:sz w:val="21"/>
                <w:szCs w:val="20"/>
              </w:rPr>
              <w:t>7</w:t>
            </w:r>
          </w:p>
        </w:tc>
      </w:tr>
      <w:tr w14:paraId="60D5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190BF96F">
            <w:pPr>
              <w:rPr>
                <w:color w:val="000000"/>
                <w:sz w:val="21"/>
                <w:szCs w:val="21"/>
              </w:rPr>
            </w:pPr>
            <w:r>
              <w:rPr>
                <w:rFonts w:hint="eastAsia"/>
                <w:bCs/>
                <w:color w:val="000000"/>
                <w:sz w:val="21"/>
                <w:szCs w:val="21"/>
              </w:rPr>
              <w:t xml:space="preserve">第一单元 </w:t>
            </w:r>
            <w:r>
              <w:rPr>
                <w:rFonts w:hint="eastAsia"/>
                <w:color w:val="000000"/>
                <w:sz w:val="21"/>
                <w:szCs w:val="21"/>
              </w:rPr>
              <w:t>药理学总论、药物效应动力学</w:t>
            </w:r>
          </w:p>
        </w:tc>
        <w:tc>
          <w:tcPr>
            <w:tcW w:w="905" w:type="dxa"/>
            <w:noWrap w:val="0"/>
            <w:vAlign w:val="center"/>
          </w:tcPr>
          <w:p w14:paraId="4E391261">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380C8111">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noWrap w:val="0"/>
            <w:vAlign w:val="center"/>
          </w:tcPr>
          <w:p w14:paraId="08AC39C0">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noWrap w:val="0"/>
            <w:vAlign w:val="center"/>
          </w:tcPr>
          <w:p w14:paraId="2C80683B">
            <w:pPr>
              <w:jc w:val="center"/>
              <w:rPr>
                <w:rFonts w:ascii="Times New Roman" w:hAnsi="Times New Roman"/>
                <w:color w:val="000000"/>
                <w:sz w:val="21"/>
                <w:szCs w:val="21"/>
              </w:rPr>
            </w:pPr>
          </w:p>
        </w:tc>
        <w:tc>
          <w:tcPr>
            <w:tcW w:w="992" w:type="dxa"/>
            <w:noWrap w:val="0"/>
            <w:vAlign w:val="center"/>
          </w:tcPr>
          <w:p w14:paraId="3834A91F">
            <w:pPr>
              <w:jc w:val="center"/>
              <w:rPr>
                <w:rFonts w:ascii="Times New Roman" w:hAnsi="Times New Roman"/>
                <w:color w:val="000000"/>
                <w:sz w:val="21"/>
                <w:szCs w:val="21"/>
              </w:rPr>
            </w:pPr>
          </w:p>
        </w:tc>
        <w:tc>
          <w:tcPr>
            <w:tcW w:w="993" w:type="dxa"/>
            <w:tcBorders>
              <w:top w:val="single" w:color="auto" w:sz="4" w:space="0"/>
              <w:bottom w:val="single" w:color="auto" w:sz="4" w:space="0"/>
              <w:right w:val="single" w:color="auto" w:sz="4" w:space="0"/>
            </w:tcBorders>
            <w:noWrap w:val="0"/>
            <w:vAlign w:val="center"/>
          </w:tcPr>
          <w:p w14:paraId="5077BA2F">
            <w:pPr>
              <w:jc w:val="center"/>
              <w:rPr>
                <w:rFonts w:ascii="Times New Roman" w:hAnsi="Times New Roman"/>
                <w:color w:val="000000"/>
                <w:sz w:val="21"/>
                <w:szCs w:val="21"/>
              </w:rPr>
            </w:pPr>
          </w:p>
        </w:tc>
        <w:tc>
          <w:tcPr>
            <w:tcW w:w="992" w:type="dxa"/>
            <w:tcBorders>
              <w:left w:val="single" w:color="auto" w:sz="4" w:space="0"/>
              <w:right w:val="single" w:color="auto" w:sz="4" w:space="0"/>
            </w:tcBorders>
            <w:noWrap w:val="0"/>
            <w:vAlign w:val="center"/>
          </w:tcPr>
          <w:p w14:paraId="57AE53F3">
            <w:pPr>
              <w:jc w:val="center"/>
              <w:rPr>
                <w:rFonts w:ascii="Times New Roman" w:hAnsi="Times New Roman"/>
                <w:color w:val="000000"/>
                <w:sz w:val="21"/>
                <w:szCs w:val="21"/>
              </w:rPr>
            </w:pPr>
            <w:r>
              <w:rPr>
                <w:rFonts w:hint="eastAsia" w:ascii="Times New Roman" w:hAnsi="Times New Roman"/>
                <w:color w:val="000000"/>
                <w:sz w:val="21"/>
                <w:szCs w:val="21"/>
              </w:rPr>
              <w:t>√</w:t>
            </w:r>
          </w:p>
        </w:tc>
      </w:tr>
      <w:tr w14:paraId="7459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1A0856F4">
            <w:pPr>
              <w:rPr>
                <w:rFonts w:ascii="Times New Roman" w:hAnsi="Times New Roman" w:cs="仿宋"/>
                <w:color w:val="000000"/>
                <w:sz w:val="21"/>
                <w:szCs w:val="21"/>
              </w:rPr>
            </w:pPr>
            <w:r>
              <w:rPr>
                <w:rFonts w:hint="eastAsia" w:ascii="Times New Roman" w:hAnsi="Times New Roman"/>
                <w:bCs/>
                <w:color w:val="000000"/>
                <w:sz w:val="21"/>
                <w:szCs w:val="21"/>
              </w:rPr>
              <w:t xml:space="preserve">第二单元 </w:t>
            </w:r>
            <w:r>
              <w:rPr>
                <w:rFonts w:hint="eastAsia" w:ascii="Times New Roman" w:hAnsi="Times New Roman" w:cs="仿宋"/>
                <w:color w:val="000000"/>
                <w:sz w:val="21"/>
                <w:szCs w:val="21"/>
              </w:rPr>
              <w:t>药物代谢动力学、影响药物作用的因素</w:t>
            </w:r>
          </w:p>
        </w:tc>
        <w:tc>
          <w:tcPr>
            <w:tcW w:w="905" w:type="dxa"/>
            <w:noWrap w:val="0"/>
            <w:vAlign w:val="center"/>
          </w:tcPr>
          <w:p w14:paraId="738D04CF">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3D0C3E87">
            <w:pPr>
              <w:jc w:val="center"/>
              <w:rPr>
                <w:rFonts w:ascii="Times New Roman" w:hAnsi="Times New Roman"/>
                <w:color w:val="000000"/>
                <w:sz w:val="21"/>
                <w:szCs w:val="21"/>
              </w:rPr>
            </w:pPr>
          </w:p>
        </w:tc>
        <w:tc>
          <w:tcPr>
            <w:tcW w:w="793" w:type="dxa"/>
            <w:noWrap w:val="0"/>
            <w:vAlign w:val="center"/>
          </w:tcPr>
          <w:p w14:paraId="02394F66">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noWrap w:val="0"/>
            <w:vAlign w:val="center"/>
          </w:tcPr>
          <w:p w14:paraId="1048AF49">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noWrap w:val="0"/>
            <w:vAlign w:val="center"/>
          </w:tcPr>
          <w:p w14:paraId="7B2EBCE9">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op w:val="single" w:color="auto" w:sz="4" w:space="0"/>
              <w:bottom w:val="single" w:color="auto" w:sz="4" w:space="0"/>
              <w:right w:val="single" w:color="auto" w:sz="4" w:space="0"/>
            </w:tcBorders>
            <w:noWrap w:val="0"/>
            <w:vAlign w:val="center"/>
          </w:tcPr>
          <w:p w14:paraId="224F4B93">
            <w:pPr>
              <w:jc w:val="center"/>
              <w:rPr>
                <w:rFonts w:ascii="Times New Roman" w:hAnsi="Times New Roman"/>
                <w:color w:val="000000"/>
                <w:sz w:val="21"/>
                <w:szCs w:val="21"/>
              </w:rPr>
            </w:pPr>
          </w:p>
        </w:tc>
        <w:tc>
          <w:tcPr>
            <w:tcW w:w="992" w:type="dxa"/>
            <w:tcBorders>
              <w:left w:val="single" w:color="auto" w:sz="4" w:space="0"/>
              <w:right w:val="single" w:color="auto" w:sz="4" w:space="0"/>
            </w:tcBorders>
            <w:noWrap w:val="0"/>
            <w:vAlign w:val="center"/>
          </w:tcPr>
          <w:p w14:paraId="2D75E959">
            <w:pPr>
              <w:jc w:val="center"/>
              <w:rPr>
                <w:rFonts w:ascii="Times New Roman" w:hAnsi="Times New Roman"/>
                <w:color w:val="000000"/>
                <w:sz w:val="21"/>
                <w:szCs w:val="21"/>
              </w:rPr>
            </w:pPr>
            <w:r>
              <w:rPr>
                <w:rFonts w:hint="eastAsia" w:ascii="Times New Roman" w:hAnsi="Times New Roman"/>
                <w:color w:val="000000"/>
                <w:sz w:val="21"/>
                <w:szCs w:val="21"/>
              </w:rPr>
              <w:t>√</w:t>
            </w:r>
          </w:p>
        </w:tc>
      </w:tr>
      <w:tr w14:paraId="0F76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30A31307">
            <w:pPr>
              <w:rPr>
                <w:color w:val="000000"/>
                <w:sz w:val="21"/>
                <w:szCs w:val="21"/>
              </w:rPr>
            </w:pPr>
            <w:r>
              <w:rPr>
                <w:rFonts w:hint="eastAsia"/>
                <w:bCs/>
                <w:color w:val="000000"/>
                <w:sz w:val="21"/>
                <w:szCs w:val="21"/>
              </w:rPr>
              <w:t xml:space="preserve">第三单元 </w:t>
            </w:r>
            <w:r>
              <w:rPr>
                <w:rFonts w:hint="eastAsia" w:cs="仿宋"/>
                <w:color w:val="000000"/>
                <w:sz w:val="21"/>
                <w:szCs w:val="21"/>
              </w:rPr>
              <w:t>传出神经系统药物概述，拟胆碱药、抗胆碱药</w:t>
            </w:r>
          </w:p>
        </w:tc>
        <w:tc>
          <w:tcPr>
            <w:tcW w:w="905" w:type="dxa"/>
            <w:noWrap w:val="0"/>
            <w:vAlign w:val="center"/>
          </w:tcPr>
          <w:p w14:paraId="63DE1BCB">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5E6C984A">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noWrap w:val="0"/>
            <w:vAlign w:val="center"/>
          </w:tcPr>
          <w:p w14:paraId="0D5A4E75">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noWrap w:val="0"/>
            <w:vAlign w:val="center"/>
          </w:tcPr>
          <w:p w14:paraId="657A59F2">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noWrap w:val="0"/>
            <w:vAlign w:val="center"/>
          </w:tcPr>
          <w:p w14:paraId="06C3B15E">
            <w:pPr>
              <w:jc w:val="center"/>
              <w:rPr>
                <w:rFonts w:ascii="Times New Roman" w:hAnsi="Times New Roman"/>
                <w:color w:val="000000"/>
                <w:sz w:val="21"/>
                <w:szCs w:val="21"/>
              </w:rPr>
            </w:pPr>
          </w:p>
        </w:tc>
        <w:tc>
          <w:tcPr>
            <w:tcW w:w="993" w:type="dxa"/>
            <w:tcBorders>
              <w:top w:val="single" w:color="auto" w:sz="4" w:space="0"/>
              <w:bottom w:val="single" w:color="auto" w:sz="4" w:space="0"/>
              <w:right w:val="single" w:color="auto" w:sz="4" w:space="0"/>
            </w:tcBorders>
            <w:noWrap w:val="0"/>
            <w:vAlign w:val="center"/>
          </w:tcPr>
          <w:p w14:paraId="145772A5">
            <w:pPr>
              <w:jc w:val="center"/>
              <w:rPr>
                <w:rFonts w:ascii="Times New Roman" w:hAnsi="Times New Roman"/>
                <w:color w:val="000000"/>
                <w:sz w:val="21"/>
                <w:szCs w:val="21"/>
              </w:rPr>
            </w:pPr>
          </w:p>
        </w:tc>
        <w:tc>
          <w:tcPr>
            <w:tcW w:w="992" w:type="dxa"/>
            <w:tcBorders>
              <w:left w:val="single" w:color="auto" w:sz="4" w:space="0"/>
              <w:right w:val="single" w:color="auto" w:sz="4" w:space="0"/>
            </w:tcBorders>
            <w:noWrap w:val="0"/>
            <w:vAlign w:val="center"/>
          </w:tcPr>
          <w:p w14:paraId="7E3204E1">
            <w:pPr>
              <w:jc w:val="center"/>
              <w:rPr>
                <w:rFonts w:ascii="Times New Roman" w:hAnsi="Times New Roman"/>
                <w:color w:val="000000"/>
                <w:sz w:val="21"/>
                <w:szCs w:val="21"/>
              </w:rPr>
            </w:pPr>
            <w:r>
              <w:rPr>
                <w:rFonts w:hint="eastAsia" w:ascii="Times New Roman" w:hAnsi="Times New Roman"/>
                <w:color w:val="000000"/>
                <w:sz w:val="21"/>
                <w:szCs w:val="21"/>
              </w:rPr>
              <w:t>√</w:t>
            </w:r>
          </w:p>
        </w:tc>
      </w:tr>
      <w:tr w14:paraId="7A9C0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jc w:val="center"/>
        </w:trPr>
        <w:tc>
          <w:tcPr>
            <w:tcW w:w="1931" w:type="dxa"/>
            <w:tcBorders>
              <w:left w:val="single" w:color="auto" w:sz="4" w:space="0"/>
            </w:tcBorders>
            <w:noWrap w:val="0"/>
            <w:vAlign w:val="top"/>
          </w:tcPr>
          <w:p w14:paraId="65894FFD">
            <w:pPr>
              <w:rPr>
                <w:rFonts w:cs="仿宋"/>
                <w:color w:val="000000"/>
                <w:sz w:val="21"/>
                <w:szCs w:val="21"/>
              </w:rPr>
            </w:pPr>
            <w:r>
              <w:rPr>
                <w:rFonts w:hint="eastAsia"/>
                <w:bCs/>
                <w:color w:val="000000"/>
                <w:sz w:val="21"/>
                <w:szCs w:val="21"/>
              </w:rPr>
              <w:t xml:space="preserve">第四单元 </w:t>
            </w:r>
            <w:r>
              <w:rPr>
                <w:rFonts w:hint="eastAsia" w:cs="仿宋"/>
                <w:color w:val="000000"/>
                <w:sz w:val="21"/>
                <w:szCs w:val="21"/>
              </w:rPr>
              <w:t>拟肾上腺素药、抗肾上腺素药、麻醉药</w:t>
            </w:r>
          </w:p>
        </w:tc>
        <w:tc>
          <w:tcPr>
            <w:tcW w:w="905" w:type="dxa"/>
            <w:noWrap w:val="0"/>
            <w:vAlign w:val="center"/>
          </w:tcPr>
          <w:p w14:paraId="4979AABD">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5991F4A4">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noWrap w:val="0"/>
            <w:vAlign w:val="center"/>
          </w:tcPr>
          <w:p w14:paraId="6E7208B2">
            <w:pPr>
              <w:jc w:val="center"/>
              <w:rPr>
                <w:rFonts w:ascii="Times New Roman" w:hAnsi="Times New Roman"/>
                <w:color w:val="000000"/>
                <w:sz w:val="21"/>
                <w:szCs w:val="21"/>
              </w:rPr>
            </w:pPr>
          </w:p>
        </w:tc>
        <w:tc>
          <w:tcPr>
            <w:tcW w:w="850" w:type="dxa"/>
            <w:noWrap w:val="0"/>
            <w:vAlign w:val="center"/>
          </w:tcPr>
          <w:p w14:paraId="66BB89FE">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noWrap w:val="0"/>
            <w:vAlign w:val="center"/>
          </w:tcPr>
          <w:p w14:paraId="37B778AB">
            <w:pPr>
              <w:jc w:val="center"/>
              <w:rPr>
                <w:rFonts w:ascii="Times New Roman" w:hAnsi="Times New Roman"/>
                <w:color w:val="000000"/>
                <w:sz w:val="21"/>
                <w:szCs w:val="21"/>
              </w:rPr>
            </w:pPr>
          </w:p>
        </w:tc>
        <w:tc>
          <w:tcPr>
            <w:tcW w:w="993" w:type="dxa"/>
            <w:tcBorders>
              <w:top w:val="single" w:color="auto" w:sz="4" w:space="0"/>
              <w:bottom w:val="single" w:color="auto" w:sz="4" w:space="0"/>
              <w:right w:val="single" w:color="auto" w:sz="4" w:space="0"/>
            </w:tcBorders>
            <w:noWrap w:val="0"/>
            <w:vAlign w:val="center"/>
          </w:tcPr>
          <w:p w14:paraId="40CE0994">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left w:val="single" w:color="auto" w:sz="4" w:space="0"/>
              <w:right w:val="single" w:color="auto" w:sz="4" w:space="0"/>
            </w:tcBorders>
            <w:noWrap w:val="0"/>
            <w:vAlign w:val="center"/>
          </w:tcPr>
          <w:p w14:paraId="47EDF036">
            <w:pPr>
              <w:jc w:val="center"/>
              <w:rPr>
                <w:rFonts w:ascii="Times New Roman" w:hAnsi="Times New Roman"/>
                <w:color w:val="000000"/>
                <w:sz w:val="21"/>
                <w:szCs w:val="21"/>
              </w:rPr>
            </w:pPr>
            <w:r>
              <w:rPr>
                <w:rFonts w:hint="eastAsia" w:ascii="Times New Roman" w:hAnsi="Times New Roman"/>
                <w:color w:val="000000"/>
                <w:sz w:val="21"/>
                <w:szCs w:val="21"/>
              </w:rPr>
              <w:t>√</w:t>
            </w:r>
          </w:p>
        </w:tc>
      </w:tr>
      <w:tr w14:paraId="3A8D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74C47454">
            <w:pPr>
              <w:rPr>
                <w:rFonts w:cs="仿宋"/>
                <w:color w:val="000000"/>
                <w:sz w:val="21"/>
                <w:szCs w:val="21"/>
              </w:rPr>
            </w:pPr>
            <w:r>
              <w:rPr>
                <w:rFonts w:hint="eastAsia"/>
                <w:bCs/>
                <w:color w:val="000000"/>
                <w:sz w:val="21"/>
                <w:szCs w:val="21"/>
              </w:rPr>
              <w:t xml:space="preserve">第五单元 </w:t>
            </w:r>
            <w:r>
              <w:rPr>
                <w:rFonts w:hint="eastAsia" w:cs="仿宋"/>
                <w:color w:val="000000"/>
                <w:sz w:val="21"/>
                <w:szCs w:val="21"/>
              </w:rPr>
              <w:t>镇静催眠药和抗惊厥药抗癫痫药，抗帕金森病药及抗阿尔茨海默病药</w:t>
            </w:r>
          </w:p>
        </w:tc>
        <w:tc>
          <w:tcPr>
            <w:tcW w:w="905" w:type="dxa"/>
            <w:noWrap w:val="0"/>
            <w:vAlign w:val="center"/>
          </w:tcPr>
          <w:p w14:paraId="5FF48003">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4E2CF311">
            <w:pPr>
              <w:jc w:val="center"/>
              <w:rPr>
                <w:rFonts w:ascii="Times New Roman" w:hAnsi="Times New Roman"/>
                <w:color w:val="000000"/>
                <w:sz w:val="21"/>
                <w:szCs w:val="21"/>
              </w:rPr>
            </w:pPr>
          </w:p>
        </w:tc>
        <w:tc>
          <w:tcPr>
            <w:tcW w:w="793" w:type="dxa"/>
            <w:noWrap w:val="0"/>
            <w:vAlign w:val="center"/>
          </w:tcPr>
          <w:p w14:paraId="6AAA149F">
            <w:pPr>
              <w:jc w:val="center"/>
              <w:rPr>
                <w:rFonts w:ascii="Times New Roman" w:hAnsi="Times New Roman"/>
                <w:color w:val="000000"/>
                <w:sz w:val="21"/>
                <w:szCs w:val="21"/>
              </w:rPr>
            </w:pPr>
          </w:p>
        </w:tc>
        <w:tc>
          <w:tcPr>
            <w:tcW w:w="850" w:type="dxa"/>
            <w:noWrap w:val="0"/>
            <w:vAlign w:val="center"/>
          </w:tcPr>
          <w:p w14:paraId="1F2FED7F">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noWrap w:val="0"/>
            <w:vAlign w:val="center"/>
          </w:tcPr>
          <w:p w14:paraId="4E7723D3">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top w:val="single" w:color="auto" w:sz="4" w:space="0"/>
              <w:bottom w:val="single" w:color="auto" w:sz="4" w:space="0"/>
              <w:right w:val="single" w:color="auto" w:sz="4" w:space="0"/>
            </w:tcBorders>
            <w:noWrap w:val="0"/>
            <w:vAlign w:val="center"/>
          </w:tcPr>
          <w:p w14:paraId="07B6A266">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left w:val="single" w:color="auto" w:sz="4" w:space="0"/>
              <w:right w:val="single" w:color="auto" w:sz="4" w:space="0"/>
            </w:tcBorders>
            <w:noWrap w:val="0"/>
            <w:vAlign w:val="center"/>
          </w:tcPr>
          <w:p w14:paraId="3A85B4EB">
            <w:pPr>
              <w:jc w:val="center"/>
              <w:rPr>
                <w:rFonts w:ascii="Times New Roman" w:hAnsi="Times New Roman"/>
                <w:color w:val="000000"/>
                <w:sz w:val="21"/>
                <w:szCs w:val="21"/>
              </w:rPr>
            </w:pPr>
            <w:r>
              <w:rPr>
                <w:rFonts w:hint="eastAsia" w:ascii="Times New Roman" w:hAnsi="Times New Roman"/>
                <w:color w:val="000000"/>
                <w:sz w:val="21"/>
                <w:szCs w:val="21"/>
              </w:rPr>
              <w:t>√</w:t>
            </w:r>
          </w:p>
        </w:tc>
      </w:tr>
      <w:tr w14:paraId="7B79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78CB6CFB">
            <w:pPr>
              <w:rPr>
                <w:rFonts w:ascii="Times New Roman" w:hAnsi="Times New Roman"/>
                <w:color w:val="000000"/>
                <w:sz w:val="20"/>
                <w:szCs w:val="20"/>
              </w:rPr>
            </w:pPr>
            <w:r>
              <w:rPr>
                <w:rFonts w:hint="eastAsia" w:ascii="Times New Roman" w:hAnsi="Times New Roman"/>
                <w:bCs/>
                <w:color w:val="000000"/>
                <w:sz w:val="21"/>
                <w:szCs w:val="21"/>
              </w:rPr>
              <w:t xml:space="preserve">第六单元 </w:t>
            </w:r>
            <w:r>
              <w:rPr>
                <w:rFonts w:hint="eastAsia" w:ascii="Times New Roman" w:hAnsi="Times New Roman" w:cs="仿宋"/>
                <w:color w:val="000000"/>
                <w:sz w:val="21"/>
                <w:szCs w:val="21"/>
              </w:rPr>
              <w:t>抗精神失常药镇痛药、解热镇痛抗炎药、枢兴奋药与促大脑功能恢复药</w:t>
            </w:r>
          </w:p>
        </w:tc>
        <w:tc>
          <w:tcPr>
            <w:tcW w:w="905" w:type="dxa"/>
            <w:noWrap w:val="0"/>
            <w:vAlign w:val="center"/>
          </w:tcPr>
          <w:p w14:paraId="50C113A0">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1B128D3F">
            <w:pPr>
              <w:jc w:val="center"/>
              <w:rPr>
                <w:rFonts w:ascii="Times New Roman" w:hAnsi="Times New Roman"/>
                <w:color w:val="000000"/>
                <w:sz w:val="21"/>
                <w:szCs w:val="21"/>
              </w:rPr>
            </w:pPr>
          </w:p>
        </w:tc>
        <w:tc>
          <w:tcPr>
            <w:tcW w:w="793" w:type="dxa"/>
            <w:noWrap w:val="0"/>
            <w:vAlign w:val="center"/>
          </w:tcPr>
          <w:p w14:paraId="0A73DBEE">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noWrap w:val="0"/>
            <w:vAlign w:val="center"/>
          </w:tcPr>
          <w:p w14:paraId="612C3849">
            <w:pPr>
              <w:jc w:val="center"/>
              <w:rPr>
                <w:rFonts w:ascii="Times New Roman" w:hAnsi="Times New Roman"/>
                <w:color w:val="000000"/>
                <w:sz w:val="21"/>
                <w:szCs w:val="21"/>
              </w:rPr>
            </w:pPr>
          </w:p>
        </w:tc>
        <w:tc>
          <w:tcPr>
            <w:tcW w:w="992" w:type="dxa"/>
            <w:noWrap w:val="0"/>
            <w:vAlign w:val="center"/>
          </w:tcPr>
          <w:p w14:paraId="561F0A90">
            <w:pPr>
              <w:jc w:val="center"/>
              <w:rPr>
                <w:rFonts w:ascii="Times New Roman" w:hAnsi="Times New Roman"/>
                <w:color w:val="000000"/>
                <w:sz w:val="21"/>
                <w:szCs w:val="21"/>
              </w:rPr>
            </w:pPr>
          </w:p>
        </w:tc>
        <w:tc>
          <w:tcPr>
            <w:tcW w:w="993" w:type="dxa"/>
            <w:tcBorders>
              <w:top w:val="single" w:color="auto" w:sz="4" w:space="0"/>
              <w:bottom w:val="single" w:color="auto" w:sz="4" w:space="0"/>
              <w:right w:val="single" w:color="auto" w:sz="4" w:space="0"/>
            </w:tcBorders>
            <w:noWrap w:val="0"/>
            <w:vAlign w:val="center"/>
          </w:tcPr>
          <w:p w14:paraId="5DAE0446">
            <w:pPr>
              <w:jc w:val="center"/>
              <w:rPr>
                <w:rFonts w:ascii="Times New Roman" w:hAnsi="Times New Roman"/>
                <w:color w:val="000000"/>
                <w:sz w:val="21"/>
                <w:szCs w:val="21"/>
              </w:rPr>
            </w:pPr>
          </w:p>
        </w:tc>
        <w:tc>
          <w:tcPr>
            <w:tcW w:w="992" w:type="dxa"/>
            <w:tcBorders>
              <w:left w:val="single" w:color="auto" w:sz="4" w:space="0"/>
              <w:right w:val="single" w:color="auto" w:sz="4" w:space="0"/>
            </w:tcBorders>
            <w:noWrap w:val="0"/>
            <w:vAlign w:val="center"/>
          </w:tcPr>
          <w:p w14:paraId="2FC0E88E">
            <w:pPr>
              <w:jc w:val="center"/>
              <w:rPr>
                <w:rFonts w:ascii="Times New Roman" w:hAnsi="Times New Roman"/>
                <w:color w:val="000000"/>
                <w:sz w:val="21"/>
                <w:szCs w:val="21"/>
              </w:rPr>
            </w:pPr>
          </w:p>
        </w:tc>
      </w:tr>
      <w:tr w14:paraId="2CE9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0BF5B942">
            <w:pPr>
              <w:rPr>
                <w:rFonts w:ascii="Times New Roman" w:hAnsi="Times New Roman"/>
                <w:color w:val="000000"/>
                <w:sz w:val="21"/>
                <w:szCs w:val="21"/>
              </w:rPr>
            </w:pPr>
            <w:r>
              <w:rPr>
                <w:rFonts w:hint="eastAsia" w:ascii="Times New Roman" w:hAnsi="Times New Roman"/>
                <w:bCs/>
                <w:color w:val="000000"/>
                <w:sz w:val="21"/>
                <w:szCs w:val="21"/>
              </w:rPr>
              <w:t xml:space="preserve">第七单元 </w:t>
            </w:r>
            <w:r>
              <w:rPr>
                <w:rFonts w:hint="eastAsia" w:ascii="Times New Roman" w:hAnsi="Times New Roman" w:cs="仿宋"/>
                <w:color w:val="000000"/>
                <w:sz w:val="21"/>
                <w:szCs w:val="21"/>
              </w:rPr>
              <w:t>抗高血压药</w:t>
            </w:r>
          </w:p>
        </w:tc>
        <w:tc>
          <w:tcPr>
            <w:tcW w:w="905" w:type="dxa"/>
            <w:noWrap w:val="0"/>
            <w:vAlign w:val="center"/>
          </w:tcPr>
          <w:p w14:paraId="78686637">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185C376A">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noWrap w:val="0"/>
            <w:vAlign w:val="center"/>
          </w:tcPr>
          <w:p w14:paraId="5DF2E729">
            <w:pPr>
              <w:jc w:val="center"/>
              <w:rPr>
                <w:rFonts w:ascii="Times New Roman" w:hAnsi="Times New Roman"/>
                <w:color w:val="000000"/>
                <w:sz w:val="21"/>
                <w:szCs w:val="21"/>
              </w:rPr>
            </w:pPr>
          </w:p>
        </w:tc>
        <w:tc>
          <w:tcPr>
            <w:tcW w:w="850" w:type="dxa"/>
            <w:noWrap w:val="0"/>
            <w:vAlign w:val="center"/>
          </w:tcPr>
          <w:p w14:paraId="1A4117BC">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noWrap w:val="0"/>
            <w:vAlign w:val="center"/>
          </w:tcPr>
          <w:p w14:paraId="55344DC1">
            <w:pPr>
              <w:jc w:val="center"/>
              <w:rPr>
                <w:rFonts w:ascii="Times New Roman" w:hAnsi="Times New Roman"/>
                <w:color w:val="000000"/>
                <w:sz w:val="21"/>
                <w:szCs w:val="21"/>
              </w:rPr>
            </w:pPr>
          </w:p>
        </w:tc>
        <w:tc>
          <w:tcPr>
            <w:tcW w:w="993" w:type="dxa"/>
            <w:tcBorders>
              <w:top w:val="single" w:color="auto" w:sz="4" w:space="0"/>
              <w:right w:val="single" w:color="auto" w:sz="4" w:space="0"/>
            </w:tcBorders>
            <w:noWrap w:val="0"/>
            <w:vAlign w:val="center"/>
          </w:tcPr>
          <w:p w14:paraId="12758BB8">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left w:val="single" w:color="auto" w:sz="4" w:space="0"/>
              <w:right w:val="single" w:color="auto" w:sz="4" w:space="0"/>
            </w:tcBorders>
            <w:noWrap w:val="0"/>
            <w:vAlign w:val="center"/>
          </w:tcPr>
          <w:p w14:paraId="39EF78EE">
            <w:pPr>
              <w:jc w:val="center"/>
              <w:rPr>
                <w:rFonts w:hint="eastAsia" w:ascii="Times New Roman" w:hAnsi="Times New Roman"/>
                <w:color w:val="000000"/>
                <w:sz w:val="21"/>
                <w:szCs w:val="21"/>
              </w:rPr>
            </w:pPr>
          </w:p>
        </w:tc>
      </w:tr>
      <w:tr w14:paraId="04AD1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931" w:type="dxa"/>
            <w:tcBorders>
              <w:left w:val="single" w:color="auto" w:sz="4" w:space="0"/>
            </w:tcBorders>
            <w:noWrap w:val="0"/>
            <w:vAlign w:val="top"/>
          </w:tcPr>
          <w:p w14:paraId="66DE85F2">
            <w:pPr>
              <w:rPr>
                <w:rFonts w:ascii="Times New Roman" w:hAnsi="Times New Roman" w:cs="仿宋"/>
                <w:color w:val="000000"/>
                <w:sz w:val="21"/>
                <w:szCs w:val="21"/>
              </w:rPr>
            </w:pPr>
            <w:r>
              <w:rPr>
                <w:rFonts w:hint="eastAsia" w:ascii="Times New Roman" w:hAnsi="Times New Roman"/>
                <w:bCs/>
                <w:color w:val="000000"/>
                <w:sz w:val="21"/>
                <w:szCs w:val="21"/>
              </w:rPr>
              <w:t xml:space="preserve">第八单元 </w:t>
            </w:r>
            <w:r>
              <w:rPr>
                <w:rFonts w:hint="eastAsia" w:ascii="Times New Roman" w:hAnsi="Times New Roman" w:cs="仿宋"/>
                <w:color w:val="000000"/>
                <w:sz w:val="21"/>
                <w:szCs w:val="21"/>
              </w:rPr>
              <w:t>抗心律失常药、抗充血性心力衰竭药</w:t>
            </w:r>
          </w:p>
        </w:tc>
        <w:tc>
          <w:tcPr>
            <w:tcW w:w="905" w:type="dxa"/>
            <w:noWrap w:val="0"/>
            <w:vAlign w:val="center"/>
          </w:tcPr>
          <w:p w14:paraId="4D39D569">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7586F3AC">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noWrap w:val="0"/>
            <w:vAlign w:val="center"/>
          </w:tcPr>
          <w:p w14:paraId="7295DA94">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noWrap w:val="0"/>
            <w:vAlign w:val="center"/>
          </w:tcPr>
          <w:p w14:paraId="3380376A">
            <w:pPr>
              <w:jc w:val="center"/>
              <w:rPr>
                <w:rFonts w:ascii="Times New Roman" w:hAnsi="Times New Roman"/>
                <w:color w:val="000000"/>
                <w:sz w:val="21"/>
                <w:szCs w:val="21"/>
              </w:rPr>
            </w:pPr>
          </w:p>
        </w:tc>
        <w:tc>
          <w:tcPr>
            <w:tcW w:w="992" w:type="dxa"/>
            <w:noWrap w:val="0"/>
            <w:vAlign w:val="center"/>
          </w:tcPr>
          <w:p w14:paraId="4C7966B7">
            <w:pPr>
              <w:jc w:val="center"/>
              <w:rPr>
                <w:rFonts w:ascii="Times New Roman" w:hAnsi="Times New Roman"/>
                <w:color w:val="000000"/>
                <w:sz w:val="21"/>
                <w:szCs w:val="21"/>
              </w:rPr>
            </w:pPr>
          </w:p>
        </w:tc>
        <w:tc>
          <w:tcPr>
            <w:tcW w:w="993" w:type="dxa"/>
            <w:tcBorders>
              <w:right w:val="single" w:color="auto" w:sz="12" w:space="0"/>
            </w:tcBorders>
            <w:noWrap w:val="0"/>
            <w:vAlign w:val="center"/>
          </w:tcPr>
          <w:p w14:paraId="78AB137D">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right w:val="single" w:color="auto" w:sz="4" w:space="0"/>
            </w:tcBorders>
            <w:noWrap w:val="0"/>
            <w:vAlign w:val="center"/>
          </w:tcPr>
          <w:p w14:paraId="7F07E64F">
            <w:pPr>
              <w:jc w:val="center"/>
              <w:rPr>
                <w:rFonts w:ascii="Times New Roman" w:hAnsi="Times New Roman"/>
                <w:color w:val="000000"/>
                <w:sz w:val="21"/>
                <w:szCs w:val="21"/>
              </w:rPr>
            </w:pPr>
            <w:r>
              <w:rPr>
                <w:rFonts w:hint="eastAsia" w:ascii="Times New Roman" w:hAnsi="Times New Roman"/>
                <w:color w:val="000000"/>
                <w:sz w:val="21"/>
                <w:szCs w:val="21"/>
              </w:rPr>
              <w:t>√</w:t>
            </w:r>
          </w:p>
        </w:tc>
      </w:tr>
      <w:tr w14:paraId="4CA2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05F2E1BA">
            <w:pPr>
              <w:rPr>
                <w:rFonts w:ascii="Times New Roman" w:hAnsi="Times New Roman"/>
                <w:color w:val="000000"/>
                <w:sz w:val="21"/>
                <w:szCs w:val="21"/>
              </w:rPr>
            </w:pPr>
            <w:r>
              <w:rPr>
                <w:rFonts w:hint="eastAsia" w:ascii="Times New Roman" w:hAnsi="Times New Roman"/>
                <w:bCs/>
                <w:color w:val="000000"/>
                <w:sz w:val="21"/>
                <w:szCs w:val="21"/>
              </w:rPr>
              <w:t xml:space="preserve">第九单元 </w:t>
            </w:r>
            <w:r>
              <w:rPr>
                <w:rFonts w:hint="eastAsia" w:ascii="Times New Roman" w:hAnsi="Times New Roman" w:cs="仿宋"/>
                <w:color w:val="000000"/>
                <w:sz w:val="21"/>
                <w:szCs w:val="21"/>
              </w:rPr>
              <w:t>抗心绞痛药、调血脂药、利尿药及脱水药</w:t>
            </w:r>
          </w:p>
        </w:tc>
        <w:tc>
          <w:tcPr>
            <w:tcW w:w="905" w:type="dxa"/>
            <w:noWrap w:val="0"/>
            <w:vAlign w:val="center"/>
          </w:tcPr>
          <w:p w14:paraId="690414D6">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0FBCFD3D">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noWrap w:val="0"/>
            <w:vAlign w:val="center"/>
          </w:tcPr>
          <w:p w14:paraId="18A8DE67">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noWrap w:val="0"/>
            <w:vAlign w:val="center"/>
          </w:tcPr>
          <w:p w14:paraId="51346399">
            <w:pPr>
              <w:jc w:val="center"/>
              <w:rPr>
                <w:rFonts w:ascii="Times New Roman" w:hAnsi="Times New Roman"/>
                <w:color w:val="000000"/>
                <w:sz w:val="21"/>
                <w:szCs w:val="21"/>
              </w:rPr>
            </w:pPr>
          </w:p>
        </w:tc>
        <w:tc>
          <w:tcPr>
            <w:tcW w:w="992" w:type="dxa"/>
            <w:noWrap w:val="0"/>
            <w:vAlign w:val="center"/>
          </w:tcPr>
          <w:p w14:paraId="626C42FD">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right w:val="single" w:color="auto" w:sz="12" w:space="0"/>
            </w:tcBorders>
            <w:noWrap w:val="0"/>
            <w:vAlign w:val="center"/>
          </w:tcPr>
          <w:p w14:paraId="0DB8BD01">
            <w:pPr>
              <w:jc w:val="center"/>
              <w:rPr>
                <w:rFonts w:ascii="Times New Roman" w:hAnsi="Times New Roman"/>
                <w:color w:val="000000"/>
                <w:sz w:val="21"/>
                <w:szCs w:val="21"/>
              </w:rPr>
            </w:pPr>
          </w:p>
        </w:tc>
        <w:tc>
          <w:tcPr>
            <w:tcW w:w="992" w:type="dxa"/>
            <w:tcBorders>
              <w:right w:val="single" w:color="auto" w:sz="4" w:space="0"/>
            </w:tcBorders>
            <w:noWrap w:val="0"/>
            <w:vAlign w:val="center"/>
          </w:tcPr>
          <w:p w14:paraId="12426506">
            <w:pPr>
              <w:jc w:val="center"/>
              <w:rPr>
                <w:rFonts w:ascii="Times New Roman" w:hAnsi="Times New Roman"/>
                <w:color w:val="000000"/>
                <w:sz w:val="21"/>
                <w:szCs w:val="21"/>
              </w:rPr>
            </w:pPr>
            <w:r>
              <w:rPr>
                <w:rFonts w:hint="eastAsia" w:ascii="Times New Roman" w:hAnsi="Times New Roman"/>
                <w:color w:val="000000"/>
                <w:sz w:val="21"/>
                <w:szCs w:val="21"/>
              </w:rPr>
              <w:t>√</w:t>
            </w:r>
          </w:p>
        </w:tc>
      </w:tr>
      <w:tr w14:paraId="1E87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6B688487">
            <w:pPr>
              <w:rPr>
                <w:rFonts w:hint="eastAsia" w:ascii="Times New Roman" w:hAnsi="Times New Roman" w:cs="仿宋"/>
                <w:color w:val="000000"/>
                <w:sz w:val="21"/>
                <w:szCs w:val="21"/>
              </w:rPr>
            </w:pPr>
            <w:r>
              <w:rPr>
                <w:rFonts w:hint="eastAsia" w:ascii="Times New Roman" w:hAnsi="Times New Roman"/>
                <w:bCs/>
                <w:color w:val="000000"/>
                <w:sz w:val="21"/>
                <w:szCs w:val="21"/>
              </w:rPr>
              <w:t xml:space="preserve">第十单元 </w:t>
            </w:r>
            <w:r>
              <w:rPr>
                <w:rFonts w:hint="eastAsia" w:ascii="Times New Roman" w:hAnsi="Times New Roman" w:cs="仿宋"/>
                <w:color w:val="000000"/>
                <w:sz w:val="21"/>
                <w:szCs w:val="21"/>
              </w:rPr>
              <w:t>作用于消化系统的药物、作用于呼吸系统的药物</w:t>
            </w:r>
          </w:p>
        </w:tc>
        <w:tc>
          <w:tcPr>
            <w:tcW w:w="905" w:type="dxa"/>
            <w:noWrap w:val="0"/>
            <w:vAlign w:val="center"/>
          </w:tcPr>
          <w:p w14:paraId="198B78B8">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2AAAD77B">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noWrap w:val="0"/>
            <w:vAlign w:val="center"/>
          </w:tcPr>
          <w:p w14:paraId="603BA471">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noWrap w:val="0"/>
            <w:vAlign w:val="center"/>
          </w:tcPr>
          <w:p w14:paraId="338D29AB">
            <w:pPr>
              <w:jc w:val="center"/>
              <w:rPr>
                <w:rFonts w:ascii="Times New Roman" w:hAnsi="Times New Roman"/>
                <w:color w:val="000000"/>
                <w:sz w:val="21"/>
                <w:szCs w:val="21"/>
              </w:rPr>
            </w:pPr>
          </w:p>
        </w:tc>
        <w:tc>
          <w:tcPr>
            <w:tcW w:w="992" w:type="dxa"/>
            <w:noWrap w:val="0"/>
            <w:vAlign w:val="center"/>
          </w:tcPr>
          <w:p w14:paraId="5444E829">
            <w:pPr>
              <w:jc w:val="center"/>
              <w:rPr>
                <w:rFonts w:hint="eastAsia" w:ascii="Times New Roman" w:hAnsi="Times New Roman"/>
                <w:color w:val="000000"/>
                <w:sz w:val="21"/>
                <w:szCs w:val="21"/>
              </w:rPr>
            </w:pPr>
          </w:p>
        </w:tc>
        <w:tc>
          <w:tcPr>
            <w:tcW w:w="993" w:type="dxa"/>
            <w:tcBorders>
              <w:right w:val="single" w:color="auto" w:sz="12" w:space="0"/>
            </w:tcBorders>
            <w:noWrap w:val="0"/>
            <w:vAlign w:val="center"/>
          </w:tcPr>
          <w:p w14:paraId="3BCC314E">
            <w:pPr>
              <w:jc w:val="center"/>
              <w:rPr>
                <w:rFonts w:ascii="Times New Roman" w:hAnsi="Times New Roman"/>
                <w:color w:val="000000"/>
                <w:sz w:val="21"/>
                <w:szCs w:val="21"/>
              </w:rPr>
            </w:pPr>
          </w:p>
        </w:tc>
        <w:tc>
          <w:tcPr>
            <w:tcW w:w="992" w:type="dxa"/>
            <w:tcBorders>
              <w:right w:val="single" w:color="auto" w:sz="4" w:space="0"/>
            </w:tcBorders>
            <w:noWrap w:val="0"/>
            <w:vAlign w:val="center"/>
          </w:tcPr>
          <w:p w14:paraId="310E042E">
            <w:pPr>
              <w:jc w:val="center"/>
              <w:rPr>
                <w:rFonts w:ascii="Times New Roman" w:hAnsi="Times New Roman"/>
                <w:color w:val="000000"/>
                <w:sz w:val="21"/>
                <w:szCs w:val="21"/>
              </w:rPr>
            </w:pPr>
          </w:p>
        </w:tc>
      </w:tr>
      <w:tr w14:paraId="1619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6EB6BEF3">
            <w:pPr>
              <w:rPr>
                <w:rFonts w:hint="eastAsia" w:ascii="Times New Roman" w:hAnsi="Times New Roman" w:cs="仿宋"/>
                <w:color w:val="000000"/>
                <w:sz w:val="21"/>
                <w:szCs w:val="21"/>
              </w:rPr>
            </w:pPr>
            <w:r>
              <w:rPr>
                <w:rFonts w:hint="eastAsia" w:ascii="Times New Roman" w:hAnsi="Times New Roman"/>
                <w:bCs/>
                <w:color w:val="000000"/>
                <w:sz w:val="21"/>
                <w:szCs w:val="21"/>
              </w:rPr>
              <w:t>第十一单元 子宫平滑肌收缩药与舒张药、作用于血液及造血系统的药物、拟组胺药与抗组胺药</w:t>
            </w:r>
            <w:r>
              <w:rPr>
                <w:rFonts w:hint="eastAsia" w:ascii="Times New Roman" w:hAnsi="Times New Roman"/>
                <w:color w:val="000000"/>
                <w:sz w:val="21"/>
                <w:szCs w:val="21"/>
              </w:rPr>
              <w:t xml:space="preserve">  </w:t>
            </w:r>
          </w:p>
        </w:tc>
        <w:tc>
          <w:tcPr>
            <w:tcW w:w="905" w:type="dxa"/>
            <w:noWrap w:val="0"/>
            <w:vAlign w:val="center"/>
          </w:tcPr>
          <w:p w14:paraId="0A97607C">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2E48CC24">
            <w:pPr>
              <w:jc w:val="center"/>
              <w:rPr>
                <w:rFonts w:hint="eastAsia" w:ascii="Times New Roman" w:hAnsi="Times New Roman"/>
                <w:color w:val="000000"/>
                <w:sz w:val="21"/>
                <w:szCs w:val="21"/>
              </w:rPr>
            </w:pPr>
          </w:p>
        </w:tc>
        <w:tc>
          <w:tcPr>
            <w:tcW w:w="793" w:type="dxa"/>
            <w:noWrap w:val="0"/>
            <w:vAlign w:val="center"/>
          </w:tcPr>
          <w:p w14:paraId="5F00A43B">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noWrap w:val="0"/>
            <w:vAlign w:val="center"/>
          </w:tcPr>
          <w:p w14:paraId="2D74E875">
            <w:pPr>
              <w:jc w:val="center"/>
              <w:rPr>
                <w:rFonts w:ascii="Times New Roman" w:hAnsi="Times New Roman"/>
                <w:color w:val="000000"/>
                <w:sz w:val="21"/>
                <w:szCs w:val="21"/>
              </w:rPr>
            </w:pPr>
          </w:p>
        </w:tc>
        <w:tc>
          <w:tcPr>
            <w:tcW w:w="992" w:type="dxa"/>
            <w:noWrap w:val="0"/>
            <w:vAlign w:val="center"/>
          </w:tcPr>
          <w:p w14:paraId="4EA9CDD7">
            <w:pPr>
              <w:jc w:val="center"/>
              <w:rPr>
                <w:rFonts w:hint="eastAsia" w:ascii="Times New Roman" w:hAnsi="Times New Roman"/>
                <w:color w:val="000000"/>
                <w:sz w:val="21"/>
                <w:szCs w:val="21"/>
              </w:rPr>
            </w:pPr>
            <w:r>
              <w:rPr>
                <w:rFonts w:hint="eastAsia" w:ascii="Times New Roman" w:hAnsi="Times New Roman"/>
                <w:color w:val="000000"/>
                <w:sz w:val="21"/>
                <w:szCs w:val="21"/>
              </w:rPr>
              <w:t>√</w:t>
            </w:r>
          </w:p>
        </w:tc>
        <w:tc>
          <w:tcPr>
            <w:tcW w:w="993" w:type="dxa"/>
            <w:tcBorders>
              <w:right w:val="single" w:color="auto" w:sz="12" w:space="0"/>
            </w:tcBorders>
            <w:noWrap w:val="0"/>
            <w:vAlign w:val="center"/>
          </w:tcPr>
          <w:p w14:paraId="20809FF4">
            <w:pPr>
              <w:jc w:val="center"/>
              <w:rPr>
                <w:rFonts w:ascii="Times New Roman" w:hAnsi="Times New Roman"/>
                <w:color w:val="000000"/>
                <w:sz w:val="21"/>
                <w:szCs w:val="21"/>
              </w:rPr>
            </w:pPr>
          </w:p>
        </w:tc>
        <w:tc>
          <w:tcPr>
            <w:tcW w:w="992" w:type="dxa"/>
            <w:tcBorders>
              <w:right w:val="single" w:color="auto" w:sz="4" w:space="0"/>
            </w:tcBorders>
            <w:noWrap w:val="0"/>
            <w:vAlign w:val="center"/>
          </w:tcPr>
          <w:p w14:paraId="24C4F3BD">
            <w:pPr>
              <w:jc w:val="center"/>
              <w:rPr>
                <w:rFonts w:ascii="Times New Roman" w:hAnsi="Times New Roman"/>
                <w:color w:val="000000"/>
                <w:sz w:val="21"/>
                <w:szCs w:val="21"/>
              </w:rPr>
            </w:pPr>
          </w:p>
        </w:tc>
      </w:tr>
      <w:tr w14:paraId="7A20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700DFFCF">
            <w:pPr>
              <w:rPr>
                <w:rFonts w:hint="eastAsia" w:ascii="Times New Roman" w:hAnsi="Times New Roman" w:cs="仿宋"/>
                <w:color w:val="000000"/>
                <w:sz w:val="21"/>
                <w:szCs w:val="21"/>
              </w:rPr>
            </w:pPr>
            <w:r>
              <w:rPr>
                <w:rFonts w:hint="eastAsia" w:ascii="Times New Roman" w:hAnsi="Times New Roman"/>
                <w:bCs/>
                <w:color w:val="000000"/>
                <w:sz w:val="21"/>
                <w:szCs w:val="21"/>
              </w:rPr>
              <w:t>第十二单元</w:t>
            </w:r>
            <w:r>
              <w:rPr>
                <w:rFonts w:hint="eastAsia" w:ascii="Times New Roman" w:hAnsi="Times New Roman" w:cs="仿宋"/>
                <w:color w:val="000000"/>
                <w:sz w:val="21"/>
                <w:szCs w:val="21"/>
              </w:rPr>
              <w:t>肾上腺皮质激素类药、甲状腺激素和抗甲状腺药</w:t>
            </w:r>
          </w:p>
        </w:tc>
        <w:tc>
          <w:tcPr>
            <w:tcW w:w="905" w:type="dxa"/>
            <w:noWrap w:val="0"/>
            <w:vAlign w:val="center"/>
          </w:tcPr>
          <w:p w14:paraId="777F00FF">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5A92DA27">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noWrap w:val="0"/>
            <w:vAlign w:val="center"/>
          </w:tcPr>
          <w:p w14:paraId="3561EFF2">
            <w:pPr>
              <w:jc w:val="center"/>
              <w:rPr>
                <w:rFonts w:hint="eastAsia" w:ascii="Times New Roman" w:hAnsi="Times New Roman"/>
                <w:color w:val="000000"/>
                <w:sz w:val="21"/>
                <w:szCs w:val="21"/>
              </w:rPr>
            </w:pPr>
          </w:p>
        </w:tc>
        <w:tc>
          <w:tcPr>
            <w:tcW w:w="850" w:type="dxa"/>
            <w:noWrap w:val="0"/>
            <w:vAlign w:val="center"/>
          </w:tcPr>
          <w:p w14:paraId="5C10737F">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noWrap w:val="0"/>
            <w:vAlign w:val="center"/>
          </w:tcPr>
          <w:p w14:paraId="738DA609">
            <w:pPr>
              <w:jc w:val="center"/>
              <w:rPr>
                <w:rFonts w:hint="eastAsia" w:ascii="Times New Roman" w:hAnsi="Times New Roman"/>
                <w:color w:val="000000"/>
                <w:sz w:val="21"/>
                <w:szCs w:val="21"/>
              </w:rPr>
            </w:pPr>
            <w:r>
              <w:rPr>
                <w:rFonts w:hint="eastAsia" w:ascii="Times New Roman" w:hAnsi="Times New Roman"/>
                <w:color w:val="000000"/>
                <w:sz w:val="21"/>
                <w:szCs w:val="21"/>
              </w:rPr>
              <w:t>√</w:t>
            </w:r>
          </w:p>
        </w:tc>
        <w:tc>
          <w:tcPr>
            <w:tcW w:w="993" w:type="dxa"/>
            <w:tcBorders>
              <w:right w:val="single" w:color="auto" w:sz="12" w:space="0"/>
            </w:tcBorders>
            <w:noWrap w:val="0"/>
            <w:vAlign w:val="center"/>
          </w:tcPr>
          <w:p w14:paraId="5ADCB62D">
            <w:pPr>
              <w:jc w:val="center"/>
              <w:rPr>
                <w:rFonts w:ascii="Times New Roman" w:hAnsi="Times New Roman"/>
                <w:color w:val="000000"/>
                <w:sz w:val="21"/>
                <w:szCs w:val="21"/>
              </w:rPr>
            </w:pPr>
          </w:p>
        </w:tc>
        <w:tc>
          <w:tcPr>
            <w:tcW w:w="992" w:type="dxa"/>
            <w:tcBorders>
              <w:right w:val="single" w:color="auto" w:sz="4" w:space="0"/>
            </w:tcBorders>
            <w:noWrap w:val="0"/>
            <w:vAlign w:val="center"/>
          </w:tcPr>
          <w:p w14:paraId="38498387">
            <w:pPr>
              <w:jc w:val="center"/>
              <w:rPr>
                <w:rFonts w:ascii="Times New Roman" w:hAnsi="Times New Roman"/>
                <w:color w:val="000000"/>
                <w:sz w:val="21"/>
                <w:szCs w:val="21"/>
              </w:rPr>
            </w:pPr>
            <w:r>
              <w:rPr>
                <w:rFonts w:hint="eastAsia" w:ascii="Times New Roman" w:hAnsi="Times New Roman"/>
                <w:color w:val="000000"/>
                <w:sz w:val="21"/>
                <w:szCs w:val="21"/>
              </w:rPr>
              <w:t>√</w:t>
            </w:r>
          </w:p>
        </w:tc>
      </w:tr>
      <w:tr w14:paraId="7DB1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11755BD4">
            <w:pPr>
              <w:rPr>
                <w:rFonts w:hint="eastAsia" w:ascii="Times New Roman" w:hAnsi="Times New Roman" w:cs="仿宋"/>
                <w:color w:val="000000"/>
                <w:sz w:val="21"/>
                <w:szCs w:val="21"/>
              </w:rPr>
            </w:pPr>
            <w:r>
              <w:rPr>
                <w:rFonts w:hint="eastAsia" w:ascii="Times New Roman" w:hAnsi="Times New Roman"/>
                <w:bCs/>
                <w:color w:val="000000"/>
                <w:sz w:val="21"/>
                <w:szCs w:val="21"/>
              </w:rPr>
              <w:t>第十三单元</w:t>
            </w:r>
            <w:r>
              <w:rPr>
                <w:rFonts w:hint="eastAsia" w:ascii="Times New Roman" w:hAnsi="Times New Roman" w:cs="仿宋"/>
                <w:color w:val="000000"/>
                <w:sz w:val="21"/>
                <w:szCs w:val="21"/>
              </w:rPr>
              <w:t>胰岛素和口服降血糖药、性激素类药及避孕药、抗骨质疏松症药</w:t>
            </w:r>
          </w:p>
        </w:tc>
        <w:tc>
          <w:tcPr>
            <w:tcW w:w="905" w:type="dxa"/>
            <w:noWrap w:val="0"/>
            <w:vAlign w:val="center"/>
          </w:tcPr>
          <w:p w14:paraId="601A6B81">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268B12A3">
            <w:pPr>
              <w:jc w:val="center"/>
              <w:rPr>
                <w:rFonts w:hint="eastAsia" w:ascii="Times New Roman" w:hAnsi="Times New Roman"/>
                <w:color w:val="000000"/>
                <w:sz w:val="21"/>
                <w:szCs w:val="21"/>
              </w:rPr>
            </w:pPr>
          </w:p>
        </w:tc>
        <w:tc>
          <w:tcPr>
            <w:tcW w:w="793" w:type="dxa"/>
            <w:noWrap w:val="0"/>
            <w:vAlign w:val="center"/>
          </w:tcPr>
          <w:p w14:paraId="29325E2F">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0" w:type="dxa"/>
            <w:noWrap w:val="0"/>
            <w:vAlign w:val="center"/>
          </w:tcPr>
          <w:p w14:paraId="69BDD930">
            <w:pPr>
              <w:jc w:val="center"/>
              <w:rPr>
                <w:rFonts w:ascii="Times New Roman" w:hAnsi="Times New Roman"/>
                <w:color w:val="000000"/>
                <w:sz w:val="21"/>
                <w:szCs w:val="21"/>
              </w:rPr>
            </w:pPr>
          </w:p>
        </w:tc>
        <w:tc>
          <w:tcPr>
            <w:tcW w:w="992" w:type="dxa"/>
            <w:noWrap w:val="0"/>
            <w:vAlign w:val="center"/>
          </w:tcPr>
          <w:p w14:paraId="7A916AC7">
            <w:pPr>
              <w:jc w:val="center"/>
              <w:rPr>
                <w:rFonts w:hint="eastAsia" w:ascii="Times New Roman" w:hAnsi="Times New Roman"/>
                <w:color w:val="000000"/>
                <w:sz w:val="21"/>
                <w:szCs w:val="21"/>
              </w:rPr>
            </w:pPr>
            <w:r>
              <w:rPr>
                <w:rFonts w:hint="eastAsia" w:ascii="Times New Roman" w:hAnsi="Times New Roman"/>
                <w:color w:val="000000"/>
                <w:sz w:val="21"/>
                <w:szCs w:val="21"/>
              </w:rPr>
              <w:t>√</w:t>
            </w:r>
          </w:p>
        </w:tc>
        <w:tc>
          <w:tcPr>
            <w:tcW w:w="993" w:type="dxa"/>
            <w:tcBorders>
              <w:right w:val="single" w:color="auto" w:sz="12" w:space="0"/>
            </w:tcBorders>
            <w:noWrap w:val="0"/>
            <w:vAlign w:val="center"/>
          </w:tcPr>
          <w:p w14:paraId="2B4F30A9">
            <w:pPr>
              <w:jc w:val="center"/>
              <w:rPr>
                <w:rFonts w:ascii="Times New Roman" w:hAnsi="Times New Roman"/>
                <w:color w:val="000000"/>
                <w:sz w:val="21"/>
                <w:szCs w:val="21"/>
              </w:rPr>
            </w:pPr>
          </w:p>
        </w:tc>
        <w:tc>
          <w:tcPr>
            <w:tcW w:w="992" w:type="dxa"/>
            <w:tcBorders>
              <w:right w:val="single" w:color="auto" w:sz="4" w:space="0"/>
            </w:tcBorders>
            <w:noWrap w:val="0"/>
            <w:vAlign w:val="center"/>
          </w:tcPr>
          <w:p w14:paraId="7730D1FE">
            <w:pPr>
              <w:jc w:val="center"/>
              <w:rPr>
                <w:rFonts w:ascii="Times New Roman" w:hAnsi="Times New Roman"/>
                <w:color w:val="000000"/>
                <w:sz w:val="21"/>
                <w:szCs w:val="21"/>
              </w:rPr>
            </w:pPr>
          </w:p>
        </w:tc>
      </w:tr>
      <w:tr w14:paraId="061C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5D373370">
            <w:pPr>
              <w:rPr>
                <w:rFonts w:hint="eastAsia" w:ascii="Times New Roman" w:hAnsi="Times New Roman"/>
                <w:color w:val="000000"/>
                <w:sz w:val="21"/>
                <w:szCs w:val="21"/>
              </w:rPr>
            </w:pPr>
            <w:r>
              <w:rPr>
                <w:rFonts w:hint="eastAsia" w:ascii="Times New Roman" w:hAnsi="Times New Roman"/>
                <w:bCs/>
                <w:color w:val="000000"/>
                <w:sz w:val="21"/>
                <w:szCs w:val="21"/>
              </w:rPr>
              <w:t>第十四单元</w:t>
            </w:r>
            <w:r>
              <w:rPr>
                <w:rFonts w:hint="eastAsia" w:ascii="Times New Roman" w:hAnsi="Times New Roman" w:cs="仿宋"/>
                <w:color w:val="000000"/>
                <w:sz w:val="21"/>
                <w:szCs w:val="21"/>
              </w:rPr>
              <w:t>抗菌药概述、抗生素</w:t>
            </w:r>
          </w:p>
        </w:tc>
        <w:tc>
          <w:tcPr>
            <w:tcW w:w="905" w:type="dxa"/>
            <w:noWrap w:val="0"/>
            <w:vAlign w:val="center"/>
          </w:tcPr>
          <w:p w14:paraId="6337C597">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56CC9BD1">
            <w:pPr>
              <w:jc w:val="center"/>
              <w:rPr>
                <w:rFonts w:hint="eastAsia" w:ascii="Times New Roman" w:hAnsi="Times New Roman"/>
                <w:color w:val="000000"/>
                <w:sz w:val="21"/>
                <w:szCs w:val="21"/>
              </w:rPr>
            </w:pPr>
          </w:p>
        </w:tc>
        <w:tc>
          <w:tcPr>
            <w:tcW w:w="793" w:type="dxa"/>
            <w:noWrap w:val="0"/>
            <w:vAlign w:val="center"/>
          </w:tcPr>
          <w:p w14:paraId="25A42176">
            <w:pPr>
              <w:jc w:val="center"/>
              <w:rPr>
                <w:rFonts w:hint="eastAsia" w:ascii="Times New Roman" w:hAnsi="Times New Roman"/>
                <w:color w:val="000000"/>
                <w:sz w:val="21"/>
                <w:szCs w:val="21"/>
              </w:rPr>
            </w:pPr>
          </w:p>
        </w:tc>
        <w:tc>
          <w:tcPr>
            <w:tcW w:w="850" w:type="dxa"/>
            <w:noWrap w:val="0"/>
            <w:vAlign w:val="center"/>
          </w:tcPr>
          <w:p w14:paraId="39EA09ED">
            <w:pPr>
              <w:jc w:val="center"/>
              <w:rPr>
                <w:rFonts w:ascii="Times New Roman" w:hAnsi="Times New Roman"/>
                <w:color w:val="000000"/>
                <w:sz w:val="21"/>
                <w:szCs w:val="21"/>
              </w:rPr>
            </w:pPr>
          </w:p>
        </w:tc>
        <w:tc>
          <w:tcPr>
            <w:tcW w:w="992" w:type="dxa"/>
            <w:noWrap w:val="0"/>
            <w:vAlign w:val="center"/>
          </w:tcPr>
          <w:p w14:paraId="7B1AEA0D">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right w:val="single" w:color="auto" w:sz="12" w:space="0"/>
            </w:tcBorders>
            <w:noWrap w:val="0"/>
            <w:vAlign w:val="center"/>
          </w:tcPr>
          <w:p w14:paraId="4BF2FAC7">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right w:val="single" w:color="auto" w:sz="4" w:space="0"/>
            </w:tcBorders>
            <w:noWrap w:val="0"/>
            <w:vAlign w:val="center"/>
          </w:tcPr>
          <w:p w14:paraId="77BA4EB7">
            <w:pPr>
              <w:jc w:val="center"/>
              <w:rPr>
                <w:rFonts w:ascii="Times New Roman" w:hAnsi="Times New Roman"/>
                <w:color w:val="000000"/>
                <w:sz w:val="21"/>
                <w:szCs w:val="21"/>
              </w:rPr>
            </w:pPr>
          </w:p>
        </w:tc>
      </w:tr>
      <w:tr w14:paraId="6A9B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73FF0AE7">
            <w:pPr>
              <w:rPr>
                <w:rFonts w:hint="eastAsia" w:ascii="Times New Roman" w:hAnsi="Times New Roman"/>
                <w:color w:val="000000"/>
                <w:sz w:val="21"/>
                <w:szCs w:val="21"/>
              </w:rPr>
            </w:pPr>
            <w:r>
              <w:rPr>
                <w:rFonts w:hint="eastAsia" w:ascii="Times New Roman" w:hAnsi="Times New Roman"/>
                <w:bCs/>
                <w:color w:val="000000"/>
                <w:sz w:val="21"/>
                <w:szCs w:val="21"/>
              </w:rPr>
              <w:t xml:space="preserve">第十五单元 </w:t>
            </w:r>
            <w:r>
              <w:rPr>
                <w:rFonts w:hint="eastAsia" w:ascii="Times New Roman" w:hAnsi="Times New Roman" w:cs="仿宋"/>
                <w:color w:val="000000"/>
                <w:sz w:val="21"/>
                <w:szCs w:val="21"/>
              </w:rPr>
              <w:t>人工合成抗菌药、抗结核病药</w:t>
            </w:r>
          </w:p>
        </w:tc>
        <w:tc>
          <w:tcPr>
            <w:tcW w:w="905" w:type="dxa"/>
            <w:noWrap w:val="0"/>
            <w:vAlign w:val="center"/>
          </w:tcPr>
          <w:p w14:paraId="639C3414">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11827FFF">
            <w:pPr>
              <w:jc w:val="center"/>
              <w:rPr>
                <w:rFonts w:hint="eastAsia" w:ascii="Times New Roman" w:hAnsi="Times New Roman"/>
                <w:color w:val="000000"/>
                <w:sz w:val="21"/>
                <w:szCs w:val="21"/>
              </w:rPr>
            </w:pPr>
          </w:p>
        </w:tc>
        <w:tc>
          <w:tcPr>
            <w:tcW w:w="793" w:type="dxa"/>
            <w:noWrap w:val="0"/>
            <w:vAlign w:val="center"/>
          </w:tcPr>
          <w:p w14:paraId="029482CB">
            <w:pPr>
              <w:jc w:val="center"/>
              <w:rPr>
                <w:rFonts w:hint="eastAsia" w:ascii="Times New Roman" w:hAnsi="Times New Roman"/>
                <w:color w:val="000000"/>
                <w:sz w:val="21"/>
                <w:szCs w:val="21"/>
              </w:rPr>
            </w:pPr>
          </w:p>
        </w:tc>
        <w:tc>
          <w:tcPr>
            <w:tcW w:w="850" w:type="dxa"/>
            <w:noWrap w:val="0"/>
            <w:vAlign w:val="center"/>
          </w:tcPr>
          <w:p w14:paraId="076B766A">
            <w:pPr>
              <w:jc w:val="center"/>
              <w:rPr>
                <w:rFonts w:ascii="Times New Roman" w:hAnsi="Times New Roman"/>
                <w:color w:val="000000"/>
                <w:sz w:val="21"/>
                <w:szCs w:val="21"/>
              </w:rPr>
            </w:pPr>
          </w:p>
        </w:tc>
        <w:tc>
          <w:tcPr>
            <w:tcW w:w="992" w:type="dxa"/>
            <w:noWrap w:val="0"/>
            <w:vAlign w:val="center"/>
          </w:tcPr>
          <w:p w14:paraId="387DA85C">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3" w:type="dxa"/>
            <w:tcBorders>
              <w:right w:val="single" w:color="auto" w:sz="12" w:space="0"/>
            </w:tcBorders>
            <w:noWrap w:val="0"/>
            <w:vAlign w:val="center"/>
          </w:tcPr>
          <w:p w14:paraId="1848B2EF">
            <w:pPr>
              <w:jc w:val="center"/>
              <w:rPr>
                <w:rFonts w:ascii="Times New Roman" w:hAnsi="Times New Roman"/>
                <w:color w:val="000000"/>
                <w:sz w:val="21"/>
                <w:szCs w:val="21"/>
              </w:rPr>
            </w:pPr>
          </w:p>
        </w:tc>
        <w:tc>
          <w:tcPr>
            <w:tcW w:w="992" w:type="dxa"/>
            <w:tcBorders>
              <w:right w:val="single" w:color="auto" w:sz="4" w:space="0"/>
            </w:tcBorders>
            <w:noWrap w:val="0"/>
            <w:vAlign w:val="center"/>
          </w:tcPr>
          <w:p w14:paraId="10BDA11E">
            <w:pPr>
              <w:jc w:val="center"/>
              <w:rPr>
                <w:rFonts w:ascii="Times New Roman" w:hAnsi="Times New Roman"/>
                <w:color w:val="000000"/>
                <w:sz w:val="21"/>
                <w:szCs w:val="21"/>
              </w:rPr>
            </w:pPr>
            <w:r>
              <w:rPr>
                <w:rFonts w:hint="eastAsia" w:ascii="Times New Roman" w:hAnsi="Times New Roman"/>
                <w:color w:val="000000"/>
                <w:sz w:val="21"/>
                <w:szCs w:val="21"/>
              </w:rPr>
              <w:t>√</w:t>
            </w:r>
          </w:p>
        </w:tc>
      </w:tr>
      <w:tr w14:paraId="344AD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931" w:type="dxa"/>
            <w:tcBorders>
              <w:left w:val="single" w:color="auto" w:sz="4" w:space="0"/>
            </w:tcBorders>
            <w:noWrap w:val="0"/>
            <w:vAlign w:val="top"/>
          </w:tcPr>
          <w:p w14:paraId="619001FC">
            <w:pPr>
              <w:rPr>
                <w:rFonts w:hint="eastAsia" w:ascii="Times New Roman" w:hAnsi="Times New Roman"/>
                <w:bCs/>
                <w:color w:val="000000"/>
                <w:sz w:val="21"/>
                <w:szCs w:val="21"/>
              </w:rPr>
            </w:pPr>
            <w:r>
              <w:rPr>
                <w:rFonts w:hint="eastAsia" w:ascii="Times New Roman" w:hAnsi="Times New Roman"/>
                <w:bCs/>
                <w:color w:val="000000"/>
                <w:sz w:val="21"/>
                <w:szCs w:val="21"/>
              </w:rPr>
              <w:t>第十六单元 抗真菌药及抗病毒药、抗寄生虫药、抗恶性肿瘤药 、影响免疫功能的药物</w:t>
            </w:r>
          </w:p>
        </w:tc>
        <w:tc>
          <w:tcPr>
            <w:tcW w:w="905" w:type="dxa"/>
            <w:noWrap w:val="0"/>
            <w:vAlign w:val="center"/>
          </w:tcPr>
          <w:p w14:paraId="1566AD0F">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851" w:type="dxa"/>
            <w:noWrap w:val="0"/>
            <w:vAlign w:val="center"/>
          </w:tcPr>
          <w:p w14:paraId="270A502B">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793" w:type="dxa"/>
            <w:noWrap w:val="0"/>
            <w:vAlign w:val="center"/>
          </w:tcPr>
          <w:p w14:paraId="7A716697">
            <w:pPr>
              <w:jc w:val="center"/>
              <w:rPr>
                <w:rFonts w:hint="eastAsia" w:ascii="Times New Roman" w:hAnsi="Times New Roman"/>
                <w:color w:val="000000"/>
                <w:sz w:val="21"/>
                <w:szCs w:val="21"/>
              </w:rPr>
            </w:pPr>
          </w:p>
        </w:tc>
        <w:tc>
          <w:tcPr>
            <w:tcW w:w="850" w:type="dxa"/>
            <w:noWrap w:val="0"/>
            <w:vAlign w:val="center"/>
          </w:tcPr>
          <w:p w14:paraId="1D89EE42">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noWrap w:val="0"/>
            <w:vAlign w:val="center"/>
          </w:tcPr>
          <w:p w14:paraId="00678A69">
            <w:pPr>
              <w:jc w:val="center"/>
              <w:rPr>
                <w:rFonts w:hint="eastAsia" w:ascii="Times New Roman" w:hAnsi="Times New Roman"/>
                <w:color w:val="000000"/>
                <w:sz w:val="21"/>
                <w:szCs w:val="21"/>
              </w:rPr>
            </w:pPr>
          </w:p>
        </w:tc>
        <w:tc>
          <w:tcPr>
            <w:tcW w:w="993" w:type="dxa"/>
            <w:tcBorders>
              <w:right w:val="single" w:color="auto" w:sz="12" w:space="0"/>
            </w:tcBorders>
            <w:noWrap w:val="0"/>
            <w:vAlign w:val="center"/>
          </w:tcPr>
          <w:p w14:paraId="0238C6F3">
            <w:pPr>
              <w:jc w:val="center"/>
              <w:rPr>
                <w:rFonts w:ascii="Times New Roman" w:hAnsi="Times New Roman"/>
                <w:color w:val="000000"/>
                <w:sz w:val="21"/>
                <w:szCs w:val="21"/>
              </w:rPr>
            </w:pPr>
            <w:r>
              <w:rPr>
                <w:rFonts w:hint="eastAsia" w:ascii="Times New Roman" w:hAnsi="Times New Roman"/>
                <w:color w:val="000000"/>
                <w:sz w:val="21"/>
                <w:szCs w:val="21"/>
              </w:rPr>
              <w:t>√</w:t>
            </w:r>
          </w:p>
        </w:tc>
        <w:tc>
          <w:tcPr>
            <w:tcW w:w="992" w:type="dxa"/>
            <w:tcBorders>
              <w:right w:val="single" w:color="auto" w:sz="4" w:space="0"/>
            </w:tcBorders>
            <w:noWrap w:val="0"/>
            <w:vAlign w:val="center"/>
          </w:tcPr>
          <w:p w14:paraId="4208FF52">
            <w:pPr>
              <w:jc w:val="center"/>
              <w:rPr>
                <w:rFonts w:ascii="Times New Roman" w:hAnsi="Times New Roman"/>
                <w:color w:val="000000"/>
                <w:sz w:val="21"/>
                <w:szCs w:val="21"/>
              </w:rPr>
            </w:pPr>
            <w:r>
              <w:rPr>
                <w:rFonts w:hint="eastAsia" w:ascii="Times New Roman" w:hAnsi="Times New Roman"/>
                <w:color w:val="000000"/>
                <w:sz w:val="21"/>
                <w:szCs w:val="21"/>
              </w:rPr>
              <w:t>√</w:t>
            </w:r>
          </w:p>
        </w:tc>
      </w:tr>
    </w:tbl>
    <w:p w14:paraId="710FC492">
      <w:pPr>
        <w:spacing w:before="163" w:beforeLines="50" w:after="163" w:afterLines="50"/>
        <w:outlineLvl w:val="1"/>
        <w:rPr>
          <w:rFonts w:ascii="Times New Roman" w:hAnsi="Times New Roman"/>
          <w:b/>
        </w:rPr>
      </w:pPr>
      <w:r>
        <w:rPr>
          <w:rFonts w:hint="eastAsia" w:ascii="Times New Roman" w:hAnsi="Times New Roman"/>
          <w:b/>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12"/>
        <w:gridCol w:w="2415"/>
        <w:gridCol w:w="1738"/>
        <w:gridCol w:w="725"/>
        <w:gridCol w:w="669"/>
        <w:gridCol w:w="717"/>
      </w:tblGrid>
      <w:tr w14:paraId="6183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12" w:type="dxa"/>
            <w:vMerge w:val="restart"/>
            <w:tcBorders>
              <w:top w:val="single" w:color="auto" w:sz="12" w:space="0"/>
              <w:left w:val="single" w:color="auto" w:sz="12" w:space="0"/>
            </w:tcBorders>
            <w:noWrap w:val="0"/>
            <w:vAlign w:val="center"/>
          </w:tcPr>
          <w:p w14:paraId="6E917F5D">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教学单元</w:t>
            </w:r>
          </w:p>
        </w:tc>
        <w:tc>
          <w:tcPr>
            <w:tcW w:w="2415" w:type="dxa"/>
            <w:vMerge w:val="restart"/>
            <w:tcBorders>
              <w:top w:val="single" w:color="auto" w:sz="12" w:space="0"/>
            </w:tcBorders>
            <w:noWrap w:val="0"/>
            <w:vAlign w:val="center"/>
          </w:tcPr>
          <w:p w14:paraId="4A42286E">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教与学方式</w:t>
            </w:r>
          </w:p>
        </w:tc>
        <w:tc>
          <w:tcPr>
            <w:tcW w:w="1738" w:type="dxa"/>
            <w:vMerge w:val="restart"/>
            <w:tcBorders>
              <w:top w:val="single" w:color="auto" w:sz="12" w:space="0"/>
            </w:tcBorders>
            <w:noWrap w:val="0"/>
            <w:vAlign w:val="center"/>
          </w:tcPr>
          <w:p w14:paraId="668A69DC">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考核方式</w:t>
            </w:r>
          </w:p>
        </w:tc>
        <w:tc>
          <w:tcPr>
            <w:tcW w:w="2111" w:type="dxa"/>
            <w:gridSpan w:val="3"/>
            <w:tcBorders>
              <w:top w:val="single" w:color="auto" w:sz="12" w:space="0"/>
              <w:right w:val="single" w:color="auto" w:sz="12" w:space="0"/>
            </w:tcBorders>
            <w:noWrap w:val="0"/>
            <w:vAlign w:val="center"/>
          </w:tcPr>
          <w:p w14:paraId="220EE3DC">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学时分配</w:t>
            </w:r>
          </w:p>
        </w:tc>
      </w:tr>
      <w:tr w14:paraId="63AE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212" w:type="dxa"/>
            <w:vMerge w:val="continue"/>
            <w:tcBorders>
              <w:left w:val="single" w:color="auto" w:sz="12" w:space="0"/>
            </w:tcBorders>
            <w:noWrap w:val="0"/>
            <w:vAlign w:val="top"/>
          </w:tcPr>
          <w:p w14:paraId="0EE19588">
            <w:pPr>
              <w:snapToGrid w:val="0"/>
              <w:jc w:val="center"/>
              <w:rPr>
                <w:rFonts w:hint="eastAsia" w:ascii="宋体" w:hAnsi="宋体" w:eastAsia="宋体" w:cs="宋体"/>
                <w:bCs/>
                <w:color w:val="000000"/>
                <w:sz w:val="21"/>
                <w:szCs w:val="21"/>
              </w:rPr>
            </w:pPr>
          </w:p>
        </w:tc>
        <w:tc>
          <w:tcPr>
            <w:tcW w:w="2415" w:type="dxa"/>
            <w:vMerge w:val="continue"/>
            <w:noWrap w:val="0"/>
            <w:vAlign w:val="top"/>
          </w:tcPr>
          <w:p w14:paraId="3DD5DC13">
            <w:pPr>
              <w:snapToGrid w:val="0"/>
              <w:jc w:val="center"/>
              <w:rPr>
                <w:rFonts w:hint="eastAsia" w:ascii="宋体" w:hAnsi="宋体" w:eastAsia="宋体" w:cs="宋体"/>
                <w:bCs/>
                <w:color w:val="000000"/>
                <w:sz w:val="21"/>
                <w:szCs w:val="21"/>
              </w:rPr>
            </w:pPr>
          </w:p>
        </w:tc>
        <w:tc>
          <w:tcPr>
            <w:tcW w:w="1738" w:type="dxa"/>
            <w:vMerge w:val="continue"/>
            <w:noWrap w:val="0"/>
            <w:vAlign w:val="top"/>
          </w:tcPr>
          <w:p w14:paraId="1D60303C">
            <w:pPr>
              <w:snapToGrid w:val="0"/>
              <w:jc w:val="center"/>
              <w:rPr>
                <w:rFonts w:hint="eastAsia" w:ascii="宋体" w:hAnsi="宋体" w:eastAsia="宋体" w:cs="宋体"/>
                <w:bCs/>
                <w:color w:val="000000"/>
                <w:sz w:val="21"/>
                <w:szCs w:val="21"/>
              </w:rPr>
            </w:pPr>
          </w:p>
        </w:tc>
        <w:tc>
          <w:tcPr>
            <w:tcW w:w="725" w:type="dxa"/>
            <w:noWrap w:val="0"/>
            <w:vAlign w:val="center"/>
          </w:tcPr>
          <w:p w14:paraId="0EBA54ED">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理论</w:t>
            </w:r>
          </w:p>
        </w:tc>
        <w:tc>
          <w:tcPr>
            <w:tcW w:w="669" w:type="dxa"/>
            <w:noWrap w:val="0"/>
            <w:vAlign w:val="center"/>
          </w:tcPr>
          <w:p w14:paraId="115F560D">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实践</w:t>
            </w:r>
          </w:p>
        </w:tc>
        <w:tc>
          <w:tcPr>
            <w:tcW w:w="717" w:type="dxa"/>
            <w:tcBorders>
              <w:right w:val="single" w:color="auto" w:sz="12" w:space="0"/>
            </w:tcBorders>
            <w:noWrap w:val="0"/>
            <w:vAlign w:val="center"/>
          </w:tcPr>
          <w:p w14:paraId="1CA059B3">
            <w:pPr>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小计</w:t>
            </w:r>
          </w:p>
        </w:tc>
      </w:tr>
      <w:tr w14:paraId="1035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30F95742">
            <w:pPr>
              <w:rPr>
                <w:rFonts w:hint="eastAsia" w:ascii="宋体" w:hAnsi="宋体" w:eastAsia="宋体" w:cs="宋体"/>
                <w:color w:val="000000"/>
                <w:sz w:val="21"/>
                <w:szCs w:val="21"/>
              </w:rPr>
            </w:pPr>
            <w:r>
              <w:rPr>
                <w:rFonts w:hint="eastAsia" w:ascii="宋体" w:hAnsi="宋体" w:eastAsia="宋体" w:cs="宋体"/>
                <w:color w:val="000000"/>
                <w:sz w:val="21"/>
                <w:szCs w:val="21"/>
              </w:rPr>
              <w:t>第一单元 药理学总论、药物效应动力学</w:t>
            </w:r>
          </w:p>
        </w:tc>
        <w:tc>
          <w:tcPr>
            <w:tcW w:w="2415" w:type="dxa"/>
            <w:noWrap w:val="0"/>
            <w:vAlign w:val="center"/>
          </w:tcPr>
          <w:p w14:paraId="03EC42FE">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27C25585">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noWrap w:val="0"/>
            <w:vAlign w:val="top"/>
          </w:tcPr>
          <w:p w14:paraId="0EC47B32">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1855B1A8">
            <w:pPr>
              <w:rPr>
                <w:rFonts w:hint="eastAsia" w:ascii="宋体" w:hAnsi="宋体" w:eastAsia="宋体" w:cs="宋体"/>
                <w:color w:val="000000"/>
                <w:sz w:val="21"/>
                <w:szCs w:val="21"/>
              </w:rPr>
            </w:pPr>
            <w:r>
              <w:rPr>
                <w:rFonts w:hint="eastAsia" w:ascii="宋体" w:hAnsi="宋体" w:eastAsia="宋体" w:cs="宋体"/>
                <w:color w:val="000000"/>
                <w:sz w:val="21"/>
                <w:szCs w:val="21"/>
              </w:rPr>
              <w:t>实验报告</w:t>
            </w:r>
          </w:p>
          <w:p w14:paraId="679D1084">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55D5CEA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17CDF54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17" w:type="dxa"/>
            <w:tcBorders>
              <w:right w:val="single" w:color="auto" w:sz="12" w:space="0"/>
            </w:tcBorders>
            <w:noWrap w:val="0"/>
            <w:vAlign w:val="center"/>
          </w:tcPr>
          <w:p w14:paraId="33AECB8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r>
      <w:tr w14:paraId="1EF2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6EA499B2">
            <w:pPr>
              <w:rPr>
                <w:rFonts w:hint="eastAsia" w:ascii="宋体" w:hAnsi="宋体" w:eastAsia="宋体" w:cs="宋体"/>
                <w:color w:val="000000"/>
                <w:sz w:val="21"/>
                <w:szCs w:val="21"/>
              </w:rPr>
            </w:pPr>
            <w:r>
              <w:rPr>
                <w:rFonts w:hint="eastAsia" w:ascii="宋体" w:hAnsi="宋体" w:eastAsia="宋体" w:cs="宋体"/>
                <w:color w:val="000000"/>
                <w:sz w:val="21"/>
                <w:szCs w:val="21"/>
              </w:rPr>
              <w:t>第二单元 药物代谢动力学、影响药物作用的因素</w:t>
            </w:r>
          </w:p>
        </w:tc>
        <w:tc>
          <w:tcPr>
            <w:tcW w:w="2415" w:type="dxa"/>
            <w:noWrap w:val="0"/>
            <w:vAlign w:val="center"/>
          </w:tcPr>
          <w:p w14:paraId="4E72C46B">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4ECF68F0">
            <w:pPr>
              <w:rPr>
                <w:rFonts w:hint="eastAsia" w:ascii="宋体" w:hAnsi="宋体" w:eastAsia="宋体" w:cs="宋体"/>
                <w:color w:val="000000"/>
                <w:sz w:val="21"/>
                <w:szCs w:val="21"/>
              </w:rPr>
            </w:pPr>
            <w:r>
              <w:rPr>
                <w:rFonts w:hint="eastAsia" w:ascii="宋体" w:hAnsi="宋体" w:eastAsia="宋体" w:cs="宋体"/>
                <w:color w:val="000000"/>
                <w:sz w:val="21"/>
                <w:szCs w:val="21"/>
              </w:rPr>
              <w:t>示范教学法</w:t>
            </w:r>
          </w:p>
        </w:tc>
        <w:tc>
          <w:tcPr>
            <w:tcW w:w="1738" w:type="dxa"/>
            <w:noWrap w:val="0"/>
            <w:vAlign w:val="top"/>
          </w:tcPr>
          <w:p w14:paraId="1BF034A7">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71607B0D">
            <w:pPr>
              <w:rPr>
                <w:rFonts w:hint="eastAsia" w:ascii="宋体" w:hAnsi="宋体" w:eastAsia="宋体" w:cs="宋体"/>
                <w:color w:val="000000"/>
                <w:sz w:val="21"/>
                <w:szCs w:val="21"/>
              </w:rPr>
            </w:pPr>
            <w:r>
              <w:rPr>
                <w:rFonts w:hint="eastAsia" w:ascii="宋体" w:hAnsi="宋体" w:eastAsia="宋体" w:cs="宋体"/>
                <w:color w:val="000000"/>
                <w:sz w:val="21"/>
                <w:szCs w:val="21"/>
              </w:rPr>
              <w:t>实验报告</w:t>
            </w:r>
          </w:p>
          <w:p w14:paraId="106AC58A">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00865B7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0BBC20F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17" w:type="dxa"/>
            <w:tcBorders>
              <w:right w:val="single" w:color="auto" w:sz="12" w:space="0"/>
            </w:tcBorders>
            <w:noWrap w:val="0"/>
            <w:vAlign w:val="center"/>
          </w:tcPr>
          <w:p w14:paraId="12B60A2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r>
      <w:tr w14:paraId="0597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59ABBF9D">
            <w:pPr>
              <w:rPr>
                <w:rFonts w:hint="eastAsia" w:ascii="宋体" w:hAnsi="宋体" w:eastAsia="宋体" w:cs="宋体"/>
                <w:color w:val="000000"/>
                <w:sz w:val="21"/>
                <w:szCs w:val="21"/>
              </w:rPr>
            </w:pPr>
            <w:r>
              <w:rPr>
                <w:rFonts w:hint="eastAsia" w:ascii="宋体" w:hAnsi="宋体" w:eastAsia="宋体" w:cs="宋体"/>
                <w:color w:val="000000"/>
                <w:sz w:val="21"/>
                <w:szCs w:val="21"/>
              </w:rPr>
              <w:t>第三单元 传出神经系统药物概述，拟胆碱药、抗胆碱药</w:t>
            </w:r>
          </w:p>
        </w:tc>
        <w:tc>
          <w:tcPr>
            <w:tcW w:w="2415" w:type="dxa"/>
            <w:noWrap w:val="0"/>
            <w:vAlign w:val="center"/>
          </w:tcPr>
          <w:p w14:paraId="33519A98">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7398CC77">
            <w:pPr>
              <w:rPr>
                <w:rFonts w:hint="eastAsia" w:ascii="宋体" w:hAnsi="宋体" w:eastAsia="宋体" w:cs="宋体"/>
                <w:color w:val="000000"/>
                <w:sz w:val="21"/>
                <w:szCs w:val="21"/>
              </w:rPr>
            </w:pPr>
            <w:r>
              <w:rPr>
                <w:rFonts w:hint="eastAsia" w:ascii="宋体" w:hAnsi="宋体" w:eastAsia="宋体" w:cs="宋体"/>
                <w:color w:val="000000"/>
                <w:sz w:val="21"/>
                <w:szCs w:val="21"/>
              </w:rPr>
              <w:t>示范教学法</w:t>
            </w:r>
          </w:p>
        </w:tc>
        <w:tc>
          <w:tcPr>
            <w:tcW w:w="1738" w:type="dxa"/>
            <w:noWrap w:val="0"/>
            <w:vAlign w:val="top"/>
          </w:tcPr>
          <w:p w14:paraId="0E3F5DED">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1C468FEE">
            <w:pPr>
              <w:rPr>
                <w:rFonts w:hint="eastAsia" w:ascii="宋体" w:hAnsi="宋体" w:eastAsia="宋体" w:cs="宋体"/>
                <w:color w:val="000000"/>
                <w:sz w:val="21"/>
                <w:szCs w:val="21"/>
              </w:rPr>
            </w:pPr>
            <w:r>
              <w:rPr>
                <w:rFonts w:hint="eastAsia" w:ascii="宋体" w:hAnsi="宋体" w:eastAsia="宋体" w:cs="宋体"/>
                <w:color w:val="000000"/>
                <w:sz w:val="21"/>
                <w:szCs w:val="21"/>
              </w:rPr>
              <w:t>实验报告</w:t>
            </w:r>
          </w:p>
          <w:p w14:paraId="41C62BEB">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55F2EAC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62F98E03">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17" w:type="dxa"/>
            <w:tcBorders>
              <w:right w:val="single" w:color="auto" w:sz="12" w:space="0"/>
            </w:tcBorders>
            <w:noWrap w:val="0"/>
            <w:vAlign w:val="center"/>
          </w:tcPr>
          <w:p w14:paraId="3FB1D5B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r>
      <w:tr w14:paraId="670A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7ED7909E">
            <w:pPr>
              <w:rPr>
                <w:rFonts w:hint="eastAsia" w:ascii="宋体" w:hAnsi="宋体" w:eastAsia="宋体" w:cs="宋体"/>
                <w:color w:val="000000"/>
                <w:sz w:val="21"/>
                <w:szCs w:val="21"/>
              </w:rPr>
            </w:pPr>
            <w:r>
              <w:rPr>
                <w:rFonts w:hint="eastAsia" w:ascii="宋体" w:hAnsi="宋体" w:eastAsia="宋体" w:cs="宋体"/>
                <w:color w:val="000000"/>
                <w:sz w:val="21"/>
                <w:szCs w:val="21"/>
              </w:rPr>
              <w:t>第四单元 拟肾上腺素药、抗肾上腺素药、麻醉药</w:t>
            </w:r>
          </w:p>
        </w:tc>
        <w:tc>
          <w:tcPr>
            <w:tcW w:w="2415" w:type="dxa"/>
            <w:noWrap w:val="0"/>
            <w:vAlign w:val="center"/>
          </w:tcPr>
          <w:p w14:paraId="054C48A6">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6993C5CE">
            <w:pPr>
              <w:rPr>
                <w:rFonts w:hint="eastAsia" w:ascii="宋体" w:hAnsi="宋体" w:eastAsia="宋体" w:cs="宋体"/>
                <w:color w:val="000000"/>
                <w:sz w:val="21"/>
                <w:szCs w:val="21"/>
              </w:rPr>
            </w:pPr>
            <w:r>
              <w:rPr>
                <w:rFonts w:hint="eastAsia" w:ascii="宋体" w:hAnsi="宋体" w:eastAsia="宋体" w:cs="宋体"/>
                <w:color w:val="000000"/>
                <w:sz w:val="21"/>
                <w:szCs w:val="21"/>
              </w:rPr>
              <w:t>示范教学法</w:t>
            </w:r>
          </w:p>
        </w:tc>
        <w:tc>
          <w:tcPr>
            <w:tcW w:w="1738" w:type="dxa"/>
            <w:noWrap w:val="0"/>
            <w:vAlign w:val="top"/>
          </w:tcPr>
          <w:p w14:paraId="372E8B4C">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6F5638BC">
            <w:pPr>
              <w:rPr>
                <w:rFonts w:hint="eastAsia" w:ascii="宋体" w:hAnsi="宋体" w:eastAsia="宋体" w:cs="宋体"/>
                <w:color w:val="000000"/>
                <w:sz w:val="21"/>
                <w:szCs w:val="21"/>
              </w:rPr>
            </w:pPr>
            <w:r>
              <w:rPr>
                <w:rFonts w:hint="eastAsia" w:ascii="宋体" w:hAnsi="宋体" w:eastAsia="宋体" w:cs="宋体"/>
                <w:color w:val="000000"/>
                <w:sz w:val="21"/>
                <w:szCs w:val="21"/>
              </w:rPr>
              <w:t>实验报告</w:t>
            </w:r>
          </w:p>
          <w:p w14:paraId="0BE2CEA1">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6FB8846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37E45CE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17" w:type="dxa"/>
            <w:tcBorders>
              <w:right w:val="single" w:color="auto" w:sz="12" w:space="0"/>
            </w:tcBorders>
            <w:noWrap w:val="0"/>
            <w:vAlign w:val="center"/>
          </w:tcPr>
          <w:p w14:paraId="47C4F6C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r>
      <w:tr w14:paraId="262A2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64D2A827">
            <w:pPr>
              <w:rPr>
                <w:rFonts w:hint="eastAsia" w:ascii="宋体" w:hAnsi="宋体" w:eastAsia="宋体" w:cs="宋体"/>
                <w:color w:val="000000"/>
                <w:sz w:val="21"/>
                <w:szCs w:val="21"/>
              </w:rPr>
            </w:pPr>
            <w:r>
              <w:rPr>
                <w:rFonts w:hint="eastAsia" w:ascii="宋体" w:hAnsi="宋体" w:eastAsia="宋体" w:cs="宋体"/>
                <w:color w:val="000000"/>
                <w:sz w:val="21"/>
                <w:szCs w:val="21"/>
              </w:rPr>
              <w:t>第五单元 镇静催眠药和抗惊厥药抗癫痫药，抗帕金森病药及抗阿尔茨海默病药</w:t>
            </w:r>
          </w:p>
        </w:tc>
        <w:tc>
          <w:tcPr>
            <w:tcW w:w="2415" w:type="dxa"/>
            <w:noWrap w:val="0"/>
            <w:vAlign w:val="center"/>
          </w:tcPr>
          <w:p w14:paraId="1317C722">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021DCC24">
            <w:pPr>
              <w:rPr>
                <w:rFonts w:hint="eastAsia" w:ascii="宋体" w:hAnsi="宋体" w:eastAsia="宋体" w:cs="宋体"/>
                <w:color w:val="000000"/>
                <w:sz w:val="21"/>
                <w:szCs w:val="21"/>
              </w:rPr>
            </w:pPr>
            <w:r>
              <w:rPr>
                <w:rFonts w:hint="eastAsia" w:ascii="宋体" w:hAnsi="宋体" w:eastAsia="宋体" w:cs="宋体"/>
                <w:color w:val="000000"/>
                <w:sz w:val="21"/>
                <w:szCs w:val="21"/>
              </w:rPr>
              <w:t>示范教学法</w:t>
            </w:r>
          </w:p>
        </w:tc>
        <w:tc>
          <w:tcPr>
            <w:tcW w:w="1738" w:type="dxa"/>
            <w:noWrap w:val="0"/>
            <w:vAlign w:val="top"/>
          </w:tcPr>
          <w:p w14:paraId="7F5CD2EC">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77E5EDC6">
            <w:pPr>
              <w:rPr>
                <w:rFonts w:hint="eastAsia" w:ascii="宋体" w:hAnsi="宋体" w:eastAsia="宋体" w:cs="宋体"/>
                <w:color w:val="000000"/>
                <w:sz w:val="21"/>
                <w:szCs w:val="21"/>
              </w:rPr>
            </w:pPr>
            <w:r>
              <w:rPr>
                <w:rFonts w:hint="eastAsia" w:ascii="宋体" w:hAnsi="宋体" w:eastAsia="宋体" w:cs="宋体"/>
                <w:color w:val="000000"/>
                <w:sz w:val="21"/>
                <w:szCs w:val="21"/>
              </w:rPr>
              <w:t>实验报告</w:t>
            </w:r>
          </w:p>
          <w:p w14:paraId="6FF75307">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03BE809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77C37666">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17" w:type="dxa"/>
            <w:tcBorders>
              <w:right w:val="single" w:color="auto" w:sz="12" w:space="0"/>
            </w:tcBorders>
            <w:noWrap w:val="0"/>
            <w:vAlign w:val="center"/>
          </w:tcPr>
          <w:p w14:paraId="57FCBB1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r>
      <w:tr w14:paraId="305E5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63439EB9">
            <w:pPr>
              <w:rPr>
                <w:rFonts w:hint="eastAsia" w:ascii="宋体" w:hAnsi="宋体" w:eastAsia="宋体" w:cs="宋体"/>
                <w:color w:val="000000"/>
                <w:sz w:val="21"/>
                <w:szCs w:val="21"/>
              </w:rPr>
            </w:pPr>
            <w:r>
              <w:rPr>
                <w:rFonts w:hint="eastAsia" w:ascii="宋体" w:hAnsi="宋体" w:eastAsia="宋体" w:cs="宋体"/>
                <w:color w:val="000000"/>
                <w:sz w:val="21"/>
                <w:szCs w:val="21"/>
              </w:rPr>
              <w:t>第六单元 抗精神失常药镇痛药、解热镇痛抗炎药、枢兴奋药与促大脑功能恢复药</w:t>
            </w:r>
          </w:p>
        </w:tc>
        <w:tc>
          <w:tcPr>
            <w:tcW w:w="2415" w:type="dxa"/>
            <w:noWrap w:val="0"/>
            <w:vAlign w:val="center"/>
          </w:tcPr>
          <w:p w14:paraId="680FE9C4">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508C3689">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noWrap w:val="0"/>
            <w:vAlign w:val="top"/>
          </w:tcPr>
          <w:p w14:paraId="44B93195">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6934CB47">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1E2ABDD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41E9E91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noWrap w:val="0"/>
            <w:vAlign w:val="center"/>
          </w:tcPr>
          <w:p w14:paraId="5907531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7D94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1F6C05E1">
            <w:pPr>
              <w:rPr>
                <w:rFonts w:hint="eastAsia" w:ascii="宋体" w:hAnsi="宋体" w:eastAsia="宋体" w:cs="宋体"/>
                <w:color w:val="000000"/>
                <w:sz w:val="21"/>
                <w:szCs w:val="21"/>
              </w:rPr>
            </w:pPr>
            <w:r>
              <w:rPr>
                <w:rFonts w:hint="eastAsia" w:ascii="宋体" w:hAnsi="宋体" w:eastAsia="宋体" w:cs="宋体"/>
                <w:color w:val="000000"/>
                <w:sz w:val="21"/>
                <w:szCs w:val="21"/>
              </w:rPr>
              <w:t>第七单元 抗高血压药</w:t>
            </w:r>
          </w:p>
        </w:tc>
        <w:tc>
          <w:tcPr>
            <w:tcW w:w="2415" w:type="dxa"/>
            <w:noWrap w:val="0"/>
            <w:vAlign w:val="center"/>
          </w:tcPr>
          <w:p w14:paraId="0671A190">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585D8966">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noWrap w:val="0"/>
            <w:vAlign w:val="top"/>
          </w:tcPr>
          <w:p w14:paraId="0948E15B">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40C174FB">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1BCB50D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245DF64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noWrap w:val="0"/>
            <w:vAlign w:val="center"/>
          </w:tcPr>
          <w:p w14:paraId="02E47AD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6861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6CA069BA">
            <w:pPr>
              <w:rPr>
                <w:rFonts w:hint="eastAsia" w:ascii="宋体" w:hAnsi="宋体" w:eastAsia="宋体" w:cs="宋体"/>
                <w:color w:val="000000"/>
                <w:sz w:val="21"/>
                <w:szCs w:val="21"/>
              </w:rPr>
            </w:pPr>
            <w:r>
              <w:rPr>
                <w:rFonts w:hint="eastAsia" w:ascii="宋体" w:hAnsi="宋体" w:eastAsia="宋体" w:cs="宋体"/>
                <w:color w:val="000000"/>
                <w:sz w:val="21"/>
                <w:szCs w:val="21"/>
              </w:rPr>
              <w:t>第八单元 抗心律失常药、抗充血性心力衰竭药</w:t>
            </w:r>
          </w:p>
        </w:tc>
        <w:tc>
          <w:tcPr>
            <w:tcW w:w="2415" w:type="dxa"/>
            <w:noWrap w:val="0"/>
            <w:vAlign w:val="center"/>
          </w:tcPr>
          <w:p w14:paraId="06040B7C">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795B4128">
            <w:pPr>
              <w:rPr>
                <w:rFonts w:hint="eastAsia" w:ascii="宋体" w:hAnsi="宋体" w:eastAsia="宋体" w:cs="宋体"/>
                <w:color w:val="000000"/>
                <w:sz w:val="21"/>
                <w:szCs w:val="21"/>
              </w:rPr>
            </w:pPr>
            <w:r>
              <w:rPr>
                <w:rFonts w:hint="eastAsia" w:ascii="宋体" w:hAnsi="宋体" w:eastAsia="宋体" w:cs="宋体"/>
                <w:color w:val="000000"/>
                <w:sz w:val="21"/>
                <w:szCs w:val="21"/>
              </w:rPr>
              <w:t>探究教学法</w:t>
            </w:r>
          </w:p>
        </w:tc>
        <w:tc>
          <w:tcPr>
            <w:tcW w:w="1738" w:type="dxa"/>
            <w:noWrap w:val="0"/>
            <w:vAlign w:val="top"/>
          </w:tcPr>
          <w:p w14:paraId="495039E5">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319D1195">
            <w:pPr>
              <w:rPr>
                <w:rFonts w:hint="eastAsia" w:ascii="宋体" w:hAnsi="宋体" w:eastAsia="宋体" w:cs="宋体"/>
                <w:color w:val="000000"/>
                <w:sz w:val="21"/>
                <w:szCs w:val="21"/>
              </w:rPr>
            </w:pPr>
            <w:r>
              <w:rPr>
                <w:rFonts w:hint="eastAsia" w:ascii="宋体" w:hAnsi="宋体" w:eastAsia="宋体" w:cs="宋体"/>
                <w:color w:val="000000"/>
                <w:sz w:val="21"/>
                <w:szCs w:val="21"/>
              </w:rPr>
              <w:t>实验报告</w:t>
            </w:r>
          </w:p>
          <w:p w14:paraId="504CD61D">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016C457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63811428">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17" w:type="dxa"/>
            <w:tcBorders>
              <w:right w:val="single" w:color="auto" w:sz="12" w:space="0"/>
            </w:tcBorders>
            <w:noWrap w:val="0"/>
            <w:vAlign w:val="center"/>
          </w:tcPr>
          <w:p w14:paraId="2FEF1AD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r>
      <w:tr w14:paraId="6CBB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225FB3DF">
            <w:pPr>
              <w:rPr>
                <w:rFonts w:hint="eastAsia" w:ascii="宋体" w:hAnsi="宋体" w:eastAsia="宋体" w:cs="宋体"/>
                <w:color w:val="000000"/>
                <w:sz w:val="21"/>
                <w:szCs w:val="21"/>
              </w:rPr>
            </w:pPr>
            <w:r>
              <w:rPr>
                <w:rFonts w:hint="eastAsia" w:ascii="宋体" w:hAnsi="宋体" w:eastAsia="宋体" w:cs="宋体"/>
                <w:color w:val="000000"/>
                <w:sz w:val="21"/>
                <w:szCs w:val="21"/>
              </w:rPr>
              <w:t>第九单元 抗心绞痛药、调血脂药、利尿药及脱水药</w:t>
            </w:r>
          </w:p>
        </w:tc>
        <w:tc>
          <w:tcPr>
            <w:tcW w:w="2415" w:type="dxa"/>
            <w:noWrap w:val="0"/>
            <w:vAlign w:val="center"/>
          </w:tcPr>
          <w:p w14:paraId="5AED2B07">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3DA6C984">
            <w:pPr>
              <w:rPr>
                <w:rFonts w:hint="eastAsia" w:ascii="宋体" w:hAnsi="宋体" w:eastAsia="宋体" w:cs="宋体"/>
                <w:color w:val="000000"/>
                <w:sz w:val="21"/>
                <w:szCs w:val="21"/>
              </w:rPr>
            </w:pPr>
            <w:r>
              <w:rPr>
                <w:rFonts w:hint="eastAsia" w:ascii="宋体" w:hAnsi="宋体" w:eastAsia="宋体" w:cs="宋体"/>
                <w:color w:val="000000"/>
                <w:sz w:val="21"/>
                <w:szCs w:val="21"/>
              </w:rPr>
              <w:t>探究教学法</w:t>
            </w:r>
          </w:p>
        </w:tc>
        <w:tc>
          <w:tcPr>
            <w:tcW w:w="1738" w:type="dxa"/>
            <w:noWrap w:val="0"/>
            <w:vAlign w:val="top"/>
          </w:tcPr>
          <w:p w14:paraId="4C16A643">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0FA14F96">
            <w:pPr>
              <w:rPr>
                <w:rFonts w:hint="eastAsia" w:ascii="宋体" w:hAnsi="宋体" w:eastAsia="宋体" w:cs="宋体"/>
                <w:color w:val="000000"/>
                <w:sz w:val="21"/>
                <w:szCs w:val="21"/>
              </w:rPr>
            </w:pPr>
            <w:r>
              <w:rPr>
                <w:rFonts w:hint="eastAsia" w:ascii="宋体" w:hAnsi="宋体" w:eastAsia="宋体" w:cs="宋体"/>
                <w:color w:val="000000"/>
                <w:sz w:val="21"/>
                <w:szCs w:val="21"/>
              </w:rPr>
              <w:t>实验报告</w:t>
            </w:r>
          </w:p>
          <w:p w14:paraId="352DE8F4">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2D48C02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3636A913">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17" w:type="dxa"/>
            <w:tcBorders>
              <w:right w:val="single" w:color="auto" w:sz="12" w:space="0"/>
            </w:tcBorders>
            <w:noWrap w:val="0"/>
            <w:vAlign w:val="center"/>
          </w:tcPr>
          <w:p w14:paraId="4DF96A5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r>
      <w:tr w14:paraId="0C6F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5FC9207E">
            <w:pPr>
              <w:rPr>
                <w:rFonts w:hint="eastAsia" w:ascii="宋体" w:hAnsi="宋体" w:eastAsia="宋体" w:cs="宋体"/>
                <w:color w:val="000000"/>
                <w:sz w:val="21"/>
                <w:szCs w:val="21"/>
              </w:rPr>
            </w:pPr>
            <w:r>
              <w:rPr>
                <w:rFonts w:hint="eastAsia" w:ascii="宋体" w:hAnsi="宋体" w:eastAsia="宋体" w:cs="宋体"/>
                <w:color w:val="000000"/>
                <w:sz w:val="21"/>
                <w:szCs w:val="21"/>
              </w:rPr>
              <w:t>第十单元 作用于消化系统的药物、作用于呼吸系统的药物</w:t>
            </w:r>
          </w:p>
        </w:tc>
        <w:tc>
          <w:tcPr>
            <w:tcW w:w="2415" w:type="dxa"/>
            <w:noWrap w:val="0"/>
            <w:vAlign w:val="center"/>
          </w:tcPr>
          <w:p w14:paraId="407C9B65">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41474E58">
            <w:pPr>
              <w:rPr>
                <w:rFonts w:hint="eastAsia" w:ascii="宋体" w:hAnsi="宋体" w:eastAsia="宋体" w:cs="宋体"/>
                <w:color w:val="000000"/>
                <w:sz w:val="21"/>
                <w:szCs w:val="21"/>
              </w:rPr>
            </w:pPr>
            <w:r>
              <w:rPr>
                <w:rFonts w:hint="eastAsia" w:ascii="宋体" w:hAnsi="宋体" w:eastAsia="宋体" w:cs="宋体"/>
                <w:color w:val="000000"/>
                <w:sz w:val="21"/>
                <w:szCs w:val="21"/>
              </w:rPr>
              <w:t>示范教学法</w:t>
            </w:r>
          </w:p>
        </w:tc>
        <w:tc>
          <w:tcPr>
            <w:tcW w:w="1738" w:type="dxa"/>
            <w:noWrap w:val="0"/>
            <w:vAlign w:val="top"/>
          </w:tcPr>
          <w:p w14:paraId="6A14D93E">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5ADCCFFC">
            <w:pPr>
              <w:rPr>
                <w:rFonts w:hint="eastAsia" w:ascii="宋体" w:hAnsi="宋体" w:eastAsia="宋体" w:cs="宋体"/>
                <w:color w:val="000000"/>
                <w:sz w:val="21"/>
                <w:szCs w:val="21"/>
              </w:rPr>
            </w:pPr>
            <w:r>
              <w:rPr>
                <w:rFonts w:hint="eastAsia" w:ascii="宋体" w:hAnsi="宋体" w:eastAsia="宋体" w:cs="宋体"/>
                <w:color w:val="000000"/>
                <w:sz w:val="21"/>
                <w:szCs w:val="21"/>
              </w:rPr>
              <w:t>实验报告</w:t>
            </w:r>
          </w:p>
          <w:p w14:paraId="5BD0748E">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05BFE9B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228417C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717" w:type="dxa"/>
            <w:tcBorders>
              <w:right w:val="single" w:color="auto" w:sz="12" w:space="0"/>
            </w:tcBorders>
            <w:noWrap w:val="0"/>
            <w:vAlign w:val="center"/>
          </w:tcPr>
          <w:p w14:paraId="7FAD188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r>
      <w:tr w14:paraId="5500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13D1E40F">
            <w:pP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第十一单元 子宫平滑肌收缩药与舒张药、作用于血液及造血系统的药物、拟组胺药与抗组胺药  </w:t>
            </w:r>
          </w:p>
        </w:tc>
        <w:tc>
          <w:tcPr>
            <w:tcW w:w="2415" w:type="dxa"/>
            <w:noWrap w:val="0"/>
            <w:vAlign w:val="center"/>
          </w:tcPr>
          <w:p w14:paraId="5406FD1E">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4D1C12FB">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noWrap w:val="0"/>
            <w:vAlign w:val="top"/>
          </w:tcPr>
          <w:p w14:paraId="5ACA4255">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452F6496">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3AE06ED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5147281D">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noWrap w:val="0"/>
            <w:vAlign w:val="center"/>
          </w:tcPr>
          <w:p w14:paraId="7F4D15C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3CC0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1CFD38E6">
            <w:pPr>
              <w:rPr>
                <w:rFonts w:hint="eastAsia" w:ascii="宋体" w:hAnsi="宋体" w:eastAsia="宋体" w:cs="宋体"/>
                <w:color w:val="000000"/>
                <w:sz w:val="21"/>
                <w:szCs w:val="21"/>
              </w:rPr>
            </w:pPr>
            <w:r>
              <w:rPr>
                <w:rFonts w:hint="eastAsia" w:ascii="宋体" w:hAnsi="宋体" w:eastAsia="宋体" w:cs="宋体"/>
                <w:color w:val="000000"/>
                <w:sz w:val="21"/>
                <w:szCs w:val="21"/>
              </w:rPr>
              <w:t>第十二单元肾上腺皮质激素类药、甲状腺激素和抗甲状腺药</w:t>
            </w:r>
          </w:p>
        </w:tc>
        <w:tc>
          <w:tcPr>
            <w:tcW w:w="2415" w:type="dxa"/>
            <w:noWrap w:val="0"/>
            <w:vAlign w:val="center"/>
          </w:tcPr>
          <w:p w14:paraId="5E9FDCCA">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7F58833F">
            <w:pPr>
              <w:rPr>
                <w:rFonts w:hint="eastAsia" w:ascii="宋体" w:hAnsi="宋体" w:eastAsia="宋体" w:cs="宋体"/>
                <w:color w:val="000000"/>
                <w:sz w:val="21"/>
                <w:szCs w:val="21"/>
              </w:rPr>
            </w:pPr>
            <w:r>
              <w:rPr>
                <w:rFonts w:hint="eastAsia" w:ascii="宋体" w:hAnsi="宋体" w:eastAsia="宋体" w:cs="宋体"/>
                <w:color w:val="000000"/>
                <w:sz w:val="21"/>
                <w:szCs w:val="21"/>
              </w:rPr>
              <w:t>示范教学法</w:t>
            </w:r>
          </w:p>
        </w:tc>
        <w:tc>
          <w:tcPr>
            <w:tcW w:w="1738" w:type="dxa"/>
            <w:noWrap w:val="0"/>
            <w:vAlign w:val="top"/>
          </w:tcPr>
          <w:p w14:paraId="2FA7AF49">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32CA75E2">
            <w:pPr>
              <w:rPr>
                <w:rFonts w:hint="eastAsia" w:ascii="宋体" w:hAnsi="宋体" w:eastAsia="宋体" w:cs="宋体"/>
                <w:color w:val="000000"/>
                <w:sz w:val="21"/>
                <w:szCs w:val="21"/>
              </w:rPr>
            </w:pPr>
            <w:r>
              <w:rPr>
                <w:rFonts w:hint="eastAsia" w:ascii="宋体" w:hAnsi="宋体" w:eastAsia="宋体" w:cs="宋体"/>
                <w:color w:val="000000"/>
                <w:sz w:val="21"/>
                <w:szCs w:val="21"/>
              </w:rPr>
              <w:t>实验报告</w:t>
            </w:r>
          </w:p>
          <w:p w14:paraId="6686BA1B">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3C10761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530D3E0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noWrap w:val="0"/>
            <w:vAlign w:val="center"/>
          </w:tcPr>
          <w:p w14:paraId="75B5D6A9">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17D9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2FE90E2A">
            <w:pPr>
              <w:rPr>
                <w:rFonts w:hint="eastAsia" w:ascii="宋体" w:hAnsi="宋体" w:eastAsia="宋体" w:cs="宋体"/>
                <w:color w:val="000000"/>
                <w:sz w:val="21"/>
                <w:szCs w:val="21"/>
              </w:rPr>
            </w:pPr>
            <w:r>
              <w:rPr>
                <w:rFonts w:hint="eastAsia" w:ascii="宋体" w:hAnsi="宋体" w:eastAsia="宋体" w:cs="宋体"/>
                <w:color w:val="000000"/>
                <w:sz w:val="21"/>
                <w:szCs w:val="21"/>
              </w:rPr>
              <w:t>第十三单元胰岛素和口服降血糖药、性激素类药及避孕药、抗骨质疏松症药</w:t>
            </w:r>
          </w:p>
        </w:tc>
        <w:tc>
          <w:tcPr>
            <w:tcW w:w="2415" w:type="dxa"/>
            <w:noWrap w:val="0"/>
            <w:vAlign w:val="center"/>
          </w:tcPr>
          <w:p w14:paraId="77898040">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7D7B3BE1">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noWrap w:val="0"/>
            <w:vAlign w:val="top"/>
          </w:tcPr>
          <w:p w14:paraId="1E5229BD">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2F28564F">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4AEA51BC">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6ECAA52E">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noWrap w:val="0"/>
            <w:vAlign w:val="center"/>
          </w:tcPr>
          <w:p w14:paraId="370A2351">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00F6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0AF42689">
            <w:pPr>
              <w:rPr>
                <w:rFonts w:hint="eastAsia" w:ascii="宋体" w:hAnsi="宋体" w:eastAsia="宋体" w:cs="宋体"/>
                <w:color w:val="000000"/>
                <w:sz w:val="21"/>
                <w:szCs w:val="21"/>
              </w:rPr>
            </w:pPr>
            <w:r>
              <w:rPr>
                <w:rFonts w:hint="eastAsia" w:ascii="宋体" w:hAnsi="宋体" w:eastAsia="宋体" w:cs="宋体"/>
                <w:color w:val="000000"/>
                <w:sz w:val="21"/>
                <w:szCs w:val="21"/>
              </w:rPr>
              <w:t>第十四单元抗菌药概述、抗生素</w:t>
            </w:r>
          </w:p>
        </w:tc>
        <w:tc>
          <w:tcPr>
            <w:tcW w:w="2415" w:type="dxa"/>
            <w:noWrap w:val="0"/>
            <w:vAlign w:val="center"/>
          </w:tcPr>
          <w:p w14:paraId="613312E1">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0AA34796">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noWrap w:val="0"/>
            <w:vAlign w:val="top"/>
          </w:tcPr>
          <w:p w14:paraId="7B93FFC0">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1A511C0F">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133448F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4F10D0F0">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noWrap w:val="0"/>
            <w:vAlign w:val="center"/>
          </w:tcPr>
          <w:p w14:paraId="32A7D237">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1EC4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4FA7638B">
            <w:pPr>
              <w:rPr>
                <w:rFonts w:hint="eastAsia" w:ascii="宋体" w:hAnsi="宋体" w:eastAsia="宋体" w:cs="宋体"/>
                <w:color w:val="000000"/>
                <w:sz w:val="21"/>
                <w:szCs w:val="21"/>
              </w:rPr>
            </w:pPr>
            <w:r>
              <w:rPr>
                <w:rFonts w:hint="eastAsia" w:ascii="宋体" w:hAnsi="宋体" w:eastAsia="宋体" w:cs="宋体"/>
                <w:color w:val="000000"/>
                <w:sz w:val="21"/>
                <w:szCs w:val="21"/>
              </w:rPr>
              <w:t>第十五单元 人工合成抗菌药、抗结核病药</w:t>
            </w:r>
          </w:p>
        </w:tc>
        <w:tc>
          <w:tcPr>
            <w:tcW w:w="2415" w:type="dxa"/>
            <w:noWrap w:val="0"/>
            <w:vAlign w:val="center"/>
          </w:tcPr>
          <w:p w14:paraId="0DA7F46A">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79377A16">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noWrap w:val="0"/>
            <w:vAlign w:val="top"/>
          </w:tcPr>
          <w:p w14:paraId="1A8F5A8F">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714F41C4">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6A68E31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67F329FB">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noWrap w:val="0"/>
            <w:vAlign w:val="center"/>
          </w:tcPr>
          <w:p w14:paraId="7D86AA1A">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7BB7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212" w:type="dxa"/>
            <w:tcBorders>
              <w:left w:val="single" w:color="auto" w:sz="12" w:space="0"/>
            </w:tcBorders>
            <w:noWrap w:val="0"/>
            <w:vAlign w:val="top"/>
          </w:tcPr>
          <w:p w14:paraId="4EE53465">
            <w:pPr>
              <w:rPr>
                <w:rFonts w:hint="eastAsia" w:ascii="宋体" w:hAnsi="宋体" w:eastAsia="宋体" w:cs="宋体"/>
                <w:color w:val="000000"/>
                <w:sz w:val="21"/>
                <w:szCs w:val="21"/>
              </w:rPr>
            </w:pPr>
            <w:r>
              <w:rPr>
                <w:rFonts w:hint="eastAsia" w:ascii="宋体" w:hAnsi="宋体" w:eastAsia="宋体" w:cs="宋体"/>
                <w:color w:val="000000"/>
                <w:sz w:val="21"/>
                <w:szCs w:val="21"/>
              </w:rPr>
              <w:t>第十六单元 抗真菌药及抗病毒药、抗寄生虫药、抗恶性肿瘤药 、影响免疫功能的药物</w:t>
            </w:r>
          </w:p>
        </w:tc>
        <w:tc>
          <w:tcPr>
            <w:tcW w:w="2415" w:type="dxa"/>
            <w:noWrap w:val="0"/>
            <w:vAlign w:val="center"/>
          </w:tcPr>
          <w:p w14:paraId="61D09719">
            <w:pPr>
              <w:rPr>
                <w:rFonts w:hint="eastAsia" w:ascii="宋体" w:hAnsi="宋体" w:eastAsia="宋体" w:cs="宋体"/>
                <w:color w:val="000000"/>
                <w:sz w:val="21"/>
                <w:szCs w:val="21"/>
              </w:rPr>
            </w:pPr>
            <w:r>
              <w:rPr>
                <w:rFonts w:hint="eastAsia" w:ascii="宋体" w:hAnsi="宋体" w:eastAsia="宋体" w:cs="宋体"/>
                <w:color w:val="000000"/>
                <w:sz w:val="21"/>
                <w:szCs w:val="21"/>
              </w:rPr>
              <w:t>直接教学法</w:t>
            </w:r>
          </w:p>
          <w:p w14:paraId="74D6A8AE">
            <w:pPr>
              <w:rPr>
                <w:rFonts w:hint="eastAsia" w:ascii="宋体" w:hAnsi="宋体" w:eastAsia="宋体" w:cs="宋体"/>
                <w:color w:val="000000"/>
                <w:sz w:val="21"/>
                <w:szCs w:val="21"/>
              </w:rPr>
            </w:pPr>
            <w:r>
              <w:rPr>
                <w:rFonts w:hint="eastAsia" w:ascii="宋体" w:hAnsi="宋体" w:eastAsia="宋体" w:cs="宋体"/>
                <w:color w:val="000000"/>
                <w:sz w:val="21"/>
                <w:szCs w:val="21"/>
              </w:rPr>
              <w:t>讨论教学法</w:t>
            </w:r>
          </w:p>
        </w:tc>
        <w:tc>
          <w:tcPr>
            <w:tcW w:w="1738" w:type="dxa"/>
            <w:noWrap w:val="0"/>
            <w:vAlign w:val="top"/>
          </w:tcPr>
          <w:p w14:paraId="037181BD">
            <w:pPr>
              <w:rPr>
                <w:rFonts w:hint="eastAsia" w:ascii="宋体" w:hAnsi="宋体" w:eastAsia="宋体" w:cs="宋体"/>
                <w:color w:val="000000"/>
                <w:sz w:val="21"/>
                <w:szCs w:val="21"/>
              </w:rPr>
            </w:pPr>
            <w:r>
              <w:rPr>
                <w:rFonts w:hint="eastAsia" w:ascii="宋体" w:hAnsi="宋体" w:eastAsia="宋体" w:cs="宋体"/>
                <w:color w:val="000000"/>
                <w:sz w:val="21"/>
                <w:szCs w:val="21"/>
              </w:rPr>
              <w:t>期末闭卷考试</w:t>
            </w:r>
          </w:p>
          <w:p w14:paraId="271EAF30">
            <w:pPr>
              <w:rPr>
                <w:rFonts w:hint="eastAsia" w:ascii="宋体" w:hAnsi="宋体" w:eastAsia="宋体" w:cs="宋体"/>
                <w:color w:val="000000"/>
                <w:sz w:val="21"/>
                <w:szCs w:val="21"/>
              </w:rPr>
            </w:pPr>
            <w:r>
              <w:rPr>
                <w:rFonts w:hint="eastAsia" w:ascii="宋体" w:hAnsi="宋体" w:eastAsia="宋体" w:cs="宋体"/>
                <w:color w:val="000000"/>
                <w:sz w:val="21"/>
                <w:szCs w:val="21"/>
              </w:rPr>
              <w:t>阶段测验</w:t>
            </w:r>
          </w:p>
        </w:tc>
        <w:tc>
          <w:tcPr>
            <w:tcW w:w="725" w:type="dxa"/>
            <w:noWrap w:val="0"/>
            <w:vAlign w:val="center"/>
          </w:tcPr>
          <w:p w14:paraId="1D3D4B3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669" w:type="dxa"/>
            <w:noWrap w:val="0"/>
            <w:vAlign w:val="center"/>
          </w:tcPr>
          <w:p w14:paraId="3D13C675">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0</w:t>
            </w:r>
          </w:p>
        </w:tc>
        <w:tc>
          <w:tcPr>
            <w:tcW w:w="717" w:type="dxa"/>
            <w:tcBorders>
              <w:right w:val="single" w:color="auto" w:sz="12" w:space="0"/>
            </w:tcBorders>
            <w:noWrap w:val="0"/>
            <w:vAlign w:val="center"/>
          </w:tcPr>
          <w:p w14:paraId="7813883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r>
      <w:tr w14:paraId="565E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noWrap w:val="0"/>
            <w:vAlign w:val="center"/>
          </w:tcPr>
          <w:p w14:paraId="5842588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合计</w:t>
            </w:r>
          </w:p>
        </w:tc>
        <w:tc>
          <w:tcPr>
            <w:tcW w:w="725" w:type="dxa"/>
            <w:tcBorders>
              <w:bottom w:val="single" w:color="auto" w:sz="12" w:space="0"/>
            </w:tcBorders>
            <w:noWrap w:val="0"/>
            <w:vAlign w:val="center"/>
          </w:tcPr>
          <w:p w14:paraId="6F2279E4">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32</w:t>
            </w:r>
          </w:p>
        </w:tc>
        <w:tc>
          <w:tcPr>
            <w:tcW w:w="669" w:type="dxa"/>
            <w:tcBorders>
              <w:bottom w:val="single" w:color="auto" w:sz="12" w:space="0"/>
            </w:tcBorders>
            <w:noWrap w:val="0"/>
            <w:vAlign w:val="center"/>
          </w:tcPr>
          <w:p w14:paraId="0E80B02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717" w:type="dxa"/>
            <w:tcBorders>
              <w:bottom w:val="single" w:color="auto" w:sz="12" w:space="0"/>
              <w:right w:val="single" w:color="auto" w:sz="12" w:space="0"/>
            </w:tcBorders>
            <w:noWrap w:val="0"/>
            <w:vAlign w:val="center"/>
          </w:tcPr>
          <w:p w14:paraId="7F3C6092">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48</w:t>
            </w:r>
          </w:p>
        </w:tc>
      </w:tr>
    </w:tbl>
    <w:p w14:paraId="48545B76">
      <w:pPr>
        <w:spacing w:before="163" w:beforeLines="50" w:after="163" w:afterLines="50"/>
        <w:outlineLvl w:val="1"/>
        <w:rPr>
          <w:rFonts w:ascii="Times New Roman" w:hAnsi="Times New Roman"/>
          <w:b/>
        </w:rPr>
      </w:pPr>
      <w:r>
        <w:rPr>
          <w:rFonts w:hint="eastAsia" w:ascii="Times New Roman" w:hAnsi="Times New Roman"/>
          <w:b/>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2168"/>
        <w:gridCol w:w="3775"/>
        <w:gridCol w:w="862"/>
        <w:gridCol w:w="950"/>
      </w:tblGrid>
      <w:tr w14:paraId="6C1F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noWrap w:val="0"/>
            <w:vAlign w:val="center"/>
          </w:tcPr>
          <w:p w14:paraId="53833281">
            <w:pPr>
              <w:snapToGrid w:val="0"/>
              <w:jc w:val="center"/>
              <w:rPr>
                <w:rFonts w:ascii="Arial" w:hAnsi="Arial" w:eastAsia="黑体"/>
                <w:bCs/>
                <w:color w:val="000000"/>
                <w:sz w:val="21"/>
                <w:szCs w:val="20"/>
              </w:rPr>
            </w:pPr>
            <w:r>
              <w:rPr>
                <w:rFonts w:hint="eastAsia" w:ascii="Arial" w:hAnsi="Arial" w:eastAsia="黑体"/>
                <w:bCs/>
                <w:color w:val="000000"/>
                <w:sz w:val="21"/>
                <w:szCs w:val="20"/>
              </w:rPr>
              <w:t>序号</w:t>
            </w:r>
          </w:p>
        </w:tc>
        <w:tc>
          <w:tcPr>
            <w:tcW w:w="2168" w:type="dxa"/>
            <w:tcBorders>
              <w:top w:val="single" w:color="auto" w:sz="12" w:space="0"/>
              <w:left w:val="single" w:color="auto" w:sz="4" w:space="0"/>
              <w:bottom w:val="single" w:color="auto" w:sz="4" w:space="0"/>
              <w:right w:val="single" w:color="auto" w:sz="4" w:space="0"/>
            </w:tcBorders>
            <w:noWrap w:val="0"/>
            <w:vAlign w:val="center"/>
          </w:tcPr>
          <w:p w14:paraId="717DB253">
            <w:pPr>
              <w:snapToGrid w:val="0"/>
              <w:jc w:val="center"/>
              <w:rPr>
                <w:rFonts w:ascii="Arial" w:hAnsi="Arial" w:eastAsia="黑体"/>
                <w:bCs/>
                <w:color w:val="000000"/>
                <w:sz w:val="21"/>
                <w:szCs w:val="20"/>
              </w:rPr>
            </w:pPr>
            <w:r>
              <w:rPr>
                <w:rFonts w:hint="eastAsia" w:ascii="Arial" w:hAnsi="Arial" w:eastAsia="黑体"/>
                <w:bCs/>
                <w:color w:val="000000"/>
                <w:sz w:val="21"/>
                <w:szCs w:val="20"/>
              </w:rPr>
              <w:t>实验项目名称</w:t>
            </w:r>
          </w:p>
        </w:tc>
        <w:tc>
          <w:tcPr>
            <w:tcW w:w="3775" w:type="dxa"/>
            <w:tcBorders>
              <w:top w:val="single" w:color="auto" w:sz="12" w:space="0"/>
              <w:left w:val="single" w:color="auto" w:sz="4" w:space="0"/>
              <w:bottom w:val="single" w:color="auto" w:sz="4" w:space="0"/>
              <w:right w:val="single" w:color="auto" w:sz="4" w:space="0"/>
            </w:tcBorders>
            <w:noWrap w:val="0"/>
            <w:vAlign w:val="center"/>
          </w:tcPr>
          <w:p w14:paraId="02C483C3">
            <w:pPr>
              <w:snapToGrid w:val="0"/>
              <w:jc w:val="center"/>
              <w:rPr>
                <w:rFonts w:ascii="Arial" w:hAnsi="Arial" w:eastAsia="黑体"/>
                <w:bCs/>
                <w:color w:val="000000"/>
                <w:sz w:val="21"/>
                <w:szCs w:val="20"/>
              </w:rPr>
            </w:pPr>
            <w:r>
              <w:rPr>
                <w:rFonts w:hint="eastAsia" w:ascii="Arial" w:hAnsi="Arial" w:eastAsia="黑体"/>
                <w:bCs/>
                <w:color w:val="000000"/>
                <w:sz w:val="21"/>
                <w:szCs w:val="20"/>
              </w:rPr>
              <w:t>目标要求与主要内容</w:t>
            </w:r>
          </w:p>
        </w:tc>
        <w:tc>
          <w:tcPr>
            <w:tcW w:w="862" w:type="dxa"/>
            <w:tcBorders>
              <w:top w:val="single" w:color="auto" w:sz="12" w:space="0"/>
              <w:left w:val="single" w:color="auto" w:sz="4" w:space="0"/>
              <w:right w:val="single" w:color="auto" w:sz="4" w:space="0"/>
            </w:tcBorders>
            <w:noWrap w:val="0"/>
            <w:vAlign w:val="center"/>
          </w:tcPr>
          <w:p w14:paraId="659E72A2">
            <w:pPr>
              <w:snapToGrid w:val="0"/>
              <w:jc w:val="center"/>
              <w:rPr>
                <w:rFonts w:ascii="Arial" w:hAnsi="Arial" w:eastAsia="黑体"/>
                <w:bCs/>
                <w:color w:val="000000"/>
                <w:sz w:val="21"/>
                <w:szCs w:val="20"/>
              </w:rPr>
            </w:pPr>
            <w:r>
              <w:rPr>
                <w:rFonts w:hint="eastAsia" w:ascii="Arial" w:hAnsi="Arial" w:eastAsia="黑体"/>
                <w:bCs/>
                <w:color w:val="000000"/>
                <w:sz w:val="21"/>
                <w:szCs w:val="20"/>
              </w:rPr>
              <w:t>实验</w:t>
            </w:r>
          </w:p>
          <w:p w14:paraId="4A16C9B8">
            <w:pPr>
              <w:snapToGrid w:val="0"/>
              <w:jc w:val="center"/>
              <w:rPr>
                <w:rFonts w:ascii="Arial" w:hAnsi="Arial" w:eastAsia="黑体"/>
                <w:bCs/>
                <w:color w:val="000000"/>
                <w:sz w:val="21"/>
                <w:szCs w:val="20"/>
              </w:rPr>
            </w:pPr>
            <w:r>
              <w:rPr>
                <w:rFonts w:hint="eastAsia" w:ascii="Arial" w:hAnsi="Arial" w:eastAsia="黑体"/>
                <w:bCs/>
                <w:color w:val="000000"/>
                <w:sz w:val="21"/>
                <w:szCs w:val="20"/>
              </w:rPr>
              <w:t>时数</w:t>
            </w:r>
          </w:p>
        </w:tc>
        <w:tc>
          <w:tcPr>
            <w:tcW w:w="950" w:type="dxa"/>
            <w:tcBorders>
              <w:top w:val="single" w:color="auto" w:sz="12" w:space="0"/>
              <w:left w:val="single" w:color="auto" w:sz="4" w:space="0"/>
              <w:right w:val="single" w:color="auto" w:sz="12" w:space="0"/>
            </w:tcBorders>
            <w:noWrap w:val="0"/>
            <w:vAlign w:val="center"/>
          </w:tcPr>
          <w:p w14:paraId="4652A944">
            <w:pPr>
              <w:snapToGrid w:val="0"/>
              <w:jc w:val="center"/>
              <w:rPr>
                <w:rFonts w:ascii="Arial" w:hAnsi="Arial" w:eastAsia="黑体"/>
                <w:bCs/>
                <w:color w:val="000000"/>
                <w:sz w:val="21"/>
                <w:szCs w:val="20"/>
              </w:rPr>
            </w:pPr>
            <w:r>
              <w:rPr>
                <w:rFonts w:hint="eastAsia" w:ascii="Arial" w:hAnsi="Arial" w:eastAsia="黑体"/>
                <w:bCs/>
                <w:color w:val="000000"/>
                <w:sz w:val="21"/>
                <w:szCs w:val="20"/>
              </w:rPr>
              <w:t>实验</w:t>
            </w:r>
          </w:p>
          <w:p w14:paraId="23BE03DA">
            <w:pPr>
              <w:snapToGrid w:val="0"/>
              <w:jc w:val="center"/>
              <w:rPr>
                <w:rFonts w:ascii="Arial" w:hAnsi="Arial" w:eastAsia="黑体"/>
                <w:bCs/>
                <w:color w:val="000000"/>
                <w:sz w:val="21"/>
                <w:szCs w:val="20"/>
              </w:rPr>
            </w:pPr>
            <w:r>
              <w:rPr>
                <w:rFonts w:hint="eastAsia" w:ascii="Arial" w:hAnsi="Arial" w:eastAsia="黑体"/>
                <w:bCs/>
                <w:color w:val="000000"/>
                <w:sz w:val="21"/>
                <w:szCs w:val="20"/>
              </w:rPr>
              <w:t>类型</w:t>
            </w:r>
          </w:p>
        </w:tc>
      </w:tr>
      <w:tr w14:paraId="1852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4278E7C3">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375DDFEC">
            <w:pPr>
              <w:rPr>
                <w:rFonts w:hint="eastAsia" w:ascii="Times New Roman" w:hAnsi="Times New Roman"/>
                <w:color w:val="000000"/>
                <w:sz w:val="21"/>
                <w:szCs w:val="20"/>
              </w:rPr>
            </w:pPr>
            <w:r>
              <w:rPr>
                <w:rFonts w:hint="eastAsia" w:ascii="Times New Roman" w:hAnsi="Times New Roman"/>
                <w:color w:val="000000"/>
                <w:sz w:val="21"/>
                <w:szCs w:val="20"/>
              </w:rPr>
              <w:t>实验一：给药剂量对药物血浓度的影响</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3CC56B3A">
            <w:pPr>
              <w:rPr>
                <w:rFonts w:hint="eastAsia" w:ascii="Times New Roman" w:hAnsi="Times New Roman"/>
                <w:color w:val="000000"/>
                <w:sz w:val="21"/>
                <w:szCs w:val="20"/>
              </w:rPr>
            </w:pPr>
            <w:r>
              <w:rPr>
                <w:rFonts w:hint="eastAsia" w:ascii="Times New Roman" w:hAnsi="Times New Roman"/>
                <w:color w:val="000000"/>
                <w:sz w:val="21"/>
                <w:szCs w:val="20"/>
              </w:rPr>
              <w:t>观察不同给药剂量对药物血药浓度的影响。</w:t>
            </w:r>
          </w:p>
        </w:tc>
        <w:tc>
          <w:tcPr>
            <w:tcW w:w="862" w:type="dxa"/>
            <w:tcBorders>
              <w:left w:val="single" w:color="auto" w:sz="4" w:space="0"/>
              <w:right w:val="single" w:color="auto" w:sz="4" w:space="0"/>
            </w:tcBorders>
            <w:noWrap w:val="0"/>
            <w:vAlign w:val="center"/>
          </w:tcPr>
          <w:p w14:paraId="06AEC32B">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right w:val="single" w:color="auto" w:sz="12" w:space="0"/>
            </w:tcBorders>
            <w:noWrap w:val="0"/>
            <w:vAlign w:val="center"/>
          </w:tcPr>
          <w:p w14:paraId="12A166DF">
            <w:pPr>
              <w:jc w:val="center"/>
              <w:rPr>
                <w:rFonts w:ascii="Times New Roman" w:hAnsi="Times New Roman"/>
                <w:color w:val="000000"/>
                <w:sz w:val="21"/>
                <w:szCs w:val="21"/>
              </w:rPr>
            </w:pPr>
            <w:r>
              <w:rPr>
                <w:rFonts w:hint="eastAsia" w:ascii="Times New Roman" w:hAnsi="Times New Roman"/>
                <w:color w:val="000000"/>
                <w:sz w:val="21"/>
                <w:szCs w:val="21"/>
              </w:rPr>
              <w:t>④</w:t>
            </w:r>
          </w:p>
        </w:tc>
      </w:tr>
      <w:tr w14:paraId="6817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344B9975">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38690158">
            <w:pPr>
              <w:rPr>
                <w:rFonts w:hint="eastAsia" w:ascii="Times New Roman" w:hAnsi="Times New Roman"/>
                <w:color w:val="000000"/>
                <w:sz w:val="21"/>
                <w:szCs w:val="20"/>
              </w:rPr>
            </w:pPr>
            <w:r>
              <w:rPr>
                <w:rFonts w:hint="eastAsia" w:ascii="Times New Roman" w:hAnsi="Times New Roman"/>
                <w:color w:val="000000"/>
                <w:sz w:val="21"/>
                <w:szCs w:val="20"/>
              </w:rPr>
              <w:t>实验二：给药途径对药物血浓度的影响</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0679C4B5">
            <w:pPr>
              <w:rPr>
                <w:rFonts w:hint="eastAsia" w:ascii="Times New Roman" w:hAnsi="Times New Roman"/>
                <w:color w:val="000000"/>
                <w:sz w:val="21"/>
                <w:szCs w:val="20"/>
              </w:rPr>
            </w:pPr>
            <w:r>
              <w:rPr>
                <w:rFonts w:hint="eastAsia" w:ascii="Times New Roman" w:hAnsi="Times New Roman"/>
                <w:color w:val="000000"/>
                <w:sz w:val="21"/>
                <w:szCs w:val="20"/>
              </w:rPr>
              <w:t>观察不同给药途径对药物血药浓度的影响，掌握小白鼠的口服给药法及尾静脉注射法。</w:t>
            </w:r>
          </w:p>
        </w:tc>
        <w:tc>
          <w:tcPr>
            <w:tcW w:w="862" w:type="dxa"/>
            <w:tcBorders>
              <w:left w:val="single" w:color="auto" w:sz="4" w:space="0"/>
              <w:bottom w:val="single" w:color="auto" w:sz="4" w:space="0"/>
              <w:right w:val="single" w:color="auto" w:sz="4" w:space="0"/>
            </w:tcBorders>
            <w:noWrap w:val="0"/>
            <w:vAlign w:val="center"/>
          </w:tcPr>
          <w:p w14:paraId="375FCFF1">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50" w:type="dxa"/>
            <w:tcBorders>
              <w:left w:val="single" w:color="auto" w:sz="4" w:space="0"/>
              <w:bottom w:val="single" w:color="auto" w:sz="4" w:space="0"/>
              <w:right w:val="single" w:color="auto" w:sz="12" w:space="0"/>
            </w:tcBorders>
            <w:noWrap w:val="0"/>
            <w:vAlign w:val="center"/>
          </w:tcPr>
          <w:p w14:paraId="6A48D727">
            <w:pPr>
              <w:jc w:val="center"/>
              <w:rPr>
                <w:rFonts w:ascii="Times New Roman" w:hAnsi="Times New Roman"/>
                <w:color w:val="000000"/>
                <w:sz w:val="21"/>
                <w:szCs w:val="21"/>
              </w:rPr>
            </w:pPr>
            <w:r>
              <w:rPr>
                <w:rFonts w:hint="eastAsia" w:ascii="Times New Roman" w:hAnsi="Times New Roman"/>
                <w:color w:val="000000"/>
                <w:sz w:val="21"/>
                <w:szCs w:val="21"/>
              </w:rPr>
              <w:t>④</w:t>
            </w:r>
          </w:p>
        </w:tc>
      </w:tr>
      <w:tr w14:paraId="7541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6C383CC6">
            <w:pPr>
              <w:jc w:val="center"/>
              <w:rPr>
                <w:rFonts w:hint="eastAsia" w:ascii="Times New Roman" w:hAnsi="Times New Roman"/>
                <w:color w:val="000000"/>
                <w:sz w:val="21"/>
                <w:szCs w:val="21"/>
              </w:rPr>
            </w:pPr>
            <w:r>
              <w:rPr>
                <w:rFonts w:hint="eastAsia" w:ascii="Times New Roman" w:hAnsi="Times New Roman"/>
                <w:color w:val="000000"/>
                <w:sz w:val="21"/>
                <w:szCs w:val="21"/>
              </w:rPr>
              <w:t>3</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01CA025F">
            <w:pPr>
              <w:rPr>
                <w:rFonts w:hint="eastAsia" w:ascii="Times New Roman" w:hAnsi="Times New Roman"/>
                <w:color w:val="000000"/>
                <w:sz w:val="21"/>
                <w:szCs w:val="20"/>
              </w:rPr>
            </w:pPr>
            <w:r>
              <w:rPr>
                <w:rFonts w:hint="eastAsia" w:ascii="Times New Roman" w:hAnsi="Times New Roman"/>
                <w:color w:val="000000"/>
                <w:sz w:val="21"/>
                <w:szCs w:val="20"/>
              </w:rPr>
              <w:t>实验三：药物在体内的分布</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58A73D50">
            <w:pPr>
              <w:rPr>
                <w:rFonts w:hint="eastAsia" w:ascii="Times New Roman" w:hAnsi="Times New Roman"/>
                <w:color w:val="000000"/>
                <w:sz w:val="21"/>
                <w:szCs w:val="20"/>
              </w:rPr>
            </w:pPr>
            <w:r>
              <w:rPr>
                <w:rFonts w:hint="eastAsia" w:ascii="Times New Roman" w:hAnsi="Times New Roman"/>
                <w:color w:val="000000"/>
                <w:sz w:val="21"/>
                <w:szCs w:val="20"/>
              </w:rPr>
              <w:t>观察大鼠口服磺胺嘧啶钠后一定时间血液、肝脏、脑组织中药物的浓度，以了解药物在体内的分布情况。</w:t>
            </w:r>
          </w:p>
        </w:tc>
        <w:tc>
          <w:tcPr>
            <w:tcW w:w="862" w:type="dxa"/>
            <w:tcBorders>
              <w:left w:val="single" w:color="auto" w:sz="4" w:space="0"/>
              <w:bottom w:val="single" w:color="auto" w:sz="4" w:space="0"/>
              <w:right w:val="single" w:color="auto" w:sz="4" w:space="0"/>
            </w:tcBorders>
            <w:noWrap w:val="0"/>
            <w:vAlign w:val="center"/>
          </w:tcPr>
          <w:p w14:paraId="0ACD4D97">
            <w:pPr>
              <w:jc w:val="center"/>
              <w:rPr>
                <w:rFonts w:hint="eastAsia" w:ascii="Times New Roman" w:hAnsi="Times New Roman"/>
                <w:color w:val="000000"/>
                <w:sz w:val="21"/>
                <w:szCs w:val="21"/>
              </w:rPr>
            </w:pPr>
            <w:r>
              <w:rPr>
                <w:rFonts w:hint="eastAsia" w:ascii="Times New Roman" w:hAnsi="Times New Roman"/>
                <w:color w:val="000000"/>
                <w:sz w:val="21"/>
                <w:szCs w:val="21"/>
              </w:rPr>
              <w:t>3</w:t>
            </w:r>
          </w:p>
        </w:tc>
        <w:tc>
          <w:tcPr>
            <w:tcW w:w="950" w:type="dxa"/>
            <w:tcBorders>
              <w:left w:val="single" w:color="auto" w:sz="4" w:space="0"/>
              <w:bottom w:val="single" w:color="auto" w:sz="4" w:space="0"/>
              <w:right w:val="single" w:color="auto" w:sz="12" w:space="0"/>
            </w:tcBorders>
            <w:noWrap w:val="0"/>
            <w:vAlign w:val="center"/>
          </w:tcPr>
          <w:p w14:paraId="149F364A">
            <w:pPr>
              <w:jc w:val="center"/>
              <w:rPr>
                <w:rFonts w:ascii="Times New Roman" w:hAnsi="Times New Roman"/>
                <w:color w:val="000000"/>
                <w:sz w:val="21"/>
                <w:szCs w:val="21"/>
              </w:rPr>
            </w:pPr>
            <w:r>
              <w:rPr>
                <w:rFonts w:hint="eastAsia" w:ascii="Times New Roman" w:hAnsi="Times New Roman"/>
                <w:color w:val="000000"/>
                <w:sz w:val="21"/>
                <w:szCs w:val="21"/>
              </w:rPr>
              <w:t>④</w:t>
            </w:r>
          </w:p>
        </w:tc>
      </w:tr>
      <w:tr w14:paraId="3D3D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4A7A9713">
            <w:pPr>
              <w:jc w:val="center"/>
              <w:rPr>
                <w:rFonts w:hint="eastAsia" w:ascii="Times New Roman" w:hAnsi="Times New Roman"/>
                <w:color w:val="000000"/>
                <w:sz w:val="21"/>
                <w:szCs w:val="21"/>
              </w:rPr>
            </w:pPr>
            <w:r>
              <w:rPr>
                <w:rFonts w:hint="eastAsia" w:ascii="Times New Roman" w:hAnsi="Times New Roman"/>
                <w:color w:val="000000"/>
                <w:sz w:val="21"/>
                <w:szCs w:val="21"/>
              </w:rPr>
              <w:t>4</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776F49C6">
            <w:pPr>
              <w:rPr>
                <w:rFonts w:hint="eastAsia" w:ascii="Times New Roman" w:hAnsi="Times New Roman"/>
                <w:color w:val="000000"/>
                <w:sz w:val="21"/>
                <w:szCs w:val="20"/>
              </w:rPr>
            </w:pPr>
            <w:r>
              <w:rPr>
                <w:rFonts w:hint="eastAsia" w:ascii="Times New Roman" w:hAnsi="Times New Roman"/>
                <w:color w:val="000000"/>
                <w:sz w:val="21"/>
                <w:szCs w:val="20"/>
              </w:rPr>
              <w:t>实验四：传出神经系统药物对血压的影响</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5D5E95EF">
            <w:pPr>
              <w:rPr>
                <w:rFonts w:hint="eastAsia" w:ascii="Times New Roman" w:hAnsi="Times New Roman"/>
                <w:color w:val="000000"/>
                <w:sz w:val="21"/>
                <w:szCs w:val="20"/>
              </w:rPr>
            </w:pPr>
            <w:r>
              <w:rPr>
                <w:rFonts w:hint="eastAsia" w:ascii="Times New Roman" w:hAnsi="Times New Roman"/>
                <w:color w:val="000000"/>
                <w:sz w:val="21"/>
                <w:szCs w:val="20"/>
              </w:rPr>
              <w:t>观察神经体液因素及药物对心血管活动的影响；学习哺乳动物动脉血压的直接测量方法。</w:t>
            </w:r>
          </w:p>
        </w:tc>
        <w:tc>
          <w:tcPr>
            <w:tcW w:w="862" w:type="dxa"/>
            <w:tcBorders>
              <w:left w:val="single" w:color="auto" w:sz="4" w:space="0"/>
              <w:bottom w:val="single" w:color="auto" w:sz="4" w:space="0"/>
              <w:right w:val="single" w:color="auto" w:sz="4" w:space="0"/>
            </w:tcBorders>
            <w:noWrap w:val="0"/>
            <w:vAlign w:val="center"/>
          </w:tcPr>
          <w:p w14:paraId="7D8B206E">
            <w:pPr>
              <w:jc w:val="center"/>
              <w:rPr>
                <w:rFonts w:hint="eastAsia" w:ascii="Times New Roman" w:hAnsi="Times New Roman"/>
                <w:color w:val="000000"/>
                <w:sz w:val="21"/>
                <w:szCs w:val="21"/>
              </w:rPr>
            </w:pPr>
            <w:r>
              <w:rPr>
                <w:rFonts w:hint="eastAsia" w:ascii="Times New Roman" w:hAnsi="Times New Roman"/>
                <w:color w:val="000000"/>
                <w:sz w:val="21"/>
                <w:szCs w:val="21"/>
              </w:rPr>
              <w:t>3</w:t>
            </w:r>
          </w:p>
        </w:tc>
        <w:tc>
          <w:tcPr>
            <w:tcW w:w="950" w:type="dxa"/>
            <w:tcBorders>
              <w:left w:val="single" w:color="auto" w:sz="4" w:space="0"/>
              <w:bottom w:val="single" w:color="auto" w:sz="4" w:space="0"/>
              <w:right w:val="single" w:color="auto" w:sz="12" w:space="0"/>
            </w:tcBorders>
            <w:noWrap w:val="0"/>
            <w:vAlign w:val="center"/>
          </w:tcPr>
          <w:p w14:paraId="67A6F328">
            <w:pPr>
              <w:jc w:val="center"/>
              <w:rPr>
                <w:rFonts w:ascii="Times New Roman" w:hAnsi="Times New Roman"/>
                <w:color w:val="000000"/>
                <w:sz w:val="21"/>
                <w:szCs w:val="21"/>
              </w:rPr>
            </w:pPr>
            <w:r>
              <w:rPr>
                <w:rFonts w:hint="eastAsia" w:ascii="Times New Roman" w:hAnsi="Times New Roman"/>
                <w:color w:val="000000"/>
                <w:sz w:val="21"/>
                <w:szCs w:val="21"/>
              </w:rPr>
              <w:t>④</w:t>
            </w:r>
          </w:p>
        </w:tc>
      </w:tr>
      <w:tr w14:paraId="044B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4DA4C072">
            <w:pPr>
              <w:jc w:val="center"/>
              <w:rPr>
                <w:rFonts w:hint="eastAsia" w:ascii="Times New Roman" w:hAnsi="Times New Roman"/>
                <w:color w:val="000000"/>
                <w:sz w:val="21"/>
                <w:szCs w:val="21"/>
              </w:rPr>
            </w:pPr>
            <w:r>
              <w:rPr>
                <w:rFonts w:hint="eastAsia" w:ascii="Times New Roman" w:hAnsi="Times New Roman"/>
                <w:color w:val="000000"/>
                <w:sz w:val="21"/>
                <w:szCs w:val="21"/>
              </w:rPr>
              <w:t>5</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24D0CBA5">
            <w:pPr>
              <w:rPr>
                <w:rFonts w:hint="eastAsia" w:ascii="Times New Roman" w:hAnsi="Times New Roman"/>
                <w:color w:val="000000"/>
                <w:sz w:val="21"/>
                <w:szCs w:val="20"/>
              </w:rPr>
            </w:pPr>
            <w:r>
              <w:rPr>
                <w:rFonts w:hint="eastAsia" w:ascii="Times New Roman" w:hAnsi="Times New Roman"/>
                <w:color w:val="000000"/>
                <w:sz w:val="21"/>
                <w:szCs w:val="20"/>
              </w:rPr>
              <w:t>实验五：去甲肾上腺素的缩血管作用</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072D5E3A">
            <w:pPr>
              <w:rPr>
                <w:rFonts w:hint="eastAsia" w:ascii="Times New Roman" w:hAnsi="Times New Roman"/>
                <w:color w:val="000000"/>
                <w:sz w:val="21"/>
                <w:szCs w:val="20"/>
              </w:rPr>
            </w:pPr>
            <w:r>
              <w:rPr>
                <w:rFonts w:hint="eastAsia" w:ascii="Times New Roman" w:hAnsi="Times New Roman"/>
                <w:color w:val="000000"/>
                <w:sz w:val="21"/>
                <w:szCs w:val="20"/>
              </w:rPr>
              <w:t>观察去甲肾上腺素的缩血管作用；练习蛙的捉拿及破坏其脑脊髓的方法。</w:t>
            </w:r>
          </w:p>
        </w:tc>
        <w:tc>
          <w:tcPr>
            <w:tcW w:w="862" w:type="dxa"/>
            <w:tcBorders>
              <w:left w:val="single" w:color="auto" w:sz="4" w:space="0"/>
              <w:bottom w:val="single" w:color="auto" w:sz="4" w:space="0"/>
              <w:right w:val="single" w:color="auto" w:sz="4" w:space="0"/>
            </w:tcBorders>
            <w:noWrap w:val="0"/>
            <w:vAlign w:val="center"/>
          </w:tcPr>
          <w:p w14:paraId="6A72645C">
            <w:pPr>
              <w:jc w:val="center"/>
              <w:rPr>
                <w:rFonts w:hint="eastAsia" w:ascii="Times New Roman" w:hAnsi="Times New Roman"/>
                <w:color w:val="000000"/>
                <w:sz w:val="21"/>
                <w:szCs w:val="21"/>
              </w:rPr>
            </w:pPr>
            <w:r>
              <w:rPr>
                <w:rFonts w:hint="eastAsia" w:ascii="Times New Roman" w:hAnsi="Times New Roman"/>
                <w:color w:val="000000"/>
                <w:sz w:val="21"/>
                <w:szCs w:val="21"/>
              </w:rPr>
              <w:t>3</w:t>
            </w:r>
          </w:p>
        </w:tc>
        <w:tc>
          <w:tcPr>
            <w:tcW w:w="950" w:type="dxa"/>
            <w:tcBorders>
              <w:left w:val="single" w:color="auto" w:sz="4" w:space="0"/>
              <w:bottom w:val="single" w:color="auto" w:sz="4" w:space="0"/>
              <w:right w:val="single" w:color="auto" w:sz="12" w:space="0"/>
            </w:tcBorders>
            <w:noWrap w:val="0"/>
            <w:vAlign w:val="center"/>
          </w:tcPr>
          <w:p w14:paraId="08DE52E5">
            <w:pPr>
              <w:jc w:val="center"/>
              <w:rPr>
                <w:rFonts w:ascii="Times New Roman" w:hAnsi="Times New Roman"/>
                <w:color w:val="000000"/>
                <w:sz w:val="21"/>
                <w:szCs w:val="21"/>
              </w:rPr>
            </w:pPr>
            <w:r>
              <w:rPr>
                <w:rFonts w:hint="eastAsia" w:ascii="Times New Roman" w:hAnsi="Times New Roman"/>
                <w:color w:val="000000"/>
                <w:sz w:val="21"/>
                <w:szCs w:val="21"/>
              </w:rPr>
              <w:t>④</w:t>
            </w:r>
          </w:p>
        </w:tc>
      </w:tr>
      <w:tr w14:paraId="4622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noWrap w:val="0"/>
            <w:vAlign w:val="center"/>
          </w:tcPr>
          <w:p w14:paraId="71B2C817">
            <w:pPr>
              <w:jc w:val="center"/>
              <w:rPr>
                <w:rFonts w:hint="eastAsia" w:ascii="Times New Roman" w:hAnsi="Times New Roman"/>
                <w:color w:val="000000"/>
                <w:sz w:val="21"/>
                <w:szCs w:val="21"/>
              </w:rPr>
            </w:pPr>
            <w:r>
              <w:rPr>
                <w:rFonts w:hint="eastAsia" w:ascii="Times New Roman" w:hAnsi="Times New Roman"/>
                <w:color w:val="000000"/>
                <w:sz w:val="21"/>
                <w:szCs w:val="21"/>
              </w:rPr>
              <w:t>6</w:t>
            </w:r>
          </w:p>
        </w:tc>
        <w:tc>
          <w:tcPr>
            <w:tcW w:w="2168" w:type="dxa"/>
            <w:tcBorders>
              <w:top w:val="single" w:color="auto" w:sz="4" w:space="0"/>
              <w:left w:val="single" w:color="auto" w:sz="4" w:space="0"/>
              <w:bottom w:val="single" w:color="auto" w:sz="4" w:space="0"/>
              <w:right w:val="single" w:color="auto" w:sz="4" w:space="0"/>
            </w:tcBorders>
            <w:noWrap w:val="0"/>
            <w:vAlign w:val="center"/>
          </w:tcPr>
          <w:p w14:paraId="38ECC37E">
            <w:pPr>
              <w:rPr>
                <w:rFonts w:hint="eastAsia" w:ascii="Times New Roman" w:hAnsi="Times New Roman"/>
                <w:color w:val="000000"/>
                <w:sz w:val="21"/>
                <w:szCs w:val="20"/>
              </w:rPr>
            </w:pPr>
            <w:r>
              <w:rPr>
                <w:rFonts w:hint="eastAsia" w:ascii="Times New Roman" w:hAnsi="Times New Roman"/>
                <w:color w:val="000000"/>
                <w:sz w:val="21"/>
                <w:szCs w:val="20"/>
              </w:rPr>
              <w:t>实验六：氨茶碱和异丙肾上腺素的平喘作用</w:t>
            </w:r>
          </w:p>
        </w:tc>
        <w:tc>
          <w:tcPr>
            <w:tcW w:w="3775" w:type="dxa"/>
            <w:tcBorders>
              <w:top w:val="single" w:color="auto" w:sz="4" w:space="0"/>
              <w:left w:val="single" w:color="auto" w:sz="4" w:space="0"/>
              <w:bottom w:val="single" w:color="auto" w:sz="4" w:space="0"/>
              <w:right w:val="single" w:color="auto" w:sz="4" w:space="0"/>
            </w:tcBorders>
            <w:noWrap w:val="0"/>
            <w:vAlign w:val="center"/>
          </w:tcPr>
          <w:p w14:paraId="01D73E93">
            <w:pPr>
              <w:rPr>
                <w:rFonts w:hint="eastAsia" w:ascii="Times New Roman" w:hAnsi="Times New Roman"/>
                <w:color w:val="000000"/>
                <w:sz w:val="21"/>
                <w:szCs w:val="20"/>
              </w:rPr>
            </w:pPr>
            <w:r>
              <w:rPr>
                <w:rFonts w:hint="eastAsia" w:ascii="Times New Roman" w:hAnsi="Times New Roman"/>
                <w:color w:val="000000"/>
                <w:sz w:val="21"/>
                <w:szCs w:val="20"/>
              </w:rPr>
              <w:t>学习喷雾乙酰胆碱和组胺引起豚鼠支气管哮喘的实验方法，观察氨茶碱和异丙肾上腺素的平喘作用。</w:t>
            </w:r>
          </w:p>
        </w:tc>
        <w:tc>
          <w:tcPr>
            <w:tcW w:w="862" w:type="dxa"/>
            <w:tcBorders>
              <w:left w:val="single" w:color="auto" w:sz="4" w:space="0"/>
              <w:bottom w:val="single" w:color="auto" w:sz="4" w:space="0"/>
              <w:right w:val="single" w:color="auto" w:sz="4" w:space="0"/>
            </w:tcBorders>
            <w:noWrap w:val="0"/>
            <w:vAlign w:val="center"/>
          </w:tcPr>
          <w:p w14:paraId="4D9D2046">
            <w:pPr>
              <w:jc w:val="center"/>
              <w:rPr>
                <w:rFonts w:hint="eastAsia" w:ascii="Times New Roman" w:hAnsi="Times New Roman"/>
                <w:color w:val="000000"/>
                <w:sz w:val="21"/>
                <w:szCs w:val="21"/>
              </w:rPr>
            </w:pPr>
            <w:r>
              <w:rPr>
                <w:rFonts w:hint="eastAsia" w:ascii="Times New Roman" w:hAnsi="Times New Roman"/>
                <w:color w:val="000000"/>
                <w:sz w:val="21"/>
                <w:szCs w:val="21"/>
              </w:rPr>
              <w:t>3</w:t>
            </w:r>
          </w:p>
        </w:tc>
        <w:tc>
          <w:tcPr>
            <w:tcW w:w="950" w:type="dxa"/>
            <w:tcBorders>
              <w:left w:val="single" w:color="auto" w:sz="4" w:space="0"/>
              <w:bottom w:val="single" w:color="auto" w:sz="4" w:space="0"/>
              <w:right w:val="single" w:color="auto" w:sz="12" w:space="0"/>
            </w:tcBorders>
            <w:noWrap w:val="0"/>
            <w:vAlign w:val="center"/>
          </w:tcPr>
          <w:p w14:paraId="1A14AB8D">
            <w:pPr>
              <w:jc w:val="center"/>
              <w:rPr>
                <w:rFonts w:ascii="Times New Roman" w:hAnsi="Times New Roman"/>
                <w:color w:val="000000"/>
                <w:sz w:val="21"/>
                <w:szCs w:val="21"/>
              </w:rPr>
            </w:pPr>
            <w:r>
              <w:rPr>
                <w:rFonts w:hint="eastAsia" w:ascii="Times New Roman" w:hAnsi="Times New Roman"/>
                <w:color w:val="000000"/>
                <w:sz w:val="21"/>
                <w:szCs w:val="21"/>
              </w:rPr>
              <w:t>④</w:t>
            </w:r>
          </w:p>
        </w:tc>
      </w:tr>
      <w:tr w14:paraId="0532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noWrap w:val="0"/>
            <w:vAlign w:val="center"/>
          </w:tcPr>
          <w:p w14:paraId="5CD77A67">
            <w:pPr>
              <w:jc w:val="center"/>
              <w:rPr>
                <w:rFonts w:ascii="Times New Roman" w:hAnsi="Times New Roman"/>
                <w:color w:val="000000"/>
                <w:sz w:val="21"/>
                <w:szCs w:val="21"/>
              </w:rPr>
            </w:pPr>
            <w:r>
              <w:rPr>
                <w:rFonts w:hint="eastAsia" w:ascii="Times New Roman" w:hAnsi="Times New Roman"/>
                <w:color w:val="000000"/>
                <w:sz w:val="21"/>
                <w:szCs w:val="21"/>
              </w:rPr>
              <w:t>实验类型：①演示型②验证型③设计型④综合型</w:t>
            </w:r>
          </w:p>
        </w:tc>
      </w:tr>
    </w:tbl>
    <w:p w14:paraId="1F68F4AE">
      <w:pPr>
        <w:spacing w:before="326" w:beforeLines="100"/>
        <w:outlineLvl w:val="0"/>
        <w:rPr>
          <w:rFonts w:ascii="Arial" w:hAnsi="Arial" w:eastAsia="黑体"/>
          <w:sz w:val="28"/>
        </w:rPr>
      </w:pPr>
      <w:r>
        <w:rPr>
          <w:rFonts w:hint="eastAsia" w:ascii="Arial" w:hAnsi="Arial" w:eastAsia="黑体"/>
          <w:sz w:val="28"/>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120"/>
        <w:gridCol w:w="1186"/>
        <w:gridCol w:w="6170"/>
      </w:tblGrid>
      <w:tr w14:paraId="62D29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796BEF1E">
            <w:pPr>
              <w:snapToGrid w:val="0"/>
              <w:jc w:val="left"/>
              <w:rPr>
                <w:rFonts w:hint="eastAsia" w:ascii="Arial" w:hAnsi="Arial" w:eastAsia="黑体"/>
                <w:bCs/>
                <w:color w:val="000000"/>
                <w:sz w:val="21"/>
                <w:szCs w:val="20"/>
              </w:rPr>
            </w:pPr>
            <w:r>
              <w:rPr>
                <w:rFonts w:hint="eastAsia" w:ascii="Arial" w:hAnsi="Arial" w:eastAsia="黑体"/>
                <w:bCs/>
                <w:color w:val="000000"/>
                <w:sz w:val="21"/>
                <w:szCs w:val="20"/>
              </w:rPr>
              <w:t>序号</w:t>
            </w:r>
          </w:p>
        </w:tc>
        <w:tc>
          <w:tcPr>
            <w:tcW w:w="1186" w:type="dxa"/>
            <w:noWrap w:val="0"/>
            <w:vAlign w:val="center"/>
          </w:tcPr>
          <w:p w14:paraId="29C614DA">
            <w:pPr>
              <w:snapToGrid w:val="0"/>
              <w:jc w:val="left"/>
              <w:rPr>
                <w:rFonts w:ascii="Arial" w:hAnsi="Arial" w:eastAsia="黑体"/>
                <w:bCs/>
                <w:color w:val="000000"/>
                <w:sz w:val="21"/>
                <w:szCs w:val="20"/>
              </w:rPr>
            </w:pPr>
            <w:r>
              <w:rPr>
                <w:rFonts w:hint="eastAsia" w:ascii="Arial" w:hAnsi="Arial" w:eastAsia="黑体"/>
                <w:bCs/>
                <w:color w:val="000000"/>
                <w:sz w:val="21"/>
                <w:szCs w:val="20"/>
              </w:rPr>
              <w:t>教学模块</w:t>
            </w:r>
          </w:p>
        </w:tc>
        <w:tc>
          <w:tcPr>
            <w:tcW w:w="6170" w:type="dxa"/>
            <w:noWrap w:val="0"/>
            <w:vAlign w:val="center"/>
          </w:tcPr>
          <w:p w14:paraId="1D764242">
            <w:pPr>
              <w:snapToGrid w:val="0"/>
              <w:jc w:val="left"/>
              <w:rPr>
                <w:rFonts w:ascii="Arial" w:hAnsi="Arial" w:eastAsia="黑体"/>
                <w:bCs/>
                <w:color w:val="000000"/>
                <w:sz w:val="21"/>
                <w:szCs w:val="20"/>
              </w:rPr>
            </w:pPr>
            <w:r>
              <w:rPr>
                <w:rFonts w:hint="eastAsia" w:ascii="Arial" w:hAnsi="Arial" w:eastAsia="黑体"/>
                <w:bCs/>
                <w:color w:val="000000"/>
                <w:sz w:val="21"/>
                <w:szCs w:val="20"/>
              </w:rPr>
              <w:t>课程思政教学要点</w:t>
            </w:r>
          </w:p>
        </w:tc>
      </w:tr>
      <w:tr w14:paraId="66C447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40BF8BBF">
            <w:pPr>
              <w:jc w:val="center"/>
              <w:rPr>
                <w:rFonts w:hint="eastAsia" w:ascii="Times New Roman" w:hAnsi="Times New Roman"/>
                <w:color w:val="000000"/>
                <w:sz w:val="21"/>
                <w:szCs w:val="21"/>
              </w:rPr>
            </w:pPr>
            <w:r>
              <w:rPr>
                <w:rFonts w:hint="eastAsia" w:ascii="Times New Roman" w:hAnsi="Times New Roman"/>
                <w:color w:val="000000"/>
                <w:sz w:val="21"/>
                <w:szCs w:val="21"/>
              </w:rPr>
              <w:t>1</w:t>
            </w:r>
          </w:p>
        </w:tc>
        <w:tc>
          <w:tcPr>
            <w:tcW w:w="1186" w:type="dxa"/>
            <w:noWrap w:val="0"/>
            <w:vAlign w:val="center"/>
          </w:tcPr>
          <w:p w14:paraId="0D292298">
            <w:pPr>
              <w:jc w:val="center"/>
              <w:rPr>
                <w:rFonts w:ascii="Times New Roman" w:hAnsi="Times New Roman"/>
                <w:color w:val="000000"/>
                <w:sz w:val="21"/>
                <w:szCs w:val="21"/>
              </w:rPr>
            </w:pPr>
            <w:r>
              <w:rPr>
                <w:rFonts w:hint="eastAsia" w:ascii="Times New Roman" w:hAnsi="Times New Roman"/>
                <w:color w:val="000000"/>
                <w:sz w:val="21"/>
                <w:szCs w:val="21"/>
              </w:rPr>
              <w:t>药理学总论</w:t>
            </w:r>
          </w:p>
        </w:tc>
        <w:tc>
          <w:tcPr>
            <w:tcW w:w="6170" w:type="dxa"/>
            <w:noWrap w:val="0"/>
            <w:vAlign w:val="center"/>
          </w:tcPr>
          <w:p w14:paraId="2745259B">
            <w:pPr>
              <w:jc w:val="left"/>
              <w:rPr>
                <w:rFonts w:hint="eastAsia" w:ascii="Times New Roman" w:hAnsi="Times New Roman"/>
                <w:color w:val="000000"/>
                <w:sz w:val="21"/>
                <w:szCs w:val="21"/>
              </w:rPr>
            </w:pPr>
            <w:r>
              <w:rPr>
                <w:rFonts w:hint="eastAsia" w:ascii="Times New Roman" w:hAnsi="Times New Roman"/>
                <w:color w:val="000000"/>
                <w:sz w:val="21"/>
                <w:szCs w:val="21"/>
              </w:rPr>
              <w:t>1.药物和药理学的发展简史，国内外药理学的发展近况。屠呦呦教授获得诺贝尔奖</w:t>
            </w:r>
            <w:r>
              <w:rPr>
                <w:rFonts w:ascii="Times New Roman" w:hAnsi="Times New Roman"/>
                <w:color w:val="000000"/>
                <w:sz w:val="21"/>
                <w:szCs w:val="21"/>
              </w:rPr>
              <w:t>；</w:t>
            </w:r>
            <w:r>
              <w:rPr>
                <w:rFonts w:hint="eastAsia" w:ascii="Times New Roman" w:hAnsi="Times New Roman"/>
                <w:color w:val="000000"/>
                <w:sz w:val="21"/>
                <w:szCs w:val="21"/>
              </w:rPr>
              <w:t>反应停事件</w:t>
            </w:r>
            <w:r>
              <w:rPr>
                <w:rFonts w:ascii="Times New Roman" w:hAnsi="Times New Roman"/>
                <w:color w:val="000000"/>
                <w:sz w:val="21"/>
                <w:szCs w:val="21"/>
              </w:rPr>
              <w:t>。</w:t>
            </w:r>
          </w:p>
          <w:p w14:paraId="101B79B5">
            <w:pPr>
              <w:jc w:val="left"/>
              <w:rPr>
                <w:rFonts w:ascii="Times New Roman" w:hAnsi="Times New Roman"/>
                <w:color w:val="000000"/>
                <w:sz w:val="21"/>
                <w:szCs w:val="21"/>
              </w:rPr>
            </w:pPr>
            <w:r>
              <w:rPr>
                <w:rFonts w:hint="eastAsia" w:ascii="Times New Roman" w:hAnsi="Times New Roman"/>
                <w:color w:val="000000"/>
                <w:sz w:val="21"/>
                <w:szCs w:val="21"/>
              </w:rPr>
              <w:t>2.这些事件增强爱国情怀及民族自豪感</w:t>
            </w:r>
            <w:r>
              <w:rPr>
                <w:rFonts w:ascii="Times New Roman" w:hAnsi="Times New Roman"/>
                <w:color w:val="000000"/>
                <w:sz w:val="21"/>
                <w:szCs w:val="21"/>
              </w:rPr>
              <w:t>;学生的时代紧迫感</w:t>
            </w:r>
            <w:r>
              <w:rPr>
                <w:rFonts w:hint="eastAsia" w:ascii="Times New Roman" w:hAnsi="Times New Roman"/>
                <w:color w:val="000000"/>
                <w:sz w:val="21"/>
                <w:szCs w:val="21"/>
              </w:rPr>
              <w:t>和责任感</w:t>
            </w:r>
            <w:r>
              <w:rPr>
                <w:rFonts w:ascii="Times New Roman" w:hAnsi="Times New Roman"/>
                <w:color w:val="000000"/>
                <w:sz w:val="21"/>
                <w:szCs w:val="21"/>
              </w:rPr>
              <w:t>；警示学生养成</w:t>
            </w:r>
            <w:r>
              <w:rPr>
                <w:rFonts w:hint="eastAsia" w:ascii="Times New Roman" w:hAnsi="Times New Roman"/>
                <w:color w:val="000000"/>
                <w:sz w:val="21"/>
                <w:szCs w:val="21"/>
              </w:rPr>
              <w:t>良好的职业道德和职业素养</w:t>
            </w:r>
            <w:r>
              <w:rPr>
                <w:rFonts w:ascii="Times New Roman" w:hAnsi="Times New Roman"/>
                <w:color w:val="000000"/>
                <w:sz w:val="21"/>
                <w:szCs w:val="21"/>
              </w:rPr>
              <w:t>。</w:t>
            </w:r>
          </w:p>
        </w:tc>
      </w:tr>
      <w:tr w14:paraId="768A5B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6A4CB1B5">
            <w:pPr>
              <w:jc w:val="center"/>
              <w:rPr>
                <w:rFonts w:hint="eastAsia" w:ascii="Times New Roman" w:hAnsi="Times New Roman"/>
                <w:color w:val="000000"/>
                <w:sz w:val="21"/>
                <w:szCs w:val="21"/>
              </w:rPr>
            </w:pPr>
            <w:r>
              <w:rPr>
                <w:rFonts w:hint="eastAsia" w:ascii="Times New Roman" w:hAnsi="Times New Roman"/>
                <w:color w:val="000000"/>
                <w:sz w:val="21"/>
                <w:szCs w:val="21"/>
              </w:rPr>
              <w:t>2</w:t>
            </w:r>
          </w:p>
        </w:tc>
        <w:tc>
          <w:tcPr>
            <w:tcW w:w="1186" w:type="dxa"/>
            <w:noWrap w:val="0"/>
            <w:vAlign w:val="center"/>
          </w:tcPr>
          <w:p w14:paraId="734D6A4E">
            <w:pPr>
              <w:jc w:val="center"/>
              <w:rPr>
                <w:rFonts w:ascii="Times New Roman" w:hAnsi="Times New Roman"/>
                <w:color w:val="000000"/>
                <w:sz w:val="21"/>
                <w:szCs w:val="21"/>
              </w:rPr>
            </w:pPr>
            <w:r>
              <w:rPr>
                <w:rFonts w:hint="eastAsia" w:ascii="Times New Roman" w:hAnsi="Times New Roman"/>
                <w:color w:val="000000"/>
                <w:sz w:val="21"/>
                <w:szCs w:val="21"/>
              </w:rPr>
              <w:t>传出神经</w:t>
            </w:r>
          </w:p>
          <w:p w14:paraId="7EED7CC8">
            <w:pPr>
              <w:jc w:val="center"/>
              <w:rPr>
                <w:rFonts w:ascii="Times New Roman" w:hAnsi="Times New Roman"/>
                <w:color w:val="000000"/>
                <w:sz w:val="21"/>
                <w:szCs w:val="20"/>
              </w:rPr>
            </w:pPr>
            <w:r>
              <w:rPr>
                <w:rFonts w:hint="eastAsia" w:ascii="Times New Roman" w:hAnsi="Times New Roman"/>
                <w:color w:val="000000"/>
                <w:sz w:val="21"/>
                <w:szCs w:val="21"/>
              </w:rPr>
              <w:t>系统药理</w:t>
            </w:r>
          </w:p>
        </w:tc>
        <w:tc>
          <w:tcPr>
            <w:tcW w:w="6170" w:type="dxa"/>
            <w:noWrap w:val="0"/>
            <w:vAlign w:val="center"/>
          </w:tcPr>
          <w:p w14:paraId="2B1B1015">
            <w:pPr>
              <w:jc w:val="left"/>
              <w:rPr>
                <w:rFonts w:hint="eastAsia" w:ascii="Times New Roman" w:hAnsi="Times New Roman"/>
                <w:color w:val="000000"/>
                <w:sz w:val="21"/>
                <w:szCs w:val="21"/>
              </w:rPr>
            </w:pPr>
            <w:r>
              <w:rPr>
                <w:rFonts w:hint="eastAsia" w:ascii="Times New Roman" w:hAnsi="Times New Roman"/>
                <w:color w:val="000000"/>
                <w:sz w:val="21"/>
                <w:szCs w:val="21"/>
              </w:rPr>
              <w:t>1. 将课堂内容与生活中的实际例子相结合</w:t>
            </w:r>
            <w:r>
              <w:rPr>
                <w:rFonts w:ascii="Times New Roman" w:hAnsi="Times New Roman"/>
                <w:color w:val="000000"/>
                <w:sz w:val="21"/>
                <w:szCs w:val="21"/>
              </w:rPr>
              <w:t>：青霉素导致的过敏性休克说明皮</w:t>
            </w:r>
            <w:r>
              <w:rPr>
                <w:rFonts w:hint="eastAsia" w:ascii="Times New Roman" w:hAnsi="Times New Roman"/>
                <w:color w:val="000000"/>
                <w:sz w:val="21"/>
                <w:szCs w:val="21"/>
              </w:rPr>
              <w:t>试的重要性</w:t>
            </w:r>
            <w:r>
              <w:rPr>
                <w:rFonts w:ascii="Times New Roman" w:hAnsi="Times New Roman"/>
                <w:color w:val="000000"/>
                <w:sz w:val="21"/>
                <w:szCs w:val="21"/>
              </w:rPr>
              <w:t>；在用药护理讲解中引出</w:t>
            </w:r>
            <w:r>
              <w:rPr>
                <w:rFonts w:hint="eastAsia" w:ascii="Times New Roman" w:hAnsi="Times New Roman"/>
                <w:color w:val="000000"/>
                <w:sz w:val="21"/>
                <w:szCs w:val="21"/>
              </w:rPr>
              <w:t>医疗机构不按护理流程致死等严重后果的案例</w:t>
            </w:r>
            <w:r>
              <w:rPr>
                <w:rFonts w:ascii="Times New Roman" w:hAnsi="Times New Roman"/>
                <w:color w:val="000000"/>
                <w:sz w:val="21"/>
                <w:szCs w:val="21"/>
              </w:rPr>
              <w:t>;陈克恢在中药麻黄中分离</w:t>
            </w:r>
            <w:r>
              <w:rPr>
                <w:rFonts w:hint="eastAsia" w:ascii="Times New Roman" w:hAnsi="Times New Roman"/>
                <w:color w:val="000000"/>
                <w:sz w:val="21"/>
                <w:szCs w:val="21"/>
              </w:rPr>
              <w:t>麻黄碱，研究其药理作用，做出巨大贡献</w:t>
            </w:r>
            <w:r>
              <w:rPr>
                <w:rFonts w:ascii="Times New Roman" w:hAnsi="Times New Roman"/>
                <w:color w:val="000000"/>
                <w:sz w:val="21"/>
                <w:szCs w:val="21"/>
              </w:rPr>
              <w:t>；麻黄碱与冰毒结构相似导致被限</w:t>
            </w:r>
            <w:r>
              <w:rPr>
                <w:rFonts w:hint="eastAsia" w:ascii="Times New Roman" w:hAnsi="Times New Roman"/>
                <w:color w:val="000000"/>
                <w:sz w:val="21"/>
                <w:szCs w:val="21"/>
              </w:rPr>
              <w:t>制销售。</w:t>
            </w:r>
          </w:p>
          <w:p w14:paraId="4A2377A0">
            <w:pPr>
              <w:jc w:val="left"/>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 xml:space="preserve"> </w:t>
            </w:r>
            <w:r>
              <w:rPr>
                <w:rFonts w:hint="eastAsia" w:ascii="Times New Roman" w:hAnsi="Times New Roman"/>
                <w:color w:val="000000"/>
                <w:sz w:val="21"/>
                <w:szCs w:val="21"/>
              </w:rPr>
              <w:t>培养学生的学习兴趣的同时，警示学生养成良好的职业道德和职业素养</w:t>
            </w:r>
            <w:r>
              <w:rPr>
                <w:rFonts w:ascii="Times New Roman" w:hAnsi="Times New Roman"/>
                <w:color w:val="000000"/>
                <w:sz w:val="21"/>
                <w:szCs w:val="21"/>
              </w:rPr>
              <w:t>；</w:t>
            </w:r>
            <w:r>
              <w:rPr>
                <w:rFonts w:hint="eastAsia" w:ascii="Times New Roman" w:hAnsi="Times New Roman"/>
                <w:color w:val="000000"/>
                <w:sz w:val="21"/>
                <w:szCs w:val="21"/>
              </w:rPr>
              <w:t>引发学生的法制意识</w:t>
            </w:r>
            <w:r>
              <w:rPr>
                <w:rFonts w:ascii="Times New Roman" w:hAnsi="Times New Roman"/>
                <w:color w:val="000000"/>
                <w:sz w:val="21"/>
                <w:szCs w:val="21"/>
              </w:rPr>
              <w:t>;增</w:t>
            </w:r>
            <w:r>
              <w:rPr>
                <w:rFonts w:hint="eastAsia" w:ascii="Times New Roman" w:hAnsi="Times New Roman"/>
                <w:color w:val="000000"/>
                <w:sz w:val="21"/>
                <w:szCs w:val="21"/>
              </w:rPr>
              <w:t>强爱国情怀和民族自豪感</w:t>
            </w:r>
            <w:r>
              <w:rPr>
                <w:rFonts w:ascii="Times New Roman" w:hAnsi="Times New Roman"/>
                <w:color w:val="000000"/>
                <w:sz w:val="21"/>
                <w:szCs w:val="21"/>
              </w:rPr>
              <w:t>。</w:t>
            </w:r>
          </w:p>
        </w:tc>
      </w:tr>
      <w:tr w14:paraId="31F979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14F44E3A">
            <w:pPr>
              <w:jc w:val="center"/>
              <w:rPr>
                <w:rFonts w:hint="eastAsia" w:ascii="Times New Roman" w:hAnsi="Times New Roman"/>
                <w:color w:val="000000"/>
                <w:sz w:val="21"/>
                <w:szCs w:val="21"/>
              </w:rPr>
            </w:pPr>
            <w:r>
              <w:rPr>
                <w:rFonts w:hint="eastAsia" w:ascii="Times New Roman" w:hAnsi="Times New Roman"/>
                <w:color w:val="000000"/>
                <w:sz w:val="21"/>
                <w:szCs w:val="21"/>
              </w:rPr>
              <w:t>3</w:t>
            </w:r>
          </w:p>
        </w:tc>
        <w:tc>
          <w:tcPr>
            <w:tcW w:w="1186" w:type="dxa"/>
            <w:noWrap w:val="0"/>
            <w:vAlign w:val="center"/>
          </w:tcPr>
          <w:p w14:paraId="726FF9BB">
            <w:pPr>
              <w:jc w:val="center"/>
              <w:rPr>
                <w:rFonts w:ascii="Times New Roman" w:hAnsi="Times New Roman"/>
                <w:color w:val="000000"/>
                <w:sz w:val="21"/>
                <w:szCs w:val="21"/>
              </w:rPr>
            </w:pPr>
            <w:r>
              <w:rPr>
                <w:rFonts w:hint="eastAsia" w:ascii="Times New Roman" w:hAnsi="Times New Roman"/>
                <w:color w:val="000000"/>
                <w:sz w:val="21"/>
                <w:szCs w:val="21"/>
              </w:rPr>
              <w:t>中枢神经</w:t>
            </w:r>
          </w:p>
          <w:p w14:paraId="40B21E34">
            <w:pPr>
              <w:jc w:val="center"/>
              <w:rPr>
                <w:rFonts w:ascii="Times New Roman" w:hAnsi="Times New Roman"/>
                <w:color w:val="000000"/>
                <w:sz w:val="21"/>
                <w:szCs w:val="20"/>
              </w:rPr>
            </w:pPr>
            <w:r>
              <w:rPr>
                <w:rFonts w:hint="eastAsia" w:ascii="Times New Roman" w:hAnsi="Times New Roman"/>
                <w:color w:val="000000"/>
                <w:sz w:val="21"/>
                <w:szCs w:val="21"/>
              </w:rPr>
              <w:t>系统药理</w:t>
            </w:r>
          </w:p>
        </w:tc>
        <w:tc>
          <w:tcPr>
            <w:tcW w:w="6170" w:type="dxa"/>
            <w:noWrap w:val="0"/>
            <w:vAlign w:val="center"/>
          </w:tcPr>
          <w:p w14:paraId="49655D7D">
            <w:pPr>
              <w:jc w:val="left"/>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运用案例讲解麻醉药品滥用导致的后果</w:t>
            </w:r>
            <w:r>
              <w:rPr>
                <w:rFonts w:ascii="Times New Roman" w:hAnsi="Times New Roman"/>
                <w:color w:val="000000"/>
                <w:sz w:val="21"/>
                <w:szCs w:val="21"/>
              </w:rPr>
              <w:t>;前脑叶白质切除术治疗精神分类</w:t>
            </w:r>
            <w:r>
              <w:rPr>
                <w:rFonts w:hint="eastAsia" w:ascii="Times New Roman" w:hAnsi="Times New Roman"/>
                <w:color w:val="000000"/>
                <w:sz w:val="21"/>
                <w:szCs w:val="21"/>
              </w:rPr>
              <w:t>症案例引出氯丙嗪是精神分类症治疗史上的里程碑</w:t>
            </w:r>
            <w:r>
              <w:rPr>
                <w:rFonts w:ascii="Times New Roman" w:hAnsi="Times New Roman"/>
                <w:color w:val="000000"/>
                <w:sz w:val="21"/>
                <w:szCs w:val="21"/>
              </w:rPr>
              <w:t>;英国画家路易斯·韦</w:t>
            </w:r>
            <w:r>
              <w:rPr>
                <w:rFonts w:hint="eastAsia" w:ascii="Times New Roman" w:hAnsi="Times New Roman"/>
                <w:color w:val="000000"/>
                <w:sz w:val="21"/>
                <w:szCs w:val="21"/>
              </w:rPr>
              <w:t>恩案例讲解罹患精神分裂症眼中的世界。</w:t>
            </w:r>
          </w:p>
          <w:p w14:paraId="18F38821">
            <w:pPr>
              <w:jc w:val="left"/>
              <w:rPr>
                <w:rFonts w:ascii="Times New Roman" w:hAnsi="Times New Roman"/>
                <w:color w:val="000000"/>
                <w:sz w:val="21"/>
                <w:szCs w:val="21"/>
              </w:rPr>
            </w:pPr>
            <w:r>
              <w:rPr>
                <w:rFonts w:hint="eastAsia" w:ascii="Times New Roman" w:hAnsi="Times New Roman"/>
                <w:color w:val="000000"/>
                <w:sz w:val="21"/>
                <w:szCs w:val="21"/>
              </w:rPr>
              <w:t>2.吗啡是我国法律上明确定义的毒品，也是世界卫生组织推荐癌症晚期患者缓解病痛的止痛药，人类因为吗啡才能免受各种剧烈疼痛的折磨，因此也被称为现代医学史上最伟大的发明之一。学生通过查阅资料和翻转课堂讨论，求同存异。吗啡究竟是天使还是恶魔，完全取决于使用途径，临床合理使用是救命的天使，滥用享乐则是害人的恶魔。进而培育学生辩证唯物主义思维，实现知识传授与价值引领功能的深度融合。</w:t>
            </w:r>
          </w:p>
        </w:tc>
      </w:tr>
      <w:tr w14:paraId="7C039A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0DD8A071">
            <w:pPr>
              <w:jc w:val="center"/>
              <w:rPr>
                <w:rFonts w:hint="eastAsia" w:ascii="Times New Roman" w:hAnsi="Times New Roman"/>
                <w:color w:val="000000"/>
                <w:sz w:val="21"/>
                <w:szCs w:val="21"/>
              </w:rPr>
            </w:pPr>
            <w:r>
              <w:rPr>
                <w:rFonts w:hint="eastAsia" w:ascii="Times New Roman" w:hAnsi="Times New Roman"/>
                <w:color w:val="000000"/>
                <w:sz w:val="21"/>
                <w:szCs w:val="21"/>
              </w:rPr>
              <w:t>4</w:t>
            </w:r>
          </w:p>
        </w:tc>
        <w:tc>
          <w:tcPr>
            <w:tcW w:w="1186" w:type="dxa"/>
            <w:noWrap w:val="0"/>
            <w:vAlign w:val="center"/>
          </w:tcPr>
          <w:p w14:paraId="089D81D4">
            <w:pPr>
              <w:jc w:val="center"/>
              <w:rPr>
                <w:rFonts w:ascii="Times New Roman" w:hAnsi="Times New Roman"/>
                <w:color w:val="000000"/>
                <w:sz w:val="21"/>
                <w:szCs w:val="21"/>
              </w:rPr>
            </w:pPr>
            <w:r>
              <w:rPr>
                <w:rFonts w:hint="eastAsia" w:ascii="Times New Roman" w:hAnsi="Times New Roman"/>
                <w:color w:val="000000"/>
                <w:sz w:val="21"/>
                <w:szCs w:val="21"/>
              </w:rPr>
              <w:t>心血管</w:t>
            </w:r>
          </w:p>
          <w:p w14:paraId="31B6F320">
            <w:pPr>
              <w:jc w:val="center"/>
              <w:rPr>
                <w:rFonts w:ascii="Times New Roman" w:hAnsi="Times New Roman"/>
                <w:color w:val="000000"/>
                <w:sz w:val="21"/>
                <w:szCs w:val="20"/>
              </w:rPr>
            </w:pPr>
            <w:r>
              <w:rPr>
                <w:rFonts w:hint="eastAsia" w:ascii="Times New Roman" w:hAnsi="Times New Roman"/>
                <w:color w:val="000000"/>
                <w:sz w:val="21"/>
                <w:szCs w:val="21"/>
              </w:rPr>
              <w:t>系统药物</w:t>
            </w:r>
          </w:p>
        </w:tc>
        <w:tc>
          <w:tcPr>
            <w:tcW w:w="6170" w:type="dxa"/>
            <w:noWrap w:val="0"/>
            <w:vAlign w:val="center"/>
          </w:tcPr>
          <w:p w14:paraId="5C623F69">
            <w:pPr>
              <w:jc w:val="left"/>
              <w:rPr>
                <w:rFonts w:hint="eastAsia"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普萘洛尔是治疗冠心病和高血压的经典药物，而后该药物被发现可用于骨质疏松症和黑色素瘤的治疗。培育学生科学精神，形成批判思维，厚植科研创新沃土。</w:t>
            </w:r>
          </w:p>
          <w:p w14:paraId="7532E399">
            <w:pPr>
              <w:jc w:val="left"/>
              <w:rPr>
                <w:rFonts w:hint="eastAsia" w:ascii="Times New Roman" w:hAnsi="Times New Roman"/>
                <w:color w:val="000000"/>
                <w:sz w:val="21"/>
                <w:szCs w:val="21"/>
              </w:rPr>
            </w:pPr>
            <w:r>
              <w:rPr>
                <w:rFonts w:hint="eastAsia" w:ascii="Times New Roman" w:hAnsi="Times New Roman"/>
                <w:color w:val="000000"/>
                <w:sz w:val="21"/>
                <w:szCs w:val="21"/>
              </w:rPr>
              <w:t>2.围绕国际性的疾病节日，如世界高血压日等，设计案例，通过案例中的疾病</w:t>
            </w:r>
            <w:r>
              <w:rPr>
                <w:rFonts w:ascii="Times New Roman" w:hAnsi="Times New Roman"/>
                <w:color w:val="000000"/>
                <w:sz w:val="21"/>
                <w:szCs w:val="21"/>
              </w:rPr>
              <w:t>-药物相关元素，系统化培育医德精神及人文素养。</w:t>
            </w:r>
          </w:p>
          <w:p w14:paraId="4CCA12F4">
            <w:pPr>
              <w:jc w:val="left"/>
              <w:rPr>
                <w:rFonts w:ascii="Times New Roman" w:hAnsi="Times New Roman"/>
                <w:color w:val="000000"/>
                <w:sz w:val="21"/>
                <w:szCs w:val="21"/>
              </w:rPr>
            </w:pPr>
            <w:r>
              <w:rPr>
                <w:rFonts w:hint="eastAsia" w:ascii="Times New Roman" w:hAnsi="Times New Roman"/>
                <w:color w:val="000000"/>
                <w:sz w:val="21"/>
                <w:szCs w:val="21"/>
              </w:rPr>
              <w:t>3.当代我国葛均波院士在全球首次发现心肌桥在</w:t>
            </w:r>
            <w:r>
              <w:rPr>
                <w:rFonts w:ascii="Times New Roman" w:hAnsi="Times New Roman"/>
                <w:color w:val="000000"/>
                <w:sz w:val="21"/>
                <w:szCs w:val="21"/>
              </w:rPr>
              <w:t>IVUS影像中的“半月征”，展现中华民族上下五千年的无尽魅力，提高学生的民族自豪感和文化自信。</w:t>
            </w:r>
          </w:p>
        </w:tc>
      </w:tr>
      <w:tr w14:paraId="29C20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4F100B5E">
            <w:pPr>
              <w:jc w:val="center"/>
              <w:rPr>
                <w:rFonts w:hint="eastAsia" w:ascii="Times New Roman" w:hAnsi="Times New Roman"/>
                <w:color w:val="000000"/>
                <w:sz w:val="21"/>
                <w:szCs w:val="21"/>
              </w:rPr>
            </w:pPr>
            <w:r>
              <w:rPr>
                <w:rFonts w:hint="eastAsia" w:ascii="Times New Roman" w:hAnsi="Times New Roman"/>
                <w:color w:val="000000"/>
                <w:sz w:val="21"/>
                <w:szCs w:val="21"/>
              </w:rPr>
              <w:t>5</w:t>
            </w:r>
          </w:p>
        </w:tc>
        <w:tc>
          <w:tcPr>
            <w:tcW w:w="1186" w:type="dxa"/>
            <w:noWrap w:val="0"/>
            <w:vAlign w:val="center"/>
          </w:tcPr>
          <w:p w14:paraId="29C6E043">
            <w:pPr>
              <w:jc w:val="center"/>
              <w:rPr>
                <w:rFonts w:ascii="Times New Roman" w:hAnsi="Times New Roman"/>
                <w:color w:val="000000"/>
                <w:sz w:val="21"/>
                <w:szCs w:val="21"/>
              </w:rPr>
            </w:pPr>
            <w:r>
              <w:rPr>
                <w:rFonts w:hint="eastAsia" w:ascii="Times New Roman" w:hAnsi="Times New Roman"/>
                <w:color w:val="000000"/>
                <w:sz w:val="21"/>
                <w:szCs w:val="21"/>
              </w:rPr>
              <w:t>内脏</w:t>
            </w:r>
          </w:p>
          <w:p w14:paraId="3E166DCA">
            <w:pPr>
              <w:jc w:val="center"/>
              <w:rPr>
                <w:rFonts w:ascii="Times New Roman" w:hAnsi="Times New Roman"/>
                <w:color w:val="000000"/>
                <w:sz w:val="21"/>
                <w:szCs w:val="20"/>
              </w:rPr>
            </w:pPr>
            <w:r>
              <w:rPr>
                <w:rFonts w:hint="eastAsia" w:ascii="Times New Roman" w:hAnsi="Times New Roman"/>
                <w:color w:val="000000"/>
                <w:sz w:val="21"/>
                <w:szCs w:val="21"/>
              </w:rPr>
              <w:t>系统药理</w:t>
            </w:r>
          </w:p>
        </w:tc>
        <w:tc>
          <w:tcPr>
            <w:tcW w:w="6170" w:type="dxa"/>
            <w:noWrap w:val="0"/>
            <w:vAlign w:val="center"/>
          </w:tcPr>
          <w:p w14:paraId="3C5B8E30">
            <w:pPr>
              <w:jc w:val="left"/>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.结合中药剂的发展使学生认识到中药有效成分提取越来越受到行业重视</w:t>
            </w:r>
            <w:r>
              <w:rPr>
                <w:rFonts w:ascii="Times New Roman" w:hAnsi="Times New Roman"/>
                <w:color w:val="000000"/>
                <w:sz w:val="21"/>
                <w:szCs w:val="21"/>
              </w:rPr>
              <w:t>；消化道</w:t>
            </w:r>
            <w:r>
              <w:rPr>
                <w:rFonts w:hint="eastAsia" w:ascii="Times New Roman" w:hAnsi="Times New Roman"/>
                <w:color w:val="000000"/>
                <w:sz w:val="21"/>
                <w:szCs w:val="21"/>
              </w:rPr>
              <w:t>溃疡的防治中号召大家聚餐用公筷，避免出现幽门螺旋杆菌的交叉感染</w:t>
            </w:r>
            <w:r>
              <w:rPr>
                <w:rFonts w:ascii="Times New Roman" w:hAnsi="Times New Roman"/>
                <w:color w:val="000000"/>
                <w:sz w:val="21"/>
                <w:szCs w:val="21"/>
              </w:rPr>
              <w:t>。</w:t>
            </w:r>
          </w:p>
          <w:p w14:paraId="488454C9">
            <w:pPr>
              <w:jc w:val="left"/>
              <w:rPr>
                <w:rFonts w:ascii="Times New Roman" w:hAnsi="Times New Roman"/>
                <w:color w:val="000000"/>
                <w:sz w:val="21"/>
                <w:szCs w:val="21"/>
              </w:rPr>
            </w:pPr>
            <w:r>
              <w:rPr>
                <w:rFonts w:hint="eastAsia" w:ascii="Times New Roman" w:hAnsi="Times New Roman"/>
                <w:color w:val="000000"/>
                <w:sz w:val="21"/>
                <w:szCs w:val="21"/>
              </w:rPr>
              <w:t>2.西咪替丁是治疗消化性胃溃疡的革命性药物，随着深入研究，发现可用于治疗慢性阻塞性肺疾病、</w:t>
            </w:r>
            <w:r>
              <w:rPr>
                <w:rFonts w:ascii="Times New Roman" w:hAnsi="Times New Roman"/>
                <w:color w:val="000000"/>
                <w:sz w:val="21"/>
                <w:szCs w:val="21"/>
              </w:rPr>
              <w:t>HIV病毒感染等。深入剖析客观事物辩证发展的过程，培养学生勇于探索、不断创新的科学精神。</w:t>
            </w:r>
          </w:p>
        </w:tc>
      </w:tr>
      <w:tr w14:paraId="07B7A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77FA485E">
            <w:pPr>
              <w:jc w:val="center"/>
              <w:rPr>
                <w:rFonts w:hint="eastAsia" w:ascii="Times New Roman" w:hAnsi="Times New Roman"/>
                <w:color w:val="000000"/>
                <w:sz w:val="21"/>
                <w:szCs w:val="21"/>
              </w:rPr>
            </w:pPr>
            <w:r>
              <w:rPr>
                <w:rFonts w:hint="eastAsia" w:ascii="Times New Roman" w:hAnsi="Times New Roman"/>
                <w:color w:val="000000"/>
                <w:sz w:val="21"/>
                <w:szCs w:val="21"/>
              </w:rPr>
              <w:t>6</w:t>
            </w:r>
          </w:p>
        </w:tc>
        <w:tc>
          <w:tcPr>
            <w:tcW w:w="1186" w:type="dxa"/>
            <w:noWrap w:val="0"/>
            <w:vAlign w:val="center"/>
          </w:tcPr>
          <w:p w14:paraId="2DA3CD12">
            <w:pPr>
              <w:jc w:val="center"/>
              <w:rPr>
                <w:rFonts w:ascii="Times New Roman" w:hAnsi="Times New Roman"/>
                <w:color w:val="000000"/>
                <w:sz w:val="21"/>
                <w:szCs w:val="21"/>
              </w:rPr>
            </w:pPr>
            <w:r>
              <w:rPr>
                <w:rFonts w:hint="eastAsia" w:ascii="Times New Roman" w:hAnsi="Times New Roman"/>
                <w:color w:val="000000"/>
                <w:sz w:val="21"/>
                <w:szCs w:val="21"/>
              </w:rPr>
              <w:t>内分泌</w:t>
            </w:r>
          </w:p>
          <w:p w14:paraId="7E6B2244">
            <w:pPr>
              <w:jc w:val="center"/>
              <w:rPr>
                <w:rFonts w:ascii="Times New Roman" w:hAnsi="Times New Roman"/>
                <w:color w:val="000000"/>
                <w:sz w:val="21"/>
                <w:szCs w:val="20"/>
              </w:rPr>
            </w:pPr>
            <w:r>
              <w:rPr>
                <w:rFonts w:hint="eastAsia" w:ascii="Times New Roman" w:hAnsi="Times New Roman"/>
                <w:color w:val="000000"/>
                <w:sz w:val="21"/>
                <w:szCs w:val="21"/>
              </w:rPr>
              <w:t>系统药理</w:t>
            </w:r>
          </w:p>
        </w:tc>
        <w:tc>
          <w:tcPr>
            <w:tcW w:w="6170" w:type="dxa"/>
            <w:noWrap w:val="0"/>
            <w:vAlign w:val="center"/>
          </w:tcPr>
          <w:p w14:paraId="5B4C3A02">
            <w:pPr>
              <w:jc w:val="left"/>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糖皮质激素的治疗案例，消除学生对激素使用误解</w:t>
            </w:r>
            <w:r>
              <w:rPr>
                <w:rFonts w:ascii="Times New Roman" w:hAnsi="Times New Roman"/>
                <w:color w:val="000000"/>
                <w:sz w:val="21"/>
                <w:szCs w:val="21"/>
              </w:rPr>
              <w:t>；“激素宝宝霜”案例。</w:t>
            </w:r>
          </w:p>
          <w:p w14:paraId="2B77705D">
            <w:pPr>
              <w:jc w:val="left"/>
              <w:rPr>
                <w:rFonts w:ascii="Times New Roman" w:hAnsi="Times New Roman"/>
                <w:color w:val="000000"/>
                <w:sz w:val="21"/>
                <w:szCs w:val="21"/>
              </w:rPr>
            </w:pPr>
            <w:r>
              <w:rPr>
                <w:rFonts w:hint="eastAsia" w:ascii="Times New Roman" w:hAnsi="Times New Roman"/>
                <w:color w:val="000000"/>
                <w:sz w:val="21"/>
                <w:szCs w:val="21"/>
              </w:rPr>
              <w:t>2.提升学生职业自豪感</w:t>
            </w:r>
            <w:r>
              <w:rPr>
                <w:rFonts w:ascii="Times New Roman" w:hAnsi="Times New Roman"/>
                <w:color w:val="000000"/>
                <w:sz w:val="21"/>
                <w:szCs w:val="21"/>
              </w:rPr>
              <w:t>；培</w:t>
            </w:r>
            <w:r>
              <w:rPr>
                <w:rFonts w:hint="eastAsia" w:ascii="Times New Roman" w:hAnsi="Times New Roman"/>
                <w:color w:val="000000"/>
                <w:sz w:val="21"/>
                <w:szCs w:val="21"/>
              </w:rPr>
              <w:t>养学生社会责任感、医学伦理、形成正确的价值观。</w:t>
            </w:r>
          </w:p>
        </w:tc>
      </w:tr>
      <w:tr w14:paraId="5E2C2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62E6FDAC">
            <w:pPr>
              <w:jc w:val="center"/>
              <w:rPr>
                <w:rFonts w:hint="eastAsia" w:ascii="Times New Roman" w:hAnsi="Times New Roman"/>
                <w:color w:val="000000"/>
                <w:sz w:val="21"/>
                <w:szCs w:val="21"/>
              </w:rPr>
            </w:pPr>
            <w:r>
              <w:rPr>
                <w:rFonts w:hint="eastAsia" w:ascii="Times New Roman" w:hAnsi="Times New Roman"/>
                <w:color w:val="000000"/>
                <w:sz w:val="21"/>
                <w:szCs w:val="21"/>
              </w:rPr>
              <w:t>7</w:t>
            </w:r>
          </w:p>
        </w:tc>
        <w:tc>
          <w:tcPr>
            <w:tcW w:w="1186" w:type="dxa"/>
            <w:noWrap w:val="0"/>
            <w:vAlign w:val="center"/>
          </w:tcPr>
          <w:p w14:paraId="3AABCF02">
            <w:pPr>
              <w:jc w:val="center"/>
              <w:rPr>
                <w:rFonts w:ascii="Times New Roman" w:hAnsi="Times New Roman"/>
                <w:color w:val="000000"/>
                <w:sz w:val="21"/>
                <w:szCs w:val="21"/>
              </w:rPr>
            </w:pPr>
            <w:r>
              <w:rPr>
                <w:rFonts w:hint="eastAsia" w:ascii="Times New Roman" w:hAnsi="Times New Roman"/>
                <w:color w:val="000000"/>
                <w:sz w:val="21"/>
                <w:szCs w:val="21"/>
              </w:rPr>
              <w:t>抗病原微</w:t>
            </w:r>
          </w:p>
          <w:p w14:paraId="58F528C8">
            <w:pPr>
              <w:jc w:val="center"/>
              <w:rPr>
                <w:rFonts w:ascii="Times New Roman" w:hAnsi="Times New Roman"/>
                <w:color w:val="000000"/>
                <w:sz w:val="21"/>
                <w:szCs w:val="20"/>
              </w:rPr>
            </w:pPr>
            <w:r>
              <w:rPr>
                <w:rFonts w:hint="eastAsia" w:ascii="Times New Roman" w:hAnsi="Times New Roman"/>
                <w:color w:val="000000"/>
                <w:sz w:val="21"/>
                <w:szCs w:val="21"/>
              </w:rPr>
              <w:t>生物药物</w:t>
            </w:r>
          </w:p>
        </w:tc>
        <w:tc>
          <w:tcPr>
            <w:tcW w:w="6170" w:type="dxa"/>
            <w:noWrap w:val="0"/>
            <w:vAlign w:val="center"/>
          </w:tcPr>
          <w:p w14:paraId="392F8F80">
            <w:pPr>
              <w:jc w:val="left"/>
              <w:rPr>
                <w:rFonts w:hint="eastAsia"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青霉素的发现</w:t>
            </w:r>
            <w:r>
              <w:rPr>
                <w:rFonts w:ascii="Times New Roman" w:hAnsi="Times New Roman"/>
                <w:color w:val="000000"/>
                <w:sz w:val="21"/>
                <w:szCs w:val="21"/>
              </w:rPr>
              <w:t>；抗生素的滥用案例，超</w:t>
            </w:r>
            <w:r>
              <w:rPr>
                <w:rFonts w:hint="eastAsia" w:ascii="Times New Roman" w:hAnsi="Times New Roman"/>
                <w:color w:val="000000"/>
                <w:sz w:val="21"/>
                <w:szCs w:val="21"/>
              </w:rPr>
              <w:t>级细菌的出现</w:t>
            </w:r>
            <w:r>
              <w:rPr>
                <w:rFonts w:ascii="Times New Roman" w:hAnsi="Times New Roman"/>
                <w:color w:val="000000"/>
                <w:sz w:val="21"/>
                <w:szCs w:val="21"/>
              </w:rPr>
              <w:t>；布置任务在亲朋好友</w:t>
            </w:r>
            <w:r>
              <w:rPr>
                <w:rFonts w:hint="eastAsia" w:ascii="Times New Roman" w:hAnsi="Times New Roman"/>
                <w:color w:val="000000"/>
                <w:sz w:val="21"/>
                <w:szCs w:val="21"/>
              </w:rPr>
              <w:t>中进行健康宣讲。</w:t>
            </w:r>
          </w:p>
          <w:p w14:paraId="23A83A67">
            <w:pPr>
              <w:jc w:val="left"/>
              <w:rPr>
                <w:rFonts w:ascii="Times New Roman" w:hAnsi="Times New Roman"/>
                <w:color w:val="000000"/>
                <w:sz w:val="21"/>
                <w:szCs w:val="21"/>
              </w:rPr>
            </w:pPr>
            <w:r>
              <w:rPr>
                <w:rFonts w:hint="eastAsia" w:ascii="Times New Roman" w:hAnsi="Times New Roman"/>
                <w:color w:val="000000"/>
                <w:sz w:val="21"/>
                <w:szCs w:val="21"/>
              </w:rPr>
              <w:t>2.培养学生社会责任感，严谨的工作态度</w:t>
            </w:r>
            <w:r>
              <w:rPr>
                <w:rFonts w:ascii="Times New Roman" w:hAnsi="Times New Roman"/>
                <w:color w:val="000000"/>
                <w:sz w:val="21"/>
                <w:szCs w:val="21"/>
              </w:rPr>
              <w:t>；提升学生</w:t>
            </w:r>
            <w:r>
              <w:rPr>
                <w:rFonts w:hint="eastAsia" w:ascii="Times New Roman" w:hAnsi="Times New Roman"/>
                <w:color w:val="000000"/>
                <w:sz w:val="21"/>
                <w:szCs w:val="21"/>
              </w:rPr>
              <w:t>的职业自豪感。</w:t>
            </w:r>
          </w:p>
        </w:tc>
      </w:tr>
      <w:tr w14:paraId="29047F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120" w:type="dxa"/>
            <w:noWrap w:val="0"/>
            <w:vAlign w:val="center"/>
          </w:tcPr>
          <w:p w14:paraId="4B7485F6">
            <w:pPr>
              <w:jc w:val="center"/>
              <w:rPr>
                <w:rFonts w:hint="eastAsia" w:ascii="Times New Roman" w:hAnsi="Times New Roman"/>
                <w:color w:val="000000"/>
                <w:sz w:val="21"/>
                <w:szCs w:val="21"/>
              </w:rPr>
            </w:pPr>
            <w:r>
              <w:rPr>
                <w:rFonts w:hint="eastAsia" w:ascii="Times New Roman" w:hAnsi="Times New Roman"/>
                <w:color w:val="000000"/>
                <w:sz w:val="21"/>
                <w:szCs w:val="21"/>
              </w:rPr>
              <w:t>8</w:t>
            </w:r>
          </w:p>
        </w:tc>
        <w:tc>
          <w:tcPr>
            <w:tcW w:w="1186" w:type="dxa"/>
            <w:noWrap w:val="0"/>
            <w:vAlign w:val="center"/>
          </w:tcPr>
          <w:p w14:paraId="23530BAC">
            <w:pPr>
              <w:jc w:val="center"/>
              <w:rPr>
                <w:rFonts w:ascii="Times New Roman" w:hAnsi="Times New Roman"/>
                <w:color w:val="000000"/>
                <w:sz w:val="21"/>
                <w:szCs w:val="20"/>
              </w:rPr>
            </w:pPr>
            <w:r>
              <w:rPr>
                <w:rFonts w:hint="eastAsia" w:ascii="Times New Roman" w:hAnsi="Times New Roman"/>
                <w:color w:val="000000"/>
                <w:sz w:val="21"/>
                <w:szCs w:val="21"/>
              </w:rPr>
              <w:t>药理实验</w:t>
            </w:r>
          </w:p>
        </w:tc>
        <w:tc>
          <w:tcPr>
            <w:tcW w:w="6170" w:type="dxa"/>
            <w:noWrap w:val="0"/>
            <w:vAlign w:val="center"/>
          </w:tcPr>
          <w:p w14:paraId="52D993B3">
            <w:pPr>
              <w:jc w:val="left"/>
              <w:rPr>
                <w:rFonts w:hint="eastAsia"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讲解实验设计原则，空白对照组原则</w:t>
            </w:r>
            <w:r>
              <w:rPr>
                <w:rFonts w:ascii="Times New Roman" w:hAnsi="Times New Roman"/>
                <w:color w:val="000000"/>
                <w:sz w:val="21"/>
                <w:szCs w:val="21"/>
              </w:rPr>
              <w:t>。</w:t>
            </w:r>
          </w:p>
          <w:p w14:paraId="6F544002">
            <w:pPr>
              <w:jc w:val="left"/>
              <w:rPr>
                <w:rFonts w:ascii="Times New Roman" w:hAnsi="Times New Roman"/>
                <w:color w:val="000000"/>
                <w:sz w:val="21"/>
                <w:szCs w:val="21"/>
              </w:rPr>
            </w:pPr>
            <w:r>
              <w:rPr>
                <w:rFonts w:hint="eastAsia" w:ascii="Times New Roman" w:hAnsi="Times New Roman"/>
                <w:color w:val="000000"/>
                <w:sz w:val="21"/>
                <w:szCs w:val="21"/>
              </w:rPr>
              <w:t>2.培养学生严谨的科研素养，训练学生逻辑思维能力。</w:t>
            </w:r>
          </w:p>
        </w:tc>
      </w:tr>
    </w:tbl>
    <w:p w14:paraId="41134C17">
      <w:pPr>
        <w:spacing w:before="326" w:beforeLines="100"/>
        <w:outlineLvl w:val="0"/>
        <w:rPr>
          <w:rFonts w:ascii="Arial" w:hAnsi="Arial" w:eastAsia="黑体"/>
          <w:sz w:val="28"/>
        </w:rPr>
      </w:pPr>
      <w:r>
        <w:rPr>
          <w:rFonts w:hint="eastAsia" w:ascii="Arial" w:hAnsi="Arial" w:eastAsia="黑体"/>
          <w:sz w:val="28"/>
        </w:rPr>
        <w:t>五、</w:t>
      </w:r>
      <w:r>
        <w:rPr>
          <w:rFonts w:ascii="Arial" w:hAnsi="Arial" w:eastAsia="黑体"/>
          <w:sz w:val="28"/>
        </w:rPr>
        <w:t>文理融合、医工融合教学设计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15F6C3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39524BC2">
            <w:pPr>
              <w:snapToGrid w:val="0"/>
              <w:jc w:val="center"/>
              <w:rPr>
                <w:rFonts w:ascii="Arial" w:hAnsi="Arial" w:eastAsia="黑体"/>
                <w:bCs/>
                <w:color w:val="000000"/>
                <w:sz w:val="21"/>
                <w:szCs w:val="20"/>
              </w:rPr>
            </w:pPr>
            <w:r>
              <w:rPr>
                <w:rFonts w:hint="eastAsia" w:ascii="Arial" w:hAnsi="Arial" w:eastAsia="黑体"/>
                <w:bCs/>
                <w:color w:val="000000"/>
                <w:sz w:val="21"/>
                <w:szCs w:val="20"/>
              </w:rPr>
              <w:t>教学单元</w:t>
            </w:r>
          </w:p>
        </w:tc>
        <w:tc>
          <w:tcPr>
            <w:tcW w:w="7176" w:type="dxa"/>
            <w:noWrap w:val="0"/>
            <w:vAlign w:val="center"/>
          </w:tcPr>
          <w:p w14:paraId="2E22C446">
            <w:pPr>
              <w:snapToGrid w:val="0"/>
              <w:jc w:val="center"/>
              <w:rPr>
                <w:rFonts w:ascii="Arial" w:hAnsi="Arial" w:eastAsia="黑体"/>
                <w:bCs/>
                <w:color w:val="000000"/>
                <w:sz w:val="21"/>
                <w:szCs w:val="20"/>
              </w:rPr>
            </w:pPr>
            <w:r>
              <w:rPr>
                <w:rFonts w:ascii="Arial" w:hAnsi="Arial" w:eastAsia="黑体"/>
                <w:bCs/>
                <w:color w:val="000000"/>
                <w:sz w:val="21"/>
                <w:szCs w:val="20"/>
              </w:rPr>
              <w:t>文理融合、医工融合</w:t>
            </w:r>
            <w:r>
              <w:rPr>
                <w:rFonts w:hint="eastAsia" w:ascii="Arial" w:hAnsi="Arial" w:eastAsia="黑体"/>
                <w:bCs/>
                <w:color w:val="000000"/>
                <w:sz w:val="21"/>
                <w:szCs w:val="20"/>
              </w:rPr>
              <w:t>教学要点</w:t>
            </w:r>
          </w:p>
        </w:tc>
      </w:tr>
      <w:tr w14:paraId="1E96B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3BF58909">
            <w:pPr>
              <w:rPr>
                <w:rFonts w:hint="eastAsia" w:ascii="Times New Roman" w:hAnsi="Times New Roman"/>
                <w:color w:val="000000"/>
                <w:sz w:val="21"/>
                <w:szCs w:val="21"/>
              </w:rPr>
            </w:pPr>
            <w:r>
              <w:rPr>
                <w:rFonts w:hint="eastAsia" w:ascii="Times New Roman" w:hAnsi="Times New Roman"/>
                <w:color w:val="000000"/>
                <w:sz w:val="21"/>
                <w:szCs w:val="21"/>
              </w:rPr>
              <w:t>实验一：给药剂量对药物血浓度的影响</w:t>
            </w:r>
          </w:p>
        </w:tc>
        <w:tc>
          <w:tcPr>
            <w:tcW w:w="7176" w:type="dxa"/>
            <w:noWrap w:val="0"/>
            <w:vAlign w:val="center"/>
          </w:tcPr>
          <w:p w14:paraId="232A1DE2">
            <w:pPr>
              <w:rPr>
                <w:rFonts w:hint="eastAsia"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离心机的使用。</w:t>
            </w:r>
          </w:p>
          <w:p w14:paraId="49692E93">
            <w:pPr>
              <w:rPr>
                <w:rFonts w:hint="eastAsia" w:ascii="Times New Roman" w:hAnsi="Times New Roman"/>
                <w:color w:val="000000"/>
                <w:sz w:val="21"/>
                <w:szCs w:val="21"/>
              </w:rPr>
            </w:pPr>
            <w:r>
              <w:rPr>
                <w:rFonts w:hint="eastAsia" w:ascii="Times New Roman" w:hAnsi="Times New Roman"/>
                <w:color w:val="000000"/>
                <w:sz w:val="21"/>
                <w:szCs w:val="19"/>
                <w:shd w:val="clear" w:color="auto" w:fill="FFFFFF"/>
              </w:rPr>
              <w:t>2.分光光度计</w:t>
            </w:r>
            <w:r>
              <w:rPr>
                <w:rFonts w:ascii="Times New Roman" w:hAnsi="Times New Roman"/>
                <w:color w:val="000000"/>
                <w:sz w:val="21"/>
                <w:szCs w:val="21"/>
              </w:rPr>
              <w:t>。</w:t>
            </w:r>
          </w:p>
          <w:p w14:paraId="4E6A7BD5">
            <w:pPr>
              <w:rPr>
                <w:rFonts w:ascii="Times New Roman" w:hAnsi="Times New Roman"/>
                <w:color w:val="000000"/>
                <w:sz w:val="21"/>
                <w:szCs w:val="21"/>
              </w:rPr>
            </w:pPr>
            <w:r>
              <w:rPr>
                <w:rFonts w:hint="eastAsia" w:ascii="Times New Roman" w:hAnsi="Times New Roman"/>
                <w:color w:val="000000"/>
                <w:sz w:val="21"/>
                <w:szCs w:val="21"/>
              </w:rPr>
              <w:t>3. 精准分剂量配药机的介绍。</w:t>
            </w:r>
          </w:p>
        </w:tc>
      </w:tr>
      <w:tr w14:paraId="2B369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6D34440E">
            <w:pPr>
              <w:rPr>
                <w:rFonts w:hint="eastAsia" w:ascii="Times New Roman" w:hAnsi="Times New Roman"/>
                <w:color w:val="000000"/>
                <w:sz w:val="21"/>
                <w:szCs w:val="21"/>
              </w:rPr>
            </w:pPr>
            <w:r>
              <w:rPr>
                <w:rFonts w:hint="eastAsia" w:ascii="Times New Roman" w:hAnsi="Times New Roman"/>
                <w:color w:val="000000"/>
                <w:sz w:val="21"/>
                <w:szCs w:val="21"/>
              </w:rPr>
              <w:t>实验二：给药途径对药物血浓度的影响</w:t>
            </w:r>
          </w:p>
        </w:tc>
        <w:tc>
          <w:tcPr>
            <w:tcW w:w="7176" w:type="dxa"/>
            <w:noWrap w:val="0"/>
            <w:vAlign w:val="center"/>
          </w:tcPr>
          <w:p w14:paraId="210F2457">
            <w:pPr>
              <w:rPr>
                <w:rFonts w:hint="eastAsia"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离心机的使用。</w:t>
            </w:r>
          </w:p>
          <w:p w14:paraId="53D34B77">
            <w:pPr>
              <w:rPr>
                <w:rFonts w:hint="eastAsia" w:ascii="Times New Roman" w:hAnsi="Times New Roman"/>
                <w:color w:val="000000"/>
                <w:sz w:val="21"/>
                <w:szCs w:val="21"/>
              </w:rPr>
            </w:pPr>
            <w:r>
              <w:rPr>
                <w:rFonts w:hint="eastAsia" w:ascii="Times New Roman" w:hAnsi="Times New Roman"/>
                <w:color w:val="000000"/>
                <w:sz w:val="21"/>
                <w:szCs w:val="19"/>
                <w:shd w:val="clear" w:color="auto" w:fill="FFFFFF"/>
              </w:rPr>
              <w:t>2.分光光度计的介绍及使用注意事项。</w:t>
            </w:r>
            <w:r>
              <w:rPr>
                <w:rFonts w:ascii="Times New Roman" w:hAnsi="Times New Roman"/>
                <w:color w:val="000000"/>
                <w:sz w:val="21"/>
                <w:szCs w:val="21"/>
              </w:rPr>
              <w:t xml:space="preserve"> </w:t>
            </w:r>
          </w:p>
          <w:p w14:paraId="1CA8FC20">
            <w:pPr>
              <w:rPr>
                <w:rFonts w:ascii="Times New Roman" w:hAnsi="Times New Roman"/>
                <w:color w:val="000000"/>
                <w:sz w:val="21"/>
                <w:szCs w:val="21"/>
              </w:rPr>
            </w:pPr>
            <w:r>
              <w:rPr>
                <w:rFonts w:hint="eastAsia" w:ascii="Times New Roman" w:hAnsi="Times New Roman"/>
                <w:color w:val="000000"/>
                <w:sz w:val="21"/>
                <w:szCs w:val="21"/>
              </w:rPr>
              <w:t>3.灌胃器的分类介绍。</w:t>
            </w:r>
          </w:p>
        </w:tc>
      </w:tr>
      <w:tr w14:paraId="2F7A1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4A83F07A">
            <w:pPr>
              <w:rPr>
                <w:rFonts w:hint="eastAsia" w:ascii="Times New Roman" w:hAnsi="Times New Roman"/>
                <w:color w:val="000000"/>
                <w:sz w:val="21"/>
                <w:szCs w:val="21"/>
              </w:rPr>
            </w:pPr>
            <w:r>
              <w:rPr>
                <w:rFonts w:hint="eastAsia" w:ascii="Times New Roman" w:hAnsi="Times New Roman"/>
                <w:color w:val="000000"/>
                <w:sz w:val="21"/>
                <w:szCs w:val="21"/>
              </w:rPr>
              <w:t>实验三：药物在体内的分布</w:t>
            </w:r>
          </w:p>
        </w:tc>
        <w:tc>
          <w:tcPr>
            <w:tcW w:w="7176" w:type="dxa"/>
            <w:noWrap w:val="0"/>
            <w:vAlign w:val="center"/>
          </w:tcPr>
          <w:p w14:paraId="0B564E14">
            <w:pPr>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灌胃器的介绍。</w:t>
            </w:r>
          </w:p>
          <w:p w14:paraId="5A53DC9B">
            <w:pPr>
              <w:rPr>
                <w:rFonts w:hint="eastAsia" w:ascii="Times New Roman" w:hAnsi="Times New Roman"/>
                <w:color w:val="000000"/>
                <w:sz w:val="21"/>
                <w:szCs w:val="21"/>
              </w:rPr>
            </w:pPr>
            <w:r>
              <w:rPr>
                <w:rFonts w:hint="eastAsia" w:ascii="Times New Roman" w:hAnsi="Times New Roman"/>
                <w:color w:val="000000"/>
                <w:sz w:val="21"/>
                <w:szCs w:val="21"/>
              </w:rPr>
              <w:t>2. 离心机的使用。</w:t>
            </w:r>
          </w:p>
          <w:p w14:paraId="0EC37FCD">
            <w:pPr>
              <w:rPr>
                <w:rFonts w:hint="eastAsia" w:ascii="Times New Roman" w:hAnsi="Times New Roman"/>
                <w:color w:val="000000"/>
                <w:sz w:val="21"/>
                <w:szCs w:val="21"/>
              </w:rPr>
            </w:pPr>
            <w:r>
              <w:rPr>
                <w:rFonts w:hint="eastAsia" w:ascii="Times New Roman" w:hAnsi="Times New Roman"/>
                <w:color w:val="000000"/>
                <w:sz w:val="21"/>
                <w:szCs w:val="21"/>
              </w:rPr>
              <w:t>3. 组织匀浆器的使用。</w:t>
            </w:r>
          </w:p>
          <w:p w14:paraId="18E4DFBA">
            <w:pPr>
              <w:rPr>
                <w:rFonts w:hint="eastAsia" w:ascii="Times New Roman" w:hAnsi="Times New Roman"/>
                <w:color w:val="000000"/>
                <w:sz w:val="21"/>
                <w:szCs w:val="19"/>
                <w:shd w:val="clear" w:color="auto" w:fill="FFFFFF"/>
              </w:rPr>
            </w:pPr>
            <w:r>
              <w:rPr>
                <w:rFonts w:hint="eastAsia" w:ascii="Times New Roman" w:hAnsi="Times New Roman"/>
                <w:color w:val="000000"/>
                <w:sz w:val="21"/>
                <w:szCs w:val="21"/>
              </w:rPr>
              <w:t>4.</w:t>
            </w:r>
            <w:r>
              <w:rPr>
                <w:rFonts w:hint="eastAsia" w:ascii="Times New Roman" w:hAnsi="Times New Roman"/>
                <w:color w:val="000000"/>
                <w:sz w:val="21"/>
                <w:szCs w:val="19"/>
                <w:shd w:val="clear" w:color="auto" w:fill="FFFFFF"/>
              </w:rPr>
              <w:t xml:space="preserve"> 分光光度计的介绍及使用注意事项。</w:t>
            </w:r>
          </w:p>
          <w:p w14:paraId="4260AC61">
            <w:pPr>
              <w:rPr>
                <w:rFonts w:ascii="Times New Roman" w:hAnsi="Times New Roman"/>
                <w:color w:val="000000"/>
                <w:sz w:val="21"/>
                <w:szCs w:val="21"/>
              </w:rPr>
            </w:pPr>
            <w:r>
              <w:rPr>
                <w:rFonts w:hint="eastAsia" w:ascii="Times New Roman" w:hAnsi="Times New Roman"/>
                <w:color w:val="000000"/>
                <w:sz w:val="21"/>
                <w:szCs w:val="19"/>
                <w:shd w:val="clear" w:color="auto" w:fill="FFFFFF"/>
              </w:rPr>
              <w:t>5.培养皿的分类介绍及使用方法。</w:t>
            </w:r>
          </w:p>
        </w:tc>
      </w:tr>
      <w:tr w14:paraId="6C7B1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32EC080B">
            <w:pPr>
              <w:rPr>
                <w:rFonts w:hint="eastAsia" w:ascii="Times New Roman" w:hAnsi="Times New Roman"/>
                <w:color w:val="000000"/>
                <w:sz w:val="21"/>
                <w:szCs w:val="21"/>
              </w:rPr>
            </w:pPr>
            <w:r>
              <w:rPr>
                <w:rFonts w:hint="eastAsia" w:ascii="Times New Roman" w:hAnsi="Times New Roman"/>
                <w:color w:val="000000"/>
                <w:sz w:val="21"/>
                <w:szCs w:val="21"/>
              </w:rPr>
              <w:t>实验四：传出神经系统药物对血压的影响</w:t>
            </w:r>
          </w:p>
        </w:tc>
        <w:tc>
          <w:tcPr>
            <w:tcW w:w="7176" w:type="dxa"/>
            <w:noWrap w:val="0"/>
            <w:vAlign w:val="center"/>
          </w:tcPr>
          <w:p w14:paraId="750B31C5">
            <w:pPr>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BL-420生物机能实验系统的使用。</w:t>
            </w:r>
          </w:p>
          <w:p w14:paraId="0916D649">
            <w:pPr>
              <w:rPr>
                <w:rFonts w:hint="eastAsia" w:ascii="Times New Roman" w:hAnsi="Times New Roman"/>
                <w:color w:val="000000"/>
                <w:sz w:val="21"/>
                <w:szCs w:val="21"/>
              </w:rPr>
            </w:pPr>
            <w:r>
              <w:rPr>
                <w:rFonts w:hint="eastAsia" w:ascii="Times New Roman" w:hAnsi="Times New Roman"/>
                <w:color w:val="000000"/>
                <w:sz w:val="21"/>
                <w:szCs w:val="21"/>
              </w:rPr>
              <w:t>2. 压力换能器的使用。</w:t>
            </w:r>
          </w:p>
          <w:p w14:paraId="22686094">
            <w:pPr>
              <w:rPr>
                <w:rFonts w:hint="eastAsia" w:ascii="Times New Roman" w:hAnsi="Times New Roman"/>
                <w:color w:val="000000"/>
                <w:sz w:val="21"/>
                <w:szCs w:val="21"/>
              </w:rPr>
            </w:pPr>
            <w:r>
              <w:rPr>
                <w:rFonts w:hint="eastAsia" w:ascii="Times New Roman" w:hAnsi="Times New Roman"/>
                <w:color w:val="000000"/>
                <w:sz w:val="21"/>
                <w:szCs w:val="21"/>
              </w:rPr>
              <w:t>3. 动脉夹和三通管的适用范围和注意事项。</w:t>
            </w:r>
          </w:p>
          <w:p w14:paraId="38F5C0F8">
            <w:pPr>
              <w:rPr>
                <w:rFonts w:ascii="Times New Roman" w:hAnsi="Times New Roman"/>
                <w:color w:val="000000"/>
                <w:sz w:val="21"/>
                <w:szCs w:val="21"/>
              </w:rPr>
            </w:pPr>
            <w:r>
              <w:rPr>
                <w:rFonts w:hint="eastAsia" w:ascii="Times New Roman" w:hAnsi="Times New Roman"/>
                <w:color w:val="000000"/>
                <w:sz w:val="21"/>
                <w:szCs w:val="21"/>
              </w:rPr>
              <w:t>4. 动脉插管的操作注意事项。</w:t>
            </w:r>
          </w:p>
          <w:p w14:paraId="090A081B">
            <w:pPr>
              <w:rPr>
                <w:rFonts w:ascii="Times New Roman" w:hAnsi="Times New Roman"/>
                <w:color w:val="000000"/>
                <w:sz w:val="21"/>
                <w:szCs w:val="21"/>
              </w:rPr>
            </w:pPr>
            <w:r>
              <w:rPr>
                <w:rFonts w:hint="eastAsia" w:ascii="Times New Roman" w:hAnsi="Times New Roman"/>
                <w:color w:val="000000"/>
                <w:sz w:val="21"/>
                <w:szCs w:val="21"/>
              </w:rPr>
              <w:t>5. 手术灯的介绍。</w:t>
            </w:r>
          </w:p>
        </w:tc>
      </w:tr>
      <w:tr w14:paraId="552C2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5E3C83D7">
            <w:pPr>
              <w:rPr>
                <w:rFonts w:hint="eastAsia" w:ascii="Times New Roman" w:hAnsi="Times New Roman"/>
                <w:color w:val="000000"/>
                <w:sz w:val="21"/>
                <w:szCs w:val="21"/>
              </w:rPr>
            </w:pPr>
            <w:r>
              <w:rPr>
                <w:rFonts w:hint="eastAsia" w:ascii="Times New Roman" w:hAnsi="Times New Roman"/>
                <w:color w:val="000000"/>
                <w:sz w:val="21"/>
                <w:szCs w:val="21"/>
              </w:rPr>
              <w:t>实验五：去甲肾上腺素的缩血管作用</w:t>
            </w:r>
          </w:p>
        </w:tc>
        <w:tc>
          <w:tcPr>
            <w:tcW w:w="7176" w:type="dxa"/>
            <w:noWrap w:val="0"/>
            <w:vAlign w:val="center"/>
          </w:tcPr>
          <w:p w14:paraId="0008694F">
            <w:pPr>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毁髓针的介绍和使用注意事项。</w:t>
            </w:r>
          </w:p>
          <w:p w14:paraId="2E7C5295">
            <w:pPr>
              <w:rPr>
                <w:rFonts w:hint="eastAsia" w:ascii="Times New Roman" w:hAnsi="Times New Roman"/>
                <w:color w:val="000000"/>
                <w:sz w:val="21"/>
                <w:szCs w:val="21"/>
              </w:rPr>
            </w:pPr>
            <w:r>
              <w:rPr>
                <w:rFonts w:hint="eastAsia" w:ascii="Times New Roman" w:hAnsi="Times New Roman"/>
                <w:color w:val="000000"/>
                <w:sz w:val="21"/>
                <w:szCs w:val="21"/>
              </w:rPr>
              <w:t>2. 手术剪的分类介绍和适用范围。</w:t>
            </w:r>
          </w:p>
          <w:p w14:paraId="303773F4">
            <w:pPr>
              <w:rPr>
                <w:rFonts w:hint="eastAsia" w:ascii="Times New Roman" w:hAnsi="Times New Roman"/>
                <w:color w:val="000000"/>
                <w:sz w:val="21"/>
                <w:szCs w:val="21"/>
              </w:rPr>
            </w:pPr>
            <w:r>
              <w:rPr>
                <w:rFonts w:hint="eastAsia" w:ascii="Times New Roman" w:hAnsi="Times New Roman"/>
                <w:color w:val="000000"/>
                <w:sz w:val="21"/>
                <w:szCs w:val="21"/>
              </w:rPr>
              <w:t>3. 镊子的分类和选取原则。</w:t>
            </w:r>
          </w:p>
          <w:p w14:paraId="23E0DC11">
            <w:pPr>
              <w:rPr>
                <w:rFonts w:ascii="Times New Roman" w:hAnsi="Times New Roman"/>
                <w:color w:val="000000"/>
                <w:sz w:val="21"/>
                <w:szCs w:val="21"/>
              </w:rPr>
            </w:pPr>
            <w:r>
              <w:rPr>
                <w:rFonts w:hint="eastAsia" w:ascii="Times New Roman" w:hAnsi="Times New Roman"/>
                <w:color w:val="000000"/>
                <w:sz w:val="21"/>
                <w:szCs w:val="21"/>
              </w:rPr>
              <w:t>4. 医用图像分析仪的介绍。</w:t>
            </w:r>
          </w:p>
        </w:tc>
      </w:tr>
      <w:tr w14:paraId="76DB0C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300" w:type="dxa"/>
            <w:noWrap w:val="0"/>
            <w:vAlign w:val="center"/>
          </w:tcPr>
          <w:p w14:paraId="5505320C">
            <w:pPr>
              <w:rPr>
                <w:rFonts w:hint="eastAsia" w:ascii="Times New Roman" w:hAnsi="Times New Roman"/>
                <w:color w:val="000000"/>
                <w:sz w:val="21"/>
                <w:szCs w:val="21"/>
              </w:rPr>
            </w:pPr>
            <w:r>
              <w:rPr>
                <w:rFonts w:hint="eastAsia" w:ascii="Times New Roman" w:hAnsi="Times New Roman"/>
                <w:color w:val="000000"/>
                <w:sz w:val="21"/>
                <w:szCs w:val="21"/>
              </w:rPr>
              <w:t>实验六：氨茶碱和异丙肾上腺素的平喘作用</w:t>
            </w:r>
          </w:p>
        </w:tc>
        <w:tc>
          <w:tcPr>
            <w:tcW w:w="7176" w:type="dxa"/>
            <w:noWrap w:val="0"/>
            <w:vAlign w:val="center"/>
          </w:tcPr>
          <w:p w14:paraId="2B6368F9">
            <w:pPr>
              <w:rPr>
                <w:rFonts w:hint="eastAsia"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 xml:space="preserve"> 临床上雾化机的分类使用方法及注意事项。</w:t>
            </w:r>
          </w:p>
          <w:p w14:paraId="357CAEB3">
            <w:pPr>
              <w:rPr>
                <w:rFonts w:ascii="Times New Roman" w:hAnsi="Times New Roman"/>
                <w:color w:val="000000"/>
                <w:sz w:val="21"/>
                <w:szCs w:val="21"/>
              </w:rPr>
            </w:pPr>
            <w:r>
              <w:rPr>
                <w:rFonts w:hint="eastAsia" w:ascii="Times New Roman" w:hAnsi="Times New Roman"/>
                <w:color w:val="000000"/>
                <w:sz w:val="21"/>
                <w:szCs w:val="21"/>
              </w:rPr>
              <w:t>2.让护生们意识到根据不同的治疗对象采取不同的医疗器械。</w:t>
            </w:r>
          </w:p>
        </w:tc>
      </w:tr>
    </w:tbl>
    <w:p w14:paraId="4558FB32">
      <w:pPr>
        <w:spacing w:before="326" w:beforeLines="100"/>
        <w:outlineLvl w:val="0"/>
        <w:rPr>
          <w:rFonts w:ascii="Arial" w:hAnsi="Arial" w:eastAsia="黑体"/>
          <w:sz w:val="28"/>
        </w:rPr>
      </w:pPr>
      <w:r>
        <w:rPr>
          <w:rFonts w:hint="eastAsia" w:ascii="Arial" w:hAnsi="Arial" w:eastAsia="黑体"/>
          <w:sz w:val="28"/>
        </w:rPr>
        <w:t>六、课程考核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1827"/>
        <w:gridCol w:w="591"/>
        <w:gridCol w:w="591"/>
        <w:gridCol w:w="591"/>
        <w:gridCol w:w="591"/>
        <w:gridCol w:w="591"/>
        <w:gridCol w:w="591"/>
        <w:gridCol w:w="653"/>
        <w:gridCol w:w="687"/>
      </w:tblGrid>
      <w:tr w14:paraId="0B0D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restart"/>
            <w:tcBorders>
              <w:top w:val="single" w:color="auto" w:sz="12" w:space="0"/>
              <w:left w:val="single" w:color="auto" w:sz="12" w:space="0"/>
            </w:tcBorders>
            <w:noWrap w:val="0"/>
            <w:vAlign w:val="center"/>
          </w:tcPr>
          <w:p w14:paraId="07A11215">
            <w:pPr>
              <w:snapToGrid w:val="0"/>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0"/>
              </w:rPr>
              <w:t>总评构成（</w:t>
            </w:r>
            <w:r>
              <w:rPr>
                <w:rFonts w:hint="default" w:ascii="Times New Roman" w:hAnsi="Times New Roman" w:eastAsia="宋体" w:cs="Times New Roman"/>
                <w:bCs/>
                <w:color w:val="000000"/>
                <w:sz w:val="21"/>
                <w:szCs w:val="20"/>
                <w:lang w:val="en-US" w:eastAsia="zh-CN"/>
              </w:rPr>
              <w:t>1+</w:t>
            </w:r>
            <w:r>
              <w:rPr>
                <w:rFonts w:hint="default" w:ascii="Times New Roman" w:hAnsi="Times New Roman" w:eastAsia="宋体" w:cs="Times New Roman"/>
                <w:bCs/>
                <w:color w:val="000000"/>
                <w:sz w:val="21"/>
                <w:szCs w:val="20"/>
              </w:rPr>
              <w:t>X）</w:t>
            </w:r>
          </w:p>
        </w:tc>
        <w:tc>
          <w:tcPr>
            <w:tcW w:w="708" w:type="dxa"/>
            <w:vMerge w:val="restart"/>
            <w:tcBorders>
              <w:top w:val="single" w:color="auto" w:sz="12" w:space="0"/>
            </w:tcBorders>
            <w:noWrap w:val="0"/>
            <w:vAlign w:val="center"/>
          </w:tcPr>
          <w:p w14:paraId="3AD2AE83">
            <w:pPr>
              <w:snapToGrid w:val="0"/>
              <w:jc w:val="center"/>
              <w:rPr>
                <w:rFonts w:hint="default" w:ascii="Times New Roman" w:hAnsi="Times New Roman" w:eastAsia="宋体" w:cs="Times New Roman"/>
                <w:bCs/>
                <w:color w:val="000000"/>
                <w:sz w:val="21"/>
                <w:szCs w:val="20"/>
              </w:rPr>
            </w:pPr>
            <w:r>
              <w:rPr>
                <w:rFonts w:hint="default" w:ascii="Times New Roman" w:hAnsi="Times New Roman" w:eastAsia="宋体" w:cs="Times New Roman"/>
                <w:bCs/>
                <w:color w:val="000000"/>
                <w:sz w:val="21"/>
                <w:szCs w:val="21"/>
              </w:rPr>
              <w:t>占比</w:t>
            </w:r>
          </w:p>
        </w:tc>
        <w:tc>
          <w:tcPr>
            <w:tcW w:w="1827" w:type="dxa"/>
            <w:vMerge w:val="restart"/>
            <w:tcBorders>
              <w:top w:val="single" w:color="auto" w:sz="12" w:space="0"/>
              <w:right w:val="double" w:color="auto" w:sz="4" w:space="0"/>
            </w:tcBorders>
            <w:noWrap w:val="0"/>
            <w:vAlign w:val="center"/>
          </w:tcPr>
          <w:p w14:paraId="4194581E">
            <w:pPr>
              <w:snapToGrid w:val="0"/>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考核方式</w:t>
            </w:r>
          </w:p>
        </w:tc>
        <w:tc>
          <w:tcPr>
            <w:tcW w:w="4199" w:type="dxa"/>
            <w:gridSpan w:val="7"/>
            <w:tcBorders>
              <w:top w:val="single" w:color="auto" w:sz="12" w:space="0"/>
              <w:left w:val="double" w:color="auto" w:sz="4" w:space="0"/>
            </w:tcBorders>
            <w:noWrap w:val="0"/>
            <w:vAlign w:val="center"/>
          </w:tcPr>
          <w:p w14:paraId="760D9C27">
            <w:pPr>
              <w:snapToGrid w:val="0"/>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课程目标</w:t>
            </w:r>
          </w:p>
        </w:tc>
        <w:tc>
          <w:tcPr>
            <w:tcW w:w="687" w:type="dxa"/>
            <w:vMerge w:val="restart"/>
            <w:tcBorders>
              <w:top w:val="single" w:color="auto" w:sz="12" w:space="0"/>
              <w:right w:val="single" w:color="auto" w:sz="12" w:space="0"/>
            </w:tcBorders>
            <w:noWrap w:val="0"/>
            <w:vAlign w:val="center"/>
          </w:tcPr>
          <w:p w14:paraId="724AFA3F">
            <w:pPr>
              <w:snapToGrid w:val="0"/>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合计</w:t>
            </w:r>
          </w:p>
        </w:tc>
      </w:tr>
      <w:tr w14:paraId="0B96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vMerge w:val="continue"/>
            <w:tcBorders>
              <w:left w:val="single" w:color="auto" w:sz="12" w:space="0"/>
            </w:tcBorders>
            <w:noWrap w:val="0"/>
            <w:vAlign w:val="top"/>
          </w:tcPr>
          <w:p w14:paraId="5AF05923">
            <w:pPr>
              <w:rPr>
                <w:rFonts w:hint="default" w:ascii="Times New Roman" w:hAnsi="Times New Roman" w:eastAsia="宋体" w:cs="Times New Roman"/>
                <w:bCs/>
                <w:color w:val="000000"/>
                <w:sz w:val="21"/>
                <w:szCs w:val="21"/>
              </w:rPr>
            </w:pPr>
          </w:p>
        </w:tc>
        <w:tc>
          <w:tcPr>
            <w:tcW w:w="708" w:type="dxa"/>
            <w:vMerge w:val="continue"/>
            <w:noWrap w:val="0"/>
            <w:vAlign w:val="top"/>
          </w:tcPr>
          <w:p w14:paraId="0CE1D12D">
            <w:pPr>
              <w:rPr>
                <w:rFonts w:hint="default" w:ascii="Times New Roman" w:hAnsi="Times New Roman" w:eastAsia="宋体" w:cs="Times New Roman"/>
                <w:bCs/>
                <w:color w:val="000000"/>
                <w:sz w:val="21"/>
                <w:szCs w:val="21"/>
              </w:rPr>
            </w:pPr>
          </w:p>
        </w:tc>
        <w:tc>
          <w:tcPr>
            <w:tcW w:w="1827" w:type="dxa"/>
            <w:vMerge w:val="continue"/>
            <w:tcBorders>
              <w:right w:val="double" w:color="auto" w:sz="4" w:space="0"/>
            </w:tcBorders>
            <w:noWrap w:val="0"/>
            <w:vAlign w:val="top"/>
          </w:tcPr>
          <w:p w14:paraId="2BF2A76D">
            <w:pPr>
              <w:rPr>
                <w:rFonts w:hint="default" w:ascii="Times New Roman" w:hAnsi="Times New Roman" w:eastAsia="宋体" w:cs="Times New Roman"/>
                <w:bCs/>
                <w:color w:val="000000"/>
                <w:sz w:val="21"/>
                <w:szCs w:val="21"/>
              </w:rPr>
            </w:pPr>
          </w:p>
        </w:tc>
        <w:tc>
          <w:tcPr>
            <w:tcW w:w="591" w:type="dxa"/>
            <w:tcBorders>
              <w:left w:val="double" w:color="auto" w:sz="4" w:space="0"/>
            </w:tcBorders>
            <w:noWrap w:val="0"/>
            <w:vAlign w:val="center"/>
          </w:tcPr>
          <w:p w14:paraId="1A84C6EC">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1</w:t>
            </w:r>
          </w:p>
        </w:tc>
        <w:tc>
          <w:tcPr>
            <w:tcW w:w="591" w:type="dxa"/>
            <w:noWrap w:val="0"/>
            <w:vAlign w:val="center"/>
          </w:tcPr>
          <w:p w14:paraId="7698FFA2">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2</w:t>
            </w:r>
          </w:p>
        </w:tc>
        <w:tc>
          <w:tcPr>
            <w:tcW w:w="591" w:type="dxa"/>
            <w:noWrap w:val="0"/>
            <w:vAlign w:val="center"/>
          </w:tcPr>
          <w:p w14:paraId="1923C56A">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3</w:t>
            </w:r>
          </w:p>
        </w:tc>
        <w:tc>
          <w:tcPr>
            <w:tcW w:w="591" w:type="dxa"/>
            <w:noWrap w:val="0"/>
            <w:vAlign w:val="center"/>
          </w:tcPr>
          <w:p w14:paraId="75B8F6A8">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4</w:t>
            </w:r>
          </w:p>
        </w:tc>
        <w:tc>
          <w:tcPr>
            <w:tcW w:w="591" w:type="dxa"/>
            <w:noWrap w:val="0"/>
            <w:vAlign w:val="center"/>
          </w:tcPr>
          <w:p w14:paraId="10D4F65D">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5</w:t>
            </w:r>
          </w:p>
        </w:tc>
        <w:tc>
          <w:tcPr>
            <w:tcW w:w="591" w:type="dxa"/>
            <w:noWrap w:val="0"/>
            <w:vAlign w:val="center"/>
          </w:tcPr>
          <w:p w14:paraId="59E9DE6A">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6</w:t>
            </w:r>
          </w:p>
        </w:tc>
        <w:tc>
          <w:tcPr>
            <w:tcW w:w="653" w:type="dxa"/>
            <w:noWrap w:val="0"/>
            <w:vAlign w:val="center"/>
          </w:tcPr>
          <w:p w14:paraId="36A39EFA">
            <w:pPr>
              <w:jc w:val="center"/>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7</w:t>
            </w:r>
          </w:p>
        </w:tc>
        <w:tc>
          <w:tcPr>
            <w:tcW w:w="687" w:type="dxa"/>
            <w:vMerge w:val="continue"/>
            <w:tcBorders>
              <w:right w:val="single" w:color="auto" w:sz="12" w:space="0"/>
            </w:tcBorders>
            <w:noWrap w:val="0"/>
            <w:vAlign w:val="top"/>
          </w:tcPr>
          <w:p w14:paraId="79507D9C">
            <w:pPr>
              <w:jc w:val="center"/>
              <w:rPr>
                <w:rFonts w:hint="default" w:ascii="Times New Roman" w:hAnsi="Times New Roman" w:eastAsia="宋体" w:cs="Times New Roman"/>
                <w:bCs/>
                <w:color w:val="000000"/>
                <w:sz w:val="21"/>
                <w:szCs w:val="21"/>
              </w:rPr>
            </w:pPr>
          </w:p>
        </w:tc>
      </w:tr>
      <w:tr w14:paraId="618E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noWrap w:val="0"/>
            <w:vAlign w:val="top"/>
          </w:tcPr>
          <w:p w14:paraId="0A465E91">
            <w:pPr>
              <w:jc w:val="center"/>
              <w:rPr>
                <w:rFonts w:hint="default" w:ascii="Times New Roman" w:hAnsi="Times New Roman" w:eastAsia="宋体" w:cs="Times New Roman"/>
                <w:color w:val="000000"/>
                <w:sz w:val="21"/>
                <w:szCs w:val="21"/>
                <w:lang w:eastAsia="zh-CN"/>
              </w:rPr>
            </w:pPr>
            <w:r>
              <w:rPr>
                <w:rFonts w:hint="default" w:ascii="Times New Roman" w:hAnsi="Times New Roman" w:eastAsia="宋体" w:cs="Times New Roman"/>
                <w:color w:val="000000"/>
                <w:sz w:val="21"/>
                <w:szCs w:val="21"/>
                <w:lang w:val="en-US" w:eastAsia="zh-CN"/>
              </w:rPr>
              <w:t>1</w:t>
            </w:r>
          </w:p>
        </w:tc>
        <w:tc>
          <w:tcPr>
            <w:tcW w:w="708" w:type="dxa"/>
            <w:noWrap w:val="0"/>
            <w:vAlign w:val="top"/>
          </w:tcPr>
          <w:p w14:paraId="30CC71F5">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5</w:t>
            </w:r>
            <w:r>
              <w:rPr>
                <w:rFonts w:hint="default" w:ascii="Times New Roman" w:hAnsi="Times New Roman" w:eastAsia="宋体" w:cs="Times New Roman"/>
                <w:color w:val="000000"/>
                <w:sz w:val="21"/>
                <w:szCs w:val="21"/>
              </w:rPr>
              <w:t>0%</w:t>
            </w:r>
          </w:p>
        </w:tc>
        <w:tc>
          <w:tcPr>
            <w:tcW w:w="1827" w:type="dxa"/>
            <w:tcBorders>
              <w:right w:val="double" w:color="auto" w:sz="4" w:space="0"/>
            </w:tcBorders>
            <w:noWrap w:val="0"/>
            <w:vAlign w:val="top"/>
          </w:tcPr>
          <w:p w14:paraId="640876E7">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期末闭卷考试</w:t>
            </w:r>
          </w:p>
        </w:tc>
        <w:tc>
          <w:tcPr>
            <w:tcW w:w="591" w:type="dxa"/>
            <w:tcBorders>
              <w:left w:val="double" w:color="auto" w:sz="4" w:space="0"/>
            </w:tcBorders>
            <w:noWrap w:val="0"/>
            <w:vAlign w:val="center"/>
          </w:tcPr>
          <w:p w14:paraId="1BAB96F3">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379FC452">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263557C1">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22B36A88">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6C1735DD">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0A805925">
            <w:pPr>
              <w:jc w:val="center"/>
              <w:rPr>
                <w:rFonts w:hint="default" w:ascii="Times New Roman" w:hAnsi="Times New Roman" w:eastAsia="宋体" w:cs="Times New Roman"/>
                <w:color w:val="000000"/>
                <w:sz w:val="21"/>
                <w:szCs w:val="21"/>
              </w:rPr>
            </w:pPr>
          </w:p>
        </w:tc>
        <w:tc>
          <w:tcPr>
            <w:tcW w:w="653" w:type="dxa"/>
            <w:noWrap w:val="0"/>
            <w:vAlign w:val="center"/>
          </w:tcPr>
          <w:p w14:paraId="2DE4C03C">
            <w:pPr>
              <w:jc w:val="center"/>
              <w:rPr>
                <w:rFonts w:hint="default" w:ascii="Times New Roman" w:hAnsi="Times New Roman" w:eastAsia="宋体" w:cs="Times New Roman"/>
                <w:bCs/>
                <w:color w:val="000000"/>
                <w:sz w:val="21"/>
                <w:szCs w:val="21"/>
              </w:rPr>
            </w:pPr>
          </w:p>
        </w:tc>
        <w:tc>
          <w:tcPr>
            <w:tcW w:w="687" w:type="dxa"/>
            <w:tcBorders>
              <w:right w:val="single" w:color="auto" w:sz="12" w:space="0"/>
            </w:tcBorders>
            <w:noWrap w:val="0"/>
            <w:vAlign w:val="center"/>
          </w:tcPr>
          <w:p w14:paraId="419C0346">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w:t>
            </w:r>
          </w:p>
        </w:tc>
      </w:tr>
      <w:tr w14:paraId="42E8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noWrap w:val="0"/>
            <w:vAlign w:val="top"/>
          </w:tcPr>
          <w:p w14:paraId="7DFCA6D8">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X</w:t>
            </w:r>
            <w:r>
              <w:rPr>
                <w:rFonts w:hint="default" w:ascii="Times New Roman" w:hAnsi="Times New Roman" w:eastAsia="宋体" w:cs="Times New Roman"/>
                <w:color w:val="000000"/>
                <w:sz w:val="21"/>
                <w:szCs w:val="21"/>
                <w:lang w:val="en-US" w:eastAsia="zh-CN"/>
              </w:rPr>
              <w:t>1</w:t>
            </w:r>
          </w:p>
        </w:tc>
        <w:tc>
          <w:tcPr>
            <w:tcW w:w="708" w:type="dxa"/>
            <w:noWrap w:val="0"/>
            <w:vAlign w:val="top"/>
          </w:tcPr>
          <w:p w14:paraId="655BE529">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lang w:val="en-US" w:eastAsia="zh-CN"/>
              </w:rPr>
              <w:t>2</w:t>
            </w:r>
            <w:r>
              <w:rPr>
                <w:rFonts w:hint="default" w:ascii="Times New Roman" w:hAnsi="Times New Roman" w:eastAsia="宋体" w:cs="Times New Roman"/>
                <w:color w:val="000000"/>
                <w:sz w:val="21"/>
                <w:szCs w:val="21"/>
              </w:rPr>
              <w:t>0%</w:t>
            </w:r>
          </w:p>
        </w:tc>
        <w:tc>
          <w:tcPr>
            <w:tcW w:w="1827" w:type="dxa"/>
            <w:tcBorders>
              <w:right w:val="double" w:color="auto" w:sz="4" w:space="0"/>
            </w:tcBorders>
            <w:noWrap w:val="0"/>
            <w:vAlign w:val="top"/>
          </w:tcPr>
          <w:p w14:paraId="68151E6D">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阶段测试</w:t>
            </w:r>
          </w:p>
        </w:tc>
        <w:tc>
          <w:tcPr>
            <w:tcW w:w="591" w:type="dxa"/>
            <w:tcBorders>
              <w:left w:val="double" w:color="auto" w:sz="4" w:space="0"/>
            </w:tcBorders>
            <w:noWrap w:val="0"/>
            <w:vAlign w:val="center"/>
          </w:tcPr>
          <w:p w14:paraId="171CCF1B">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6E3B9E12">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17F92641">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591" w:type="dxa"/>
            <w:noWrap w:val="0"/>
            <w:vAlign w:val="center"/>
          </w:tcPr>
          <w:p w14:paraId="5B370C2B">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65C9A8C2">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591" w:type="dxa"/>
            <w:noWrap w:val="0"/>
            <w:vAlign w:val="center"/>
          </w:tcPr>
          <w:p w14:paraId="77C5530A">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653" w:type="dxa"/>
            <w:noWrap w:val="0"/>
            <w:vAlign w:val="center"/>
          </w:tcPr>
          <w:p w14:paraId="719988AD">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687" w:type="dxa"/>
            <w:tcBorders>
              <w:right w:val="single" w:color="auto" w:sz="12" w:space="0"/>
            </w:tcBorders>
            <w:noWrap w:val="0"/>
            <w:vAlign w:val="center"/>
          </w:tcPr>
          <w:p w14:paraId="738EDD06">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w:t>
            </w:r>
          </w:p>
        </w:tc>
      </w:tr>
      <w:tr w14:paraId="355A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noWrap w:val="0"/>
            <w:vAlign w:val="top"/>
          </w:tcPr>
          <w:p w14:paraId="05123B92">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X</w:t>
            </w:r>
            <w:r>
              <w:rPr>
                <w:rFonts w:hint="default" w:ascii="Times New Roman" w:hAnsi="Times New Roman" w:eastAsia="宋体" w:cs="Times New Roman"/>
                <w:color w:val="000000"/>
                <w:sz w:val="21"/>
                <w:szCs w:val="21"/>
                <w:lang w:val="en-US" w:eastAsia="zh-CN"/>
              </w:rPr>
              <w:t>2</w:t>
            </w:r>
          </w:p>
        </w:tc>
        <w:tc>
          <w:tcPr>
            <w:tcW w:w="708" w:type="dxa"/>
            <w:noWrap w:val="0"/>
            <w:vAlign w:val="top"/>
          </w:tcPr>
          <w:p w14:paraId="14C93E89">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1827" w:type="dxa"/>
            <w:tcBorders>
              <w:right w:val="double" w:color="auto" w:sz="4" w:space="0"/>
            </w:tcBorders>
            <w:noWrap w:val="0"/>
            <w:vAlign w:val="top"/>
          </w:tcPr>
          <w:p w14:paraId="4B322947">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实验报告</w:t>
            </w:r>
          </w:p>
        </w:tc>
        <w:tc>
          <w:tcPr>
            <w:tcW w:w="591" w:type="dxa"/>
            <w:tcBorders>
              <w:left w:val="double" w:color="auto" w:sz="4" w:space="0"/>
            </w:tcBorders>
            <w:noWrap w:val="0"/>
            <w:vAlign w:val="center"/>
          </w:tcPr>
          <w:p w14:paraId="368EF505">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591" w:type="dxa"/>
            <w:noWrap w:val="0"/>
            <w:vAlign w:val="center"/>
          </w:tcPr>
          <w:p w14:paraId="76D3D60E">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55950433">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591" w:type="dxa"/>
            <w:noWrap w:val="0"/>
            <w:vAlign w:val="center"/>
          </w:tcPr>
          <w:p w14:paraId="1A471E70">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591" w:type="dxa"/>
            <w:noWrap w:val="0"/>
            <w:vAlign w:val="center"/>
          </w:tcPr>
          <w:p w14:paraId="0A9B94D8">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301F8E9C">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653" w:type="dxa"/>
            <w:noWrap w:val="0"/>
            <w:vAlign w:val="center"/>
          </w:tcPr>
          <w:p w14:paraId="0D84AB60">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687" w:type="dxa"/>
            <w:tcBorders>
              <w:right w:val="single" w:color="auto" w:sz="12" w:space="0"/>
            </w:tcBorders>
            <w:noWrap w:val="0"/>
            <w:vAlign w:val="center"/>
          </w:tcPr>
          <w:p w14:paraId="2E8AF47E">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w:t>
            </w:r>
          </w:p>
        </w:tc>
      </w:tr>
      <w:tr w14:paraId="570C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left w:val="single" w:color="auto" w:sz="12" w:space="0"/>
            </w:tcBorders>
            <w:noWrap w:val="0"/>
            <w:vAlign w:val="top"/>
          </w:tcPr>
          <w:p w14:paraId="66C84DB0">
            <w:pPr>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X</w:t>
            </w:r>
            <w:r>
              <w:rPr>
                <w:rFonts w:hint="default" w:ascii="Times New Roman" w:hAnsi="Times New Roman" w:eastAsia="宋体" w:cs="Times New Roman"/>
                <w:color w:val="000000"/>
                <w:sz w:val="21"/>
                <w:szCs w:val="21"/>
                <w:lang w:val="en-US" w:eastAsia="zh-CN"/>
              </w:rPr>
              <w:t>3</w:t>
            </w:r>
          </w:p>
        </w:tc>
        <w:tc>
          <w:tcPr>
            <w:tcW w:w="708" w:type="dxa"/>
            <w:noWrap w:val="0"/>
            <w:vAlign w:val="top"/>
          </w:tcPr>
          <w:p w14:paraId="49A5FAA0">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w:t>
            </w:r>
          </w:p>
        </w:tc>
        <w:tc>
          <w:tcPr>
            <w:tcW w:w="1827" w:type="dxa"/>
            <w:tcBorders>
              <w:right w:val="double" w:color="auto" w:sz="4" w:space="0"/>
            </w:tcBorders>
            <w:noWrap w:val="0"/>
            <w:vAlign w:val="top"/>
          </w:tcPr>
          <w:p w14:paraId="593A451B">
            <w:pP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出勤率、课堂表现</w:t>
            </w:r>
          </w:p>
        </w:tc>
        <w:tc>
          <w:tcPr>
            <w:tcW w:w="591" w:type="dxa"/>
            <w:tcBorders>
              <w:left w:val="double" w:color="auto" w:sz="4" w:space="0"/>
            </w:tcBorders>
            <w:noWrap w:val="0"/>
            <w:vAlign w:val="center"/>
          </w:tcPr>
          <w:p w14:paraId="000F1DE6">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7AC55AAE">
            <w:pPr>
              <w:jc w:val="center"/>
              <w:rPr>
                <w:rFonts w:hint="default" w:ascii="Times New Roman" w:hAnsi="Times New Roman" w:eastAsia="宋体" w:cs="Times New Roman"/>
                <w:color w:val="000000"/>
                <w:sz w:val="21"/>
                <w:szCs w:val="21"/>
              </w:rPr>
            </w:pPr>
          </w:p>
        </w:tc>
        <w:tc>
          <w:tcPr>
            <w:tcW w:w="591" w:type="dxa"/>
            <w:noWrap w:val="0"/>
            <w:vAlign w:val="center"/>
          </w:tcPr>
          <w:p w14:paraId="31DFE380">
            <w:pPr>
              <w:jc w:val="center"/>
              <w:rPr>
                <w:rFonts w:hint="default" w:ascii="Times New Roman" w:hAnsi="Times New Roman" w:eastAsia="宋体" w:cs="Times New Roman"/>
                <w:color w:val="000000"/>
                <w:sz w:val="21"/>
                <w:szCs w:val="21"/>
              </w:rPr>
            </w:pPr>
          </w:p>
        </w:tc>
        <w:tc>
          <w:tcPr>
            <w:tcW w:w="591" w:type="dxa"/>
            <w:noWrap w:val="0"/>
            <w:vAlign w:val="center"/>
          </w:tcPr>
          <w:p w14:paraId="0A80F081">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20</w:t>
            </w:r>
          </w:p>
        </w:tc>
        <w:tc>
          <w:tcPr>
            <w:tcW w:w="591" w:type="dxa"/>
            <w:noWrap w:val="0"/>
            <w:vAlign w:val="center"/>
          </w:tcPr>
          <w:p w14:paraId="67EBC54A">
            <w:pPr>
              <w:jc w:val="center"/>
              <w:rPr>
                <w:rFonts w:hint="default" w:ascii="Times New Roman" w:hAnsi="Times New Roman" w:eastAsia="宋体" w:cs="Times New Roman"/>
                <w:color w:val="000000"/>
                <w:sz w:val="21"/>
                <w:szCs w:val="21"/>
              </w:rPr>
            </w:pPr>
          </w:p>
        </w:tc>
        <w:tc>
          <w:tcPr>
            <w:tcW w:w="591" w:type="dxa"/>
            <w:noWrap w:val="0"/>
            <w:vAlign w:val="center"/>
          </w:tcPr>
          <w:p w14:paraId="429588C6">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w:t>
            </w:r>
          </w:p>
        </w:tc>
        <w:tc>
          <w:tcPr>
            <w:tcW w:w="653" w:type="dxa"/>
            <w:noWrap w:val="0"/>
            <w:vAlign w:val="center"/>
          </w:tcPr>
          <w:p w14:paraId="4E6B8C01">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30</w:t>
            </w:r>
          </w:p>
        </w:tc>
        <w:tc>
          <w:tcPr>
            <w:tcW w:w="687" w:type="dxa"/>
            <w:tcBorders>
              <w:right w:val="single" w:color="auto" w:sz="12" w:space="0"/>
            </w:tcBorders>
            <w:noWrap w:val="0"/>
            <w:vAlign w:val="center"/>
          </w:tcPr>
          <w:p w14:paraId="5D369488">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100</w:t>
            </w:r>
          </w:p>
        </w:tc>
      </w:tr>
    </w:tbl>
    <w:p w14:paraId="5C6AFFBD">
      <w:pPr>
        <w:spacing w:before="326" w:beforeLines="100" w:after="163" w:afterLines="50"/>
        <w:jc w:val="center"/>
        <w:outlineLvl w:val="1"/>
        <w:rPr>
          <w:rFonts w:ascii="Times New Roman" w:hAnsi="Times New Roman"/>
          <w:b/>
        </w:rPr>
      </w:pPr>
      <w:r>
        <w:rPr>
          <w:rFonts w:hint="eastAsia" w:ascii="Times New Roman" w:hAnsi="Times New Roman"/>
          <w:b/>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69C5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noWrap w:val="0"/>
            <w:vAlign w:val="center"/>
          </w:tcPr>
          <w:p w14:paraId="1FF5B0E2">
            <w:pPr>
              <w:snapToGrid w:val="0"/>
              <w:jc w:val="center"/>
              <w:rPr>
                <w:rFonts w:ascii="Arial" w:hAnsi="Arial" w:eastAsia="黑体"/>
                <w:bCs/>
                <w:color w:val="000000"/>
                <w:sz w:val="21"/>
                <w:szCs w:val="20"/>
              </w:rPr>
            </w:pPr>
            <w:r>
              <w:rPr>
                <w:rFonts w:hint="eastAsia" w:ascii="Arial" w:hAnsi="Arial" w:eastAsia="黑体"/>
                <w:bCs/>
                <w:color w:val="000000"/>
                <w:sz w:val="21"/>
                <w:szCs w:val="20"/>
              </w:rPr>
              <w:t>考核项目</w:t>
            </w:r>
          </w:p>
        </w:tc>
        <w:tc>
          <w:tcPr>
            <w:tcW w:w="648" w:type="dxa"/>
            <w:vMerge w:val="restart"/>
            <w:noWrap w:val="0"/>
            <w:vAlign w:val="top"/>
          </w:tcPr>
          <w:p w14:paraId="48BFF873">
            <w:pPr>
              <w:snapToGrid w:val="0"/>
              <w:jc w:val="center"/>
              <w:rPr>
                <w:rFonts w:ascii="Arial" w:hAnsi="Arial" w:eastAsia="黑体"/>
                <w:bCs/>
                <w:color w:val="000000"/>
                <w:sz w:val="21"/>
                <w:szCs w:val="20"/>
              </w:rPr>
            </w:pPr>
            <w:r>
              <w:rPr>
                <w:rFonts w:hint="eastAsia" w:ascii="Arial" w:hAnsi="Arial" w:eastAsia="黑体"/>
                <w:bCs/>
                <w:color w:val="000000"/>
                <w:sz w:val="21"/>
                <w:szCs w:val="20"/>
              </w:rPr>
              <w:t>课</w:t>
            </w:r>
          </w:p>
          <w:p w14:paraId="6A818132">
            <w:pPr>
              <w:snapToGrid w:val="0"/>
              <w:jc w:val="center"/>
              <w:rPr>
                <w:rFonts w:ascii="Arial" w:hAnsi="Arial" w:eastAsia="黑体"/>
                <w:bCs/>
                <w:color w:val="000000"/>
                <w:sz w:val="21"/>
                <w:szCs w:val="20"/>
              </w:rPr>
            </w:pPr>
            <w:r>
              <w:rPr>
                <w:rFonts w:hint="eastAsia" w:ascii="Arial" w:hAnsi="Arial" w:eastAsia="黑体"/>
                <w:bCs/>
                <w:color w:val="000000"/>
                <w:sz w:val="21"/>
                <w:szCs w:val="20"/>
              </w:rPr>
              <w:t>程</w:t>
            </w:r>
          </w:p>
          <w:p w14:paraId="015389A5">
            <w:pPr>
              <w:snapToGrid w:val="0"/>
              <w:jc w:val="center"/>
              <w:rPr>
                <w:rFonts w:ascii="Arial" w:hAnsi="Arial" w:eastAsia="黑体"/>
                <w:bCs/>
                <w:color w:val="000000"/>
                <w:sz w:val="21"/>
                <w:szCs w:val="20"/>
              </w:rPr>
            </w:pPr>
            <w:r>
              <w:rPr>
                <w:rFonts w:hint="eastAsia" w:ascii="Arial" w:hAnsi="Arial" w:eastAsia="黑体"/>
                <w:bCs/>
                <w:color w:val="000000"/>
                <w:sz w:val="21"/>
                <w:szCs w:val="20"/>
              </w:rPr>
              <w:t>目</w:t>
            </w:r>
          </w:p>
          <w:p w14:paraId="75ECDD92">
            <w:pPr>
              <w:snapToGrid w:val="0"/>
              <w:jc w:val="center"/>
              <w:rPr>
                <w:rFonts w:ascii="Arial" w:hAnsi="Arial" w:eastAsia="黑体"/>
                <w:bCs/>
                <w:color w:val="000000"/>
                <w:sz w:val="21"/>
                <w:szCs w:val="20"/>
              </w:rPr>
            </w:pPr>
            <w:r>
              <w:rPr>
                <w:rFonts w:hint="eastAsia" w:ascii="Arial" w:hAnsi="Arial" w:eastAsia="黑体"/>
                <w:bCs/>
                <w:color w:val="000000"/>
                <w:sz w:val="21"/>
                <w:szCs w:val="20"/>
              </w:rPr>
              <w:t>标</w:t>
            </w:r>
          </w:p>
        </w:tc>
        <w:tc>
          <w:tcPr>
            <w:tcW w:w="1403" w:type="dxa"/>
            <w:vMerge w:val="restart"/>
            <w:noWrap w:val="0"/>
            <w:vAlign w:val="center"/>
          </w:tcPr>
          <w:p w14:paraId="47DE401F">
            <w:pPr>
              <w:snapToGrid w:val="0"/>
              <w:jc w:val="center"/>
              <w:rPr>
                <w:rFonts w:ascii="Arial" w:hAnsi="Arial" w:eastAsia="黑体"/>
                <w:bCs/>
                <w:color w:val="000000"/>
                <w:sz w:val="21"/>
                <w:szCs w:val="20"/>
              </w:rPr>
            </w:pPr>
            <w:r>
              <w:rPr>
                <w:rFonts w:hint="eastAsia" w:ascii="Arial" w:hAnsi="Arial" w:eastAsia="黑体"/>
                <w:bCs/>
                <w:color w:val="000000"/>
                <w:sz w:val="21"/>
                <w:szCs w:val="20"/>
              </w:rPr>
              <w:t>考核要求</w:t>
            </w:r>
          </w:p>
        </w:tc>
        <w:tc>
          <w:tcPr>
            <w:tcW w:w="5612" w:type="dxa"/>
            <w:gridSpan w:val="4"/>
            <w:noWrap w:val="0"/>
            <w:vAlign w:val="center"/>
          </w:tcPr>
          <w:p w14:paraId="06B20B0E">
            <w:pPr>
              <w:snapToGrid w:val="0"/>
              <w:jc w:val="center"/>
              <w:rPr>
                <w:rFonts w:ascii="Arial" w:hAnsi="Arial" w:eastAsia="黑体"/>
                <w:bCs/>
                <w:color w:val="000000"/>
                <w:sz w:val="21"/>
                <w:szCs w:val="20"/>
              </w:rPr>
            </w:pPr>
            <w:r>
              <w:rPr>
                <w:rFonts w:hint="eastAsia" w:ascii="Arial" w:hAnsi="Arial" w:eastAsia="黑体"/>
                <w:bCs/>
                <w:color w:val="000000"/>
                <w:sz w:val="21"/>
                <w:szCs w:val="20"/>
              </w:rPr>
              <w:t>评价标准</w:t>
            </w:r>
          </w:p>
        </w:tc>
      </w:tr>
      <w:tr w14:paraId="2E23C3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noWrap w:val="0"/>
            <w:vAlign w:val="top"/>
          </w:tcPr>
          <w:p w14:paraId="4462430E">
            <w:pPr>
              <w:snapToGrid w:val="0"/>
              <w:jc w:val="center"/>
              <w:rPr>
                <w:rFonts w:ascii="Arial" w:hAnsi="Arial" w:eastAsia="黑体"/>
                <w:bCs/>
                <w:color w:val="000000"/>
                <w:sz w:val="21"/>
                <w:szCs w:val="20"/>
              </w:rPr>
            </w:pPr>
          </w:p>
        </w:tc>
        <w:tc>
          <w:tcPr>
            <w:tcW w:w="648" w:type="dxa"/>
            <w:vMerge w:val="continue"/>
            <w:noWrap w:val="0"/>
            <w:vAlign w:val="top"/>
          </w:tcPr>
          <w:p w14:paraId="57B39A9C">
            <w:pPr>
              <w:snapToGrid w:val="0"/>
              <w:jc w:val="center"/>
              <w:rPr>
                <w:rFonts w:ascii="Arial" w:hAnsi="Arial" w:eastAsia="黑体"/>
                <w:bCs/>
                <w:color w:val="000000"/>
                <w:sz w:val="21"/>
                <w:szCs w:val="20"/>
              </w:rPr>
            </w:pPr>
          </w:p>
        </w:tc>
        <w:tc>
          <w:tcPr>
            <w:tcW w:w="1403" w:type="dxa"/>
            <w:vMerge w:val="continue"/>
            <w:noWrap w:val="0"/>
            <w:vAlign w:val="top"/>
          </w:tcPr>
          <w:p w14:paraId="2A72DFE8">
            <w:pPr>
              <w:snapToGrid w:val="0"/>
              <w:jc w:val="center"/>
              <w:rPr>
                <w:rFonts w:ascii="Arial" w:hAnsi="Arial" w:eastAsia="黑体"/>
                <w:bCs/>
                <w:color w:val="000000"/>
                <w:sz w:val="21"/>
                <w:szCs w:val="20"/>
              </w:rPr>
            </w:pPr>
          </w:p>
        </w:tc>
        <w:tc>
          <w:tcPr>
            <w:tcW w:w="1403" w:type="dxa"/>
            <w:noWrap w:val="0"/>
            <w:vAlign w:val="center"/>
          </w:tcPr>
          <w:p w14:paraId="2EC637B3">
            <w:pPr>
              <w:snapToGrid w:val="0"/>
              <w:jc w:val="center"/>
              <w:rPr>
                <w:rFonts w:ascii="Times New Roman" w:hAnsi="Times New Roman" w:eastAsia="黑体" w:cs="Times New Roman"/>
                <w:bCs/>
                <w:color w:val="000000"/>
                <w:sz w:val="21"/>
                <w:szCs w:val="20"/>
              </w:rPr>
            </w:pPr>
            <w:r>
              <w:rPr>
                <w:rFonts w:hint="eastAsia" w:ascii="Times New Roman" w:hAnsi="Arial" w:eastAsia="黑体" w:cs="Times New Roman"/>
                <w:bCs/>
                <w:color w:val="000000"/>
                <w:sz w:val="21"/>
                <w:szCs w:val="20"/>
              </w:rPr>
              <w:t>优</w:t>
            </w:r>
          </w:p>
          <w:p w14:paraId="43F9620E">
            <w:pPr>
              <w:snapToGrid w:val="0"/>
              <w:jc w:val="center"/>
              <w:rPr>
                <w:rFonts w:ascii="Times New Roman" w:hAnsi="Times New Roman" w:eastAsia="黑体" w:cs="Times New Roman"/>
                <w:bCs/>
                <w:color w:val="000000"/>
                <w:sz w:val="21"/>
                <w:szCs w:val="20"/>
              </w:rPr>
            </w:pPr>
            <w:r>
              <w:rPr>
                <w:rFonts w:ascii="Times New Roman" w:hAnsi="Times New Roman" w:eastAsia="黑体" w:cs="Times New Roman"/>
                <w:bCs/>
                <w:color w:val="000000"/>
                <w:sz w:val="21"/>
                <w:szCs w:val="20"/>
              </w:rPr>
              <w:t>100-90</w:t>
            </w:r>
          </w:p>
        </w:tc>
        <w:tc>
          <w:tcPr>
            <w:tcW w:w="1403" w:type="dxa"/>
            <w:noWrap w:val="0"/>
            <w:vAlign w:val="center"/>
          </w:tcPr>
          <w:p w14:paraId="72699FA9">
            <w:pPr>
              <w:snapToGrid w:val="0"/>
              <w:jc w:val="center"/>
              <w:rPr>
                <w:rFonts w:ascii="Times New Roman" w:hAnsi="Times New Roman" w:eastAsia="黑体" w:cs="Times New Roman"/>
                <w:bCs/>
                <w:color w:val="000000"/>
                <w:sz w:val="21"/>
                <w:szCs w:val="20"/>
              </w:rPr>
            </w:pPr>
            <w:r>
              <w:rPr>
                <w:rFonts w:hint="eastAsia" w:ascii="Times New Roman" w:hAnsi="Arial" w:eastAsia="黑体" w:cs="Times New Roman"/>
                <w:bCs/>
                <w:color w:val="000000"/>
                <w:sz w:val="21"/>
                <w:szCs w:val="20"/>
              </w:rPr>
              <w:t>良</w:t>
            </w:r>
          </w:p>
          <w:p w14:paraId="3D9E8D4E">
            <w:pPr>
              <w:snapToGrid w:val="0"/>
              <w:jc w:val="center"/>
              <w:rPr>
                <w:rFonts w:ascii="Times New Roman" w:hAnsi="Times New Roman" w:eastAsia="黑体" w:cs="Times New Roman"/>
                <w:bCs/>
                <w:color w:val="000000"/>
                <w:sz w:val="21"/>
                <w:szCs w:val="20"/>
              </w:rPr>
            </w:pPr>
            <w:r>
              <w:rPr>
                <w:rFonts w:ascii="Times New Roman" w:hAnsi="Times New Roman" w:eastAsia="黑体" w:cs="Times New Roman"/>
                <w:bCs/>
                <w:color w:val="000000"/>
                <w:sz w:val="21"/>
                <w:szCs w:val="20"/>
              </w:rPr>
              <w:t>89-75</w:t>
            </w:r>
          </w:p>
        </w:tc>
        <w:tc>
          <w:tcPr>
            <w:tcW w:w="1403" w:type="dxa"/>
            <w:noWrap w:val="0"/>
            <w:vAlign w:val="center"/>
          </w:tcPr>
          <w:p w14:paraId="789AB731">
            <w:pPr>
              <w:snapToGrid w:val="0"/>
              <w:jc w:val="center"/>
              <w:rPr>
                <w:rFonts w:ascii="Times New Roman" w:hAnsi="Times New Roman" w:eastAsia="黑体" w:cs="Times New Roman"/>
                <w:bCs/>
                <w:color w:val="000000"/>
                <w:sz w:val="21"/>
                <w:szCs w:val="20"/>
              </w:rPr>
            </w:pPr>
            <w:r>
              <w:rPr>
                <w:rFonts w:hint="eastAsia" w:ascii="Times New Roman" w:hAnsi="Arial" w:eastAsia="黑体" w:cs="Times New Roman"/>
                <w:bCs/>
                <w:color w:val="000000"/>
                <w:sz w:val="21"/>
                <w:szCs w:val="20"/>
              </w:rPr>
              <w:t>中</w:t>
            </w:r>
          </w:p>
          <w:p w14:paraId="421A09CD">
            <w:pPr>
              <w:snapToGrid w:val="0"/>
              <w:jc w:val="center"/>
              <w:rPr>
                <w:rFonts w:ascii="Times New Roman" w:hAnsi="Times New Roman" w:eastAsia="黑体" w:cs="Times New Roman"/>
                <w:bCs/>
                <w:color w:val="000000"/>
                <w:sz w:val="21"/>
                <w:szCs w:val="20"/>
              </w:rPr>
            </w:pPr>
            <w:r>
              <w:rPr>
                <w:rFonts w:ascii="Times New Roman" w:hAnsi="Times New Roman" w:eastAsia="黑体" w:cs="Times New Roman"/>
                <w:bCs/>
                <w:color w:val="000000"/>
                <w:sz w:val="21"/>
                <w:szCs w:val="20"/>
              </w:rPr>
              <w:t>74-60</w:t>
            </w:r>
          </w:p>
        </w:tc>
        <w:tc>
          <w:tcPr>
            <w:tcW w:w="1403" w:type="dxa"/>
            <w:noWrap w:val="0"/>
            <w:vAlign w:val="center"/>
          </w:tcPr>
          <w:p w14:paraId="2FD8D249">
            <w:pPr>
              <w:snapToGrid w:val="0"/>
              <w:jc w:val="center"/>
              <w:rPr>
                <w:rFonts w:ascii="Times New Roman" w:hAnsi="Times New Roman" w:eastAsia="黑体" w:cs="Times New Roman"/>
                <w:bCs/>
                <w:color w:val="000000"/>
                <w:sz w:val="21"/>
                <w:szCs w:val="20"/>
              </w:rPr>
            </w:pPr>
            <w:r>
              <w:rPr>
                <w:rFonts w:hint="eastAsia" w:ascii="Times New Roman" w:hAnsi="Arial" w:eastAsia="黑体" w:cs="Times New Roman"/>
                <w:bCs/>
                <w:color w:val="000000"/>
                <w:sz w:val="21"/>
                <w:szCs w:val="20"/>
              </w:rPr>
              <w:t>不及格</w:t>
            </w:r>
          </w:p>
          <w:p w14:paraId="7349AD9A">
            <w:pPr>
              <w:snapToGrid w:val="0"/>
              <w:jc w:val="center"/>
              <w:rPr>
                <w:rFonts w:ascii="Times New Roman" w:hAnsi="Times New Roman" w:eastAsia="黑体" w:cs="Times New Roman"/>
                <w:bCs/>
                <w:color w:val="000000"/>
                <w:sz w:val="21"/>
                <w:szCs w:val="20"/>
              </w:rPr>
            </w:pPr>
            <w:r>
              <w:rPr>
                <w:rFonts w:ascii="Times New Roman" w:hAnsi="Times New Roman" w:eastAsia="黑体" w:cs="Times New Roman"/>
                <w:bCs/>
                <w:color w:val="000000"/>
                <w:sz w:val="21"/>
                <w:szCs w:val="20"/>
              </w:rPr>
              <w:t>59-0</w:t>
            </w:r>
          </w:p>
        </w:tc>
      </w:tr>
      <w:tr w14:paraId="531139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015899DE">
            <w:pPr>
              <w:snapToGrid w:val="0"/>
              <w:jc w:val="center"/>
              <w:rPr>
                <w:rFonts w:ascii="Arial" w:hAnsi="Arial" w:eastAsia="黑体"/>
                <w:bCs/>
                <w:color w:val="000000"/>
                <w:sz w:val="21"/>
                <w:szCs w:val="20"/>
              </w:rPr>
            </w:pPr>
            <w:r>
              <w:rPr>
                <w:rFonts w:ascii="Arial" w:hAnsi="Arial" w:eastAsia="黑体"/>
                <w:bCs/>
                <w:color w:val="000000"/>
                <w:sz w:val="21"/>
                <w:szCs w:val="20"/>
              </w:rPr>
              <w:t>1</w:t>
            </w:r>
          </w:p>
        </w:tc>
        <w:tc>
          <w:tcPr>
            <w:tcW w:w="648" w:type="dxa"/>
            <w:noWrap w:val="0"/>
            <w:vAlign w:val="center"/>
          </w:tcPr>
          <w:p w14:paraId="15F47838">
            <w:pPr>
              <w:widowControl w:val="0"/>
              <w:snapToGrid w:val="0"/>
              <w:jc w:val="center"/>
              <w:rPr>
                <w:rFonts w:ascii="Arial" w:hAnsi="Arial" w:eastAsia="黑体" w:cs="Arial"/>
                <w:bCs/>
                <w:sz w:val="21"/>
                <w:szCs w:val="21"/>
              </w:rPr>
            </w:pPr>
          </w:p>
        </w:tc>
        <w:tc>
          <w:tcPr>
            <w:tcW w:w="1403" w:type="dxa"/>
            <w:noWrap w:val="0"/>
            <w:vAlign w:val="top"/>
          </w:tcPr>
          <w:p w14:paraId="772E4D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top"/>
          </w:tcPr>
          <w:p w14:paraId="0EDC30D0">
            <w:pPr>
              <w:widowControl w:val="0"/>
              <w:jc w:val="both"/>
              <w:rPr>
                <w:rFonts w:ascii="Times New Roman" w:hAnsi="Times New Roman"/>
                <w:color w:val="000000"/>
                <w:sz w:val="21"/>
                <w:szCs w:val="21"/>
              </w:rPr>
            </w:pPr>
          </w:p>
        </w:tc>
        <w:tc>
          <w:tcPr>
            <w:tcW w:w="1403" w:type="dxa"/>
            <w:noWrap w:val="0"/>
            <w:vAlign w:val="top"/>
          </w:tcPr>
          <w:p w14:paraId="3716EAD7">
            <w:pPr>
              <w:widowControl w:val="0"/>
              <w:jc w:val="both"/>
              <w:rPr>
                <w:rFonts w:ascii="Times New Roman" w:hAnsi="Times New Roman"/>
                <w:color w:val="000000"/>
                <w:sz w:val="21"/>
                <w:szCs w:val="21"/>
              </w:rPr>
            </w:pPr>
          </w:p>
        </w:tc>
        <w:tc>
          <w:tcPr>
            <w:tcW w:w="1403" w:type="dxa"/>
            <w:noWrap w:val="0"/>
            <w:vAlign w:val="top"/>
          </w:tcPr>
          <w:p w14:paraId="64B95C37">
            <w:pPr>
              <w:widowControl w:val="0"/>
              <w:jc w:val="both"/>
              <w:rPr>
                <w:rFonts w:ascii="Times New Roman" w:hAnsi="Times New Roman"/>
                <w:color w:val="000000"/>
                <w:sz w:val="21"/>
                <w:szCs w:val="21"/>
              </w:rPr>
            </w:pPr>
          </w:p>
        </w:tc>
        <w:tc>
          <w:tcPr>
            <w:tcW w:w="1403" w:type="dxa"/>
            <w:noWrap w:val="0"/>
            <w:vAlign w:val="top"/>
          </w:tcPr>
          <w:p w14:paraId="1A83220E">
            <w:pPr>
              <w:shd w:val="clear" w:color="auto" w:fill="FFFFFF"/>
              <w:spacing w:before="100" w:beforeAutospacing="1" w:after="100" w:afterAutospacing="1"/>
              <w:jc w:val="both"/>
              <w:rPr>
                <w:rFonts w:eastAsia="黑体"/>
                <w:sz w:val="32"/>
              </w:rPr>
            </w:pPr>
          </w:p>
        </w:tc>
      </w:tr>
      <w:tr w14:paraId="05F81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144A5387">
            <w:pPr>
              <w:snapToGrid w:val="0"/>
              <w:jc w:val="center"/>
              <w:rPr>
                <w:rFonts w:ascii="Arial" w:hAnsi="Arial" w:eastAsia="黑体"/>
                <w:bCs/>
                <w:color w:val="000000"/>
                <w:sz w:val="21"/>
                <w:szCs w:val="20"/>
              </w:rPr>
            </w:pPr>
            <w:r>
              <w:rPr>
                <w:rFonts w:ascii="Arial" w:hAnsi="Arial" w:eastAsia="黑体"/>
                <w:bCs/>
                <w:color w:val="000000"/>
                <w:sz w:val="21"/>
                <w:szCs w:val="20"/>
              </w:rPr>
              <w:t>X1</w:t>
            </w:r>
          </w:p>
        </w:tc>
        <w:tc>
          <w:tcPr>
            <w:tcW w:w="648" w:type="dxa"/>
            <w:noWrap w:val="0"/>
            <w:vAlign w:val="center"/>
          </w:tcPr>
          <w:p w14:paraId="570D778B">
            <w:pPr>
              <w:widowControl w:val="0"/>
              <w:snapToGrid w:val="0"/>
              <w:jc w:val="center"/>
              <w:rPr>
                <w:rFonts w:ascii="Arial" w:hAnsi="Arial" w:eastAsia="黑体" w:cs="Arial"/>
                <w:bCs/>
                <w:sz w:val="21"/>
                <w:szCs w:val="21"/>
              </w:rPr>
            </w:pPr>
          </w:p>
        </w:tc>
        <w:tc>
          <w:tcPr>
            <w:tcW w:w="1403" w:type="dxa"/>
            <w:noWrap w:val="0"/>
            <w:vAlign w:val="center"/>
          </w:tcPr>
          <w:p w14:paraId="700AED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252C05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7EA25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796EC8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07902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r>
      <w:tr w14:paraId="0FDA7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49DEC164">
            <w:pPr>
              <w:snapToGrid w:val="0"/>
              <w:jc w:val="center"/>
              <w:rPr>
                <w:rFonts w:ascii="Arial" w:hAnsi="Arial" w:eastAsia="黑体"/>
                <w:bCs/>
                <w:color w:val="000000"/>
                <w:sz w:val="21"/>
                <w:szCs w:val="20"/>
              </w:rPr>
            </w:pPr>
            <w:r>
              <w:rPr>
                <w:rFonts w:ascii="Arial" w:hAnsi="Arial" w:eastAsia="黑体"/>
                <w:bCs/>
                <w:color w:val="000000"/>
                <w:sz w:val="21"/>
                <w:szCs w:val="20"/>
              </w:rPr>
              <w:t>X2</w:t>
            </w:r>
          </w:p>
        </w:tc>
        <w:tc>
          <w:tcPr>
            <w:tcW w:w="648" w:type="dxa"/>
            <w:noWrap w:val="0"/>
            <w:vAlign w:val="center"/>
          </w:tcPr>
          <w:p w14:paraId="5821A28C">
            <w:pPr>
              <w:widowControl w:val="0"/>
              <w:snapToGrid w:val="0"/>
              <w:jc w:val="center"/>
              <w:rPr>
                <w:rFonts w:ascii="Arial" w:hAnsi="Arial" w:eastAsia="黑体" w:cs="Arial"/>
                <w:bCs/>
                <w:sz w:val="21"/>
                <w:szCs w:val="21"/>
              </w:rPr>
            </w:pPr>
          </w:p>
        </w:tc>
        <w:tc>
          <w:tcPr>
            <w:tcW w:w="1403" w:type="dxa"/>
            <w:noWrap w:val="0"/>
            <w:vAlign w:val="center"/>
          </w:tcPr>
          <w:p w14:paraId="4FB95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4B1260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7CA89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6E7186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53888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r>
      <w:tr w14:paraId="26D1C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2393D52E">
            <w:pPr>
              <w:snapToGrid w:val="0"/>
              <w:jc w:val="center"/>
              <w:rPr>
                <w:rFonts w:ascii="Arial" w:hAnsi="Arial" w:eastAsia="黑体"/>
                <w:bCs/>
                <w:color w:val="000000"/>
                <w:sz w:val="21"/>
                <w:szCs w:val="20"/>
              </w:rPr>
            </w:pPr>
            <w:r>
              <w:rPr>
                <w:rFonts w:ascii="Arial" w:hAnsi="Arial" w:eastAsia="黑体"/>
                <w:bCs/>
                <w:color w:val="000000"/>
                <w:sz w:val="21"/>
                <w:szCs w:val="20"/>
              </w:rPr>
              <w:t>X3</w:t>
            </w:r>
          </w:p>
        </w:tc>
        <w:tc>
          <w:tcPr>
            <w:tcW w:w="648" w:type="dxa"/>
            <w:noWrap w:val="0"/>
            <w:vAlign w:val="center"/>
          </w:tcPr>
          <w:p w14:paraId="30B73B69">
            <w:pPr>
              <w:widowControl w:val="0"/>
              <w:snapToGrid w:val="0"/>
              <w:jc w:val="center"/>
              <w:rPr>
                <w:rFonts w:ascii="Arial" w:hAnsi="Arial" w:eastAsia="黑体" w:cs="Arial"/>
                <w:bCs/>
                <w:sz w:val="21"/>
                <w:szCs w:val="21"/>
              </w:rPr>
            </w:pPr>
          </w:p>
        </w:tc>
        <w:tc>
          <w:tcPr>
            <w:tcW w:w="1403" w:type="dxa"/>
            <w:noWrap w:val="0"/>
            <w:vAlign w:val="center"/>
          </w:tcPr>
          <w:p w14:paraId="2833F2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2FAE79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28AA42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16D6C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649620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r>
      <w:tr w14:paraId="5496B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287E583C">
            <w:pPr>
              <w:snapToGrid w:val="0"/>
              <w:jc w:val="center"/>
              <w:rPr>
                <w:rFonts w:ascii="Arial" w:hAnsi="Arial" w:eastAsia="黑体"/>
                <w:bCs/>
                <w:color w:val="000000"/>
                <w:sz w:val="21"/>
                <w:szCs w:val="20"/>
              </w:rPr>
            </w:pPr>
            <w:r>
              <w:rPr>
                <w:rFonts w:ascii="Arial" w:hAnsi="Arial" w:eastAsia="黑体"/>
                <w:bCs/>
                <w:color w:val="000000"/>
                <w:sz w:val="21"/>
                <w:szCs w:val="20"/>
              </w:rPr>
              <w:t>X4</w:t>
            </w:r>
          </w:p>
        </w:tc>
        <w:tc>
          <w:tcPr>
            <w:tcW w:w="648" w:type="dxa"/>
            <w:noWrap w:val="0"/>
            <w:vAlign w:val="center"/>
          </w:tcPr>
          <w:p w14:paraId="3C3AB4E3">
            <w:pPr>
              <w:widowControl w:val="0"/>
              <w:snapToGrid w:val="0"/>
              <w:jc w:val="center"/>
              <w:rPr>
                <w:rFonts w:ascii="Arial" w:hAnsi="Arial" w:eastAsia="黑体" w:cs="Arial"/>
                <w:bCs/>
                <w:sz w:val="21"/>
                <w:szCs w:val="21"/>
              </w:rPr>
            </w:pPr>
          </w:p>
        </w:tc>
        <w:tc>
          <w:tcPr>
            <w:tcW w:w="1403" w:type="dxa"/>
            <w:noWrap w:val="0"/>
            <w:vAlign w:val="center"/>
          </w:tcPr>
          <w:p w14:paraId="71A979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15636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5B23F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2D71B9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259F56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r>
      <w:tr w14:paraId="2EACF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noWrap w:val="0"/>
            <w:vAlign w:val="center"/>
          </w:tcPr>
          <w:p w14:paraId="0207E1AD">
            <w:pPr>
              <w:snapToGrid w:val="0"/>
              <w:jc w:val="center"/>
              <w:rPr>
                <w:rFonts w:ascii="Arial" w:hAnsi="Arial" w:eastAsia="黑体"/>
                <w:bCs/>
                <w:color w:val="000000"/>
                <w:sz w:val="21"/>
                <w:szCs w:val="20"/>
              </w:rPr>
            </w:pPr>
            <w:r>
              <w:rPr>
                <w:rFonts w:ascii="Arial" w:hAnsi="Arial" w:eastAsia="黑体"/>
                <w:bCs/>
                <w:color w:val="000000"/>
                <w:sz w:val="21"/>
                <w:szCs w:val="20"/>
              </w:rPr>
              <w:t>X5</w:t>
            </w:r>
          </w:p>
        </w:tc>
        <w:tc>
          <w:tcPr>
            <w:tcW w:w="648" w:type="dxa"/>
            <w:noWrap w:val="0"/>
            <w:vAlign w:val="center"/>
          </w:tcPr>
          <w:p w14:paraId="7295741C">
            <w:pPr>
              <w:widowControl w:val="0"/>
              <w:snapToGrid w:val="0"/>
              <w:jc w:val="center"/>
              <w:rPr>
                <w:rFonts w:ascii="Arial" w:hAnsi="Arial" w:eastAsia="黑体" w:cs="Arial"/>
                <w:bCs/>
                <w:sz w:val="21"/>
                <w:szCs w:val="21"/>
              </w:rPr>
            </w:pPr>
          </w:p>
        </w:tc>
        <w:tc>
          <w:tcPr>
            <w:tcW w:w="1403" w:type="dxa"/>
            <w:noWrap w:val="0"/>
            <w:vAlign w:val="center"/>
          </w:tcPr>
          <w:p w14:paraId="4D4D9B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5C57FA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258FAD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5251D8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c>
          <w:tcPr>
            <w:tcW w:w="1403" w:type="dxa"/>
            <w:noWrap w:val="0"/>
            <w:vAlign w:val="center"/>
          </w:tcPr>
          <w:p w14:paraId="40FECB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eastAsia="黑体" w:cs="Helvetica"/>
                <w:color w:val="000000"/>
                <w:sz w:val="19"/>
                <w:szCs w:val="19"/>
              </w:rPr>
            </w:pPr>
          </w:p>
        </w:tc>
      </w:tr>
    </w:tbl>
    <w:p w14:paraId="1718BBAF">
      <w:pPr>
        <w:spacing w:before="326" w:beforeLines="100" w:line="360" w:lineRule="auto"/>
        <w:outlineLvl w:val="0"/>
        <w:rPr>
          <w:rFonts w:ascii="黑体" w:eastAsia="黑体"/>
          <w:sz w:val="28"/>
        </w:rPr>
      </w:pPr>
      <w:r>
        <w:rPr>
          <w:rFonts w:hint="eastAsia" w:ascii="黑体" w:eastAsia="黑体"/>
          <w:sz w:val="28"/>
        </w:rPr>
        <w:t xml:space="preserve">七、其他需要说明的问题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4F5EB2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noWrap w:val="0"/>
            <w:vAlign w:val="top"/>
          </w:tcPr>
          <w:p w14:paraId="3B8CC2A4">
            <w:pPr>
              <w:widowControl w:val="0"/>
              <w:rPr>
                <w:rFonts w:ascii="Times New Roman" w:hAnsi="Times New Roman"/>
                <w:color w:val="000000"/>
                <w:sz w:val="21"/>
                <w:szCs w:val="21"/>
              </w:rPr>
            </w:pPr>
            <w:r>
              <w:rPr>
                <w:rFonts w:hint="eastAsia" w:ascii="Times New Roman" w:hAnsi="Times New Roman"/>
                <w:color w:val="000000"/>
                <w:sz w:val="21"/>
                <w:szCs w:val="21"/>
              </w:rPr>
              <w:t>无</w:t>
            </w:r>
          </w:p>
          <w:p w14:paraId="7CC9030A">
            <w:pPr>
              <w:widowControl w:val="0"/>
              <w:rPr>
                <w:rFonts w:ascii="黑体" w:hAnsi="Times New Roman"/>
                <w:color w:val="000000"/>
                <w:sz w:val="21"/>
                <w:szCs w:val="21"/>
              </w:rPr>
            </w:pPr>
          </w:p>
        </w:tc>
      </w:tr>
    </w:tbl>
    <w:p w14:paraId="3A6A1CF9">
      <w:pPr>
        <w:spacing w:before="326" w:beforeLines="100"/>
        <w:outlineLvl w:val="0"/>
        <w:rPr>
          <w:rFonts w:ascii="黑体" w:eastAsia="黑体"/>
          <w:sz w:val="18"/>
          <w:szCs w:val="16"/>
        </w:rPr>
      </w:pPr>
    </w:p>
    <w:p w14:paraId="5AE740FB">
      <w:pPr>
        <w:spacing w:before="326" w:beforeLines="100"/>
        <w:outlineLvl w:val="0"/>
        <w:rPr>
          <w:rFonts w:hint="eastAsia" w:ascii="黑体" w:eastAsia="黑体"/>
          <w:sz w:val="18"/>
          <w:szCs w:val="16"/>
        </w:rPr>
      </w:pPr>
    </w:p>
    <w:p w14:paraId="5992969B">
      <w:pPr>
        <w:spacing w:before="326" w:beforeLines="100"/>
        <w:outlineLvl w:val="0"/>
        <w:rPr>
          <w:rFonts w:hint="eastAsia" w:ascii="黑体" w:eastAsia="黑体"/>
          <w:sz w:val="18"/>
          <w:szCs w:val="16"/>
        </w:rPr>
      </w:pPr>
    </w:p>
    <w:p w14:paraId="619D248B">
      <w:pPr>
        <w:spacing w:before="326" w:beforeLines="100"/>
        <w:outlineLvl w:val="0"/>
        <w:rPr>
          <w:rFonts w:hint="eastAsia" w:ascii="黑体" w:eastAsia="黑体"/>
          <w:sz w:val="18"/>
          <w:szCs w:val="16"/>
        </w:rPr>
      </w:pPr>
    </w:p>
    <w:p w14:paraId="52A2FEBE">
      <w:pPr>
        <w:spacing w:before="326" w:beforeLines="100"/>
        <w:outlineLvl w:val="0"/>
        <w:rPr>
          <w:rFonts w:hint="eastAsia" w:ascii="黑体" w:eastAsia="黑体"/>
          <w:sz w:val="18"/>
          <w:szCs w:val="16"/>
        </w:rPr>
      </w:pPr>
    </w:p>
    <w:p w14:paraId="708E6044">
      <w:pPr>
        <w:spacing w:before="326" w:beforeLines="100"/>
        <w:outlineLvl w:val="0"/>
        <w:rPr>
          <w:rFonts w:hint="eastAsia" w:ascii="黑体" w:eastAsia="黑体"/>
          <w:sz w:val="18"/>
          <w:szCs w:val="16"/>
        </w:rPr>
      </w:pPr>
    </w:p>
    <w:p w14:paraId="161C5796">
      <w:pPr>
        <w:spacing w:before="326" w:beforeLines="100"/>
        <w:outlineLvl w:val="0"/>
        <w:rPr>
          <w:rFonts w:hint="eastAsia" w:ascii="黑体" w:eastAsia="黑体"/>
          <w:sz w:val="18"/>
          <w:szCs w:val="16"/>
        </w:rPr>
      </w:pPr>
    </w:p>
    <w:p w14:paraId="6E0ACACD">
      <w:pPr>
        <w:spacing w:before="326" w:beforeLines="100"/>
        <w:outlineLvl w:val="0"/>
        <w:rPr>
          <w:rFonts w:hint="eastAsia" w:ascii="黑体" w:eastAsia="黑体"/>
          <w:sz w:val="18"/>
          <w:szCs w:val="16"/>
        </w:rPr>
      </w:pPr>
    </w:p>
    <w:p w14:paraId="6730EF43">
      <w:pPr>
        <w:spacing w:before="326" w:beforeLines="100"/>
        <w:outlineLvl w:val="0"/>
        <w:rPr>
          <w:rFonts w:hint="eastAsia" w:ascii="黑体" w:eastAsia="黑体"/>
          <w:sz w:val="18"/>
          <w:szCs w:val="16"/>
        </w:rPr>
      </w:pPr>
    </w:p>
    <w:p w14:paraId="45DAB074">
      <w:pPr>
        <w:spacing w:before="326" w:beforeLines="100"/>
        <w:outlineLvl w:val="0"/>
        <w:rPr>
          <w:rFonts w:hint="eastAsia" w:ascii="黑体" w:eastAsia="黑体"/>
          <w:sz w:val="18"/>
          <w:szCs w:val="16"/>
        </w:rPr>
      </w:pPr>
    </w:p>
    <w:p w14:paraId="55379B43">
      <w:pPr>
        <w:spacing w:before="326" w:beforeLines="100"/>
        <w:outlineLvl w:val="0"/>
        <w:rPr>
          <w:rFonts w:hint="eastAsia" w:ascii="黑体" w:eastAsia="黑体"/>
          <w:sz w:val="18"/>
          <w:szCs w:val="16"/>
        </w:rPr>
      </w:pPr>
    </w:p>
    <w:p w14:paraId="1691F395">
      <w:pPr>
        <w:spacing w:before="326" w:beforeLines="100"/>
        <w:outlineLvl w:val="0"/>
        <w:rPr>
          <w:rFonts w:hint="eastAsia" w:ascii="黑体" w:eastAsia="黑体"/>
          <w:sz w:val="18"/>
          <w:szCs w:val="16"/>
        </w:rPr>
      </w:pPr>
    </w:p>
    <w:p w14:paraId="2932A70E">
      <w:pPr>
        <w:spacing w:before="326" w:beforeLines="100"/>
        <w:outlineLvl w:val="0"/>
        <w:rPr>
          <w:rFonts w:hint="eastAsia" w:ascii="黑体" w:eastAsia="黑体"/>
          <w:sz w:val="18"/>
          <w:szCs w:val="16"/>
        </w:rPr>
      </w:pPr>
    </w:p>
    <w:p w14:paraId="6BEB8574">
      <w:pPr>
        <w:spacing w:before="326" w:beforeLines="100"/>
        <w:outlineLvl w:val="0"/>
        <w:rPr>
          <w:rFonts w:hint="eastAsia" w:ascii="黑体" w:eastAsia="黑体"/>
          <w:sz w:val="18"/>
          <w:szCs w:val="16"/>
        </w:rPr>
      </w:pPr>
    </w:p>
    <w:p w14:paraId="062D5B47">
      <w:pPr>
        <w:spacing w:before="326" w:beforeLines="100"/>
        <w:outlineLvl w:val="0"/>
        <w:rPr>
          <w:rFonts w:hint="eastAsia" w:ascii="黑体" w:eastAsia="黑体"/>
          <w:sz w:val="18"/>
          <w:szCs w:val="16"/>
        </w:rPr>
      </w:pPr>
    </w:p>
    <w:p w14:paraId="43E0F94D">
      <w:pPr>
        <w:spacing w:before="326" w:beforeLines="100"/>
        <w:outlineLvl w:val="0"/>
        <w:rPr>
          <w:rFonts w:hint="eastAsia" w:ascii="黑体" w:eastAsia="黑体"/>
          <w:sz w:val="18"/>
          <w:szCs w:val="16"/>
        </w:rPr>
      </w:pPr>
    </w:p>
    <w:p w14:paraId="40CC7DEA">
      <w:pPr>
        <w:spacing w:before="326" w:beforeLines="100"/>
        <w:outlineLvl w:val="0"/>
        <w:rPr>
          <w:rFonts w:hint="eastAsia" w:ascii="黑体" w:eastAsia="黑体"/>
          <w:sz w:val="18"/>
          <w:szCs w:val="16"/>
        </w:rPr>
      </w:pPr>
    </w:p>
    <w:p w14:paraId="7ABE8A0F">
      <w:pPr>
        <w:spacing w:before="326" w:beforeLines="100"/>
        <w:outlineLvl w:val="0"/>
        <w:rPr>
          <w:rFonts w:hint="eastAsia" w:ascii="黑体" w:eastAsia="黑体"/>
          <w:sz w:val="18"/>
          <w:szCs w:val="16"/>
        </w:rPr>
      </w:pPr>
    </w:p>
    <w:p w14:paraId="2AD85ED4">
      <w:pPr>
        <w:spacing w:before="326" w:beforeLines="100"/>
        <w:outlineLvl w:val="0"/>
        <w:rPr>
          <w:rFonts w:hint="eastAsia" w:ascii="黑体" w:eastAsia="黑体"/>
          <w:sz w:val="18"/>
          <w:szCs w:val="16"/>
        </w:rPr>
      </w:pPr>
    </w:p>
    <w:p w14:paraId="3A329F49">
      <w:pPr>
        <w:spacing w:before="326" w:beforeLines="100"/>
        <w:outlineLvl w:val="0"/>
        <w:rPr>
          <w:rFonts w:hint="eastAsia" w:ascii="黑体" w:eastAsia="黑体"/>
          <w:sz w:val="18"/>
          <w:szCs w:val="16"/>
        </w:rPr>
      </w:pPr>
    </w:p>
    <w:p w14:paraId="1FB2E798">
      <w:pPr>
        <w:rPr>
          <w:szCs w:val="16"/>
        </w:rPr>
      </w:pPr>
    </w:p>
    <w:sectPr>
      <w:headerReference r:id="rId3" w:type="default"/>
      <w:pgSz w:w="11906" w:h="16838"/>
      <w:pgMar w:top="1440" w:right="1800" w:bottom="1440" w:left="1800" w:header="397" w:footer="992" w:gutter="0"/>
      <w:pgBorders w:offsetFrom="page">
        <w:top w:val="single" w:color="auto" w:sz="4" w:space="24"/>
      </w:pgBorders>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67F2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12700" b="5080"/>
              <wp:wrapNone/>
              <wp:docPr id="4"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B07CDE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uGSmdQAAAAJAQAA&#10;DwAAAAAAAAABACAAAAAiAAAAZHJzL2Rvd25yZXYueG1sUEsBAhQAFAAAAAgAh07iQFjy/FJWAgAA&#10;nQQAAA4AAAAAAAAAAQAgAAAAIwEAAGRycy9lMm9Eb2MueG1sUEsFBgAAAAAGAAYAWQEAAOsFAAAA&#10;AA==&#10;">
              <v:fill on="t" focussize="0,0"/>
              <v:stroke on="f" weight="0.5pt"/>
              <v:imagedata o:title=""/>
              <o:lock v:ext="edit" aspectratio="f"/>
              <v:textbox>
                <w:txbxContent>
                  <w:p w14:paraId="2B07CDEC">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NjUxM2Y5YjIzNWNjYTBmZjI4MzY5ZmVjMzI3ZDkifQ=="/>
  </w:docVars>
  <w:rsids>
    <w:rsidRoot w:val="00B7651F"/>
    <w:rsid w:val="000203E0"/>
    <w:rsid w:val="000210E0"/>
    <w:rsid w:val="00033082"/>
    <w:rsid w:val="00044088"/>
    <w:rsid w:val="00053590"/>
    <w:rsid w:val="0006001D"/>
    <w:rsid w:val="00061671"/>
    <w:rsid w:val="00066041"/>
    <w:rsid w:val="00076794"/>
    <w:rsid w:val="0008122A"/>
    <w:rsid w:val="00087488"/>
    <w:rsid w:val="0009050A"/>
    <w:rsid w:val="00093B18"/>
    <w:rsid w:val="0009721F"/>
    <w:rsid w:val="000A4E73"/>
    <w:rsid w:val="000B1BD2"/>
    <w:rsid w:val="000B7BB8"/>
    <w:rsid w:val="000C0744"/>
    <w:rsid w:val="000C0F0D"/>
    <w:rsid w:val="000C13BC"/>
    <w:rsid w:val="000D28E5"/>
    <w:rsid w:val="000D34D7"/>
    <w:rsid w:val="00100633"/>
    <w:rsid w:val="001069CB"/>
    <w:rsid w:val="001072BC"/>
    <w:rsid w:val="00113FB5"/>
    <w:rsid w:val="00114BD6"/>
    <w:rsid w:val="001164CC"/>
    <w:rsid w:val="00130F6D"/>
    <w:rsid w:val="00133554"/>
    <w:rsid w:val="00144082"/>
    <w:rsid w:val="0016381F"/>
    <w:rsid w:val="00163A48"/>
    <w:rsid w:val="0016438B"/>
    <w:rsid w:val="00164E36"/>
    <w:rsid w:val="001678A2"/>
    <w:rsid w:val="00172CEB"/>
    <w:rsid w:val="001800D7"/>
    <w:rsid w:val="00183AA1"/>
    <w:rsid w:val="0018767C"/>
    <w:rsid w:val="00190C70"/>
    <w:rsid w:val="001A0475"/>
    <w:rsid w:val="001A135C"/>
    <w:rsid w:val="001B0D49"/>
    <w:rsid w:val="001B546F"/>
    <w:rsid w:val="001C16FC"/>
    <w:rsid w:val="001C2E3E"/>
    <w:rsid w:val="001C388D"/>
    <w:rsid w:val="001E0494"/>
    <w:rsid w:val="001E1D2D"/>
    <w:rsid w:val="001E2A27"/>
    <w:rsid w:val="001E5A17"/>
    <w:rsid w:val="001F065C"/>
    <w:rsid w:val="001F284E"/>
    <w:rsid w:val="001F332E"/>
    <w:rsid w:val="00217861"/>
    <w:rsid w:val="002204E4"/>
    <w:rsid w:val="002211BF"/>
    <w:rsid w:val="0022142B"/>
    <w:rsid w:val="00233F15"/>
    <w:rsid w:val="002420F1"/>
    <w:rsid w:val="00253AC8"/>
    <w:rsid w:val="00256B39"/>
    <w:rsid w:val="0026033C"/>
    <w:rsid w:val="002715B8"/>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D7FA4"/>
    <w:rsid w:val="002E33CE"/>
    <w:rsid w:val="002E3721"/>
    <w:rsid w:val="002E4B0A"/>
    <w:rsid w:val="002E6F95"/>
    <w:rsid w:val="002E764D"/>
    <w:rsid w:val="002F3157"/>
    <w:rsid w:val="002F6BD5"/>
    <w:rsid w:val="00305F23"/>
    <w:rsid w:val="00313BBA"/>
    <w:rsid w:val="00317E29"/>
    <w:rsid w:val="00321515"/>
    <w:rsid w:val="0032602E"/>
    <w:rsid w:val="00327B8C"/>
    <w:rsid w:val="00331638"/>
    <w:rsid w:val="003344A7"/>
    <w:rsid w:val="00334623"/>
    <w:rsid w:val="00336121"/>
    <w:rsid w:val="003367AE"/>
    <w:rsid w:val="00340439"/>
    <w:rsid w:val="00344C72"/>
    <w:rsid w:val="00344EF2"/>
    <w:rsid w:val="00347EB8"/>
    <w:rsid w:val="00347F80"/>
    <w:rsid w:val="00353F74"/>
    <w:rsid w:val="003557DE"/>
    <w:rsid w:val="00356647"/>
    <w:rsid w:val="00361BEB"/>
    <w:rsid w:val="003639E3"/>
    <w:rsid w:val="00364618"/>
    <w:rsid w:val="00370184"/>
    <w:rsid w:val="00373C8A"/>
    <w:rsid w:val="00377C10"/>
    <w:rsid w:val="00384A1F"/>
    <w:rsid w:val="00384D60"/>
    <w:rsid w:val="00385D41"/>
    <w:rsid w:val="003861BA"/>
    <w:rsid w:val="003A1680"/>
    <w:rsid w:val="003A373C"/>
    <w:rsid w:val="003A447E"/>
    <w:rsid w:val="003A5874"/>
    <w:rsid w:val="003B1258"/>
    <w:rsid w:val="003B4A81"/>
    <w:rsid w:val="003B66D0"/>
    <w:rsid w:val="003C1F8D"/>
    <w:rsid w:val="003C61A5"/>
    <w:rsid w:val="003C6FA2"/>
    <w:rsid w:val="003D1968"/>
    <w:rsid w:val="003D4994"/>
    <w:rsid w:val="003E10A5"/>
    <w:rsid w:val="003E59F1"/>
    <w:rsid w:val="003E7D72"/>
    <w:rsid w:val="003F3923"/>
    <w:rsid w:val="003F43F6"/>
    <w:rsid w:val="004019DB"/>
    <w:rsid w:val="00402B67"/>
    <w:rsid w:val="00403C91"/>
    <w:rsid w:val="0040433E"/>
    <w:rsid w:val="00404974"/>
    <w:rsid w:val="0040726A"/>
    <w:rsid w:val="004100B0"/>
    <w:rsid w:val="0041235C"/>
    <w:rsid w:val="0041267F"/>
    <w:rsid w:val="00424BA5"/>
    <w:rsid w:val="00425431"/>
    <w:rsid w:val="00431829"/>
    <w:rsid w:val="00437B60"/>
    <w:rsid w:val="004405E6"/>
    <w:rsid w:val="00443C84"/>
    <w:rsid w:val="00443C89"/>
    <w:rsid w:val="004540AA"/>
    <w:rsid w:val="00456BD8"/>
    <w:rsid w:val="00456DC8"/>
    <w:rsid w:val="0046549D"/>
    <w:rsid w:val="004663F1"/>
    <w:rsid w:val="00471668"/>
    <w:rsid w:val="004732E7"/>
    <w:rsid w:val="00476544"/>
    <w:rsid w:val="00481F98"/>
    <w:rsid w:val="004852BF"/>
    <w:rsid w:val="00487A46"/>
    <w:rsid w:val="00493504"/>
    <w:rsid w:val="00494579"/>
    <w:rsid w:val="004956B7"/>
    <w:rsid w:val="00497334"/>
    <w:rsid w:val="004A4645"/>
    <w:rsid w:val="004A6F3A"/>
    <w:rsid w:val="004B408D"/>
    <w:rsid w:val="004B6F68"/>
    <w:rsid w:val="004B73F7"/>
    <w:rsid w:val="004D4FB3"/>
    <w:rsid w:val="004D75A6"/>
    <w:rsid w:val="004E1EAD"/>
    <w:rsid w:val="004E3456"/>
    <w:rsid w:val="004E5953"/>
    <w:rsid w:val="004F3DF0"/>
    <w:rsid w:val="005074E1"/>
    <w:rsid w:val="005126F1"/>
    <w:rsid w:val="00513F2F"/>
    <w:rsid w:val="00514043"/>
    <w:rsid w:val="0051612A"/>
    <w:rsid w:val="00517176"/>
    <w:rsid w:val="0052192E"/>
    <w:rsid w:val="00524300"/>
    <w:rsid w:val="00541F72"/>
    <w:rsid w:val="00542388"/>
    <w:rsid w:val="00544523"/>
    <w:rsid w:val="0054556F"/>
    <w:rsid w:val="00545BB5"/>
    <w:rsid w:val="005467DC"/>
    <w:rsid w:val="00546A82"/>
    <w:rsid w:val="00547C51"/>
    <w:rsid w:val="00551335"/>
    <w:rsid w:val="005519BB"/>
    <w:rsid w:val="005523FD"/>
    <w:rsid w:val="00553D03"/>
    <w:rsid w:val="00555BA0"/>
    <w:rsid w:val="00556E41"/>
    <w:rsid w:val="0057496F"/>
    <w:rsid w:val="00575C5D"/>
    <w:rsid w:val="005770A6"/>
    <w:rsid w:val="0058348D"/>
    <w:rsid w:val="0059045B"/>
    <w:rsid w:val="00592622"/>
    <w:rsid w:val="005952FE"/>
    <w:rsid w:val="00597EC2"/>
    <w:rsid w:val="005A13AB"/>
    <w:rsid w:val="005B1150"/>
    <w:rsid w:val="005B1FFC"/>
    <w:rsid w:val="005B2B6D"/>
    <w:rsid w:val="005B4B4E"/>
    <w:rsid w:val="005C3A76"/>
    <w:rsid w:val="005D5B6F"/>
    <w:rsid w:val="005E38A5"/>
    <w:rsid w:val="005F5185"/>
    <w:rsid w:val="00607F95"/>
    <w:rsid w:val="0062115C"/>
    <w:rsid w:val="0062265B"/>
    <w:rsid w:val="00624B5C"/>
    <w:rsid w:val="00624FE1"/>
    <w:rsid w:val="0062577D"/>
    <w:rsid w:val="0063249D"/>
    <w:rsid w:val="006331EE"/>
    <w:rsid w:val="00634464"/>
    <w:rsid w:val="006355E6"/>
    <w:rsid w:val="00635796"/>
    <w:rsid w:val="00637E00"/>
    <w:rsid w:val="0064038A"/>
    <w:rsid w:val="0065167D"/>
    <w:rsid w:val="00652D13"/>
    <w:rsid w:val="0066595A"/>
    <w:rsid w:val="00666206"/>
    <w:rsid w:val="0066676A"/>
    <w:rsid w:val="00670523"/>
    <w:rsid w:val="00670B19"/>
    <w:rsid w:val="00672788"/>
    <w:rsid w:val="00673789"/>
    <w:rsid w:val="00676183"/>
    <w:rsid w:val="00680DA3"/>
    <w:rsid w:val="0068377F"/>
    <w:rsid w:val="00691B24"/>
    <w:rsid w:val="00695B93"/>
    <w:rsid w:val="00697C16"/>
    <w:rsid w:val="006A13C7"/>
    <w:rsid w:val="006A5A89"/>
    <w:rsid w:val="006A79FB"/>
    <w:rsid w:val="006B3BB9"/>
    <w:rsid w:val="006B48AC"/>
    <w:rsid w:val="006B5977"/>
    <w:rsid w:val="006C1D59"/>
    <w:rsid w:val="006D1B59"/>
    <w:rsid w:val="006D2F9C"/>
    <w:rsid w:val="006D4351"/>
    <w:rsid w:val="006D5424"/>
    <w:rsid w:val="006E5CA9"/>
    <w:rsid w:val="006E5E98"/>
    <w:rsid w:val="006E7A37"/>
    <w:rsid w:val="006F3151"/>
    <w:rsid w:val="006F67C9"/>
    <w:rsid w:val="007011CA"/>
    <w:rsid w:val="007038A1"/>
    <w:rsid w:val="007056DE"/>
    <w:rsid w:val="00706121"/>
    <w:rsid w:val="00710B6B"/>
    <w:rsid w:val="00712A2C"/>
    <w:rsid w:val="00712E84"/>
    <w:rsid w:val="00714914"/>
    <w:rsid w:val="00716B83"/>
    <w:rsid w:val="007208D6"/>
    <w:rsid w:val="007226AF"/>
    <w:rsid w:val="00726786"/>
    <w:rsid w:val="00732152"/>
    <w:rsid w:val="00735A4E"/>
    <w:rsid w:val="007428DF"/>
    <w:rsid w:val="00742BD1"/>
    <w:rsid w:val="00742E7A"/>
    <w:rsid w:val="0074424F"/>
    <w:rsid w:val="00746A88"/>
    <w:rsid w:val="007569A9"/>
    <w:rsid w:val="0075734F"/>
    <w:rsid w:val="00764FD9"/>
    <w:rsid w:val="007740B2"/>
    <w:rsid w:val="00774C1F"/>
    <w:rsid w:val="0078194F"/>
    <w:rsid w:val="00791975"/>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7F6249"/>
    <w:rsid w:val="0080066B"/>
    <w:rsid w:val="00803578"/>
    <w:rsid w:val="00814C3F"/>
    <w:rsid w:val="00815B8D"/>
    <w:rsid w:val="00815B8E"/>
    <w:rsid w:val="00816D99"/>
    <w:rsid w:val="0082324C"/>
    <w:rsid w:val="00823D71"/>
    <w:rsid w:val="008240A0"/>
    <w:rsid w:val="008245AF"/>
    <w:rsid w:val="008256B9"/>
    <w:rsid w:val="00827FE1"/>
    <w:rsid w:val="008320E4"/>
    <w:rsid w:val="0083705D"/>
    <w:rsid w:val="0084242F"/>
    <w:rsid w:val="00845795"/>
    <w:rsid w:val="00845914"/>
    <w:rsid w:val="00847437"/>
    <w:rsid w:val="00852B4F"/>
    <w:rsid w:val="00867CDD"/>
    <w:rsid w:val="00882E15"/>
    <w:rsid w:val="00883322"/>
    <w:rsid w:val="00883C73"/>
    <w:rsid w:val="00884890"/>
    <w:rsid w:val="008901A2"/>
    <w:rsid w:val="008935BF"/>
    <w:rsid w:val="00897B8F"/>
    <w:rsid w:val="008A08B0"/>
    <w:rsid w:val="008A21BE"/>
    <w:rsid w:val="008B0385"/>
    <w:rsid w:val="008B1082"/>
    <w:rsid w:val="008B188E"/>
    <w:rsid w:val="008B397C"/>
    <w:rsid w:val="008B47F4"/>
    <w:rsid w:val="008B6A60"/>
    <w:rsid w:val="008B7448"/>
    <w:rsid w:val="008B7E1E"/>
    <w:rsid w:val="008C2AE6"/>
    <w:rsid w:val="008C2DE8"/>
    <w:rsid w:val="008C4EA5"/>
    <w:rsid w:val="008C5113"/>
    <w:rsid w:val="008C5B8A"/>
    <w:rsid w:val="008C6645"/>
    <w:rsid w:val="008D1865"/>
    <w:rsid w:val="008D3D5F"/>
    <w:rsid w:val="008D4E81"/>
    <w:rsid w:val="008D505F"/>
    <w:rsid w:val="008E0F55"/>
    <w:rsid w:val="008E7A99"/>
    <w:rsid w:val="008F253F"/>
    <w:rsid w:val="008F7F31"/>
    <w:rsid w:val="00900019"/>
    <w:rsid w:val="00901621"/>
    <w:rsid w:val="009023B1"/>
    <w:rsid w:val="009147D6"/>
    <w:rsid w:val="00914D98"/>
    <w:rsid w:val="00925F8C"/>
    <w:rsid w:val="00927324"/>
    <w:rsid w:val="00932ED7"/>
    <w:rsid w:val="00933990"/>
    <w:rsid w:val="00941B89"/>
    <w:rsid w:val="00941DEA"/>
    <w:rsid w:val="00960DDC"/>
    <w:rsid w:val="009656CC"/>
    <w:rsid w:val="00970E8C"/>
    <w:rsid w:val="00971671"/>
    <w:rsid w:val="00981A37"/>
    <w:rsid w:val="009830B2"/>
    <w:rsid w:val="00985E99"/>
    <w:rsid w:val="0099063E"/>
    <w:rsid w:val="00992356"/>
    <w:rsid w:val="00992674"/>
    <w:rsid w:val="00994172"/>
    <w:rsid w:val="00994793"/>
    <w:rsid w:val="00996AE3"/>
    <w:rsid w:val="009A0450"/>
    <w:rsid w:val="009A1E27"/>
    <w:rsid w:val="009A307B"/>
    <w:rsid w:val="009B04E7"/>
    <w:rsid w:val="009B14E8"/>
    <w:rsid w:val="009B4D21"/>
    <w:rsid w:val="009B4D65"/>
    <w:rsid w:val="009B5A73"/>
    <w:rsid w:val="009B7E8F"/>
    <w:rsid w:val="009C54C9"/>
    <w:rsid w:val="009C589C"/>
    <w:rsid w:val="009D192B"/>
    <w:rsid w:val="009D2582"/>
    <w:rsid w:val="009D33E1"/>
    <w:rsid w:val="009D3B45"/>
    <w:rsid w:val="009D566C"/>
    <w:rsid w:val="009D7CF9"/>
    <w:rsid w:val="009E2CCC"/>
    <w:rsid w:val="009E2CDD"/>
    <w:rsid w:val="009E366E"/>
    <w:rsid w:val="009E6097"/>
    <w:rsid w:val="009E65A5"/>
    <w:rsid w:val="009E6FC4"/>
    <w:rsid w:val="009F00DC"/>
    <w:rsid w:val="009F3199"/>
    <w:rsid w:val="009F3355"/>
    <w:rsid w:val="009F3648"/>
    <w:rsid w:val="009F3B7A"/>
    <w:rsid w:val="009F54D0"/>
    <w:rsid w:val="00A04523"/>
    <w:rsid w:val="00A06E9F"/>
    <w:rsid w:val="00A16159"/>
    <w:rsid w:val="00A161E6"/>
    <w:rsid w:val="00A17885"/>
    <w:rsid w:val="00A2337D"/>
    <w:rsid w:val="00A25A31"/>
    <w:rsid w:val="00A31BBE"/>
    <w:rsid w:val="00A31D34"/>
    <w:rsid w:val="00A324D7"/>
    <w:rsid w:val="00A333EF"/>
    <w:rsid w:val="00A33F85"/>
    <w:rsid w:val="00A40645"/>
    <w:rsid w:val="00A44E7D"/>
    <w:rsid w:val="00A6016C"/>
    <w:rsid w:val="00A619BD"/>
    <w:rsid w:val="00A71698"/>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1DE3"/>
    <w:rsid w:val="00AD5B40"/>
    <w:rsid w:val="00AF289F"/>
    <w:rsid w:val="00AF30B9"/>
    <w:rsid w:val="00AF392F"/>
    <w:rsid w:val="00AF43DF"/>
    <w:rsid w:val="00AF67A4"/>
    <w:rsid w:val="00AF7510"/>
    <w:rsid w:val="00B12D31"/>
    <w:rsid w:val="00B15F6E"/>
    <w:rsid w:val="00B21BEE"/>
    <w:rsid w:val="00B23284"/>
    <w:rsid w:val="00B37D43"/>
    <w:rsid w:val="00B45614"/>
    <w:rsid w:val="00B46F21"/>
    <w:rsid w:val="00B511A5"/>
    <w:rsid w:val="00B51CDE"/>
    <w:rsid w:val="00B56541"/>
    <w:rsid w:val="00B605ED"/>
    <w:rsid w:val="00B71F97"/>
    <w:rsid w:val="00B72538"/>
    <w:rsid w:val="00B736A7"/>
    <w:rsid w:val="00B73CC8"/>
    <w:rsid w:val="00B7651F"/>
    <w:rsid w:val="00B919FA"/>
    <w:rsid w:val="00B94A16"/>
    <w:rsid w:val="00BA6044"/>
    <w:rsid w:val="00BA6E21"/>
    <w:rsid w:val="00BB1A93"/>
    <w:rsid w:val="00BC14BF"/>
    <w:rsid w:val="00BC2625"/>
    <w:rsid w:val="00BC3200"/>
    <w:rsid w:val="00BC32BC"/>
    <w:rsid w:val="00BC338A"/>
    <w:rsid w:val="00BD7AB0"/>
    <w:rsid w:val="00BE04C4"/>
    <w:rsid w:val="00BE53E8"/>
    <w:rsid w:val="00BF3C20"/>
    <w:rsid w:val="00C011BC"/>
    <w:rsid w:val="00C03DBA"/>
    <w:rsid w:val="00C112E7"/>
    <w:rsid w:val="00C11C78"/>
    <w:rsid w:val="00C11CD4"/>
    <w:rsid w:val="00C14B1C"/>
    <w:rsid w:val="00C15061"/>
    <w:rsid w:val="00C15BD4"/>
    <w:rsid w:val="00C1713D"/>
    <w:rsid w:val="00C20D9D"/>
    <w:rsid w:val="00C2134F"/>
    <w:rsid w:val="00C23570"/>
    <w:rsid w:val="00C24718"/>
    <w:rsid w:val="00C2675D"/>
    <w:rsid w:val="00C30AEE"/>
    <w:rsid w:val="00C33362"/>
    <w:rsid w:val="00C353AE"/>
    <w:rsid w:val="00C35628"/>
    <w:rsid w:val="00C4194E"/>
    <w:rsid w:val="00C516B1"/>
    <w:rsid w:val="00C5350C"/>
    <w:rsid w:val="00C56E09"/>
    <w:rsid w:val="00C61B1B"/>
    <w:rsid w:val="00C66AB7"/>
    <w:rsid w:val="00C673D1"/>
    <w:rsid w:val="00C746CB"/>
    <w:rsid w:val="00C77BBF"/>
    <w:rsid w:val="00C77D64"/>
    <w:rsid w:val="00C81564"/>
    <w:rsid w:val="00C82D17"/>
    <w:rsid w:val="00C9080C"/>
    <w:rsid w:val="00C94429"/>
    <w:rsid w:val="00CA18FD"/>
    <w:rsid w:val="00CA27E5"/>
    <w:rsid w:val="00CA4897"/>
    <w:rsid w:val="00CA6928"/>
    <w:rsid w:val="00CB3176"/>
    <w:rsid w:val="00CB3D3F"/>
    <w:rsid w:val="00CB5850"/>
    <w:rsid w:val="00CB5A1A"/>
    <w:rsid w:val="00CC59E6"/>
    <w:rsid w:val="00CD5BDD"/>
    <w:rsid w:val="00CF096B"/>
    <w:rsid w:val="00CF10F7"/>
    <w:rsid w:val="00CF5EE3"/>
    <w:rsid w:val="00CF691F"/>
    <w:rsid w:val="00D00D99"/>
    <w:rsid w:val="00D013A4"/>
    <w:rsid w:val="00D026DC"/>
    <w:rsid w:val="00D15595"/>
    <w:rsid w:val="00D325BD"/>
    <w:rsid w:val="00D343A8"/>
    <w:rsid w:val="00D37832"/>
    <w:rsid w:val="00D44860"/>
    <w:rsid w:val="00D47689"/>
    <w:rsid w:val="00D50C42"/>
    <w:rsid w:val="00D52E87"/>
    <w:rsid w:val="00D57CF5"/>
    <w:rsid w:val="00D612BC"/>
    <w:rsid w:val="00D62F98"/>
    <w:rsid w:val="00D66FD6"/>
    <w:rsid w:val="00D8285B"/>
    <w:rsid w:val="00D862EB"/>
    <w:rsid w:val="00D86619"/>
    <w:rsid w:val="00D93E7C"/>
    <w:rsid w:val="00DA4C8D"/>
    <w:rsid w:val="00DB2BE6"/>
    <w:rsid w:val="00DB76B3"/>
    <w:rsid w:val="00DD1052"/>
    <w:rsid w:val="00DD3C7B"/>
    <w:rsid w:val="00DD7052"/>
    <w:rsid w:val="00DD7203"/>
    <w:rsid w:val="00DE2B21"/>
    <w:rsid w:val="00DE48DE"/>
    <w:rsid w:val="00DF25F2"/>
    <w:rsid w:val="00DF2724"/>
    <w:rsid w:val="00DF4166"/>
    <w:rsid w:val="00E000F4"/>
    <w:rsid w:val="00E01231"/>
    <w:rsid w:val="00E04279"/>
    <w:rsid w:val="00E059D2"/>
    <w:rsid w:val="00E11393"/>
    <w:rsid w:val="00E125D9"/>
    <w:rsid w:val="00E16D30"/>
    <w:rsid w:val="00E212A7"/>
    <w:rsid w:val="00E31E69"/>
    <w:rsid w:val="00E33169"/>
    <w:rsid w:val="00E34A7B"/>
    <w:rsid w:val="00E40973"/>
    <w:rsid w:val="00E52DBA"/>
    <w:rsid w:val="00E545FF"/>
    <w:rsid w:val="00E6080E"/>
    <w:rsid w:val="00E6132A"/>
    <w:rsid w:val="00E64168"/>
    <w:rsid w:val="00E655B3"/>
    <w:rsid w:val="00E7081D"/>
    <w:rsid w:val="00E70904"/>
    <w:rsid w:val="00E71319"/>
    <w:rsid w:val="00E75171"/>
    <w:rsid w:val="00E804B0"/>
    <w:rsid w:val="00E86772"/>
    <w:rsid w:val="00E90B8B"/>
    <w:rsid w:val="00E93ADD"/>
    <w:rsid w:val="00E952D8"/>
    <w:rsid w:val="00EA4298"/>
    <w:rsid w:val="00EA66AE"/>
    <w:rsid w:val="00EB00E4"/>
    <w:rsid w:val="00EB28DA"/>
    <w:rsid w:val="00EB3812"/>
    <w:rsid w:val="00EB44EB"/>
    <w:rsid w:val="00EB66B8"/>
    <w:rsid w:val="00EB791E"/>
    <w:rsid w:val="00EC70A9"/>
    <w:rsid w:val="00ED1364"/>
    <w:rsid w:val="00ED4C3A"/>
    <w:rsid w:val="00EE1C85"/>
    <w:rsid w:val="00EE326A"/>
    <w:rsid w:val="00EF21D9"/>
    <w:rsid w:val="00EF2A94"/>
    <w:rsid w:val="00EF32FB"/>
    <w:rsid w:val="00EF44B1"/>
    <w:rsid w:val="00EF4865"/>
    <w:rsid w:val="00EF5954"/>
    <w:rsid w:val="00F014EE"/>
    <w:rsid w:val="00F100D2"/>
    <w:rsid w:val="00F12942"/>
    <w:rsid w:val="00F13C41"/>
    <w:rsid w:val="00F14886"/>
    <w:rsid w:val="00F16421"/>
    <w:rsid w:val="00F201EE"/>
    <w:rsid w:val="00F302DB"/>
    <w:rsid w:val="00F32718"/>
    <w:rsid w:val="00F35AA0"/>
    <w:rsid w:val="00F42DAC"/>
    <w:rsid w:val="00F43C49"/>
    <w:rsid w:val="00F43DDC"/>
    <w:rsid w:val="00F45C12"/>
    <w:rsid w:val="00F460F2"/>
    <w:rsid w:val="00F544A2"/>
    <w:rsid w:val="00F668B3"/>
    <w:rsid w:val="00F66C89"/>
    <w:rsid w:val="00F73D03"/>
    <w:rsid w:val="00F76CB9"/>
    <w:rsid w:val="00F77A73"/>
    <w:rsid w:val="00F80E46"/>
    <w:rsid w:val="00F81C8D"/>
    <w:rsid w:val="00F84AC6"/>
    <w:rsid w:val="00F93F3A"/>
    <w:rsid w:val="00F96236"/>
    <w:rsid w:val="00FA10CE"/>
    <w:rsid w:val="00FA222F"/>
    <w:rsid w:val="00FA2891"/>
    <w:rsid w:val="00FB14FE"/>
    <w:rsid w:val="00FB693D"/>
    <w:rsid w:val="00FB7768"/>
    <w:rsid w:val="00FC1497"/>
    <w:rsid w:val="00FC7489"/>
    <w:rsid w:val="00FD1BA8"/>
    <w:rsid w:val="00FD218F"/>
    <w:rsid w:val="00FD5663"/>
    <w:rsid w:val="00FD56C6"/>
    <w:rsid w:val="00FE3221"/>
    <w:rsid w:val="00FE48EA"/>
    <w:rsid w:val="00FE571F"/>
    <w:rsid w:val="00FF2F80"/>
    <w:rsid w:val="00FF47F6"/>
    <w:rsid w:val="016E63C2"/>
    <w:rsid w:val="02184C85"/>
    <w:rsid w:val="024B0C39"/>
    <w:rsid w:val="03A34A22"/>
    <w:rsid w:val="0A8128A6"/>
    <w:rsid w:val="0BF32A1B"/>
    <w:rsid w:val="10BD2C22"/>
    <w:rsid w:val="10C0561B"/>
    <w:rsid w:val="15082937"/>
    <w:rsid w:val="167069E6"/>
    <w:rsid w:val="1DDD7B54"/>
    <w:rsid w:val="21E5472C"/>
    <w:rsid w:val="227B0BEC"/>
    <w:rsid w:val="22987C80"/>
    <w:rsid w:val="24192CCC"/>
    <w:rsid w:val="2762237B"/>
    <w:rsid w:val="33C47290"/>
    <w:rsid w:val="39A66CD4"/>
    <w:rsid w:val="3AF06079"/>
    <w:rsid w:val="3B3360B0"/>
    <w:rsid w:val="3CD52CE1"/>
    <w:rsid w:val="3FC45529"/>
    <w:rsid w:val="410F2E6A"/>
    <w:rsid w:val="4430136C"/>
    <w:rsid w:val="44E4632B"/>
    <w:rsid w:val="47F53276"/>
    <w:rsid w:val="487938A9"/>
    <w:rsid w:val="4A083129"/>
    <w:rsid w:val="4AB0382B"/>
    <w:rsid w:val="4B2C0426"/>
    <w:rsid w:val="4CC426F7"/>
    <w:rsid w:val="4EAF3848"/>
    <w:rsid w:val="52B70F1D"/>
    <w:rsid w:val="534A3B3F"/>
    <w:rsid w:val="555E7D76"/>
    <w:rsid w:val="569868B5"/>
    <w:rsid w:val="5A867F45"/>
    <w:rsid w:val="611F6817"/>
    <w:rsid w:val="64D43BB1"/>
    <w:rsid w:val="65000502"/>
    <w:rsid w:val="66CA1754"/>
    <w:rsid w:val="6D83525F"/>
    <w:rsid w:val="6F1E65D4"/>
    <w:rsid w:val="6F266C86"/>
    <w:rsid w:val="6F5042C2"/>
    <w:rsid w:val="70710506"/>
    <w:rsid w:val="730D2704"/>
    <w:rsid w:val="74316312"/>
    <w:rsid w:val="780F13C8"/>
    <w:rsid w:val="7866291A"/>
    <w:rsid w:val="7C385448"/>
    <w:rsid w:val="7CB366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widowControl w:val="0"/>
      <w:snapToGrid w:val="0"/>
      <w:spacing w:before="260" w:after="260" w:line="413" w:lineRule="auto"/>
      <w:ind w:firstLine="560" w:firstLineChars="200"/>
      <w:jc w:val="both"/>
      <w:outlineLvl w:val="1"/>
    </w:pPr>
    <w:rPr>
      <w:rFonts w:ascii="Arial" w:hAnsi="Arial" w:eastAsia="黑体" w:cs="微软雅黑"/>
      <w:b/>
      <w:sz w:val="32"/>
    </w:rPr>
  </w:style>
  <w:style w:type="character" w:default="1" w:styleId="11">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99"/>
    <w:pPr>
      <w:widowControl w:val="0"/>
    </w:pPr>
    <w:rPr>
      <w:rFonts w:ascii="Times New Roman" w:hAnsi="Times New Roman" w:cs="Times New Roman"/>
      <w:kern w:val="2"/>
      <w:sz w:val="21"/>
    </w:rPr>
  </w:style>
  <w:style w:type="paragraph" w:styleId="5">
    <w:name w:val="Balloon Text"/>
    <w:basedOn w:val="1"/>
    <w:link w:val="16"/>
    <w:unhideWhenUsed/>
    <w:uiPriority w:val="99"/>
    <w:rPr>
      <w:sz w:val="18"/>
      <w:szCs w:val="18"/>
    </w:rPr>
  </w:style>
  <w:style w:type="paragraph" w:styleId="6">
    <w:name w:val="footer"/>
    <w:basedOn w:val="1"/>
    <w:link w:val="17"/>
    <w:unhideWhenUsed/>
    <w:qFormat/>
    <w:uiPriority w:val="99"/>
    <w:pPr>
      <w:tabs>
        <w:tab w:val="center" w:pos="4153"/>
        <w:tab w:val="right" w:pos="8306"/>
      </w:tabs>
      <w:snapToGrid w:val="0"/>
    </w:pPr>
    <w:rPr>
      <w:rFonts w:ascii="Calibri" w:hAnsi="Calibri" w:eastAsia="宋体" w:cs="Times New Roman"/>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标题 1 Char"/>
    <w:basedOn w:val="11"/>
    <w:link w:val="2"/>
    <w:qFormat/>
    <w:uiPriority w:val="9"/>
    <w:rPr>
      <w:rFonts w:ascii="Calibri" w:hAnsi="Calibri" w:eastAsia="宋体" w:cs="Times New Roman"/>
      <w:b/>
      <w:bCs/>
      <w:kern w:val="44"/>
      <w:sz w:val="44"/>
      <w:szCs w:val="44"/>
    </w:rPr>
  </w:style>
  <w:style w:type="character" w:customStyle="1" w:styleId="14">
    <w:name w:val="标题 2 Char"/>
    <w:basedOn w:val="11"/>
    <w:link w:val="3"/>
    <w:qFormat/>
    <w:uiPriority w:val="0"/>
    <w:rPr>
      <w:rFonts w:ascii="Arial" w:hAnsi="Arial" w:eastAsia="黑体" w:cs="微软雅黑"/>
      <w:b/>
      <w:sz w:val="32"/>
      <w:szCs w:val="24"/>
    </w:rPr>
  </w:style>
  <w:style w:type="character" w:customStyle="1" w:styleId="15">
    <w:name w:val="批注文字 Char"/>
    <w:basedOn w:val="11"/>
    <w:link w:val="4"/>
    <w:uiPriority w:val="99"/>
    <w:rPr>
      <w:rFonts w:ascii="Times New Roman" w:hAnsi="Times New Roman" w:eastAsia="宋体" w:cs="Times New Roman"/>
      <w:kern w:val="2"/>
      <w:sz w:val="21"/>
      <w:szCs w:val="24"/>
    </w:rPr>
  </w:style>
  <w:style w:type="character" w:customStyle="1" w:styleId="16">
    <w:name w:val="批注框文本 Char"/>
    <w:basedOn w:val="11"/>
    <w:link w:val="5"/>
    <w:semiHidden/>
    <w:uiPriority w:val="99"/>
    <w:rPr>
      <w:rFonts w:ascii="宋体" w:hAnsi="宋体" w:eastAsia="宋体" w:cs="宋体"/>
      <w:sz w:val="18"/>
      <w:szCs w:val="18"/>
    </w:rPr>
  </w:style>
  <w:style w:type="character" w:customStyle="1" w:styleId="17">
    <w:name w:val="页脚 Char"/>
    <w:basedOn w:val="11"/>
    <w:link w:val="6"/>
    <w:semiHidden/>
    <w:qFormat/>
    <w:uiPriority w:val="99"/>
    <w:rPr>
      <w:sz w:val="18"/>
      <w:szCs w:val="18"/>
    </w:rPr>
  </w:style>
  <w:style w:type="character" w:customStyle="1" w:styleId="18">
    <w:name w:val="页眉 Char"/>
    <w:basedOn w:val="11"/>
    <w:link w:val="7"/>
    <w:semiHidden/>
    <w:qFormat/>
    <w:uiPriority w:val="99"/>
    <w:rPr>
      <w:sz w:val="18"/>
      <w:szCs w:val="18"/>
    </w:rPr>
  </w:style>
  <w:style w:type="paragraph" w:customStyle="1" w:styleId="19">
    <w:name w:val="表格标题DG"/>
    <w:basedOn w:val="1"/>
    <w:qFormat/>
    <w:uiPriority w:val="0"/>
    <w:pPr>
      <w:snapToGrid w:val="0"/>
      <w:jc w:val="center"/>
    </w:pPr>
    <w:rPr>
      <w:rFonts w:ascii="Arial" w:hAnsi="Arial" w:eastAsia="黑体"/>
      <w:bCs/>
      <w:color w:val="000000"/>
      <w:sz w:val="21"/>
      <w:szCs w:val="20"/>
    </w:rPr>
  </w:style>
  <w:style w:type="paragraph" w:customStyle="1" w:styleId="20">
    <w:name w:val="表格正文DG"/>
    <w:basedOn w:val="1"/>
    <w:qFormat/>
    <w:uiPriority w:val="0"/>
    <w:pPr>
      <w:jc w:val="center"/>
    </w:pPr>
    <w:rPr>
      <w:rFonts w:ascii="Times New Roman" w:hAnsi="Times New Roman"/>
      <w:color w:val="000000"/>
      <w:sz w:val="21"/>
      <w:szCs w:val="21"/>
    </w:rPr>
  </w:style>
  <w:style w:type="paragraph" w:styleId="21">
    <w:name w:val="List Paragraph"/>
    <w:basedOn w:val="1"/>
    <w:unhideWhenUsed/>
    <w:qFormat/>
    <w:uiPriority w:val="99"/>
    <w:pPr>
      <w:ind w:firstLine="420" w:firstLineChars="200"/>
    </w:pPr>
  </w:style>
  <w:style w:type="paragraph" w:customStyle="1" w:styleId="22">
    <w:name w:val="一级标题DG"/>
    <w:basedOn w:val="1"/>
    <w:qFormat/>
    <w:uiPriority w:val="0"/>
    <w:pPr>
      <w:spacing w:line="480" w:lineRule="auto"/>
      <w:outlineLvl w:val="0"/>
    </w:pPr>
    <w:rPr>
      <w:rFonts w:ascii="Arial" w:hAnsi="Arial" w:eastAsia="黑体"/>
      <w:sz w:val="28"/>
    </w:rPr>
  </w:style>
  <w:style w:type="paragraph" w:customStyle="1" w:styleId="23">
    <w:name w:val="二级标题DG"/>
    <w:basedOn w:val="8"/>
    <w:qFormat/>
    <w:uiPriority w:val="0"/>
    <w:pPr>
      <w:spacing w:beforeLines="25" w:beforeAutospacing="0" w:afterLines="50" w:afterAutospacing="0" w:line="440" w:lineRule="exact"/>
      <w:outlineLvl w:val="1"/>
    </w:pPr>
    <w:rPr>
      <w:rFonts w:ascii="Times New Roman" w:hAnsi="Times New Roman"/>
      <w:b/>
    </w:rPr>
  </w:style>
  <w:style w:type="paragraph" w:customStyle="1" w:styleId="24">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5">
    <w:name w:val="editor-text-node"/>
    <w:basedOn w:val="11"/>
    <w:qFormat/>
    <w:uiPriority w:val="0"/>
  </w:style>
  <w:style w:type="character" w:styleId="26">
    <w:name w:val="Placeholder Text"/>
    <w:basedOn w:val="11"/>
    <w:unhideWhenUsed/>
    <w:qFormat/>
    <w:uiPriority w:val="99"/>
    <w:rPr>
      <w:color w:val="808080"/>
    </w:rPr>
  </w:style>
  <w:style w:type="paragraph" w:customStyle="1" w:styleId="27">
    <w:name w:val="表格标题"/>
    <w:basedOn w:val="1"/>
    <w:qFormat/>
    <w:uiPriority w:val="0"/>
    <w:pPr>
      <w:snapToGrid w:val="0"/>
      <w:jc w:val="center"/>
    </w:pPr>
    <w:rPr>
      <w:rFonts w:ascii="Times New Roman" w:hAnsi="Times New Roman" w:eastAsia="黑体"/>
      <w:bCs/>
      <w:color w:val="000000"/>
      <w:sz w:val="21"/>
      <w:szCs w:val="20"/>
    </w:rPr>
  </w:style>
  <w:style w:type="paragraph" w:customStyle="1" w:styleId="28">
    <w:name w:val="一级标题"/>
    <w:basedOn w:val="1"/>
    <w:qFormat/>
    <w:uiPriority w:val="0"/>
    <w:pPr>
      <w:spacing w:before="100" w:beforeLines="100"/>
      <w:outlineLvl w:val="0"/>
    </w:pPr>
    <w:rPr>
      <w:rFonts w:ascii="Arial" w:hAnsi="Arial" w:eastAsia="黑体"/>
      <w:sz w:val="28"/>
    </w:rPr>
  </w:style>
  <w:style w:type="paragraph" w:customStyle="1" w:styleId="29">
    <w:name w:val="二级标题"/>
    <w:basedOn w:val="8"/>
    <w:qFormat/>
    <w:uiPriority w:val="0"/>
    <w:pPr>
      <w:spacing w:before="50" w:beforeLines="50" w:beforeAutospacing="0" w:after="50" w:afterLines="50" w:afterAutospacing="0"/>
      <w:outlineLvl w:val="1"/>
    </w:pPr>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2791</Words>
  <Characters>2892</Characters>
  <Lines>108</Lines>
  <Paragraphs>30</Paragraphs>
  <TotalTime>0</TotalTime>
  <ScaleCrop>false</ScaleCrop>
  <LinksUpToDate>false</LinksUpToDate>
  <CharactersWithSpaces>3175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2024-02-23T08:20:00Z</dcterms:created>
  <dc:creator>juvg</dc:creator>
  <cp:lastModifiedBy>归晚.</cp:lastModifiedBy>
  <cp:lastPrinted>2023-11-21T00:52:00Z</cp:lastPrinted>
  <dcterms:modified xsi:type="dcterms:W3CDTF">2025-03-24T00:49:43Z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C2FAE3DB01E94040B6F25E5C084FBCFB_13</vt:lpwstr>
  </property>
  <property fmtid="{D5CDD505-2E9C-101B-9397-08002B2CF9AE}" pid="4" name="KSOTemplateDocerSaveRecord">
    <vt:lpwstr>eyJoZGlkIjoiNDdlMTljOWMxNTc2MWY3YzI4NjAwYTQzZDc4MjEzM2YiLCJ1c2VySWQiOiI1NTQ0NjQ5MzAifQ==</vt:lpwstr>
  </property>
</Properties>
</file>