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cs="宋体"/>
          <w:bCs/>
          <w:sz w:val="32"/>
          <w:szCs w:val="32"/>
        </w:rPr>
        <w:t>护理人际沟通与交往</w:t>
      </w:r>
      <w:r>
        <w:rPr>
          <w:rFonts w:hint="eastAsia" w:ascii="黑体" w:hAnsi="黑体" w:eastAsia="黑体"/>
          <w:bCs/>
          <w:sz w:val="32"/>
          <w:szCs w:val="32"/>
        </w:rPr>
        <w:t>》专科课程教学大纲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护理人际沟通与交往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 xml:space="preserve">Nursing </w:t>
            </w:r>
            <w:r>
              <w:rPr>
                <w:rFonts w:hint="eastAsia"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I</w:t>
            </w: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 xml:space="preserve">nterpersonal </w:t>
            </w:r>
            <w:r>
              <w:rPr>
                <w:rFonts w:hint="eastAsia"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C</w:t>
            </w: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 xml:space="preserve">ommunication and </w:t>
            </w:r>
            <w:r>
              <w:rPr>
                <w:rFonts w:hint="eastAsia" w:ascii="Times New Roman Regular" w:hAnsi="Times New Roman Regular" w:cs="Times New Roman Regular" w:eastAsiaTheme="minorEastAsia"/>
                <w:color w:val="000000" w:themeColor="text1"/>
                <w:sz w:val="21"/>
                <w:szCs w:val="21"/>
                <w:lang w:val="en-US" w:eastAsia="zh-CN"/>
                <w14:textFill>
                  <w14:solidFill>
                    <w14:schemeClr w14:val="tx1"/>
                  </w14:solidFill>
                </w14:textFill>
              </w:rPr>
              <w:t>I</w:t>
            </w:r>
            <w:r>
              <w:rPr>
                <w:rFonts w:hint="default" w:ascii="Times New Roman Regular" w:hAnsi="Times New Roman Regular" w:cs="Times New Roman Regular" w:eastAsiaTheme="minorEastAsia"/>
                <w:color w:val="000000" w:themeColor="text1"/>
                <w:sz w:val="21"/>
                <w:szCs w:val="21"/>
                <w14:textFill>
                  <w14:solidFill>
                    <w14:schemeClr w14:val="tx1"/>
                  </w14:solidFill>
                </w14:textFill>
              </w:rPr>
              <w:t>nteraction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both"/>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0010054</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both"/>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专科</w:t>
            </w:r>
            <w:r>
              <w:rPr>
                <w:rFonts w:hint="eastAsia" w:asciiTheme="minorEastAsia" w:hAnsiTheme="minorEastAsia" w:eastAsiaTheme="minorEastAsia" w:cstheme="minorEastAsia"/>
                <w:color w:val="000000" w:themeColor="text1"/>
                <w:sz w:val="21"/>
                <w:szCs w:val="21"/>
                <w14:textFill>
                  <w14:solidFill>
                    <w14:schemeClr w14:val="tx1"/>
                  </w14:solidFill>
                </w14:textFill>
              </w:rPr>
              <w:t>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w:t>
            </w:r>
            <w:r>
              <w:rPr>
                <w:rFonts w:hint="eastAsia"/>
                <w:color w:val="000000" w:themeColor="text1"/>
                <w:sz w:val="21"/>
                <w:szCs w:val="21"/>
                <w:lang w:val="en-US" w:eastAsia="zh-CN"/>
                <w14:textFill>
                  <w14:solidFill>
                    <w14:schemeClr w14:val="tx1"/>
                  </w14:solidFill>
                </w14:textFill>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color w:val="000000"/>
                <w:sz w:val="20"/>
                <w:szCs w:val="20"/>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护理礼仪与人际沟通</w:t>
            </w:r>
            <w:r>
              <w:rPr>
                <w:rFonts w:hint="eastAsia" w:ascii="Times New Roman" w:hAnsi="Times New Roman"/>
                <w:color w:val="000000" w:themeColor="text1"/>
                <w:sz w:val="21"/>
                <w:szCs w:val="21"/>
                <w:lang w:eastAsia="zh-CN"/>
                <w14:textFill>
                  <w14:solidFill>
                    <w14:schemeClr w14:val="tx1"/>
                  </w14:solidFill>
                </w14:textFill>
              </w:rPr>
              <w:t>》</w:t>
            </w:r>
            <w:r>
              <w:rPr>
                <w:rFonts w:hint="eastAsia"/>
                <w:color w:val="000000"/>
                <w:sz w:val="20"/>
                <w:szCs w:val="20"/>
              </w:rPr>
              <w:t>秦华,</w:t>
            </w:r>
          </w:p>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lang w:val="en-US" w:eastAsia="zh-CN"/>
              </w:rPr>
              <w:t>IBSN</w:t>
            </w:r>
            <w:r>
              <w:rPr>
                <w:rFonts w:hint="eastAsia"/>
                <w:color w:val="000000"/>
                <w:sz w:val="20"/>
                <w:szCs w:val="20"/>
              </w:rPr>
              <w:t>9787117277488</w:t>
            </w:r>
            <w:r>
              <w:rPr>
                <w:rFonts w:hint="eastAsia"/>
                <w:color w:val="000000"/>
                <w:sz w:val="20"/>
                <w:szCs w:val="20"/>
                <w:lang w:eastAsia="zh-CN"/>
              </w:rPr>
              <w:t>、</w:t>
            </w:r>
            <w:r>
              <w:rPr>
                <w:rFonts w:hint="eastAsia"/>
                <w:color w:val="000000"/>
                <w:sz w:val="20"/>
                <w:szCs w:val="20"/>
              </w:rPr>
              <w:t>人民卫生出版社</w:t>
            </w:r>
            <w:r>
              <w:rPr>
                <w:rFonts w:hint="eastAsia"/>
                <w:color w:val="000000"/>
                <w:sz w:val="20"/>
                <w:szCs w:val="20"/>
                <w:lang w:eastAsia="zh-CN"/>
              </w:rPr>
              <w:t>，</w:t>
            </w:r>
            <w:r>
              <w:rPr>
                <w:rFonts w:hint="eastAsia"/>
                <w:color w:val="000000"/>
                <w:sz w:val="20"/>
                <w:szCs w:val="20"/>
                <w:lang w:val="en-US" w:eastAsia="zh-CN"/>
              </w:rPr>
              <w:t>第2版</w:t>
            </w:r>
            <w:r>
              <w:rPr>
                <w:rFonts w:hint="eastAsia"/>
                <w:color w:val="000000"/>
                <w:sz w:val="20"/>
                <w:szCs w:val="20"/>
              </w:rPr>
              <w:t>.</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sz w:val="20"/>
                <w:szCs w:val="20"/>
              </w:rPr>
              <w:t>护理导论0070033（</w:t>
            </w:r>
            <w:r>
              <w:rPr>
                <w:sz w:val="20"/>
                <w:szCs w:val="20"/>
              </w:rPr>
              <w:t>2</w:t>
            </w:r>
            <w:r>
              <w:rPr>
                <w:rFonts w:hint="eastAsia"/>
                <w:sz w:val="20"/>
                <w:szCs w:val="20"/>
              </w:rPr>
              <w:t>）、护理学基础</w:t>
            </w:r>
            <w:r>
              <w:rPr>
                <w:sz w:val="20"/>
                <w:szCs w:val="20"/>
              </w:rPr>
              <w:t>1 0070012</w:t>
            </w:r>
            <w:r>
              <w:rPr>
                <w:rFonts w:hint="eastAsia"/>
                <w:sz w:val="20"/>
                <w:szCs w:val="20"/>
              </w:rPr>
              <w:t>（</w:t>
            </w:r>
            <w:r>
              <w:rPr>
                <w:sz w:val="20"/>
                <w:szCs w:val="20"/>
              </w:rPr>
              <w:t>4</w:t>
            </w:r>
            <w:r>
              <w:rPr>
                <w:rFonts w:hint="eastAsia"/>
                <w:sz w:val="20"/>
                <w:szCs w:val="20"/>
              </w:rPr>
              <w:t>）、正常人体学基础</w:t>
            </w:r>
            <w:r>
              <w:rPr>
                <w:sz w:val="20"/>
                <w:szCs w:val="20"/>
              </w:rPr>
              <w:t>1 0070038</w:t>
            </w:r>
            <w:r>
              <w:rPr>
                <w:rFonts w:hint="eastAsia"/>
                <w:sz w:val="20"/>
                <w:szCs w:val="20"/>
              </w:rPr>
              <w:t>（</w:t>
            </w:r>
            <w:r>
              <w:rPr>
                <w:sz w:val="20"/>
                <w:szCs w:val="20"/>
              </w:rPr>
              <w:t>6</w:t>
            </w:r>
            <w:r>
              <w:rPr>
                <w:rFonts w:hint="eastAsia"/>
                <w:sz w:val="20"/>
                <w:szCs w:val="20"/>
              </w:rPr>
              <w:t>）、正常人体学基础</w:t>
            </w:r>
            <w:r>
              <w:rPr>
                <w:sz w:val="20"/>
                <w:szCs w:val="20"/>
              </w:rPr>
              <w:t>2 0070039</w:t>
            </w:r>
            <w:r>
              <w:rPr>
                <w:rFonts w:hint="eastAsia"/>
                <w:sz w:val="20"/>
                <w:szCs w:val="20"/>
              </w:rPr>
              <w:t>（</w:t>
            </w:r>
            <w:r>
              <w:rPr>
                <w:sz w:val="20"/>
                <w:szCs w:val="20"/>
              </w:rPr>
              <w:t>4</w:t>
            </w:r>
            <w:r>
              <w:rPr>
                <w:rFonts w:hint="eastAsia"/>
                <w:sz w:val="20"/>
                <w:szCs w:val="20"/>
              </w:rPr>
              <w:t>）、护理心理学</w:t>
            </w:r>
            <w:r>
              <w:rPr>
                <w:sz w:val="20"/>
                <w:szCs w:val="20"/>
              </w:rPr>
              <w:t>0070027</w:t>
            </w:r>
            <w:r>
              <w:rPr>
                <w:rFonts w:hint="eastAsia"/>
                <w:sz w:val="20"/>
                <w:szCs w:val="20"/>
              </w:rPr>
              <w:t>（</w:t>
            </w:r>
            <w:r>
              <w:rPr>
                <w:sz w:val="20"/>
                <w:szCs w:val="20"/>
              </w:rPr>
              <w:t>1</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adjustRightInd w:val="0"/>
              <w:snapToGrid w:val="0"/>
              <w:spacing w:line="288" w:lineRule="auto"/>
              <w:ind w:firstLine="400" w:firstLineChars="200"/>
              <w:jc w:val="both"/>
              <w:rPr>
                <w:rFonts w:cs="Times New Roman"/>
                <w:color w:val="000000"/>
                <w:kern w:val="2"/>
                <w:sz w:val="20"/>
                <w:szCs w:val="20"/>
              </w:rPr>
            </w:pPr>
            <w:r>
              <w:rPr>
                <w:rFonts w:hint="eastAsia" w:cs="Times New Roman"/>
                <w:color w:val="000000"/>
                <w:kern w:val="2"/>
                <w:sz w:val="20"/>
                <w:szCs w:val="20"/>
              </w:rPr>
              <w:t>现代医学模式倡导医疗服务以人为本，以健康为中心。医护人员不仅要具备精湛的医术与高尚的医德，还要提供优质的服务，具备良好的人际沟通能力。因此，护理工作中的人际沟通与交往近年来受到了普遍重视。护理专业人际沟通是指护理人员在护理工作中遵循一系列人际沟通共同规则与工作相关人员互通信息的过程，包括关系与内容两方面的沟通。</w:t>
            </w:r>
          </w:p>
          <w:p>
            <w:pPr>
              <w:widowControl w:val="0"/>
              <w:adjustRightInd w:val="0"/>
              <w:snapToGrid w:val="0"/>
              <w:spacing w:line="288" w:lineRule="auto"/>
              <w:ind w:firstLine="400" w:firstLineChars="200"/>
              <w:jc w:val="both"/>
              <w:rPr>
                <w:rFonts w:cs="Times New Roman"/>
                <w:color w:val="000000"/>
                <w:kern w:val="2"/>
                <w:sz w:val="20"/>
                <w:szCs w:val="20"/>
              </w:rPr>
            </w:pPr>
            <w:r>
              <w:rPr>
                <w:rFonts w:hint="eastAsia" w:cs="Times New Roman"/>
                <w:color w:val="000000"/>
                <w:kern w:val="2"/>
                <w:sz w:val="20"/>
                <w:szCs w:val="20"/>
              </w:rPr>
              <w:t>《护理人际沟通与交往》作为护理专业的一门必修课，注重阐述护理工作中的人际沟通理论和知识及应用策略，同时进行相应的沟通能力的训练。理论上满足执业资格考试的要求，实践上力求使学生掌握人际沟通的实务操作方法，提高学生的整体素质，为今后的学习和工作打下良好的基础。</w:t>
            </w:r>
          </w:p>
          <w:p>
            <w:pPr>
              <w:pStyle w:val="14"/>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82"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adjustRightInd w:val="0"/>
              <w:snapToGrid w:val="0"/>
              <w:spacing w:line="288" w:lineRule="auto"/>
              <w:ind w:firstLine="400" w:firstLineChars="200"/>
              <w:jc w:val="both"/>
              <w:rPr>
                <w:rFonts w:ascii="Calibri" w:hAnsi="Calibri" w:cs="Times New Roman"/>
                <w:bCs/>
                <w:color w:val="000000"/>
                <w:kern w:val="2"/>
                <w:sz w:val="20"/>
                <w:szCs w:val="20"/>
              </w:rPr>
            </w:pPr>
            <w:r>
              <w:rPr>
                <w:rFonts w:hint="eastAsia" w:ascii="Calibri" w:hAnsi="Calibri" w:cs="Times New Roman"/>
                <w:bCs/>
                <w:color w:val="000000"/>
                <w:kern w:val="2"/>
                <w:sz w:val="20"/>
                <w:szCs w:val="20"/>
              </w:rPr>
              <w:t>《护理人际沟通与交往》是一门人文素质教育课程，旨在培养学生的人文素质。建议护理专业的学生在已经学习过《护理学导论》、《护理学基础》和《护理心理学》等专业课程的基础上在二年级下学期作为必修课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880110" cy="311785"/>
                  <wp:effectExtent l="0" t="0" r="0" b="0"/>
                  <wp:docPr id="14317769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7693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26655" cy="328346"/>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02</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sz w:val="20"/>
                <w:szCs w:val="20"/>
              </w:rPr>
              <w:t>能说出护理人际关系的种类、性质和影响因素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sz w:val="20"/>
                <w:szCs w:val="20"/>
              </w:rPr>
              <w:t>能简述护理人际沟通的特点、作用和类型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sz w:val="20"/>
                <w:szCs w:val="20"/>
              </w:rPr>
              <w:t>能正确运用各种人际沟通技巧达到有效沟通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sz w:val="20"/>
                <w:szCs w:val="20"/>
              </w:rPr>
              <w:t>在护理情境中能认真倾听他人意见，尊重他人，分析他人需求。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sz w:val="20"/>
                <w:szCs w:val="20"/>
              </w:rPr>
              <w:t>能在本课程的小组项目中主动积极承担自己的角色和任务，并与其他成员密切合作。</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1947"/>
        <w:gridCol w:w="1985"/>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42" w:type="dxa"/>
            <w:vAlign w:val="center"/>
          </w:tcPr>
          <w:p>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序号</w:t>
            </w:r>
          </w:p>
        </w:tc>
        <w:tc>
          <w:tcPr>
            <w:tcW w:w="583" w:type="dxa"/>
            <w:vAlign w:val="center"/>
          </w:tcPr>
          <w:p>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单元名称</w:t>
            </w:r>
          </w:p>
        </w:tc>
        <w:tc>
          <w:tcPr>
            <w:tcW w:w="1947" w:type="dxa"/>
            <w:vAlign w:val="center"/>
          </w:tcPr>
          <w:p>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知识目标</w:t>
            </w:r>
          </w:p>
        </w:tc>
        <w:tc>
          <w:tcPr>
            <w:tcW w:w="1985" w:type="dxa"/>
            <w:vAlign w:val="center"/>
          </w:tcPr>
          <w:p>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技能目标</w:t>
            </w:r>
          </w:p>
        </w:tc>
        <w:tc>
          <w:tcPr>
            <w:tcW w:w="1417" w:type="dxa"/>
            <w:vAlign w:val="center"/>
          </w:tcPr>
          <w:p>
            <w:pPr>
              <w:widowControl w:val="0"/>
              <w:snapToGrid w:val="0"/>
              <w:spacing w:line="288" w:lineRule="auto"/>
              <w:jc w:val="center"/>
              <w:rPr>
                <w:rFonts w:cs="Times New Roman"/>
                <w:b/>
                <w:color w:val="000000"/>
                <w:kern w:val="2"/>
                <w:sz w:val="20"/>
                <w:szCs w:val="20"/>
              </w:rPr>
            </w:pPr>
            <w:r>
              <w:rPr>
                <w:rFonts w:hint="eastAsia" w:cs="Times New Roman"/>
                <w:b/>
                <w:color w:val="000000"/>
                <w:kern w:val="2"/>
                <w:sz w:val="20"/>
                <w:szCs w:val="20"/>
              </w:rPr>
              <w:t>素养目标</w:t>
            </w:r>
          </w:p>
        </w:tc>
        <w:tc>
          <w:tcPr>
            <w:tcW w:w="1418" w:type="dxa"/>
            <w:vAlign w:val="center"/>
          </w:tcPr>
          <w:p>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1</w:t>
            </w:r>
          </w:p>
        </w:tc>
        <w:tc>
          <w:tcPr>
            <w:tcW w:w="583" w:type="dxa"/>
            <w:vAlign w:val="center"/>
          </w:tcPr>
          <w:p>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礼仪护理礼仪</w:t>
            </w:r>
          </w:p>
        </w:tc>
        <w:tc>
          <w:tcPr>
            <w:tcW w:w="1947" w:type="dxa"/>
          </w:tcPr>
          <w:p>
            <w:pPr>
              <w:widowControl w:val="0"/>
              <w:tabs>
                <w:tab w:val="left" w:pos="312"/>
              </w:tabs>
              <w:snapToGrid w:val="0"/>
              <w:spacing w:line="288" w:lineRule="auto"/>
              <w:jc w:val="both"/>
              <w:rPr>
                <w:rFonts w:cs="Times New Roman"/>
                <w:kern w:val="2"/>
                <w:sz w:val="20"/>
                <w:szCs w:val="20"/>
              </w:rPr>
            </w:pPr>
            <w:r>
              <w:rPr>
                <w:rFonts w:hint="eastAsia" w:cs="Times New Roman"/>
                <w:kern w:val="2"/>
                <w:sz w:val="20"/>
                <w:szCs w:val="20"/>
              </w:rPr>
              <w:t>1.理解礼仪的内涵及护理礼仪的基本原则；</w:t>
            </w:r>
          </w:p>
          <w:p>
            <w:pPr>
              <w:widowControl w:val="0"/>
              <w:tabs>
                <w:tab w:val="left" w:pos="312"/>
              </w:tabs>
              <w:snapToGrid w:val="0"/>
              <w:spacing w:line="288" w:lineRule="auto"/>
              <w:jc w:val="both"/>
              <w:rPr>
                <w:rFonts w:cs="Times New Roman"/>
                <w:kern w:val="2"/>
                <w:sz w:val="20"/>
                <w:szCs w:val="20"/>
              </w:rPr>
            </w:pPr>
            <w:r>
              <w:rPr>
                <w:rFonts w:hint="eastAsia" w:cs="Times New Roman"/>
                <w:kern w:val="2"/>
                <w:sz w:val="20"/>
                <w:szCs w:val="20"/>
              </w:rPr>
              <w:t>2.知道礼仪的概念、特征、作用。</w:t>
            </w:r>
          </w:p>
          <w:p>
            <w:pPr>
              <w:widowControl w:val="0"/>
              <w:snapToGrid w:val="0"/>
              <w:spacing w:line="288" w:lineRule="auto"/>
              <w:jc w:val="both"/>
              <w:rPr>
                <w:rFonts w:cs="Times New Roman"/>
                <w:kern w:val="2"/>
                <w:sz w:val="20"/>
                <w:szCs w:val="20"/>
              </w:rPr>
            </w:pP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能知道“礼仪”的概念与功能、能正确运用基本社交礼仪.具有基本护理礼仪知识及以礼相待病人基本能力。</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树立护理行为艺术，规范礼仪服务，是病人产生亲近、信任的感觉。</w:t>
            </w:r>
          </w:p>
        </w:tc>
        <w:tc>
          <w:tcPr>
            <w:tcW w:w="1418" w:type="dxa"/>
          </w:tcPr>
          <w:p>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正确运用礼仪的基本原则进行有效沟通。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2</w:t>
            </w:r>
          </w:p>
        </w:tc>
        <w:tc>
          <w:tcPr>
            <w:tcW w:w="583" w:type="dxa"/>
            <w:vAlign w:val="center"/>
          </w:tcPr>
          <w:p>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日常社交礼仪</w:t>
            </w:r>
          </w:p>
        </w:tc>
        <w:tc>
          <w:tcPr>
            <w:tcW w:w="1947" w:type="dxa"/>
          </w:tcPr>
          <w:p>
            <w:pPr>
              <w:widowControl w:val="0"/>
              <w:snapToGrid w:val="0"/>
              <w:spacing w:line="288" w:lineRule="auto"/>
              <w:rPr>
                <w:rFonts w:cs="Times New Roman"/>
                <w:kern w:val="2"/>
                <w:sz w:val="20"/>
                <w:szCs w:val="20"/>
              </w:rPr>
            </w:pPr>
            <w:r>
              <w:rPr>
                <w:rFonts w:hint="eastAsia" w:cs="Times New Roman"/>
                <w:kern w:val="2"/>
                <w:sz w:val="20"/>
                <w:szCs w:val="20"/>
              </w:rPr>
              <w:t>1.知道日常社交礼仪基本含义，应遵循的原则2.运用基本社交礼仪。</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1.能知道日常社交礼仪基本含义，应遵循的原则。</w:t>
            </w:r>
          </w:p>
          <w:p>
            <w:pPr>
              <w:widowControl w:val="0"/>
              <w:snapToGrid w:val="0"/>
              <w:spacing w:line="288" w:lineRule="auto"/>
              <w:jc w:val="both"/>
              <w:rPr>
                <w:rFonts w:cs="Times New Roman"/>
                <w:kern w:val="2"/>
                <w:sz w:val="20"/>
                <w:szCs w:val="20"/>
              </w:rPr>
            </w:pPr>
            <w:r>
              <w:rPr>
                <w:rFonts w:hint="eastAsia" w:cs="Times New Roman"/>
                <w:kern w:val="2"/>
                <w:sz w:val="20"/>
                <w:szCs w:val="20"/>
              </w:rPr>
              <w:t>2.能正确运用基本社交礼仪</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能言行举止优雅得体、待人接物稳重大方</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具有日常社交的基本能力，建立良好的人际关系。</w:t>
            </w:r>
          </w:p>
          <w:p>
            <w:pPr>
              <w:widowControl w:val="0"/>
              <w:snapToGrid w:val="0"/>
              <w:spacing w:line="288" w:lineRule="auto"/>
              <w:jc w:val="both"/>
              <w:rPr>
                <w:rFonts w:hAnsi="Times New Roman" w:cs="Times New Roman"/>
                <w:b/>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3</w:t>
            </w:r>
          </w:p>
        </w:tc>
        <w:tc>
          <w:tcPr>
            <w:tcW w:w="583" w:type="dxa"/>
            <w:vAlign w:val="center"/>
          </w:tcPr>
          <w:p>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护士实用礼仪</w:t>
            </w:r>
          </w:p>
        </w:tc>
        <w:tc>
          <w:tcPr>
            <w:tcW w:w="1947" w:type="dxa"/>
          </w:tcPr>
          <w:p>
            <w:pPr>
              <w:widowControl w:val="0"/>
              <w:tabs>
                <w:tab w:val="left" w:pos="312"/>
              </w:tabs>
              <w:snapToGrid w:val="0"/>
              <w:spacing w:line="288" w:lineRule="auto"/>
              <w:jc w:val="both"/>
              <w:rPr>
                <w:rFonts w:cs="Times New Roman"/>
                <w:kern w:val="2"/>
                <w:sz w:val="20"/>
                <w:szCs w:val="20"/>
              </w:rPr>
            </w:pPr>
            <w:r>
              <w:rPr>
                <w:rFonts w:hint="eastAsia" w:cs="Times New Roman"/>
                <w:kern w:val="2"/>
                <w:sz w:val="20"/>
                <w:szCs w:val="20"/>
              </w:rPr>
              <w:t>1.知道护士实用礼仪应遵循的基本原则</w:t>
            </w:r>
          </w:p>
          <w:p>
            <w:pPr>
              <w:widowControl w:val="0"/>
              <w:snapToGrid w:val="0"/>
              <w:spacing w:line="288" w:lineRule="auto"/>
              <w:jc w:val="both"/>
              <w:rPr>
                <w:rFonts w:cs="Times New Roman"/>
                <w:kern w:val="2"/>
                <w:sz w:val="20"/>
                <w:szCs w:val="20"/>
              </w:rPr>
            </w:pPr>
            <w:r>
              <w:rPr>
                <w:rFonts w:hint="eastAsia" w:cs="Times New Roman"/>
                <w:kern w:val="2"/>
                <w:sz w:val="20"/>
                <w:szCs w:val="20"/>
              </w:rPr>
              <w:t>2.综合应用护理礼仪的规范塑造良好的护士形象</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能运用护士仪容、仪态、服饰礼仪要求塑造美好形象。</w:t>
            </w:r>
          </w:p>
          <w:p>
            <w:pPr>
              <w:widowControl w:val="0"/>
              <w:snapToGrid w:val="0"/>
              <w:spacing w:line="288" w:lineRule="auto"/>
              <w:jc w:val="both"/>
              <w:rPr>
                <w:rFonts w:cs="Times New Roman"/>
                <w:kern w:val="2"/>
                <w:sz w:val="20"/>
                <w:szCs w:val="20"/>
              </w:rPr>
            </w:pP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塑造礼仪规范、道德高尚，具有职业形象美感的护士。</w:t>
            </w:r>
          </w:p>
        </w:tc>
        <w:tc>
          <w:tcPr>
            <w:tcW w:w="1418" w:type="dxa"/>
          </w:tcPr>
          <w:p>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正确展示礼仪的能力，在护理工作中彰显白衣天使的风采。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4</w:t>
            </w:r>
          </w:p>
        </w:tc>
        <w:tc>
          <w:tcPr>
            <w:tcW w:w="583" w:type="dxa"/>
            <w:vAlign w:val="center"/>
          </w:tcPr>
          <w:p>
            <w:pPr>
              <w:widowControl w:val="0"/>
              <w:snapToGrid w:val="0"/>
              <w:spacing w:line="288" w:lineRule="auto"/>
              <w:jc w:val="both"/>
              <w:rPr>
                <w:rFonts w:cs="Times New Roman"/>
                <w:kern w:val="2"/>
                <w:sz w:val="20"/>
                <w:szCs w:val="20"/>
              </w:rPr>
            </w:pPr>
            <w:r>
              <w:rPr>
                <w:rFonts w:hint="eastAsia" w:cs="Times New Roman"/>
                <w:kern w:val="2"/>
                <w:sz w:val="20"/>
                <w:szCs w:val="20"/>
              </w:rPr>
              <w:t>人际关系</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1.知道建立良好人际关系的基本策略、基本特征及其分类。</w:t>
            </w:r>
          </w:p>
          <w:p>
            <w:pPr>
              <w:widowControl w:val="0"/>
              <w:snapToGrid w:val="0"/>
              <w:spacing w:line="288" w:lineRule="auto"/>
              <w:jc w:val="both"/>
              <w:rPr>
                <w:rFonts w:cs="Times New Roman"/>
                <w:kern w:val="2"/>
                <w:sz w:val="20"/>
                <w:szCs w:val="20"/>
              </w:rPr>
            </w:pPr>
            <w:r>
              <w:rPr>
                <w:rFonts w:hint="eastAsia" w:cs="Times New Roman"/>
                <w:kern w:val="2"/>
                <w:sz w:val="20"/>
                <w:szCs w:val="20"/>
              </w:rPr>
              <w:t>2.理解人际关系模式及意义。</w:t>
            </w:r>
          </w:p>
          <w:p>
            <w:pPr>
              <w:widowControl w:val="0"/>
              <w:snapToGrid w:val="0"/>
              <w:spacing w:line="288" w:lineRule="auto"/>
              <w:jc w:val="both"/>
              <w:rPr>
                <w:rFonts w:cs="Times New Roman"/>
                <w:kern w:val="2"/>
                <w:sz w:val="20"/>
                <w:szCs w:val="20"/>
              </w:rPr>
            </w:pPr>
            <w:r>
              <w:rPr>
                <w:rFonts w:hint="eastAsia" w:cs="Times New Roman"/>
                <w:kern w:val="2"/>
                <w:sz w:val="20"/>
                <w:szCs w:val="20"/>
              </w:rPr>
              <w:t>3.理解人际关系的概念、人际关系的基本理论。</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能正确运用建立良好人际关系的策略,营造和谐的医患关系。</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具有尊重、宽容、诚信的良好修养,避免人际关系中的矛盾和纠纷,创建和谐的社会人际关系。</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1.人际关系的基本策略</w:t>
            </w:r>
          </w:p>
          <w:p>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2.人际关系的基本特征及其分类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5</w:t>
            </w:r>
          </w:p>
        </w:tc>
        <w:tc>
          <w:tcPr>
            <w:tcW w:w="583" w:type="dxa"/>
            <w:vAlign w:val="center"/>
          </w:tcPr>
          <w:p>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人际沟通</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1.知道人际沟通的影响因素,医护工作中人际沟通的基本原则。</w:t>
            </w:r>
          </w:p>
          <w:p>
            <w:pPr>
              <w:widowControl w:val="0"/>
              <w:snapToGrid w:val="0"/>
              <w:spacing w:line="288" w:lineRule="auto"/>
              <w:jc w:val="both"/>
              <w:rPr>
                <w:rFonts w:cs="Times New Roman"/>
                <w:kern w:val="2"/>
                <w:sz w:val="20"/>
                <w:szCs w:val="20"/>
              </w:rPr>
            </w:pPr>
            <w:r>
              <w:rPr>
                <w:rFonts w:hint="eastAsia" w:cs="Times New Roman"/>
                <w:kern w:val="2"/>
                <w:sz w:val="20"/>
                <w:szCs w:val="20"/>
              </w:rPr>
              <w:t>2.理解人际沟通的功能、特点,医护工作中人际沟通能力的培养途径。</w:t>
            </w:r>
          </w:p>
          <w:p>
            <w:pPr>
              <w:widowControl w:val="0"/>
              <w:snapToGrid w:val="0"/>
              <w:spacing w:line="288" w:lineRule="auto"/>
              <w:jc w:val="both"/>
              <w:rPr>
                <w:rFonts w:cs="Times New Roman"/>
                <w:kern w:val="2"/>
                <w:sz w:val="20"/>
                <w:szCs w:val="20"/>
              </w:rPr>
            </w:pPr>
            <w:r>
              <w:rPr>
                <w:rFonts w:hint="eastAsia" w:cs="Times New Roman"/>
                <w:kern w:val="2"/>
                <w:sz w:val="20"/>
                <w:szCs w:val="20"/>
              </w:rPr>
              <w:t>3.理解人际沟通的概念、类型、基本层次,人际沟通在医护工作中的作用及其重</w:t>
            </w:r>
          </w:p>
          <w:p>
            <w:pPr>
              <w:widowControl w:val="0"/>
              <w:snapToGrid w:val="0"/>
              <w:spacing w:line="288" w:lineRule="auto"/>
              <w:jc w:val="both"/>
              <w:rPr>
                <w:rFonts w:hAnsi="Calibri" w:cs="Times New Roman"/>
                <w:color w:val="000000"/>
                <w:kern w:val="2"/>
                <w:sz w:val="20"/>
                <w:szCs w:val="20"/>
              </w:rPr>
            </w:pPr>
            <w:r>
              <w:rPr>
                <w:rFonts w:hint="eastAsia" w:cs="Times New Roman"/>
                <w:kern w:val="2"/>
                <w:sz w:val="20"/>
                <w:szCs w:val="20"/>
              </w:rPr>
              <w:t>要性。</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1.学会克服人际沟通中的种种障碍。</w:t>
            </w:r>
          </w:p>
          <w:p>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2.能在不同的环境下,针对不同沟通对象,运用恰当的沟通方式进行有效沟通。</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1.具有对人际沟通时代特征的正确认识。</w:t>
            </w:r>
          </w:p>
          <w:p>
            <w:pPr>
              <w:widowControl w:val="0"/>
              <w:snapToGrid w:val="0"/>
              <w:spacing w:line="288" w:lineRule="auto"/>
              <w:jc w:val="both"/>
              <w:rPr>
                <w:rFonts w:cs="Times New Roman"/>
                <w:kern w:val="2"/>
                <w:sz w:val="20"/>
                <w:szCs w:val="20"/>
              </w:rPr>
            </w:pPr>
            <w:r>
              <w:rPr>
                <w:rFonts w:hint="eastAsia" w:cs="Times New Roman"/>
                <w:kern w:val="2"/>
                <w:sz w:val="20"/>
                <w:szCs w:val="20"/>
              </w:rPr>
              <w:t>2.培养主动沟通的能力和习惯。</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1.人际沟通的影响因素</w:t>
            </w:r>
          </w:p>
          <w:p>
            <w:pPr>
              <w:widowControl w:val="0"/>
              <w:snapToGrid w:val="0"/>
              <w:spacing w:line="288" w:lineRule="auto"/>
              <w:jc w:val="both"/>
              <w:rPr>
                <w:rFonts w:cs="Times New Roman"/>
                <w:kern w:val="2"/>
                <w:sz w:val="20"/>
                <w:szCs w:val="20"/>
              </w:rPr>
            </w:pPr>
            <w:r>
              <w:rPr>
                <w:rFonts w:hint="eastAsia" w:cs="Times New Roman"/>
                <w:kern w:val="2"/>
                <w:sz w:val="20"/>
                <w:szCs w:val="20"/>
              </w:rPr>
              <w:t>2.医护工作中人际沟通的基本原则</w:t>
            </w:r>
          </w:p>
          <w:p>
            <w:pPr>
              <w:widowControl w:val="0"/>
              <w:snapToGrid w:val="0"/>
              <w:spacing w:line="288" w:lineRule="auto"/>
              <w:jc w:val="both"/>
              <w:rPr>
                <w:rFonts w:hAnsi="Times New Roman" w:cs="Times New Roman"/>
                <w:b/>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6</w:t>
            </w:r>
          </w:p>
        </w:tc>
        <w:tc>
          <w:tcPr>
            <w:tcW w:w="583" w:type="dxa"/>
            <w:vAlign w:val="center"/>
          </w:tcPr>
          <w:p>
            <w:pPr>
              <w:widowControl w:val="0"/>
              <w:snapToGrid w:val="0"/>
              <w:spacing w:line="288" w:lineRule="auto"/>
              <w:jc w:val="both"/>
              <w:rPr>
                <w:rFonts w:cs="Times New Roman"/>
                <w:kern w:val="2"/>
                <w:sz w:val="20"/>
                <w:szCs w:val="20"/>
              </w:rPr>
            </w:pPr>
            <w:r>
              <w:rPr>
                <w:rFonts w:hint="eastAsia" w:cs="Times New Roman"/>
                <w:kern w:val="2"/>
                <w:sz w:val="20"/>
                <w:szCs w:val="20"/>
              </w:rPr>
              <w:t>语言沟通</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1.知道语言沟通的原则,交谈的基本类型和技巧。</w:t>
            </w:r>
          </w:p>
          <w:p>
            <w:pPr>
              <w:widowControl w:val="0"/>
              <w:snapToGrid w:val="0"/>
              <w:spacing w:line="288" w:lineRule="auto"/>
              <w:jc w:val="both"/>
              <w:rPr>
                <w:rFonts w:cs="Times New Roman"/>
                <w:kern w:val="2"/>
                <w:sz w:val="20"/>
                <w:szCs w:val="20"/>
              </w:rPr>
            </w:pPr>
            <w:r>
              <w:rPr>
                <w:rFonts w:hint="eastAsia" w:cs="Times New Roman"/>
                <w:kern w:val="2"/>
                <w:sz w:val="20"/>
                <w:szCs w:val="20"/>
              </w:rPr>
              <w:t>2.理解交谈的一般过程和常用语言,演说的准备和技巧。</w:t>
            </w:r>
          </w:p>
          <w:p>
            <w:pPr>
              <w:widowControl w:val="0"/>
              <w:snapToGrid w:val="0"/>
              <w:spacing w:line="288" w:lineRule="auto"/>
              <w:jc w:val="both"/>
              <w:rPr>
                <w:rFonts w:cs="Times New Roman"/>
                <w:kern w:val="2"/>
                <w:sz w:val="20"/>
                <w:szCs w:val="20"/>
              </w:rPr>
            </w:pPr>
            <w:r>
              <w:rPr>
                <w:rFonts w:hint="eastAsia" w:cs="Times New Roman"/>
                <w:kern w:val="2"/>
                <w:sz w:val="20"/>
                <w:szCs w:val="20"/>
              </w:rPr>
              <w:t>3.知道语言沟通的特点、作用以及临床工作中常用书面语言沟通的形式。</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通过交谈、演说和书面语言沟通技巧的训练,提高口头语言和书面语言表达能力。</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培养积极主动的沟通意识和习惯。</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1.语言沟通的原则</w:t>
            </w:r>
          </w:p>
          <w:p>
            <w:pPr>
              <w:widowControl w:val="0"/>
              <w:snapToGrid w:val="0"/>
              <w:spacing w:line="288" w:lineRule="auto"/>
              <w:jc w:val="both"/>
              <w:rPr>
                <w:rFonts w:cs="Times New Roman"/>
                <w:kern w:val="2"/>
                <w:sz w:val="20"/>
                <w:szCs w:val="20"/>
              </w:rPr>
            </w:pPr>
            <w:r>
              <w:rPr>
                <w:rFonts w:hint="eastAsia" w:cs="Times New Roman"/>
                <w:kern w:val="2"/>
                <w:sz w:val="20"/>
                <w:szCs w:val="20"/>
              </w:rPr>
              <w:t>2.交谈的基本类型和技巧</w:t>
            </w:r>
          </w:p>
          <w:p>
            <w:pPr>
              <w:widowControl w:val="0"/>
              <w:snapToGrid w:val="0"/>
              <w:spacing w:line="288" w:lineRule="auto"/>
              <w:jc w:val="both"/>
              <w:rPr>
                <w:rFonts w:cs="Times New Roman"/>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7</w:t>
            </w:r>
          </w:p>
        </w:tc>
        <w:tc>
          <w:tcPr>
            <w:tcW w:w="583" w:type="dxa"/>
            <w:vAlign w:val="center"/>
          </w:tcPr>
          <w:p>
            <w:pPr>
              <w:widowControl w:val="0"/>
              <w:snapToGrid w:val="0"/>
              <w:spacing w:line="288" w:lineRule="auto"/>
              <w:jc w:val="both"/>
              <w:rPr>
                <w:rFonts w:cs="Times New Roman"/>
                <w:kern w:val="2"/>
                <w:sz w:val="20"/>
                <w:szCs w:val="20"/>
              </w:rPr>
            </w:pPr>
            <w:r>
              <w:rPr>
                <w:rFonts w:hint="eastAsia" w:cs="Times New Roman"/>
                <w:kern w:val="2"/>
                <w:sz w:val="20"/>
                <w:szCs w:val="20"/>
              </w:rPr>
              <w:t>非语言沟通</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1.知道非语言沟通的主要形式和原则；掌握非语言沟通在医护工作中的应用。</w:t>
            </w:r>
          </w:p>
          <w:p>
            <w:pPr>
              <w:widowControl w:val="0"/>
              <w:snapToGrid w:val="0"/>
              <w:spacing w:line="288" w:lineRule="auto"/>
              <w:jc w:val="both"/>
              <w:rPr>
                <w:rFonts w:cs="Times New Roman"/>
                <w:kern w:val="2"/>
                <w:sz w:val="20"/>
                <w:szCs w:val="20"/>
              </w:rPr>
            </w:pPr>
            <w:r>
              <w:rPr>
                <w:rFonts w:hint="eastAsia" w:cs="Times New Roman"/>
                <w:kern w:val="2"/>
                <w:sz w:val="20"/>
                <w:szCs w:val="20"/>
              </w:rPr>
              <w:t>2.理解非语言沟通的特点和作用,医护非语言沟通的基本要求。</w:t>
            </w:r>
          </w:p>
          <w:p>
            <w:pPr>
              <w:widowControl w:val="0"/>
              <w:snapToGrid w:val="0"/>
              <w:spacing w:line="288" w:lineRule="auto"/>
              <w:jc w:val="both"/>
              <w:rPr>
                <w:rFonts w:cs="Times New Roman"/>
                <w:kern w:val="2"/>
                <w:sz w:val="20"/>
                <w:szCs w:val="20"/>
              </w:rPr>
            </w:pPr>
            <w:r>
              <w:rPr>
                <w:rFonts w:hint="eastAsia" w:cs="Times New Roman"/>
                <w:kern w:val="2"/>
                <w:sz w:val="20"/>
                <w:szCs w:val="20"/>
              </w:rPr>
              <w:t>3.理解非语言沟通的禁忌。</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学会正确运用非语言与各类人进行有效沟通。</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培养在生活或工作中积极运用非语言沟通的意识和能力。</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1.非语言沟通的主要形式和原则</w:t>
            </w:r>
          </w:p>
          <w:p>
            <w:pPr>
              <w:widowControl w:val="0"/>
              <w:snapToGrid w:val="0"/>
              <w:spacing w:line="288" w:lineRule="auto"/>
              <w:jc w:val="both"/>
              <w:rPr>
                <w:rFonts w:cs="Times New Roman"/>
                <w:kern w:val="2"/>
                <w:sz w:val="20"/>
                <w:szCs w:val="20"/>
              </w:rPr>
            </w:pPr>
            <w:r>
              <w:rPr>
                <w:rFonts w:hint="eastAsia" w:cs="Times New Roman"/>
                <w:kern w:val="2"/>
                <w:sz w:val="20"/>
                <w:szCs w:val="20"/>
              </w:rPr>
              <w:t>2.非语言沟通在医护工作中的应用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8</w:t>
            </w:r>
          </w:p>
        </w:tc>
        <w:tc>
          <w:tcPr>
            <w:tcW w:w="583" w:type="dxa"/>
            <w:vAlign w:val="center"/>
          </w:tcPr>
          <w:p>
            <w:pPr>
              <w:widowControl w:val="0"/>
              <w:snapToGrid w:val="0"/>
              <w:spacing w:line="288" w:lineRule="auto"/>
              <w:jc w:val="both"/>
              <w:rPr>
                <w:rFonts w:cs="Times New Roman"/>
                <w:kern w:val="2"/>
                <w:sz w:val="20"/>
                <w:szCs w:val="20"/>
              </w:rPr>
            </w:pPr>
            <w:r>
              <w:rPr>
                <w:rFonts w:hint="eastAsia" w:cs="Times New Roman"/>
                <w:kern w:val="2"/>
                <w:sz w:val="20"/>
                <w:szCs w:val="20"/>
              </w:rPr>
              <w:t>护理实践礼仪</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1.理解护生实习前的准备。</w:t>
            </w:r>
          </w:p>
          <w:p>
            <w:pPr>
              <w:widowControl w:val="0"/>
              <w:snapToGrid w:val="0"/>
              <w:spacing w:line="288" w:lineRule="auto"/>
              <w:jc w:val="both"/>
              <w:rPr>
                <w:rFonts w:cs="Times New Roman"/>
                <w:kern w:val="2"/>
                <w:sz w:val="20"/>
                <w:szCs w:val="20"/>
              </w:rPr>
            </w:pPr>
            <w:r>
              <w:rPr>
                <w:rFonts w:hint="eastAsia" w:cs="Times New Roman"/>
                <w:kern w:val="2"/>
                <w:sz w:val="20"/>
                <w:szCs w:val="20"/>
              </w:rPr>
              <w:t>2.知道护士在不同岗位上的工作礼仪。</w:t>
            </w:r>
          </w:p>
          <w:p>
            <w:pPr>
              <w:widowControl w:val="0"/>
              <w:snapToGrid w:val="0"/>
              <w:spacing w:line="288" w:lineRule="auto"/>
              <w:jc w:val="both"/>
              <w:rPr>
                <w:rFonts w:cs="Times New Roman"/>
                <w:kern w:val="2"/>
                <w:sz w:val="20"/>
                <w:szCs w:val="20"/>
              </w:rPr>
            </w:pPr>
            <w:r>
              <w:rPr>
                <w:rFonts w:hint="eastAsia" w:cs="Times New Roman"/>
                <w:kern w:val="2"/>
                <w:sz w:val="20"/>
                <w:szCs w:val="20"/>
              </w:rPr>
              <w:t>3.知道涉外护理礼仪的基本原则及规范。</w:t>
            </w:r>
          </w:p>
        </w:tc>
        <w:tc>
          <w:tcPr>
            <w:tcW w:w="1985" w:type="dxa"/>
          </w:tcPr>
          <w:p>
            <w:pPr>
              <w:widowControl w:val="0"/>
              <w:numPr>
                <w:ilvl w:val="0"/>
                <w:numId w:val="1"/>
              </w:numPr>
              <w:snapToGrid w:val="0"/>
              <w:spacing w:line="288" w:lineRule="auto"/>
              <w:jc w:val="both"/>
              <w:rPr>
                <w:rFonts w:cs="Times New Roman"/>
                <w:kern w:val="2"/>
                <w:sz w:val="20"/>
                <w:szCs w:val="20"/>
              </w:rPr>
            </w:pPr>
            <w:r>
              <w:rPr>
                <w:rFonts w:hint="eastAsia" w:cs="Times New Roman"/>
                <w:kern w:val="2"/>
                <w:sz w:val="20"/>
                <w:szCs w:val="20"/>
              </w:rPr>
              <w:t>能知道涉外护理礼仪的权利与义务，医院的核心制度。</w:t>
            </w:r>
          </w:p>
          <w:p>
            <w:pPr>
              <w:widowControl w:val="0"/>
              <w:numPr>
                <w:ilvl w:val="0"/>
                <w:numId w:val="1"/>
              </w:numPr>
              <w:snapToGrid w:val="0"/>
              <w:spacing w:line="288" w:lineRule="auto"/>
              <w:jc w:val="both"/>
              <w:rPr>
                <w:rFonts w:cs="Times New Roman"/>
                <w:kern w:val="2"/>
                <w:sz w:val="20"/>
                <w:szCs w:val="20"/>
              </w:rPr>
            </w:pPr>
            <w:r>
              <w:rPr>
                <w:rFonts w:hint="eastAsia" w:cs="Times New Roman"/>
                <w:kern w:val="2"/>
                <w:sz w:val="20"/>
                <w:szCs w:val="20"/>
              </w:rPr>
              <w:t>知道护士在不同岗位上的工作礼仪。</w:t>
            </w:r>
          </w:p>
          <w:p>
            <w:pPr>
              <w:widowControl w:val="0"/>
              <w:snapToGrid w:val="0"/>
              <w:spacing w:line="288" w:lineRule="auto"/>
              <w:jc w:val="both"/>
              <w:rPr>
                <w:rFonts w:cs="Times New Roman"/>
                <w:kern w:val="2"/>
                <w:sz w:val="20"/>
                <w:szCs w:val="20"/>
              </w:rPr>
            </w:pP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具有自我管理能力，严谨求实的工作态度</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正确的运用基本社交礼仪，在实习与工作建立良好的人际关系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442" w:type="dxa"/>
            <w:vAlign w:val="center"/>
          </w:tcPr>
          <w:p>
            <w:pPr>
              <w:widowControl w:val="0"/>
              <w:snapToGrid w:val="0"/>
              <w:spacing w:line="288" w:lineRule="auto"/>
              <w:jc w:val="center"/>
              <w:rPr>
                <w:rFonts w:cs="Times New Roman"/>
                <w:color w:val="000000"/>
                <w:kern w:val="2"/>
                <w:sz w:val="20"/>
                <w:szCs w:val="20"/>
              </w:rPr>
            </w:pPr>
            <w:r>
              <w:rPr>
                <w:rFonts w:hint="eastAsia" w:cs="Times New Roman"/>
                <w:color w:val="000000"/>
                <w:kern w:val="2"/>
                <w:sz w:val="20"/>
                <w:szCs w:val="20"/>
              </w:rPr>
              <w:t>9</w:t>
            </w:r>
          </w:p>
        </w:tc>
        <w:tc>
          <w:tcPr>
            <w:tcW w:w="583" w:type="dxa"/>
            <w:vAlign w:val="center"/>
          </w:tcPr>
          <w:p>
            <w:pPr>
              <w:widowControl w:val="0"/>
              <w:snapToGrid w:val="0"/>
              <w:spacing w:line="288" w:lineRule="auto"/>
              <w:jc w:val="both"/>
              <w:rPr>
                <w:rFonts w:cs="Times New Roman"/>
                <w:kern w:val="2"/>
                <w:sz w:val="20"/>
                <w:szCs w:val="20"/>
              </w:rPr>
            </w:pPr>
            <w:r>
              <w:rPr>
                <w:rFonts w:hint="eastAsia" w:cs="Times New Roman"/>
                <w:kern w:val="2"/>
                <w:sz w:val="20"/>
                <w:szCs w:val="20"/>
              </w:rPr>
              <w:t>求职礼仪</w:t>
            </w:r>
          </w:p>
        </w:tc>
        <w:tc>
          <w:tcPr>
            <w:tcW w:w="1947" w:type="dxa"/>
          </w:tcPr>
          <w:p>
            <w:pPr>
              <w:widowControl w:val="0"/>
              <w:snapToGrid w:val="0"/>
              <w:spacing w:line="288" w:lineRule="auto"/>
              <w:jc w:val="both"/>
              <w:rPr>
                <w:rFonts w:cs="Times New Roman"/>
                <w:kern w:val="2"/>
                <w:sz w:val="20"/>
                <w:szCs w:val="20"/>
              </w:rPr>
            </w:pPr>
            <w:r>
              <w:rPr>
                <w:rFonts w:hint="eastAsia" w:cs="Times New Roman"/>
                <w:kern w:val="2"/>
                <w:sz w:val="20"/>
                <w:szCs w:val="20"/>
              </w:rPr>
              <w:t>1.知道求职信、个人简历的书写规范。</w:t>
            </w:r>
          </w:p>
          <w:p>
            <w:pPr>
              <w:widowControl w:val="0"/>
              <w:snapToGrid w:val="0"/>
              <w:spacing w:line="288" w:lineRule="auto"/>
              <w:jc w:val="both"/>
              <w:rPr>
                <w:rFonts w:cs="Times New Roman"/>
                <w:kern w:val="2"/>
                <w:sz w:val="20"/>
                <w:szCs w:val="20"/>
              </w:rPr>
            </w:pPr>
            <w:r>
              <w:rPr>
                <w:rFonts w:hint="eastAsia" w:cs="Times New Roman"/>
                <w:kern w:val="2"/>
                <w:sz w:val="20"/>
                <w:szCs w:val="20"/>
              </w:rPr>
              <w:t>2.知道面试礼仪、办公室礼仪的要求。</w:t>
            </w:r>
          </w:p>
          <w:p>
            <w:pPr>
              <w:widowControl w:val="0"/>
              <w:snapToGrid w:val="0"/>
              <w:spacing w:line="288" w:lineRule="auto"/>
              <w:jc w:val="both"/>
              <w:rPr>
                <w:rFonts w:cs="Times New Roman"/>
                <w:kern w:val="2"/>
                <w:sz w:val="20"/>
                <w:szCs w:val="20"/>
              </w:rPr>
            </w:pPr>
            <w:r>
              <w:rPr>
                <w:rFonts w:hint="eastAsia" w:cs="Times New Roman"/>
                <w:kern w:val="2"/>
                <w:sz w:val="20"/>
                <w:szCs w:val="20"/>
              </w:rPr>
              <w:t>3.综合求职礼仪的特点。</w:t>
            </w:r>
          </w:p>
        </w:tc>
        <w:tc>
          <w:tcPr>
            <w:tcW w:w="1985"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能运用面试技巧和得体的言行完成模拟面试。</w:t>
            </w:r>
          </w:p>
        </w:tc>
        <w:tc>
          <w:tcPr>
            <w:tcW w:w="1417" w:type="dxa"/>
          </w:tcPr>
          <w:p>
            <w:pPr>
              <w:widowControl w:val="0"/>
              <w:snapToGrid w:val="0"/>
              <w:spacing w:line="288" w:lineRule="auto"/>
              <w:jc w:val="both"/>
              <w:rPr>
                <w:rFonts w:cs="Times New Roman"/>
                <w:kern w:val="2"/>
                <w:sz w:val="20"/>
                <w:szCs w:val="20"/>
              </w:rPr>
            </w:pPr>
            <w:r>
              <w:rPr>
                <w:rFonts w:hint="eastAsia" w:cs="Times New Roman"/>
                <w:kern w:val="2"/>
                <w:sz w:val="20"/>
                <w:szCs w:val="20"/>
              </w:rPr>
              <w:t>能做好求职前的各项准备，亮出你的精彩。</w:t>
            </w:r>
          </w:p>
        </w:tc>
        <w:tc>
          <w:tcPr>
            <w:tcW w:w="1418" w:type="dxa"/>
          </w:tcPr>
          <w:p>
            <w:pPr>
              <w:widowControl w:val="0"/>
              <w:snapToGrid w:val="0"/>
              <w:spacing w:line="288" w:lineRule="auto"/>
              <w:jc w:val="both"/>
              <w:rPr>
                <w:rFonts w:cs="Times New Roman"/>
                <w:kern w:val="2"/>
                <w:sz w:val="20"/>
                <w:szCs w:val="20"/>
              </w:rPr>
            </w:pPr>
            <w:r>
              <w:rPr>
                <w:rFonts w:hint="eastAsia" w:cs="Times New Roman"/>
                <w:kern w:val="2"/>
                <w:sz w:val="20"/>
                <w:szCs w:val="20"/>
              </w:rPr>
              <w:t>正确的运用面试技巧和得体的言行</w:t>
            </w:r>
          </w:p>
        </w:tc>
      </w:tr>
    </w:tbl>
    <w:p>
      <w:pPr>
        <w:pStyle w:val="17"/>
        <w:spacing w:before="81" w:after="163"/>
      </w:pPr>
    </w:p>
    <w:p>
      <w:pPr>
        <w:pStyle w:val="17"/>
        <w:spacing w:before="81" w:after="163"/>
      </w:pPr>
      <w:r>
        <w:rPr>
          <w:rFonts w:hint="eastAsia"/>
        </w:rPr>
        <w:t>（二）教学单元对课程目标的支撑关系</w:t>
      </w:r>
    </w:p>
    <w:tbl>
      <w:tblPr>
        <w:tblStyle w:val="7"/>
        <w:tblW w:w="4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5"/>
        <w:gridCol w:w="1099"/>
        <w:gridCol w:w="1099"/>
        <w:gridCol w:w="1099"/>
        <w:gridCol w:w="109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rFonts w:hint="eastAsia"/>
                <w:szCs w:val="16"/>
              </w:rPr>
              <w:t>1</w:t>
            </w:r>
          </w:p>
        </w:tc>
        <w:tc>
          <w:tcPr>
            <w:tcW w:w="1074" w:type="dxa"/>
            <w:tcBorders>
              <w:top w:val="single" w:color="auto" w:sz="12" w:space="0"/>
            </w:tcBorders>
            <w:vAlign w:val="center"/>
          </w:tcPr>
          <w:p>
            <w:pPr>
              <w:pStyle w:val="13"/>
              <w:rPr>
                <w:szCs w:val="16"/>
              </w:rPr>
            </w:pPr>
            <w:r>
              <w:rPr>
                <w:rFonts w:hint="eastAsia"/>
                <w:szCs w:val="16"/>
              </w:rPr>
              <w:t>2</w:t>
            </w:r>
          </w:p>
        </w:tc>
        <w:tc>
          <w:tcPr>
            <w:tcW w:w="1074" w:type="dxa"/>
            <w:tcBorders>
              <w:top w:val="single" w:color="auto" w:sz="12" w:space="0"/>
            </w:tcBorders>
            <w:vAlign w:val="center"/>
          </w:tcPr>
          <w:p>
            <w:pPr>
              <w:pStyle w:val="13"/>
              <w:rPr>
                <w:szCs w:val="16"/>
              </w:rPr>
            </w:pPr>
            <w:r>
              <w:rPr>
                <w:rFonts w:hint="eastAsia"/>
                <w:szCs w:val="16"/>
              </w:rPr>
              <w:t>3</w:t>
            </w:r>
          </w:p>
        </w:tc>
        <w:tc>
          <w:tcPr>
            <w:tcW w:w="1073" w:type="dxa"/>
            <w:tcBorders>
              <w:top w:val="single" w:color="auto" w:sz="12" w:space="0"/>
            </w:tcBorders>
            <w:vAlign w:val="center"/>
          </w:tcPr>
          <w:p>
            <w:pPr>
              <w:pStyle w:val="13"/>
              <w:rPr>
                <w:szCs w:val="16"/>
              </w:rPr>
            </w:pPr>
            <w:r>
              <w:rPr>
                <w:rFonts w:hint="eastAsia"/>
                <w:szCs w:val="16"/>
              </w:rPr>
              <w:t>4</w:t>
            </w:r>
          </w:p>
        </w:tc>
        <w:tc>
          <w:tcPr>
            <w:tcW w:w="1073" w:type="dxa"/>
            <w:tcBorders>
              <w:top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sz w:val="20"/>
                <w:szCs w:val="20"/>
              </w:rPr>
              <w:t>礼仪护理礼仪</w:t>
            </w:r>
          </w:p>
        </w:tc>
        <w:tc>
          <w:tcPr>
            <w:tcW w:w="1074" w:type="dxa"/>
            <w:vAlign w:val="center"/>
          </w:tcPr>
          <w:p>
            <w:pPr>
              <w:pStyle w:val="14"/>
            </w:pPr>
            <w:r>
              <w:rPr/>
              <w:sym w:font="Wingdings" w:char="F0FC"/>
            </w:r>
          </w:p>
        </w:tc>
        <w:tc>
          <w:tcPr>
            <w:tcW w:w="1074" w:type="dxa"/>
            <w:vAlign w:val="center"/>
          </w:tcPr>
          <w:p>
            <w:pPr>
              <w:pStyle w:val="14"/>
            </w:pPr>
            <w:r>
              <w:rPr/>
              <w:sym w:font="Wingdings" w:char="F0FC"/>
            </w:r>
          </w:p>
        </w:tc>
        <w:tc>
          <w:tcPr>
            <w:tcW w:w="1074" w:type="dxa"/>
            <w:vAlign w:val="center"/>
          </w:tcPr>
          <w:p>
            <w:pPr>
              <w:pStyle w:val="14"/>
            </w:pPr>
          </w:p>
        </w:tc>
        <w:tc>
          <w:tcPr>
            <w:tcW w:w="1073" w:type="dxa"/>
            <w:vAlign w:val="center"/>
          </w:tcPr>
          <w:p>
            <w:pPr>
              <w:pStyle w:val="14"/>
            </w:pP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sz w:val="20"/>
                <w:szCs w:val="20"/>
              </w:rPr>
              <w:t>日常社交礼仪</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ascii="宋体"/>
                <w:sz w:val="20"/>
                <w:szCs w:val="20"/>
              </w:rPr>
              <w:t>护士实用礼仪</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ascii="宋体"/>
                <w:sz w:val="20"/>
                <w:szCs w:val="20"/>
              </w:rPr>
            </w:pPr>
            <w:r>
              <w:rPr>
                <w:rFonts w:hint="eastAsia" w:ascii="宋体" w:hAnsi="宋体"/>
                <w:sz w:val="20"/>
                <w:szCs w:val="20"/>
              </w:rPr>
              <w:t>人际关系</w:t>
            </w:r>
          </w:p>
        </w:tc>
        <w:tc>
          <w:tcPr>
            <w:tcW w:w="1074" w:type="dxa"/>
            <w:vAlign w:val="center"/>
          </w:tcPr>
          <w:p>
            <w:pPr>
              <w:pStyle w:val="14"/>
            </w:pPr>
            <w:r>
              <w:rPr/>
              <w:sym w:font="Wingdings" w:char="F0FC"/>
            </w:r>
          </w:p>
        </w:tc>
        <w:tc>
          <w:tcPr>
            <w:tcW w:w="1074" w:type="dxa"/>
            <w:vAlign w:val="center"/>
          </w:tcPr>
          <w:p>
            <w:pPr>
              <w:pStyle w:val="14"/>
            </w:pPr>
          </w:p>
        </w:tc>
        <w:tc>
          <w:tcPr>
            <w:tcW w:w="1074" w:type="dxa"/>
            <w:vAlign w:val="center"/>
          </w:tcPr>
          <w:p>
            <w:pPr>
              <w:pStyle w:val="14"/>
            </w:pPr>
          </w:p>
        </w:tc>
        <w:tc>
          <w:tcPr>
            <w:tcW w:w="1073" w:type="dxa"/>
            <w:vAlign w:val="center"/>
          </w:tcPr>
          <w:p>
            <w:pPr>
              <w:pStyle w:val="14"/>
            </w:pP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ascii="宋体"/>
                <w:sz w:val="20"/>
                <w:szCs w:val="20"/>
              </w:rPr>
            </w:pPr>
            <w:r>
              <w:rPr>
                <w:rFonts w:hint="eastAsia" w:ascii="宋体"/>
                <w:sz w:val="20"/>
                <w:szCs w:val="20"/>
              </w:rPr>
              <w:t>人际沟通</w:t>
            </w:r>
          </w:p>
        </w:tc>
        <w:tc>
          <w:tcPr>
            <w:tcW w:w="1074" w:type="dxa"/>
            <w:vAlign w:val="center"/>
          </w:tcPr>
          <w:p>
            <w:pPr>
              <w:pStyle w:val="14"/>
            </w:pPr>
          </w:p>
        </w:tc>
        <w:tc>
          <w:tcPr>
            <w:tcW w:w="1074" w:type="dxa"/>
            <w:vAlign w:val="center"/>
          </w:tcPr>
          <w:p>
            <w:pPr>
              <w:pStyle w:val="14"/>
            </w:pPr>
            <w:r>
              <w:rPr/>
              <w:sym w:font="Wingdings" w:char="F0FC"/>
            </w: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ascii="宋体"/>
                <w:sz w:val="20"/>
                <w:szCs w:val="20"/>
              </w:rPr>
            </w:pPr>
            <w:r>
              <w:rPr>
                <w:rFonts w:hint="eastAsia" w:ascii="宋体" w:hAnsi="宋体"/>
                <w:sz w:val="20"/>
                <w:szCs w:val="20"/>
              </w:rPr>
              <w:t>语言沟通</w:t>
            </w:r>
          </w:p>
        </w:tc>
        <w:tc>
          <w:tcPr>
            <w:tcW w:w="1074" w:type="dxa"/>
            <w:vAlign w:val="center"/>
          </w:tcPr>
          <w:p>
            <w:pPr>
              <w:pStyle w:val="14"/>
            </w:pPr>
          </w:p>
        </w:tc>
        <w:tc>
          <w:tcPr>
            <w:tcW w:w="1074" w:type="dxa"/>
            <w:vAlign w:val="center"/>
          </w:tcPr>
          <w:p>
            <w:pPr>
              <w:pStyle w:val="14"/>
            </w:pPr>
            <w:r>
              <w:rPr/>
              <w:sym w:font="Wingdings" w:char="F0FC"/>
            </w: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ascii="宋体"/>
                <w:sz w:val="20"/>
                <w:szCs w:val="20"/>
              </w:rPr>
            </w:pPr>
            <w:r>
              <w:rPr>
                <w:rFonts w:hint="eastAsia" w:ascii="宋体" w:hAnsi="宋体"/>
                <w:sz w:val="20"/>
                <w:szCs w:val="20"/>
              </w:rPr>
              <w:t>非语言沟通</w:t>
            </w:r>
          </w:p>
        </w:tc>
        <w:tc>
          <w:tcPr>
            <w:tcW w:w="1074" w:type="dxa"/>
            <w:vAlign w:val="center"/>
          </w:tcPr>
          <w:p>
            <w:pPr>
              <w:pStyle w:val="14"/>
            </w:pPr>
          </w:p>
        </w:tc>
        <w:tc>
          <w:tcPr>
            <w:tcW w:w="1074" w:type="dxa"/>
            <w:vAlign w:val="center"/>
          </w:tcPr>
          <w:p>
            <w:pPr>
              <w:pStyle w:val="14"/>
            </w:pPr>
            <w:r>
              <w:rPr/>
              <w:sym w:font="Wingdings" w:char="F0FC"/>
            </w: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rPr>
                <w:rFonts w:ascii="宋体"/>
                <w:sz w:val="20"/>
                <w:szCs w:val="20"/>
              </w:rPr>
            </w:pPr>
            <w:r>
              <w:rPr>
                <w:rFonts w:hint="eastAsia" w:ascii="宋体" w:hAnsi="宋体"/>
                <w:sz w:val="20"/>
                <w:szCs w:val="20"/>
              </w:rPr>
              <w:t>护理实践礼仪</w:t>
            </w:r>
          </w:p>
        </w:tc>
        <w:tc>
          <w:tcPr>
            <w:tcW w:w="1074" w:type="dxa"/>
            <w:vAlign w:val="center"/>
          </w:tcPr>
          <w:p>
            <w:pPr>
              <w:pStyle w:val="14"/>
            </w:pPr>
          </w:p>
        </w:tc>
        <w:tc>
          <w:tcPr>
            <w:tcW w:w="1074" w:type="dxa"/>
            <w:vAlign w:val="center"/>
          </w:tcPr>
          <w:p>
            <w:pPr>
              <w:pStyle w:val="14"/>
            </w:pPr>
          </w:p>
        </w:tc>
        <w:tc>
          <w:tcPr>
            <w:tcW w:w="1074" w:type="dxa"/>
            <w:vAlign w:val="center"/>
          </w:tcPr>
          <w:p>
            <w:pPr>
              <w:pStyle w:val="14"/>
            </w:pPr>
            <w:r>
              <w:rPr/>
              <w:sym w:font="Wingdings" w:char="F0FC"/>
            </w:r>
          </w:p>
        </w:tc>
        <w:tc>
          <w:tcPr>
            <w:tcW w:w="1073" w:type="dxa"/>
            <w:vAlign w:val="center"/>
          </w:tcPr>
          <w:p>
            <w:pPr>
              <w:pStyle w:val="14"/>
            </w:pPr>
            <w:r>
              <w:rPr/>
              <w:sym w:font="Wingdings" w:char="F0FC"/>
            </w:r>
          </w:p>
        </w:tc>
        <w:tc>
          <w:tcPr>
            <w:tcW w:w="1073" w:type="dxa"/>
            <w:vAlign w:val="center"/>
          </w:tcPr>
          <w:p>
            <w:pPr>
              <w:pStyle w:val="14"/>
            </w:pPr>
            <w:r>
              <w:rPr/>
              <w:sym w:font="Wingdings" w:char="F0F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bottom w:val="single" w:color="auto" w:sz="12" w:space="0"/>
            </w:tcBorders>
          </w:tcPr>
          <w:p>
            <w:pPr>
              <w:pStyle w:val="14"/>
              <w:rPr>
                <w:rFonts w:ascii="宋体"/>
                <w:sz w:val="20"/>
                <w:szCs w:val="20"/>
              </w:rPr>
            </w:pPr>
            <w:r>
              <w:rPr>
                <w:rFonts w:hint="eastAsia" w:ascii="宋体" w:hAnsi="宋体"/>
                <w:sz w:val="20"/>
                <w:szCs w:val="20"/>
              </w:rPr>
              <w:t>求职礼仪</w:t>
            </w:r>
          </w:p>
        </w:tc>
        <w:tc>
          <w:tcPr>
            <w:tcW w:w="1074" w:type="dxa"/>
            <w:tcBorders>
              <w:bottom w:val="single" w:color="auto" w:sz="12" w:space="0"/>
            </w:tcBorders>
            <w:vAlign w:val="center"/>
          </w:tcPr>
          <w:p>
            <w:pPr>
              <w:pStyle w:val="14"/>
            </w:pPr>
            <w:r>
              <w:rPr/>
              <w:sym w:font="Wingdings" w:char="F0FC"/>
            </w:r>
          </w:p>
        </w:tc>
        <w:tc>
          <w:tcPr>
            <w:tcW w:w="1074" w:type="dxa"/>
            <w:tcBorders>
              <w:bottom w:val="single" w:color="auto" w:sz="12" w:space="0"/>
            </w:tcBorders>
            <w:vAlign w:val="center"/>
          </w:tcPr>
          <w:p>
            <w:pPr>
              <w:pStyle w:val="14"/>
            </w:pPr>
            <w:r>
              <w:rPr/>
              <w:sym w:font="Wingdings" w:char="F0FC"/>
            </w:r>
          </w:p>
        </w:tc>
        <w:tc>
          <w:tcPr>
            <w:tcW w:w="1074" w:type="dxa"/>
            <w:tcBorders>
              <w:bottom w:val="single" w:color="auto" w:sz="12" w:space="0"/>
            </w:tcBorders>
            <w:vAlign w:val="center"/>
          </w:tcPr>
          <w:p>
            <w:pPr>
              <w:pStyle w:val="14"/>
            </w:pPr>
            <w:r>
              <w:rPr/>
              <w:sym w:font="Wingdings" w:char="F0FC"/>
            </w:r>
          </w:p>
        </w:tc>
        <w:tc>
          <w:tcPr>
            <w:tcW w:w="1073" w:type="dxa"/>
            <w:tcBorders>
              <w:bottom w:val="single" w:color="auto" w:sz="12" w:space="0"/>
            </w:tcBorders>
            <w:vAlign w:val="center"/>
          </w:tcPr>
          <w:p>
            <w:pPr>
              <w:pStyle w:val="14"/>
            </w:pPr>
            <w:r>
              <w:rPr/>
              <w:sym w:font="Wingdings" w:char="F0FC"/>
            </w:r>
          </w:p>
        </w:tc>
        <w:tc>
          <w:tcPr>
            <w:tcW w:w="1073" w:type="dxa"/>
            <w:tcBorders>
              <w:bottom w:val="single" w:color="auto" w:sz="12" w:space="0"/>
            </w:tcBorders>
            <w:vAlign w:val="center"/>
          </w:tcPr>
          <w:p>
            <w:pPr>
              <w:pStyle w:val="14"/>
            </w:pPr>
            <w:r>
              <w:rPr/>
              <w:sym w:font="Wingdings" w:char="F0FC"/>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187"/>
        <w:gridCol w:w="1590"/>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112"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55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3112" w:type="dxa"/>
            <w:vMerge w:val="continue"/>
          </w:tcPr>
          <w:p>
            <w:pPr>
              <w:widowControl w:val="0"/>
              <w:snapToGrid w:val="0"/>
              <w:jc w:val="center"/>
              <w:rPr>
                <w:rFonts w:ascii="黑体" w:hAnsi="黑体" w:eastAsia="黑体"/>
                <w:bCs/>
                <w:sz w:val="21"/>
                <w:szCs w:val="21"/>
              </w:rPr>
            </w:pPr>
          </w:p>
        </w:tc>
        <w:tc>
          <w:tcPr>
            <w:tcW w:w="1552"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rPr>
              <w:t>礼仪护理礼仪</w:t>
            </w:r>
          </w:p>
        </w:tc>
        <w:tc>
          <w:tcPr>
            <w:tcW w:w="3112" w:type="dxa"/>
            <w:vAlign w:val="center"/>
          </w:tcPr>
          <w:p>
            <w:pPr>
              <w:widowControl w:val="0"/>
              <w:jc w:val="both"/>
              <w:rPr>
                <w:color w:val="000000"/>
                <w:sz w:val="20"/>
                <w:szCs w:val="20"/>
              </w:rPr>
            </w:pPr>
            <w:r>
              <w:rPr>
                <w:rFonts w:hint="eastAsia"/>
                <w:color w:val="000000"/>
                <w:sz w:val="20"/>
                <w:szCs w:val="20"/>
              </w:rPr>
              <w:t>理论讲授、案例分析、小组讨论</w:t>
            </w:r>
          </w:p>
        </w:tc>
        <w:tc>
          <w:tcPr>
            <w:tcW w:w="1552" w:type="dxa"/>
            <w:vAlign w:val="center"/>
          </w:tcPr>
          <w:p>
            <w:pPr>
              <w:widowControl w:val="0"/>
              <w:jc w:val="both"/>
              <w:rPr>
                <w:color w:val="000000"/>
                <w:sz w:val="20"/>
                <w:szCs w:val="20"/>
              </w:rPr>
            </w:pPr>
            <w:r>
              <w:rPr>
                <w:rFonts w:hint="eastAsia"/>
                <w:color w:val="000000"/>
                <w:sz w:val="20"/>
                <w:szCs w:val="20"/>
              </w:rPr>
              <w:t>理论考试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rPr>
              <w:t>日常社交礼仪</w:t>
            </w:r>
          </w:p>
        </w:tc>
        <w:tc>
          <w:tcPr>
            <w:tcW w:w="3112" w:type="dxa"/>
            <w:vAlign w:val="center"/>
          </w:tcPr>
          <w:p>
            <w:pPr>
              <w:widowControl w:val="0"/>
              <w:jc w:val="both"/>
              <w:rPr>
                <w:color w:val="000000"/>
                <w:sz w:val="20"/>
                <w:szCs w:val="20"/>
              </w:rPr>
            </w:pPr>
            <w:r>
              <w:rPr>
                <w:rFonts w:hint="eastAsia"/>
                <w:color w:val="000000"/>
                <w:sz w:val="20"/>
                <w:szCs w:val="20"/>
              </w:rPr>
              <w:t>案例分析、情境演示、角色扮演</w:t>
            </w:r>
          </w:p>
        </w:tc>
        <w:tc>
          <w:tcPr>
            <w:tcW w:w="1552" w:type="dxa"/>
            <w:vAlign w:val="center"/>
          </w:tcPr>
          <w:p>
            <w:pPr>
              <w:widowControl w:val="0"/>
              <w:snapToGrid w:val="0"/>
              <w:jc w:val="left"/>
              <w:rPr>
                <w:rFonts w:ascii="Times New Roman" w:hAnsi="Times New Roman"/>
                <w:bCs/>
                <w:sz w:val="21"/>
                <w:szCs w:val="21"/>
              </w:rPr>
            </w:pPr>
            <w:r>
              <w:rPr>
                <w:rFonts w:hint="eastAsia"/>
                <w:color w:val="000000"/>
                <w:sz w:val="20"/>
                <w:szCs w:val="20"/>
              </w:rPr>
              <w:t>情景剧表演评价</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rPr>
              <w:t>护士实用礼仪</w:t>
            </w:r>
          </w:p>
        </w:tc>
        <w:tc>
          <w:tcPr>
            <w:tcW w:w="3112" w:type="dxa"/>
            <w:vAlign w:val="center"/>
          </w:tcPr>
          <w:p>
            <w:pPr>
              <w:widowControl w:val="0"/>
              <w:snapToGrid w:val="0"/>
              <w:jc w:val="both"/>
              <w:rPr>
                <w:rFonts w:ascii="Times New Roman" w:hAnsi="Times New Roman"/>
                <w:bCs/>
                <w:sz w:val="21"/>
                <w:szCs w:val="21"/>
              </w:rPr>
            </w:pPr>
            <w:r>
              <w:rPr>
                <w:rFonts w:hint="eastAsia"/>
                <w:color w:val="000000"/>
                <w:sz w:val="20"/>
                <w:szCs w:val="20"/>
              </w:rPr>
              <w:t>案例分析、情境演示、角色扮演</w:t>
            </w:r>
          </w:p>
        </w:tc>
        <w:tc>
          <w:tcPr>
            <w:tcW w:w="1552" w:type="dxa"/>
            <w:vAlign w:val="center"/>
          </w:tcPr>
          <w:p>
            <w:pPr>
              <w:widowControl w:val="0"/>
              <w:snapToGrid w:val="0"/>
              <w:jc w:val="left"/>
              <w:rPr>
                <w:rFonts w:ascii="Times New Roman" w:hAnsi="Times New Roman"/>
                <w:bCs/>
                <w:sz w:val="21"/>
                <w:szCs w:val="21"/>
              </w:rPr>
            </w:pPr>
            <w:r>
              <w:rPr>
                <w:rFonts w:hint="eastAsia"/>
                <w:color w:val="000000"/>
                <w:sz w:val="20"/>
                <w:szCs w:val="20"/>
              </w:rPr>
              <w:t>情景剧表演评价</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人际关系</w:t>
            </w:r>
          </w:p>
        </w:tc>
        <w:tc>
          <w:tcPr>
            <w:tcW w:w="3112" w:type="dxa"/>
            <w:vAlign w:val="center"/>
          </w:tcPr>
          <w:p>
            <w:pPr>
              <w:widowControl w:val="0"/>
              <w:snapToGrid w:val="0"/>
              <w:jc w:val="both"/>
              <w:rPr>
                <w:rFonts w:ascii="Times New Roman" w:hAnsi="Times New Roman"/>
                <w:bCs/>
                <w:sz w:val="21"/>
                <w:szCs w:val="21"/>
              </w:rPr>
            </w:pPr>
            <w:r>
              <w:rPr>
                <w:rFonts w:hint="eastAsia"/>
                <w:color w:val="000000"/>
                <w:sz w:val="20"/>
                <w:szCs w:val="20"/>
              </w:rPr>
              <w:t>理论讲授、案例分析、小组讨论</w:t>
            </w:r>
          </w:p>
        </w:tc>
        <w:tc>
          <w:tcPr>
            <w:tcW w:w="1552" w:type="dxa"/>
            <w:vAlign w:val="center"/>
          </w:tcPr>
          <w:p>
            <w:pPr>
              <w:widowControl w:val="0"/>
              <w:jc w:val="both"/>
              <w:rPr>
                <w:color w:val="000000"/>
                <w:sz w:val="20"/>
                <w:szCs w:val="20"/>
              </w:rPr>
            </w:pPr>
            <w:r>
              <w:rPr>
                <w:rFonts w:hint="eastAsia"/>
                <w:color w:val="000000"/>
                <w:sz w:val="20"/>
                <w:szCs w:val="20"/>
              </w:rPr>
              <w:t>理论考试、</w:t>
            </w:r>
          </w:p>
          <w:p>
            <w:pPr>
              <w:widowControl w:val="0"/>
              <w:snapToGrid w:val="0"/>
              <w:jc w:val="left"/>
              <w:rPr>
                <w:rFonts w:ascii="Times New Roman" w:hAnsi="Times New Roman"/>
                <w:bCs/>
                <w:sz w:val="21"/>
                <w:szCs w:val="21"/>
              </w:rPr>
            </w:pPr>
            <w:r>
              <w:rPr>
                <w:rFonts w:hint="eastAsia"/>
                <w:color w:val="000000"/>
                <w:sz w:val="20"/>
                <w:szCs w:val="20"/>
              </w:rPr>
              <w:t>小组项目汇报和展示</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color w:val="000000"/>
                <w:sz w:val="20"/>
                <w:szCs w:val="20"/>
              </w:rPr>
              <w:t>人际沟通</w:t>
            </w:r>
          </w:p>
        </w:tc>
        <w:tc>
          <w:tcPr>
            <w:tcW w:w="3112" w:type="dxa"/>
            <w:vAlign w:val="center"/>
          </w:tcPr>
          <w:p>
            <w:pPr>
              <w:widowControl w:val="0"/>
              <w:snapToGrid w:val="0"/>
              <w:jc w:val="both"/>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pPr>
              <w:widowControl w:val="0"/>
              <w:jc w:val="both"/>
              <w:rPr>
                <w:color w:val="000000"/>
                <w:sz w:val="20"/>
                <w:szCs w:val="20"/>
              </w:rPr>
            </w:pPr>
            <w:r>
              <w:rPr>
                <w:rFonts w:hint="eastAsia"/>
                <w:color w:val="000000"/>
                <w:sz w:val="20"/>
                <w:szCs w:val="20"/>
              </w:rPr>
              <w:t>理论考试、</w:t>
            </w:r>
          </w:p>
          <w:p>
            <w:pPr>
              <w:widowControl w:val="0"/>
              <w:snapToGrid w:val="0"/>
              <w:jc w:val="left"/>
              <w:rPr>
                <w:rFonts w:ascii="Times New Roman" w:hAnsi="Times New Roman"/>
                <w:bCs/>
                <w:sz w:val="21"/>
                <w:szCs w:val="21"/>
              </w:rPr>
            </w:pPr>
            <w:r>
              <w:rPr>
                <w:rFonts w:hint="eastAsia"/>
                <w:color w:val="000000"/>
                <w:sz w:val="20"/>
                <w:szCs w:val="20"/>
              </w:rPr>
              <w:t>小组项目汇报和展示</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语言沟通</w:t>
            </w:r>
          </w:p>
        </w:tc>
        <w:tc>
          <w:tcPr>
            <w:tcW w:w="3112" w:type="dxa"/>
            <w:vAlign w:val="center"/>
          </w:tcPr>
          <w:p>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pPr>
              <w:widowControl w:val="0"/>
              <w:jc w:val="both"/>
              <w:rPr>
                <w:color w:val="000000"/>
                <w:sz w:val="20"/>
                <w:szCs w:val="20"/>
              </w:rPr>
            </w:pPr>
            <w:r>
              <w:rPr>
                <w:rFonts w:hint="eastAsia"/>
                <w:color w:val="000000"/>
                <w:sz w:val="20"/>
                <w:szCs w:val="20"/>
              </w:rPr>
              <w:t>理论考试、</w:t>
            </w:r>
          </w:p>
          <w:p>
            <w:pPr>
              <w:widowControl w:val="0"/>
              <w:snapToGrid w:val="0"/>
              <w:jc w:val="left"/>
              <w:rPr>
                <w:rFonts w:ascii="Times New Roman" w:hAnsi="Times New Roman"/>
                <w:bCs/>
                <w:sz w:val="21"/>
                <w:szCs w:val="21"/>
              </w:rPr>
            </w:pPr>
            <w:r>
              <w:rPr>
                <w:rFonts w:hint="eastAsia"/>
                <w:color w:val="000000"/>
                <w:sz w:val="20"/>
                <w:szCs w:val="20"/>
              </w:rPr>
              <w:t>小组项目汇报和展示</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非语言沟通</w:t>
            </w:r>
          </w:p>
        </w:tc>
        <w:tc>
          <w:tcPr>
            <w:tcW w:w="3112" w:type="dxa"/>
            <w:vAlign w:val="center"/>
          </w:tcPr>
          <w:p>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pPr>
              <w:widowControl w:val="0"/>
              <w:jc w:val="both"/>
              <w:rPr>
                <w:color w:val="000000"/>
                <w:sz w:val="20"/>
                <w:szCs w:val="20"/>
              </w:rPr>
            </w:pPr>
            <w:r>
              <w:rPr>
                <w:rFonts w:hint="eastAsia"/>
                <w:color w:val="000000"/>
                <w:sz w:val="20"/>
                <w:szCs w:val="20"/>
              </w:rPr>
              <w:t>理论考试、</w:t>
            </w:r>
          </w:p>
          <w:p>
            <w:pPr>
              <w:widowControl w:val="0"/>
              <w:snapToGrid w:val="0"/>
              <w:jc w:val="left"/>
              <w:rPr>
                <w:rFonts w:ascii="Times New Roman" w:hAnsi="Times New Roman"/>
                <w:bCs/>
                <w:sz w:val="21"/>
                <w:szCs w:val="21"/>
              </w:rPr>
            </w:pPr>
            <w:r>
              <w:rPr>
                <w:rFonts w:hint="eastAsia"/>
                <w:color w:val="000000"/>
                <w:sz w:val="20"/>
                <w:szCs w:val="20"/>
              </w:rPr>
              <w:t>小组项目汇报和展示</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护理实践礼仪</w:t>
            </w:r>
          </w:p>
        </w:tc>
        <w:tc>
          <w:tcPr>
            <w:tcW w:w="3112" w:type="dxa"/>
            <w:vAlign w:val="center"/>
          </w:tcPr>
          <w:p>
            <w:pPr>
              <w:widowControl w:val="0"/>
              <w:snapToGrid w:val="0"/>
              <w:jc w:val="left"/>
              <w:rPr>
                <w:rFonts w:ascii="Times New Roman" w:hAnsi="Times New Roman"/>
                <w:bCs/>
                <w:sz w:val="21"/>
                <w:szCs w:val="21"/>
              </w:rPr>
            </w:pPr>
            <w:r>
              <w:rPr>
                <w:rFonts w:hint="eastAsia"/>
                <w:color w:val="000000"/>
                <w:sz w:val="20"/>
                <w:szCs w:val="20"/>
              </w:rPr>
              <w:t>案例分析、情境演示、角色扮演</w:t>
            </w:r>
          </w:p>
        </w:tc>
        <w:tc>
          <w:tcPr>
            <w:tcW w:w="1552" w:type="dxa"/>
            <w:vAlign w:val="center"/>
          </w:tcPr>
          <w:p>
            <w:pPr>
              <w:widowControl w:val="0"/>
              <w:snapToGrid w:val="0"/>
              <w:jc w:val="left"/>
              <w:rPr>
                <w:rFonts w:ascii="Times New Roman" w:hAnsi="Times New Roman"/>
                <w:bCs/>
                <w:sz w:val="21"/>
                <w:szCs w:val="21"/>
              </w:rPr>
            </w:pPr>
            <w:r>
              <w:rPr>
                <w:rFonts w:hint="eastAsia"/>
                <w:color w:val="000000"/>
                <w:sz w:val="20"/>
                <w:szCs w:val="20"/>
              </w:rPr>
              <w:t>情景剧表演评价</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sz w:val="20"/>
                <w:szCs w:val="20"/>
              </w:rPr>
              <w:t>求职礼仪</w:t>
            </w:r>
          </w:p>
        </w:tc>
        <w:tc>
          <w:tcPr>
            <w:tcW w:w="3112" w:type="dxa"/>
            <w:vAlign w:val="center"/>
          </w:tcPr>
          <w:p>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pPr>
              <w:widowControl w:val="0"/>
              <w:jc w:val="both"/>
              <w:rPr>
                <w:color w:val="000000"/>
                <w:sz w:val="20"/>
                <w:szCs w:val="20"/>
              </w:rPr>
            </w:pPr>
            <w:r>
              <w:rPr>
                <w:rFonts w:hint="eastAsia"/>
                <w:color w:val="000000"/>
                <w:sz w:val="20"/>
                <w:szCs w:val="20"/>
              </w:rPr>
              <w:t>理论考试、</w:t>
            </w:r>
          </w:p>
          <w:p>
            <w:pPr>
              <w:widowControl w:val="0"/>
              <w:snapToGrid w:val="0"/>
              <w:jc w:val="left"/>
              <w:rPr>
                <w:rFonts w:ascii="Times New Roman" w:hAnsi="Times New Roman"/>
                <w:bCs/>
                <w:sz w:val="21"/>
                <w:szCs w:val="21"/>
              </w:rPr>
            </w:pPr>
            <w:r>
              <w:rPr>
                <w:rFonts w:hint="eastAsia"/>
                <w:color w:val="000000"/>
                <w:sz w:val="20"/>
                <w:szCs w:val="20"/>
              </w:rPr>
              <w:t>小组项目汇报和展示</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100"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sz w:val="20"/>
                <w:szCs w:val="20"/>
              </w:rPr>
              <w:t>人际沟通练习</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ascii="宋体" w:hAnsi="宋体"/>
                <w:sz w:val="20"/>
                <w:szCs w:val="20"/>
              </w:rPr>
              <w:t>运用人际沟通的原则在人际交往中建立良好的沟通氛围和良好的人际关系</w:t>
            </w:r>
          </w:p>
        </w:tc>
        <w:tc>
          <w:tcPr>
            <w:tcW w:w="707" w:type="dxa"/>
            <w:tcBorders>
              <w:left w:val="single" w:color="auto" w:sz="4" w:space="0"/>
              <w:right w:val="single" w:color="auto" w:sz="4" w:space="0"/>
            </w:tcBorders>
            <w:shd w:val="clear" w:color="auto" w:fill="auto"/>
            <w:vAlign w:val="center"/>
          </w:tcPr>
          <w:p>
            <w:pPr>
              <w:pStyle w:val="14"/>
            </w:pPr>
            <w:r>
              <w:rPr>
                <w:rFonts w:hint="eastAsia"/>
              </w:rPr>
              <w:t>1</w:t>
            </w:r>
          </w:p>
        </w:tc>
        <w:tc>
          <w:tcPr>
            <w:tcW w:w="928" w:type="dxa"/>
            <w:tcBorders>
              <w:left w:val="single" w:color="auto" w:sz="4"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ascii="宋体"/>
                <w:sz w:val="20"/>
                <w:szCs w:val="20"/>
              </w:rPr>
              <w:t>护理工作中的语言沟通</w:t>
            </w:r>
          </w:p>
        </w:tc>
        <w:tc>
          <w:tcPr>
            <w:tcW w:w="410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sz w:val="20"/>
                <w:szCs w:val="20"/>
              </w:rPr>
            </w:pPr>
            <w:r>
              <w:rPr>
                <w:rFonts w:hint="eastAsia"/>
                <w:sz w:val="20"/>
                <w:szCs w:val="20"/>
              </w:rPr>
              <w:t>1.语言沟通的原则和注意事项</w:t>
            </w:r>
          </w:p>
          <w:p>
            <w:pPr>
              <w:snapToGrid w:val="0"/>
              <w:spacing w:line="288" w:lineRule="auto"/>
              <w:rPr>
                <w:sz w:val="20"/>
                <w:szCs w:val="20"/>
              </w:rPr>
            </w:pPr>
            <w:r>
              <w:rPr>
                <w:rFonts w:hint="eastAsia"/>
                <w:sz w:val="20"/>
                <w:szCs w:val="20"/>
              </w:rPr>
              <w:t>2.语言沟通的类型</w:t>
            </w:r>
          </w:p>
          <w:p>
            <w:pPr>
              <w:pStyle w:val="14"/>
              <w:jc w:val="left"/>
            </w:pPr>
            <w:r>
              <w:rPr>
                <w:rFonts w:hint="eastAsia" w:ascii="宋体" w:hAnsi="宋体"/>
                <w:sz w:val="20"/>
                <w:szCs w:val="20"/>
              </w:rPr>
              <w:t>3.语言沟通技巧的应用</w:t>
            </w:r>
          </w:p>
        </w:tc>
        <w:tc>
          <w:tcPr>
            <w:tcW w:w="707"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1</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3</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pPr>
            <w:r>
              <w:rPr>
                <w:rFonts w:hint="eastAsia" w:ascii="宋体"/>
                <w:sz w:val="20"/>
                <w:szCs w:val="20"/>
              </w:rPr>
              <w:t>护理工作中的非语言沟通</w:t>
            </w:r>
          </w:p>
        </w:tc>
        <w:tc>
          <w:tcPr>
            <w:tcW w:w="4100" w:type="dxa"/>
            <w:tcBorders>
              <w:top w:val="single" w:color="auto" w:sz="4" w:space="0"/>
              <w:left w:val="single" w:color="auto" w:sz="4" w:space="0"/>
              <w:bottom w:val="single" w:color="auto" w:sz="12" w:space="0"/>
              <w:right w:val="single" w:color="auto" w:sz="4" w:space="0"/>
            </w:tcBorders>
            <w:vAlign w:val="center"/>
          </w:tcPr>
          <w:p>
            <w:pPr>
              <w:widowControl w:val="0"/>
              <w:snapToGrid w:val="0"/>
              <w:spacing w:line="288" w:lineRule="auto"/>
              <w:jc w:val="both"/>
              <w:rPr>
                <w:rFonts w:hAnsi="Calibri" w:cs="Times New Roman"/>
                <w:kern w:val="2"/>
                <w:sz w:val="20"/>
                <w:szCs w:val="20"/>
              </w:rPr>
            </w:pPr>
            <w:r>
              <w:rPr>
                <w:rFonts w:hint="eastAsia" w:cs="Times New Roman"/>
                <w:kern w:val="2"/>
                <w:sz w:val="20"/>
                <w:szCs w:val="20"/>
              </w:rPr>
              <w:t>1.非语言沟通的特点和作用</w:t>
            </w:r>
          </w:p>
          <w:p>
            <w:pPr>
              <w:widowControl w:val="0"/>
              <w:snapToGrid w:val="0"/>
              <w:spacing w:line="288" w:lineRule="auto"/>
              <w:jc w:val="both"/>
              <w:rPr>
                <w:rFonts w:cs="Times New Roman"/>
                <w:kern w:val="2"/>
                <w:sz w:val="20"/>
                <w:szCs w:val="20"/>
              </w:rPr>
            </w:pPr>
            <w:r>
              <w:rPr>
                <w:rFonts w:hint="eastAsia" w:cs="Times New Roman"/>
                <w:kern w:val="2"/>
                <w:sz w:val="20"/>
                <w:szCs w:val="20"/>
              </w:rPr>
              <w:t>2.非语言沟通在护理工作中的表现形式</w:t>
            </w:r>
          </w:p>
          <w:p>
            <w:pPr>
              <w:pStyle w:val="14"/>
              <w:jc w:val="left"/>
            </w:pPr>
            <w:r>
              <w:rPr>
                <w:rFonts w:hint="eastAsia" w:ascii="宋体" w:hAnsi="宋体" w:cs="Times New Roman"/>
                <w:color w:val="auto"/>
                <w:kern w:val="2"/>
                <w:sz w:val="20"/>
                <w:szCs w:val="20"/>
              </w:rPr>
              <w:t>3.非语言沟通在护理工作中的作用</w:t>
            </w:r>
          </w:p>
        </w:tc>
        <w:tc>
          <w:tcPr>
            <w:tcW w:w="707" w:type="dxa"/>
            <w:tcBorders>
              <w:left w:val="single" w:color="auto" w:sz="4" w:space="0"/>
              <w:bottom w:val="single" w:color="auto" w:sz="12" w:space="0"/>
              <w:right w:val="single" w:color="auto" w:sz="4" w:space="0"/>
            </w:tcBorders>
            <w:shd w:val="clear" w:color="auto" w:fill="auto"/>
            <w:vAlign w:val="center"/>
          </w:tcPr>
          <w:p>
            <w:pPr>
              <w:pStyle w:val="14"/>
            </w:pPr>
            <w:r>
              <w:rPr>
                <w:rFonts w:hint="eastAsia"/>
              </w:rPr>
              <w:t>1</w:t>
            </w:r>
          </w:p>
        </w:tc>
        <w:tc>
          <w:tcPr>
            <w:tcW w:w="928" w:type="dxa"/>
            <w:tcBorders>
              <w:left w:val="single" w:color="auto" w:sz="4" w:space="0"/>
              <w:bottom w:val="single" w:color="auto" w:sz="12"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rPr>
                <w:rFonts w:ascii="宋体"/>
                <w:sz w:val="20"/>
                <w:szCs w:val="20"/>
              </w:rPr>
            </w:pPr>
            <w:r>
              <w:rPr>
                <w:rFonts w:hint="eastAsia" w:ascii="宋体"/>
                <w:sz w:val="20"/>
                <w:szCs w:val="20"/>
              </w:rPr>
              <w:t>护理礼仪</w:t>
            </w:r>
          </w:p>
        </w:tc>
        <w:tc>
          <w:tcPr>
            <w:tcW w:w="4100" w:type="dxa"/>
            <w:tcBorders>
              <w:top w:val="single" w:color="auto" w:sz="4" w:space="0"/>
              <w:left w:val="single" w:color="auto" w:sz="4" w:space="0"/>
              <w:bottom w:val="single" w:color="auto" w:sz="12" w:space="0"/>
              <w:right w:val="single" w:color="auto" w:sz="4" w:space="0"/>
            </w:tcBorders>
            <w:vAlign w:val="center"/>
          </w:tcPr>
          <w:p>
            <w:pPr>
              <w:widowControl w:val="0"/>
              <w:snapToGrid w:val="0"/>
              <w:spacing w:line="288" w:lineRule="auto"/>
              <w:jc w:val="both"/>
              <w:rPr>
                <w:rFonts w:cs="Times New Roman"/>
                <w:kern w:val="2"/>
                <w:sz w:val="20"/>
                <w:szCs w:val="20"/>
              </w:rPr>
            </w:pPr>
            <w:r>
              <w:rPr>
                <w:rFonts w:hint="eastAsia"/>
                <w:sz w:val="20"/>
                <w:szCs w:val="20"/>
              </w:rPr>
              <w:t>护理礼仪综合实践</w:t>
            </w:r>
          </w:p>
        </w:tc>
        <w:tc>
          <w:tcPr>
            <w:tcW w:w="707" w:type="dxa"/>
            <w:tcBorders>
              <w:left w:val="single" w:color="auto" w:sz="4" w:space="0"/>
              <w:bottom w:val="single" w:color="auto" w:sz="12" w:space="0"/>
              <w:right w:val="single" w:color="auto" w:sz="4" w:space="0"/>
            </w:tcBorders>
            <w:shd w:val="clear" w:color="auto" w:fill="auto"/>
            <w:vAlign w:val="center"/>
          </w:tcPr>
          <w:p>
            <w:pPr>
              <w:pStyle w:val="14"/>
            </w:pPr>
            <w:r>
              <w:rPr>
                <w:rFonts w:hint="eastAsia"/>
              </w:rPr>
              <w:t>5</w:t>
            </w:r>
          </w:p>
        </w:tc>
        <w:tc>
          <w:tcPr>
            <w:tcW w:w="928" w:type="dxa"/>
            <w:tcBorders>
              <w:left w:val="single" w:color="auto" w:sz="4" w:space="0"/>
              <w:bottom w:val="single" w:color="auto" w:sz="12"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8276" w:type="dxa"/>
          </w:tcPr>
          <w:p>
            <w:pPr>
              <w:pStyle w:val="14"/>
              <w:widowControl w:val="0"/>
              <w:ind w:firstLine="420" w:firstLineChars="200"/>
              <w:jc w:val="both"/>
              <w:rPr>
                <w:rFonts w:hint="eastAsia" w:ascii="宋体" w:hAnsi="宋体"/>
                <w:bCs/>
              </w:rPr>
            </w:pPr>
            <w:r>
              <w:rPr>
                <w:rFonts w:hint="eastAsia" w:ascii="宋体" w:hAnsi="宋体"/>
                <w:bCs/>
              </w:rPr>
              <w:t>《护理人际沟通与交往》课程思政教学，</w:t>
            </w:r>
            <w:r>
              <w:rPr>
                <w:rFonts w:ascii="宋体" w:hAnsi="宋体"/>
                <w:bCs/>
              </w:rPr>
              <w:t>主要是在将新</w:t>
            </w:r>
            <w:r>
              <w:rPr>
                <w:rFonts w:hint="eastAsia" w:ascii="宋体" w:hAnsi="宋体"/>
                <w:bCs/>
              </w:rPr>
              <w:t>时期意识形态内容融入护理人际沟通与交往课程中来，完善传统的书本教学内容，</w:t>
            </w:r>
            <w:r>
              <w:rPr>
                <w:rFonts w:ascii="宋体" w:hAnsi="宋体"/>
                <w:bCs/>
              </w:rPr>
              <w:t>选择有效的一种认知方式和反</w:t>
            </w:r>
            <w:r>
              <w:rPr>
                <w:rFonts w:hint="eastAsia" w:ascii="宋体" w:hAnsi="宋体"/>
                <w:bCs/>
              </w:rPr>
              <w:t>思，让学生能够重视护理关系，懂得有礼貌，</w:t>
            </w:r>
            <w:r>
              <w:rPr>
                <w:rFonts w:ascii="宋体" w:hAnsi="宋体"/>
                <w:bCs/>
              </w:rPr>
              <w:t>有效沟通，</w:t>
            </w:r>
            <w:r>
              <w:rPr>
                <w:rFonts w:hint="eastAsia" w:ascii="宋体" w:hAnsi="宋体"/>
                <w:bCs/>
              </w:rPr>
              <w:t>处理心理状况，引导客观探究，拓展话语，</w:t>
            </w:r>
            <w:r>
              <w:rPr>
                <w:rFonts w:ascii="宋体" w:hAnsi="宋体"/>
                <w:bCs/>
              </w:rPr>
              <w:t xml:space="preserve"> 建立护理关</w:t>
            </w:r>
            <w:r>
              <w:rPr>
                <w:rFonts w:hint="eastAsia" w:ascii="宋体" w:hAnsi="宋体"/>
                <w:bCs/>
              </w:rPr>
              <w:t>系。一方面，在课程的实施上，</w:t>
            </w:r>
            <w:r>
              <w:rPr>
                <w:rFonts w:ascii="宋体" w:hAnsi="宋体"/>
                <w:bCs/>
              </w:rPr>
              <w:t>加强教学过程的有效</w:t>
            </w:r>
            <w:r>
              <w:rPr>
                <w:rFonts w:hint="eastAsia" w:ascii="宋体" w:hAnsi="宋体"/>
                <w:bCs/>
              </w:rPr>
              <w:t>性，创新教学方式，培养学生的参与意识，</w:t>
            </w:r>
            <w:r>
              <w:rPr>
                <w:rFonts w:ascii="宋体" w:hAnsi="宋体"/>
                <w:bCs/>
              </w:rPr>
              <w:t>减少课堂教</w:t>
            </w:r>
            <w:r>
              <w:rPr>
                <w:rFonts w:hint="eastAsia" w:ascii="宋体" w:hAnsi="宋体"/>
                <w:bCs/>
              </w:rPr>
              <w:t>学的枯燥性；另一方面，</w:t>
            </w:r>
            <w:r>
              <w:rPr>
                <w:rFonts w:ascii="宋体" w:hAnsi="宋体"/>
                <w:bCs/>
              </w:rPr>
              <w:t>针对学生的护理专业技能，</w:t>
            </w:r>
            <w:r>
              <w:rPr>
                <w:rFonts w:hint="eastAsia" w:ascii="宋体" w:hAnsi="宋体"/>
                <w:bCs/>
              </w:rPr>
              <w:t>注重实践的教育，引</w:t>
            </w:r>
            <w:r>
              <w:rPr>
                <w:rFonts w:ascii="宋体" w:hAnsi="宋体"/>
                <w:bCs/>
              </w:rPr>
              <w:t>导学生灵活运用护理</w:t>
            </w:r>
            <w:r>
              <w:rPr>
                <w:rFonts w:hint="eastAsia" w:ascii="宋体" w:hAnsi="宋体"/>
                <w:bCs/>
              </w:rPr>
              <w:t>人际沟通</w:t>
            </w:r>
            <w:r>
              <w:rPr>
                <w:rFonts w:ascii="宋体" w:hAnsi="宋体"/>
                <w:bCs/>
              </w:rPr>
              <w:t>与</w:t>
            </w:r>
            <w:r>
              <w:rPr>
                <w:rFonts w:hint="eastAsia" w:ascii="宋体" w:hAnsi="宋体"/>
                <w:bCs/>
              </w:rPr>
              <w:t>交往技巧，日益提高护理职业技能和素养。</w:t>
            </w:r>
          </w:p>
        </w:tc>
      </w:tr>
    </w:tbl>
    <w:p>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60%</w:t>
            </w:r>
          </w:p>
        </w:tc>
        <w:tc>
          <w:tcPr>
            <w:tcW w:w="2353" w:type="dxa"/>
            <w:tcBorders>
              <w:right w:val="double" w:color="auto" w:sz="4" w:space="0"/>
            </w:tcBorders>
            <w:vAlign w:val="center"/>
          </w:tcPr>
          <w:p>
            <w:pPr>
              <w:pStyle w:val="14"/>
              <w:widowControl w:val="0"/>
            </w:pPr>
            <w:r>
              <w:rPr>
                <w:rFonts w:ascii="宋体" w:hAnsi="宋体"/>
                <w:sz w:val="20"/>
                <w:szCs w:val="20"/>
              </w:rPr>
              <w:t>期终</w:t>
            </w:r>
            <w:r>
              <w:rPr>
                <w:rFonts w:hint="eastAsia" w:ascii="宋体" w:hAnsi="宋体"/>
                <w:sz w:val="20"/>
                <w:szCs w:val="20"/>
              </w:rPr>
              <w:t>开</w:t>
            </w:r>
            <w:r>
              <w:rPr>
                <w:rFonts w:ascii="宋体" w:hAnsi="宋体"/>
                <w:sz w:val="20"/>
                <w:szCs w:val="20"/>
              </w:rPr>
              <w:t>卷</w:t>
            </w:r>
            <w:r>
              <w:rPr>
                <w:rFonts w:hint="eastAsia" w:ascii="宋体" w:hAnsi="宋体"/>
                <w:sz w:val="20"/>
                <w:szCs w:val="20"/>
              </w:rPr>
              <w:t>考试</w:t>
            </w:r>
          </w:p>
        </w:tc>
        <w:tc>
          <w:tcPr>
            <w:tcW w:w="612" w:type="dxa"/>
            <w:tcBorders>
              <w:left w:val="double" w:color="auto" w:sz="4" w:space="0"/>
            </w:tcBorders>
            <w:vAlign w:val="center"/>
          </w:tcPr>
          <w:p>
            <w:pPr>
              <w:pStyle w:val="14"/>
              <w:widowControl w:val="0"/>
            </w:pPr>
            <w:r>
              <w:rPr>
                <w:rFonts w:hint="eastAsia"/>
              </w:rPr>
              <w:t>40</w:t>
            </w:r>
          </w:p>
        </w:tc>
        <w:tc>
          <w:tcPr>
            <w:tcW w:w="612" w:type="dxa"/>
            <w:vAlign w:val="center"/>
          </w:tcPr>
          <w:p>
            <w:pPr>
              <w:pStyle w:val="14"/>
              <w:widowControl w:val="0"/>
            </w:pPr>
            <w:r>
              <w:rPr>
                <w:rFonts w:hint="eastAsia"/>
              </w:rPr>
              <w:t>40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20%</w:t>
            </w:r>
          </w:p>
        </w:tc>
        <w:tc>
          <w:tcPr>
            <w:tcW w:w="2353" w:type="dxa"/>
            <w:tcBorders>
              <w:right w:val="double" w:color="auto" w:sz="4" w:space="0"/>
            </w:tcBorders>
            <w:vAlign w:val="center"/>
          </w:tcPr>
          <w:p>
            <w:pPr>
              <w:pStyle w:val="14"/>
              <w:widowControl w:val="0"/>
            </w:pPr>
            <w:r>
              <w:rPr>
                <w:rFonts w:hint="eastAsia" w:ascii="宋体" w:hAnsi="宋体"/>
                <w:sz w:val="20"/>
                <w:szCs w:val="20"/>
              </w:rPr>
              <w:t>实训报告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40</w:t>
            </w:r>
          </w:p>
        </w:tc>
        <w:tc>
          <w:tcPr>
            <w:tcW w:w="612" w:type="dxa"/>
            <w:vAlign w:val="center"/>
          </w:tcPr>
          <w:p>
            <w:pPr>
              <w:pStyle w:val="14"/>
              <w:widowControl w:val="0"/>
            </w:pPr>
            <w:r>
              <w:rPr>
                <w:rFonts w:hint="eastAsia"/>
              </w:rPr>
              <w:t>40</w:t>
            </w:r>
          </w:p>
        </w:tc>
        <w:tc>
          <w:tcPr>
            <w:tcW w:w="612" w:type="dxa"/>
            <w:vAlign w:val="center"/>
          </w:tcPr>
          <w:p>
            <w:pPr>
              <w:pStyle w:val="14"/>
              <w:widowControl w:val="0"/>
            </w:pPr>
            <w:r>
              <w:rPr>
                <w:rFonts w:hint="eastAsia"/>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10%</w:t>
            </w:r>
          </w:p>
        </w:tc>
        <w:tc>
          <w:tcPr>
            <w:tcW w:w="2353" w:type="dxa"/>
            <w:tcBorders>
              <w:right w:val="double" w:color="auto" w:sz="4" w:space="0"/>
            </w:tcBorders>
            <w:vAlign w:val="center"/>
          </w:tcPr>
          <w:p>
            <w:pPr>
              <w:pStyle w:val="14"/>
              <w:widowControl w:val="0"/>
            </w:pPr>
            <w:r>
              <w:rPr>
                <w:rFonts w:hint="eastAsia" w:ascii="宋体"/>
                <w:bCs/>
                <w:sz w:val="20"/>
                <w:szCs w:val="20"/>
              </w:rPr>
              <w:t>简历设计</w:t>
            </w:r>
          </w:p>
        </w:tc>
        <w:tc>
          <w:tcPr>
            <w:tcW w:w="612" w:type="dxa"/>
            <w:tcBorders>
              <w:left w:val="double" w:color="auto" w:sz="4" w:space="0"/>
            </w:tcBorders>
            <w:vAlign w:val="center"/>
          </w:tcPr>
          <w:p>
            <w:pPr>
              <w:pStyle w:val="14"/>
              <w:widowControl w:val="0"/>
            </w:pPr>
            <w:r>
              <w:rPr>
                <w:rFonts w:hint="eastAsia"/>
              </w:rPr>
              <w:t>20</w:t>
            </w:r>
          </w:p>
        </w:tc>
        <w:tc>
          <w:tcPr>
            <w:tcW w:w="612" w:type="dxa"/>
            <w:vAlign w:val="center"/>
          </w:tcPr>
          <w:p>
            <w:pPr>
              <w:pStyle w:val="14"/>
              <w:widowControl w:val="0"/>
            </w:pPr>
            <w:r>
              <w:rPr>
                <w:rFonts w:hint="eastAsia"/>
              </w:rPr>
              <w:t>20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30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10%</w:t>
            </w:r>
          </w:p>
        </w:tc>
        <w:tc>
          <w:tcPr>
            <w:tcW w:w="2353" w:type="dxa"/>
            <w:tcBorders>
              <w:right w:val="double" w:color="auto" w:sz="4" w:space="0"/>
            </w:tcBorders>
            <w:vAlign w:val="center"/>
          </w:tcPr>
          <w:p>
            <w:pPr>
              <w:pStyle w:val="14"/>
              <w:widowControl w:val="0"/>
            </w:pPr>
            <w:r>
              <w:rPr>
                <w:rFonts w:hint="eastAsia" w:ascii="宋体" w:hAnsi="宋体"/>
                <w:bCs/>
                <w:szCs w:val="20"/>
              </w:rPr>
              <w:t>课堂表现</w:t>
            </w:r>
          </w:p>
        </w:tc>
        <w:tc>
          <w:tcPr>
            <w:tcW w:w="612" w:type="dxa"/>
            <w:tcBorders>
              <w:left w:val="double" w:color="auto" w:sz="4" w:space="0"/>
            </w:tcBorders>
            <w:vAlign w:val="center"/>
          </w:tcPr>
          <w:p>
            <w:pPr>
              <w:pStyle w:val="14"/>
              <w:widowControl w:val="0"/>
            </w:pPr>
            <w:r>
              <w:rPr>
                <w:rFonts w:hint="eastAsia"/>
              </w:rPr>
              <w:t>30</w:t>
            </w:r>
          </w:p>
        </w:tc>
        <w:tc>
          <w:tcPr>
            <w:tcW w:w="612" w:type="dxa"/>
            <w:vAlign w:val="center"/>
          </w:tcPr>
          <w:p>
            <w:pPr>
              <w:pStyle w:val="14"/>
              <w:widowControl w:val="0"/>
            </w:pPr>
            <w:r>
              <w:rPr>
                <w:rFonts w:hint="eastAsia"/>
              </w:rPr>
              <w:t>30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pStyle w:val="14"/>
              <w:widowControl w:val="0"/>
              <w:jc w:val="both"/>
              <w:rPr>
                <w:rFonts w:ascii="宋体" w:hAnsi="宋体"/>
              </w:rPr>
            </w:pPr>
          </w:p>
        </w:tc>
        <w:tc>
          <w:tcPr>
            <w:tcW w:w="1403" w:type="dxa"/>
            <w:vAlign w:val="center"/>
          </w:tcPr>
          <w:p>
            <w:pPr>
              <w:pStyle w:val="14"/>
              <w:widowControl w:val="0"/>
              <w:jc w:val="both"/>
              <w:rPr>
                <w:rFonts w:ascii="宋体" w:hAnsi="宋体"/>
              </w:rPr>
            </w:pPr>
          </w:p>
        </w:tc>
        <w:tc>
          <w:tcPr>
            <w:tcW w:w="1403" w:type="dxa"/>
            <w:vAlign w:val="center"/>
          </w:tcPr>
          <w:p>
            <w:pPr>
              <w:pStyle w:val="14"/>
              <w:widowControl w:val="0"/>
              <w:jc w:val="both"/>
              <w:rPr>
                <w:rFonts w:ascii="宋体" w:hAnsi="宋体"/>
              </w:rPr>
            </w:pPr>
          </w:p>
        </w:tc>
        <w:tc>
          <w:tcPr>
            <w:tcW w:w="1403" w:type="dxa"/>
            <w:vAlign w:val="center"/>
          </w:tcPr>
          <w:p>
            <w:pPr>
              <w:pStyle w:val="6"/>
              <w:widowControl/>
              <w:shd w:val="clear" w:color="auto" w:fill="FFFFFF"/>
              <w:jc w:val="both"/>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lang w:val="en-US" w:eastAsia="zh-CN"/>
              </w:rPr>
            </w:pPr>
            <w:r>
              <w:rPr>
                <w:rFonts w:hint="eastAsia" w:ascii="Helvetica" w:hAnsi="Helvetica" w:cs="Helvetica" w:eastAsiaTheme="minorEastAsia"/>
                <w:color w:val="000000"/>
                <w:sz w:val="21"/>
                <w:szCs w:val="21"/>
                <w:lang w:val="en-US" w:eastAsia="zh-CN"/>
              </w:rPr>
              <w:t>无</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5517"/>
    <w:multiLevelType w:val="singleLevel"/>
    <w:tmpl w:val="B0E855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023B2"/>
    <w:rsid w:val="00011C1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0D65F2"/>
    <w:rsid w:val="00100633"/>
    <w:rsid w:val="00103411"/>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55F3"/>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5D6F"/>
    <w:rsid w:val="005074E1"/>
    <w:rsid w:val="005107D3"/>
    <w:rsid w:val="00511802"/>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46B1"/>
    <w:rsid w:val="0057496F"/>
    <w:rsid w:val="00586DDE"/>
    <w:rsid w:val="0059045B"/>
    <w:rsid w:val="005A13AB"/>
    <w:rsid w:val="005B1150"/>
    <w:rsid w:val="005B1FFC"/>
    <w:rsid w:val="005B2B6D"/>
    <w:rsid w:val="005B4B4E"/>
    <w:rsid w:val="005C3A76"/>
    <w:rsid w:val="005C6DB6"/>
    <w:rsid w:val="005D083B"/>
    <w:rsid w:val="005D5B6F"/>
    <w:rsid w:val="005E38A5"/>
    <w:rsid w:val="005F5185"/>
    <w:rsid w:val="00617BDA"/>
    <w:rsid w:val="0062115C"/>
    <w:rsid w:val="0062265B"/>
    <w:rsid w:val="00624B5C"/>
    <w:rsid w:val="00624FE1"/>
    <w:rsid w:val="00625541"/>
    <w:rsid w:val="0062577D"/>
    <w:rsid w:val="006331EE"/>
    <w:rsid w:val="006355E6"/>
    <w:rsid w:val="00637E00"/>
    <w:rsid w:val="0064038A"/>
    <w:rsid w:val="00643B5E"/>
    <w:rsid w:val="0065167D"/>
    <w:rsid w:val="00651E01"/>
    <w:rsid w:val="00652D13"/>
    <w:rsid w:val="00656CD1"/>
    <w:rsid w:val="0066595A"/>
    <w:rsid w:val="00666206"/>
    <w:rsid w:val="00672788"/>
    <w:rsid w:val="00676183"/>
    <w:rsid w:val="00680DA3"/>
    <w:rsid w:val="0068377F"/>
    <w:rsid w:val="00691B24"/>
    <w:rsid w:val="00695B93"/>
    <w:rsid w:val="00697C16"/>
    <w:rsid w:val="006A5A89"/>
    <w:rsid w:val="006B2042"/>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0A45"/>
    <w:rsid w:val="00774C1F"/>
    <w:rsid w:val="00786044"/>
    <w:rsid w:val="00786961"/>
    <w:rsid w:val="007934A4"/>
    <w:rsid w:val="007A0AC9"/>
    <w:rsid w:val="007A1B70"/>
    <w:rsid w:val="007A57F6"/>
    <w:rsid w:val="007B4FFB"/>
    <w:rsid w:val="007C0BCE"/>
    <w:rsid w:val="007C1D1B"/>
    <w:rsid w:val="007C3566"/>
    <w:rsid w:val="007C57E0"/>
    <w:rsid w:val="007C794A"/>
    <w:rsid w:val="007D5326"/>
    <w:rsid w:val="007D5A33"/>
    <w:rsid w:val="007E620F"/>
    <w:rsid w:val="007E663C"/>
    <w:rsid w:val="007E7795"/>
    <w:rsid w:val="007E7ED7"/>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4982"/>
    <w:rsid w:val="008C5113"/>
    <w:rsid w:val="008C5B8A"/>
    <w:rsid w:val="008D3D5F"/>
    <w:rsid w:val="008D4E81"/>
    <w:rsid w:val="008D505F"/>
    <w:rsid w:val="008E0F55"/>
    <w:rsid w:val="008F253F"/>
    <w:rsid w:val="008F543C"/>
    <w:rsid w:val="008F7F31"/>
    <w:rsid w:val="00900019"/>
    <w:rsid w:val="009023B1"/>
    <w:rsid w:val="0090559D"/>
    <w:rsid w:val="009147D6"/>
    <w:rsid w:val="00925F8C"/>
    <w:rsid w:val="00927324"/>
    <w:rsid w:val="00932ED7"/>
    <w:rsid w:val="00941B89"/>
    <w:rsid w:val="00941DEA"/>
    <w:rsid w:val="009656CC"/>
    <w:rsid w:val="00965970"/>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1C70"/>
    <w:rsid w:val="009F3199"/>
    <w:rsid w:val="009F3355"/>
    <w:rsid w:val="009F3648"/>
    <w:rsid w:val="009F3B7A"/>
    <w:rsid w:val="009F503A"/>
    <w:rsid w:val="009F54D0"/>
    <w:rsid w:val="009F645B"/>
    <w:rsid w:val="00A04523"/>
    <w:rsid w:val="00A16159"/>
    <w:rsid w:val="00A17885"/>
    <w:rsid w:val="00A2337D"/>
    <w:rsid w:val="00A25A31"/>
    <w:rsid w:val="00A26885"/>
    <w:rsid w:val="00A31BBE"/>
    <w:rsid w:val="00A31D34"/>
    <w:rsid w:val="00A333EF"/>
    <w:rsid w:val="00A36502"/>
    <w:rsid w:val="00A45B4E"/>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7430"/>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494F"/>
    <w:rsid w:val="00C77BBF"/>
    <w:rsid w:val="00C81564"/>
    <w:rsid w:val="00C8359C"/>
    <w:rsid w:val="00C9080C"/>
    <w:rsid w:val="00CA18FD"/>
    <w:rsid w:val="00CA27E5"/>
    <w:rsid w:val="00CA4897"/>
    <w:rsid w:val="00CA6928"/>
    <w:rsid w:val="00CB3D3F"/>
    <w:rsid w:val="00CB5A1A"/>
    <w:rsid w:val="00CC59E6"/>
    <w:rsid w:val="00CD2F8C"/>
    <w:rsid w:val="00CD5BDD"/>
    <w:rsid w:val="00CF096B"/>
    <w:rsid w:val="00CF10F7"/>
    <w:rsid w:val="00CF3578"/>
    <w:rsid w:val="00CF5EE3"/>
    <w:rsid w:val="00CF691F"/>
    <w:rsid w:val="00CF75DC"/>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0EAD"/>
    <w:rsid w:val="00DB2BE6"/>
    <w:rsid w:val="00DB76B3"/>
    <w:rsid w:val="00DD1052"/>
    <w:rsid w:val="00DD3C7B"/>
    <w:rsid w:val="00DD48CC"/>
    <w:rsid w:val="00DE2B21"/>
    <w:rsid w:val="00DE48DE"/>
    <w:rsid w:val="00DF25F2"/>
    <w:rsid w:val="00DF4166"/>
    <w:rsid w:val="00E000F4"/>
    <w:rsid w:val="00E01231"/>
    <w:rsid w:val="00E02F75"/>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56CB"/>
    <w:rsid w:val="00E804B0"/>
    <w:rsid w:val="00E86772"/>
    <w:rsid w:val="00E90B8B"/>
    <w:rsid w:val="00E93ADD"/>
    <w:rsid w:val="00E952D8"/>
    <w:rsid w:val="00EB00E4"/>
    <w:rsid w:val="00EB28DA"/>
    <w:rsid w:val="00EB3812"/>
    <w:rsid w:val="00EB44EB"/>
    <w:rsid w:val="00EB66B8"/>
    <w:rsid w:val="00EB712D"/>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2826"/>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6985984"/>
    <w:rsid w:val="780F13C8"/>
    <w:rsid w:val="7C385448"/>
    <w:rsid w:val="7CB3663D"/>
    <w:rsid w:val="7FAF2102"/>
    <w:rsid w:val="E3694C90"/>
    <w:rsid w:val="FDEBCD2B"/>
    <w:rsid w:val="FF4F6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589</Words>
  <Characters>3363</Characters>
  <Lines>28</Lines>
  <Paragraphs>7</Paragraphs>
  <TotalTime>0</TotalTime>
  <ScaleCrop>false</ScaleCrop>
  <LinksUpToDate>false</LinksUpToDate>
  <CharactersWithSpaces>3945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2023-10-21T23:24:00Z</dcterms:created>
  <dc:creator>juvg</dc:creator>
  <cp:lastModifiedBy>郭永洪</cp:lastModifiedBy>
  <cp:lastPrinted>2023-10-23T20:11:00Z</cp:lastPrinted>
  <dcterms:modified xsi:type="dcterms:W3CDTF">2024-03-07T23:43:13Z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E6628EE6BC33379FA5EEC16583B3F98A_42</vt:lpwstr>
  </property>
</Properties>
</file>