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1B3DCF">
      <w:pPr>
        <w:snapToGrid w:val="0"/>
        <w:jc w:val="center"/>
        <w:rPr>
          <w:sz w:val="6"/>
          <w:szCs w:val="6"/>
        </w:rPr>
      </w:pPr>
    </w:p>
    <w:p w14:paraId="75524625">
      <w:pPr>
        <w:snapToGrid w:val="0"/>
        <w:jc w:val="center"/>
        <w:rPr>
          <w:sz w:val="6"/>
          <w:szCs w:val="6"/>
        </w:rPr>
      </w:pPr>
    </w:p>
    <w:p w14:paraId="6437C43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EB8B5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C1EF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A603D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8C877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中医学基础</w:t>
            </w:r>
          </w:p>
        </w:tc>
      </w:tr>
      <w:tr w14:paraId="1184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0843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5215F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2170009</w:t>
            </w:r>
          </w:p>
        </w:tc>
        <w:tc>
          <w:tcPr>
            <w:tcW w:w="1314" w:type="dxa"/>
            <w:vAlign w:val="center"/>
          </w:tcPr>
          <w:p w14:paraId="1CD776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407F74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0728</w:t>
            </w:r>
          </w:p>
        </w:tc>
        <w:tc>
          <w:tcPr>
            <w:tcW w:w="1753" w:type="dxa"/>
            <w:vAlign w:val="center"/>
          </w:tcPr>
          <w:p w14:paraId="60DF13E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F6DD3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50E7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425E3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25F31C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刘阳 王凤</w:t>
            </w:r>
          </w:p>
        </w:tc>
        <w:tc>
          <w:tcPr>
            <w:tcW w:w="1314" w:type="dxa"/>
            <w:vAlign w:val="center"/>
          </w:tcPr>
          <w:p w14:paraId="1F4568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504B85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22484</w:t>
            </w:r>
          </w:p>
        </w:tc>
        <w:tc>
          <w:tcPr>
            <w:tcW w:w="1753" w:type="dxa"/>
            <w:vAlign w:val="center"/>
          </w:tcPr>
          <w:p w14:paraId="38BC1C4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2E194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AC5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ECF2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9204D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B2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198FC0C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B30E39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3557158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F0C1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</w:p>
        </w:tc>
      </w:tr>
      <w:tr w14:paraId="19C81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372DE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C1B0BB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 w14:paraId="0AD6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82AC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3F45B3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52FC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87D3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58919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《中医学基础》，何建成，人民卫生出版社，2016年第2版</w:t>
            </w:r>
          </w:p>
        </w:tc>
      </w:tr>
      <w:tr w14:paraId="2A60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9F354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867DBE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1.《中医基础理论》，李德新，人民卫生出版社，2001年第1版；</w:t>
            </w:r>
          </w:p>
          <w:p w14:paraId="2F471802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2.《中医学基础》，张登本，中国中医药出版社，2007年第2版；</w:t>
            </w:r>
          </w:p>
          <w:p w14:paraId="02D6D32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3.《中医诊断学》，邓铁涛，上海科学技术出版社，2006年第1版</w:t>
            </w:r>
          </w:p>
        </w:tc>
      </w:tr>
    </w:tbl>
    <w:p w14:paraId="2B09D1F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26"/>
        <w:gridCol w:w="6305"/>
        <w:gridCol w:w="1109"/>
        <w:gridCol w:w="769"/>
      </w:tblGrid>
      <w:tr w14:paraId="15E2F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DE38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49D9D">
            <w:pPr>
              <w:widowControl/>
              <w:spacing w:before="120" w:after="120"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9385A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78B6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513E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DB1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A946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3C8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63D7C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阴阳的概念、阴阳的特性，理解阴阳之间的相互关系。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48E8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AA64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1676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FCB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215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1FCD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五行的概念、特性、五行的属性归类，理解五行的生克关系。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96B3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2F0C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ACDF25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CCA6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683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6A80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9525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运用阴阳五行学说解释人体的生理活动，以及脏腑之间的阴阳五行配属关系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AF462"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CE73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21FD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B81A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2DA9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7C67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8AEFB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能够运用阴阳五行学说，初步解释一些常见的病理变化，并给出合理的防治方案。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ECE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542B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9213DB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02B7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F58F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74EF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1EC7A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阴阳学说与五行学说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掌握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五行的属性归类方法，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五行相生，五行相克，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五行相乘，母病及子的含义，掌握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阴阳学说在中医学中的应用以及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阴阳之间的相互关系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C9F5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924F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8C27B4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501E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B6BA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0ACC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24E94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知道中医藏象学说的概念与特点。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6AE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97FB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30EBD4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2A1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F97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619A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E6C6D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脏腑的分类及特性，五脏六腑的生理功能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15CE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1CEE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8888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8E5E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1FC2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651C9">
            <w:pPr>
              <w:snapToGrid w:val="0"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奇恒之腑的相关概念。</w:t>
            </w:r>
          </w:p>
          <w:p w14:paraId="3E13E378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脏腑之间的关系，阴阳表里。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8193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B8B3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3AA6468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7B30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B75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83B9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58C6F"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运用藏象学说解释人体脏腑的生理病理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 xml:space="preserve"> 藏象学说的特点；心的主要功能；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五脏、六腑与奇恒之腑的区别；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肺，脾，肝，胆，胃，三焦的主要功能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81FF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084D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C1262E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C2D0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B35A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EE9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61827"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气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精、气、血、津液各自的概念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F80C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6576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3E11D0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5A3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2CF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3EA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AAE5E"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生成与功能特点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  <w:p w14:paraId="21F2F2BB"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精、气、血、津液之间的关系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藏象理论、五脏一体观和形神一体观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BFEE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A549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4AD9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393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B3C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AE45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气的主要功能，营气与卫气的区别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855B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57C5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BDB349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1C28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027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176E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35ACB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血的主要功能，精与血的关系，气与血的关系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F3D2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224A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ECD685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6524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2ED5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9679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542DD"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 w14:paraId="7CB9E029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27DB4"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 w14:paraId="4A1E810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8D439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1843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6D1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E4DB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9C5D8">
            <w:pPr>
              <w:snapToGrid w:val="0"/>
              <w:spacing w:line="288" w:lineRule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体质的概念与特点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体质的形成与生理基础、影响因素与分类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体质学说的应用</w:t>
            </w:r>
          </w:p>
          <w:p w14:paraId="34D2EFD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外感、内伤的概念及致病特点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痰饮、瘀血的产生与致病特点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外感与内伤的区别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运用中医思维，解释在疾病状态下，人体出现各种病证的原因。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481A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5371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2E76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EBD5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FB27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BCB9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体质的概念与特点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体质的形成与生理基础、影响因素与分类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体质学说的应用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24C6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2B44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AF6E4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D8FBE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26BF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2A9C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473F7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湿邪的性质及治病特点并举例说明，七情内伤的致病特点，痰饮的致病特点，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瘀血的形成因素与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致病特点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C217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7EAC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932AD5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CAB6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31C3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E9C8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8FE4E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发病的基本原理与影响发病的主要因素、发病的形式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病机的概念，理解邪正盛衰、阴阳失调、精气血津液失常与内生五邪的关系原理。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226E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7A25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6C65DB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D2FE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8331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083A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BA1F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发病的基本原理，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发病形式，复发的诱因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4ED2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5F0B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12EACF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5BE5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0377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8A91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98B4C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望闻问切的概念和四诊合参的意义。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883C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7302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78C7D05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821C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D294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FDE7D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4A145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望神、望色、望舌的临床意义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知道脉诊的原理，理解平脉与常见脉象的形态、特点与临床意义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7B5BD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D3F8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EA38B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1202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E55C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267B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E9D61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D89D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D8EF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90CF1F3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7BF0F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F401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62E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3CBB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理解平脉的形态、特点与临床意义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FB29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626F5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CB9560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3F68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62DC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D8AF6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8B52B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理解常见脉象的形态、特点与临床意义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7DDD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5B7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BEB8A9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626C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39EDF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29A6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F371C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:各种诊法的实际操作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B707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195E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5099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8D38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F240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14F27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经络：经络系统的组成包括经脉、络脉和连属部分，十二经脉和奇经八脉的循行分布，十二经脉和奇经八脉的生理功能特点。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9388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A31A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94A4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B8CA9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923C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02D9B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指摩法的操作要领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54F9A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27D4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0BFA016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7442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7934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5E54A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6004E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指摩法的操作要领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0222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实验+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操作考试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D2A7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5320D1E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7348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AFB4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2966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48CB3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辨证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八纲辨证的含义与主要内容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气血津液与脏腑辨证的主要内容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503C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E0F5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4D37BB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3A86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D034E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DFD4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729C5"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辨证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气血津液与脏腑辨证的主要内容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外感病辨证的主要内容与分类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CE52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527F2"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D3F0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0756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35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5357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7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DC97C">
            <w:pPr>
              <w:widowControl/>
              <w:spacing w:line="240" w:lineRule="exact"/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养生与预防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养生的目的与基本原则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未病先防和既病防变的理念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运用所学知识，阐明养生的益处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7320D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424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7D882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F05D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4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7AEB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07174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7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8C897">
            <w:pPr>
              <w:widowControl/>
              <w:spacing w:line="240" w:lineRule="exact"/>
              <w:jc w:val="both"/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治则：治病求本，三因制宜的治疗总则，扶正祛邪、调整阴阳和调理精气血津液的基本治则。</w:t>
            </w:r>
          </w:p>
          <w:p w14:paraId="272CFB50">
            <w:pPr>
              <w:widowControl/>
              <w:spacing w:line="240" w:lineRule="exact"/>
              <w:jc w:val="both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康复与护理：康复的基本原则和常用的康复方法，护理分为辨证施护、综合护理。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9317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6DA9E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</w:tbl>
    <w:p w14:paraId="0DA8871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7C28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9B59A4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6DFFE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5DBA1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F0D0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66E9D3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4E8CA3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49577E6B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期末开卷考试</w:t>
            </w:r>
          </w:p>
        </w:tc>
      </w:tr>
      <w:tr w14:paraId="6CCA0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D8064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528D36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A19949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课堂表现（出勤率、回答问题）</w:t>
            </w:r>
          </w:p>
        </w:tc>
      </w:tr>
      <w:tr w14:paraId="319D9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68AF78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40D2DD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10C99CA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操作考试</w:t>
            </w:r>
          </w:p>
        </w:tc>
      </w:tr>
      <w:tr w14:paraId="11BC8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87251A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FD1538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71ED0C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课堂开卷测验</w:t>
            </w:r>
          </w:p>
        </w:tc>
      </w:tr>
      <w:tr w14:paraId="63477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82426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D9D129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E1A91F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Arial"/>
                <w:kern w:val="0"/>
                <w:sz w:val="24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实验报告</w:t>
            </w:r>
          </w:p>
        </w:tc>
      </w:tr>
    </w:tbl>
    <w:p w14:paraId="212D1F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828FAF4">
      <w:pPr>
        <w:tabs>
          <w:tab w:val="left" w:pos="3210"/>
          <w:tab w:val="left" w:pos="7560"/>
        </w:tabs>
        <w:spacing w:before="72" w:beforeLines="20" w:line="360" w:lineRule="auto"/>
        <w:ind w:firstLine="24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130810</wp:posOffset>
            </wp:positionV>
            <wp:extent cx="828040" cy="488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33120" cy="441960"/>
            <wp:effectExtent l="0" t="0" r="5080" b="15240"/>
            <wp:docPr id="5" name="图片 5" descr="刘阳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刘阳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35330" cy="302895"/>
            <wp:effectExtent l="0" t="0" r="7620" b="1905"/>
            <wp:docPr id="6" name="图片 6" descr="王凤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王凤签名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 w14:paraId="171F6DE2"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5年3月5日</w:t>
      </w:r>
    </w:p>
    <w:p w14:paraId="493442D4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860F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DACD93F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BF31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37B6EE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8CBD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D7C6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619A6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B619A6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6D7B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1DDA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6804EA"/>
    <w:rsid w:val="0DB76A4A"/>
    <w:rsid w:val="0E572ECB"/>
    <w:rsid w:val="10894E5D"/>
    <w:rsid w:val="199D2E85"/>
    <w:rsid w:val="1B803B6F"/>
    <w:rsid w:val="1B9B294B"/>
    <w:rsid w:val="24194B61"/>
    <w:rsid w:val="26BE19EF"/>
    <w:rsid w:val="2E59298A"/>
    <w:rsid w:val="36F77049"/>
    <w:rsid w:val="37E50B00"/>
    <w:rsid w:val="397C3770"/>
    <w:rsid w:val="49DF08B3"/>
    <w:rsid w:val="49EF4686"/>
    <w:rsid w:val="56E10C5F"/>
    <w:rsid w:val="65310993"/>
    <w:rsid w:val="662F37B9"/>
    <w:rsid w:val="6E256335"/>
    <w:rsid w:val="700912C5"/>
    <w:rsid w:val="72E11953"/>
    <w:rsid w:val="74F62C86"/>
    <w:rsid w:val="758D193E"/>
    <w:rsid w:val="78B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1819</Words>
  <Characters>1890</Characters>
  <Lines>2</Lines>
  <Paragraphs>1</Paragraphs>
  <TotalTime>4</TotalTime>
  <ScaleCrop>false</ScaleCrop>
  <LinksUpToDate>false</LinksUpToDate>
  <CharactersWithSpaces>1941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2025-03-09T13:38:30Z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B45494D08BE54F09BA14ED6A55A0DE88_13</vt:lpwstr>
  </property>
  <property fmtid="{D5CDD505-2E9C-101B-9397-08002B2CF9AE}" pid="4" name="KSOTemplateDocerSaveRecord">
    <vt:lpwstr>eyJoZGlkIjoiMWY3NDUzMWExZGM0NTI1ZGVhN2IyMDE3MTUyYjBlZmIiLCJ1c2VySWQiOiIyNTg1MDc3NzcifQ==</vt:lpwstr>
  </property>
</Properties>
</file>