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noWrap w:val="0"/>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1170007</w:t>
            </w:r>
          </w:p>
        </w:tc>
        <w:tc>
          <w:tcPr>
            <w:tcW w:w="1134" w:type="dxa"/>
            <w:noWrap w:val="0"/>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noWrap w:val="0"/>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b/>
                <w:sz w:val="21"/>
                <w:szCs w:val="21"/>
              </w:rPr>
              <w:t>生物化学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noWrap w:val="0"/>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color w:val="000000"/>
                <w:sz w:val="21"/>
                <w:szCs w:val="21"/>
                <w:lang w:val="en-US" w:eastAsia="zh-CN"/>
              </w:rPr>
              <w:t>1</w:t>
            </w:r>
            <w:r>
              <w:rPr>
                <w:rFonts w:hint="eastAsia" w:ascii="宋体" w:hAnsi="宋体" w:eastAsia="宋体"/>
                <w:color w:val="000000"/>
                <w:sz w:val="21"/>
                <w:szCs w:val="21"/>
              </w:rPr>
              <w:t>.0</w:t>
            </w:r>
          </w:p>
        </w:tc>
        <w:tc>
          <w:tcPr>
            <w:tcW w:w="1134" w:type="dxa"/>
            <w:noWrap w:val="0"/>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noWrap w:val="0"/>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CN"/>
              </w:rPr>
              <w:t>16</w:t>
            </w:r>
            <w:r>
              <w:rPr>
                <w:rFonts w:hint="eastAsia" w:ascii="宋体" w:hAnsi="宋体" w:eastAsia="宋体"/>
                <w:sz w:val="21"/>
                <w:szCs w:val="21"/>
              </w:rPr>
              <w:t>学时（理论</w:t>
            </w:r>
            <w:r>
              <w:rPr>
                <w:rFonts w:hint="eastAsia" w:ascii="宋体" w:hAnsi="宋体" w:eastAsia="宋体"/>
                <w:sz w:val="21"/>
                <w:szCs w:val="21"/>
                <w:lang w:val="en-US" w:eastAsia="zh-CN"/>
              </w:rPr>
              <w:t>1</w:t>
            </w:r>
            <w:r>
              <w:rPr>
                <w:rFonts w:hint="eastAsia" w:ascii="宋体" w:hAnsi="宋体" w:eastAsia="宋体"/>
                <w:sz w:val="21"/>
                <w:szCs w:val="21"/>
              </w:rPr>
              <w:t>2学时+实践</w:t>
            </w:r>
            <w:r>
              <w:rPr>
                <w:rFonts w:hint="eastAsia" w:ascii="宋体" w:hAnsi="宋体" w:eastAsia="宋体"/>
                <w:sz w:val="21"/>
                <w:szCs w:val="21"/>
                <w:lang w:val="en-US" w:eastAsia="zh-CN"/>
              </w:rPr>
              <w:t>4</w:t>
            </w:r>
            <w:r>
              <w:rPr>
                <w:rFonts w:hint="eastAsia" w:ascii="宋体" w:hAnsi="宋体" w:eastAsia="宋体"/>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noWrap w:val="0"/>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彭伟</w:t>
            </w:r>
          </w:p>
        </w:tc>
        <w:tc>
          <w:tcPr>
            <w:tcW w:w="1134" w:type="dxa"/>
            <w:noWrap w:val="0"/>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noWrap w:val="0"/>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val="en-US" w:eastAsia="zh-CN"/>
              </w:rPr>
              <w:t>pengwei39</w:t>
            </w:r>
            <w:r>
              <w:rPr>
                <w:rFonts w:hint="eastAsia" w:ascii="宋体" w:hAnsi="宋体" w:eastAsia="宋体"/>
                <w:sz w:val="21"/>
                <w:szCs w:val="21"/>
                <w:lang w:eastAsia="zh-CN"/>
              </w:rPr>
              <w:t>@</w:t>
            </w:r>
            <w:r>
              <w:rPr>
                <w:rFonts w:hint="eastAsia" w:ascii="宋体" w:hAnsi="宋体" w:eastAsia="宋体"/>
                <w:sz w:val="21"/>
                <w:szCs w:val="21"/>
                <w:lang w:val="en-US" w:eastAsia="zh-CN"/>
              </w:rPr>
              <w:t>hotmail</w:t>
            </w:r>
            <w:r>
              <w:rPr>
                <w:rFonts w:hint="eastAsia" w:ascii="宋体" w:hAnsi="宋体" w:eastAsia="宋体"/>
                <w:sz w:val="21"/>
                <w:szCs w:val="21"/>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noWrap w:val="0"/>
            <w:vAlign w:val="center"/>
          </w:tcPr>
          <w:p>
            <w:pPr>
              <w:tabs>
                <w:tab w:val="left" w:pos="532"/>
              </w:tabs>
              <w:spacing w:line="340" w:lineRule="exact"/>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eastAsia="zh-CN"/>
              </w:rPr>
              <w:t>护理学</w:t>
            </w:r>
            <w:r>
              <w:rPr>
                <w:rFonts w:hint="eastAsia" w:ascii="宋体" w:hAnsi="宋体" w:eastAsia="宋体"/>
                <w:color w:val="000000"/>
                <w:sz w:val="21"/>
                <w:szCs w:val="21"/>
                <w:lang w:val="en-US" w:eastAsia="zh-CN"/>
              </w:rPr>
              <w:t>B20-4(</w:t>
            </w:r>
            <w:r>
              <w:rPr>
                <w:rFonts w:hint="eastAsia" w:ascii="宋体" w:hAnsi="宋体" w:eastAsia="宋体"/>
                <w:color w:val="000000"/>
                <w:sz w:val="21"/>
                <w:szCs w:val="21"/>
                <w:lang w:eastAsia="zh-CN"/>
              </w:rPr>
              <w:t>专升本</w:t>
            </w:r>
            <w:r>
              <w:rPr>
                <w:rFonts w:hint="eastAsia" w:ascii="宋体" w:hAnsi="宋体" w:eastAsia="宋体"/>
                <w:color w:val="000000"/>
                <w:sz w:val="21"/>
                <w:szCs w:val="21"/>
                <w:lang w:val="en-US" w:eastAsia="zh-CN"/>
              </w:rPr>
              <w:t>)</w:t>
            </w:r>
          </w:p>
        </w:tc>
        <w:tc>
          <w:tcPr>
            <w:tcW w:w="1134" w:type="dxa"/>
            <w:noWrap w:val="0"/>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noWrap w:val="0"/>
            <w:vAlign w:val="center"/>
          </w:tcPr>
          <w:p>
            <w:pPr>
              <w:tabs>
                <w:tab w:val="left" w:pos="532"/>
              </w:tabs>
              <w:spacing w:line="340" w:lineRule="exact"/>
              <w:rPr>
                <w:rFonts w:hint="eastAsia" w:ascii="宋体" w:hAnsi="宋体" w:eastAsia="宋体"/>
                <w:sz w:val="21"/>
                <w:szCs w:val="21"/>
                <w:lang w:eastAsia="zh-Hans"/>
              </w:rPr>
            </w:pPr>
            <w:r>
              <w:rPr>
                <w:rFonts w:hint="eastAsia" w:ascii="宋体" w:hAnsi="宋体" w:eastAsia="宋体"/>
                <w:color w:val="FF0000"/>
                <w:sz w:val="21"/>
                <w:szCs w:val="21"/>
                <w:lang w:val="en-US" w:eastAsia="zh-Hans"/>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noWrap w:val="0"/>
            <w:vAlign w:val="center"/>
          </w:tcPr>
          <w:p>
            <w:pPr>
              <w:tabs>
                <w:tab w:val="left" w:pos="532"/>
              </w:tabs>
              <w:spacing w:line="340" w:lineRule="exact"/>
              <w:rPr>
                <w:rFonts w:hint="eastAsia" w:ascii="宋体" w:hAnsi="宋体" w:eastAsia="宋体"/>
                <w:kern w:val="0"/>
                <w:sz w:val="21"/>
                <w:szCs w:val="21"/>
                <w:lang w:eastAsia="zh-Hans"/>
              </w:rPr>
            </w:pPr>
            <w:r>
              <w:rPr>
                <w:rFonts w:hint="eastAsia" w:ascii="宋体" w:hAnsi="宋体" w:eastAsia="宋体"/>
                <w:sz w:val="21"/>
                <w:szCs w:val="21"/>
                <w:lang w:eastAsia="zh-CN"/>
              </w:rPr>
              <w:t>周一上午1</w:t>
            </w:r>
            <w:r>
              <w:rPr>
                <w:rFonts w:hint="eastAsia" w:ascii="宋体" w:hAnsi="宋体" w:eastAsia="宋体"/>
                <w:sz w:val="21"/>
                <w:szCs w:val="21"/>
                <w:lang w:val="en-US" w:eastAsia="zh-CN"/>
              </w:rPr>
              <w:t>0</w:t>
            </w:r>
            <w:r>
              <w:rPr>
                <w:rFonts w:hint="eastAsia" w:ascii="宋体" w:hAnsi="宋体" w:eastAsia="宋体"/>
                <w:sz w:val="21"/>
                <w:szCs w:val="21"/>
                <w:lang w:eastAsia="zh-CN"/>
              </w:rPr>
              <w:t>:</w:t>
            </w:r>
            <w:r>
              <w:rPr>
                <w:rFonts w:hint="eastAsia" w:ascii="宋体" w:hAnsi="宋体" w:eastAsia="宋体"/>
                <w:sz w:val="21"/>
                <w:szCs w:val="21"/>
                <w:lang w:val="en-US" w:eastAsia="zh-CN"/>
              </w:rPr>
              <w:t>15</w:t>
            </w:r>
            <w:r>
              <w:rPr>
                <w:rFonts w:hint="eastAsia" w:ascii="宋体" w:hAnsi="宋体" w:eastAsia="宋体"/>
                <w:sz w:val="21"/>
                <w:szCs w:val="21"/>
                <w:lang w:eastAsia="zh-CN"/>
              </w:rPr>
              <w:t>～</w:t>
            </w:r>
            <w:r>
              <w:rPr>
                <w:rFonts w:ascii="宋体" w:hAnsi="宋体" w:eastAsia="宋体"/>
                <w:sz w:val="21"/>
                <w:szCs w:val="21"/>
                <w:lang w:eastAsia="zh-CN"/>
              </w:rPr>
              <w:t>1</w:t>
            </w:r>
            <w:r>
              <w:rPr>
                <w:rFonts w:hint="eastAsia" w:ascii="宋体" w:hAnsi="宋体" w:eastAsia="宋体"/>
                <w:sz w:val="21"/>
                <w:szCs w:val="21"/>
                <w:lang w:val="en-US" w:eastAsia="zh-CN"/>
              </w:rPr>
              <w:t>1</w:t>
            </w:r>
            <w:r>
              <w:rPr>
                <w:rFonts w:ascii="宋体" w:hAnsi="宋体" w:eastAsia="宋体"/>
                <w:sz w:val="21"/>
                <w:szCs w:val="21"/>
                <w:lang w:eastAsia="zh-CN"/>
              </w:rPr>
              <w:t>:</w:t>
            </w:r>
            <w:r>
              <w:rPr>
                <w:rFonts w:hint="eastAsia" w:ascii="宋体" w:hAnsi="宋体" w:eastAsia="宋体"/>
                <w:sz w:val="21"/>
                <w:szCs w:val="21"/>
                <w:lang w:val="en-US" w:eastAsia="zh-CN"/>
              </w:rPr>
              <w:t>15</w:t>
            </w:r>
            <w:r>
              <w:rPr>
                <w:rFonts w:hint="eastAsia" w:ascii="宋体" w:hAnsi="宋体" w:eastAsia="宋体"/>
                <w:sz w:val="21"/>
                <w:szCs w:val="21"/>
                <w:lang w:eastAsia="zh-CN"/>
              </w:rPr>
              <w:t>，高职222办公室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noWrap w:val="0"/>
            <w:vAlign w:val="center"/>
          </w:tcPr>
          <w:p>
            <w:pPr>
              <w:tabs>
                <w:tab w:val="left" w:pos="532"/>
              </w:tabs>
              <w:spacing w:line="340" w:lineRule="exact"/>
              <w:rPr>
                <w:rFonts w:ascii="宋体" w:hAnsi="宋体" w:eastAsia="宋体"/>
                <w:kern w:val="0"/>
                <w:sz w:val="21"/>
                <w:szCs w:val="21"/>
                <w:lang w:eastAsia="zh-CN"/>
              </w:rPr>
            </w:pPr>
            <w:r>
              <w:rPr>
                <w:rFonts w:hint="eastAsia" w:ascii="宋体" w:hAnsi="宋体" w:eastAsia="宋体"/>
                <w:color w:val="000000"/>
                <w:sz w:val="21"/>
                <w:szCs w:val="21"/>
                <w:lang w:eastAsia="zh-CN"/>
              </w:rPr>
              <w:t>《</w:t>
            </w:r>
            <w:r>
              <w:rPr>
                <w:rFonts w:hint="eastAsia" w:ascii="宋体" w:hAnsi="宋体" w:eastAsia="宋体"/>
                <w:color w:val="000000"/>
                <w:sz w:val="21"/>
                <w:szCs w:val="21"/>
              </w:rPr>
              <w:t>生物化学》第4版，</w:t>
            </w:r>
            <w:r>
              <w:rPr>
                <w:rFonts w:hint="eastAsia" w:ascii="宋体" w:hAnsi="宋体" w:eastAsia="宋体"/>
                <w:color w:val="000000"/>
                <w:sz w:val="21"/>
                <w:szCs w:val="21"/>
                <w:lang w:eastAsia="zh-CN"/>
              </w:rPr>
              <w:t>主编：</w:t>
            </w:r>
            <w:r>
              <w:rPr>
                <w:rFonts w:hint="eastAsia" w:ascii="宋体" w:hAnsi="宋体" w:eastAsia="宋体"/>
                <w:color w:val="000000"/>
                <w:sz w:val="21"/>
                <w:szCs w:val="21"/>
              </w:rPr>
              <w:t>高国全，人民卫生出版社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418" w:type="dxa"/>
            <w:noWrap w:val="0"/>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noWrap w:val="0"/>
            <w:vAlign w:val="center"/>
          </w:tcPr>
          <w:p>
            <w:pPr>
              <w:tabs>
                <w:tab w:val="left" w:pos="532"/>
              </w:tabs>
              <w:spacing w:line="340" w:lineRule="exact"/>
              <w:rPr>
                <w:rFonts w:ascii="宋体" w:hAnsi="宋体" w:eastAsia="宋体"/>
                <w:color w:val="000000"/>
                <w:sz w:val="21"/>
                <w:szCs w:val="21"/>
                <w:lang w:eastAsia="zh-CN"/>
              </w:rPr>
            </w:pPr>
            <w:r>
              <w:rPr>
                <w:rFonts w:hint="eastAsia" w:ascii="宋体" w:hAnsi="宋体" w:eastAsia="宋体"/>
                <w:color w:val="000000"/>
                <w:sz w:val="21"/>
                <w:szCs w:val="21"/>
              </w:rPr>
              <w:t>1.《生物化学（案例版）》第2版，</w:t>
            </w:r>
            <w:r>
              <w:rPr>
                <w:rFonts w:hint="eastAsia" w:ascii="宋体" w:hAnsi="宋体" w:eastAsia="宋体"/>
                <w:color w:val="000000"/>
                <w:sz w:val="21"/>
                <w:szCs w:val="21"/>
                <w:lang w:eastAsia="zh-CN"/>
              </w:rPr>
              <w:t>主编：</w:t>
            </w:r>
            <w:r>
              <w:rPr>
                <w:rFonts w:hint="eastAsia" w:ascii="宋体" w:hAnsi="宋体" w:eastAsia="宋体"/>
                <w:color w:val="000000"/>
                <w:sz w:val="21"/>
                <w:szCs w:val="21"/>
              </w:rPr>
              <w:t>周克元、罗德生，科学出版社；</w:t>
            </w:r>
          </w:p>
          <w:p>
            <w:pPr>
              <w:tabs>
                <w:tab w:val="left" w:pos="532"/>
              </w:tabs>
              <w:spacing w:line="340" w:lineRule="exact"/>
              <w:rPr>
                <w:rFonts w:ascii="宋体" w:hAnsi="宋体" w:eastAsia="宋体"/>
                <w:color w:val="000000"/>
                <w:sz w:val="21"/>
                <w:szCs w:val="21"/>
                <w:lang w:eastAsia="zh-CN"/>
              </w:rPr>
            </w:pPr>
            <w:r>
              <w:rPr>
                <w:rFonts w:hint="eastAsia" w:ascii="宋体" w:hAnsi="宋体" w:eastAsia="宋体"/>
                <w:color w:val="000000"/>
                <w:sz w:val="21"/>
                <w:szCs w:val="21"/>
                <w:lang w:eastAsia="zh-CN"/>
              </w:rPr>
              <w:t>2.《</w:t>
            </w:r>
            <w:r>
              <w:rPr>
                <w:rFonts w:hint="eastAsia" w:ascii="宋体" w:hAnsi="宋体" w:eastAsia="宋体"/>
                <w:color w:val="000000"/>
                <w:sz w:val="21"/>
                <w:szCs w:val="21"/>
              </w:rPr>
              <w:t>生物化学》第7版，</w:t>
            </w:r>
            <w:r>
              <w:rPr>
                <w:rFonts w:hint="eastAsia" w:ascii="宋体" w:hAnsi="宋体" w:eastAsia="宋体"/>
                <w:color w:val="000000"/>
                <w:sz w:val="21"/>
                <w:szCs w:val="21"/>
                <w:lang w:eastAsia="zh-CN"/>
              </w:rPr>
              <w:t>主编：</w:t>
            </w:r>
            <w:r>
              <w:rPr>
                <w:rFonts w:hint="eastAsia" w:ascii="宋体" w:hAnsi="宋体" w:eastAsia="宋体"/>
                <w:color w:val="000000"/>
                <w:sz w:val="21"/>
                <w:szCs w:val="21"/>
              </w:rPr>
              <w:t>周爱儒，人民卫生出版社；</w:t>
            </w:r>
          </w:p>
          <w:p>
            <w:pPr>
              <w:tabs>
                <w:tab w:val="left" w:pos="532"/>
              </w:tabs>
              <w:spacing w:line="340" w:lineRule="exact"/>
              <w:rPr>
                <w:rFonts w:ascii="宋体" w:hAnsi="宋体" w:eastAsia="宋体"/>
                <w:color w:val="000000"/>
                <w:sz w:val="21"/>
                <w:szCs w:val="21"/>
                <w:lang w:eastAsia="zh-CN"/>
              </w:rPr>
            </w:pPr>
            <w:r>
              <w:rPr>
                <w:rFonts w:hint="eastAsia" w:ascii="宋体" w:hAnsi="宋体" w:eastAsia="宋体"/>
                <w:color w:val="000000"/>
                <w:sz w:val="21"/>
                <w:szCs w:val="21"/>
                <w:lang w:eastAsia="zh-CN"/>
              </w:rPr>
              <w:t>3.《</w:t>
            </w:r>
            <w:r>
              <w:rPr>
                <w:rFonts w:hint="eastAsia" w:ascii="宋体" w:hAnsi="宋体" w:eastAsia="宋体"/>
                <w:color w:val="000000"/>
                <w:sz w:val="21"/>
                <w:szCs w:val="21"/>
              </w:rPr>
              <w:t>生物化学》第4版，</w:t>
            </w:r>
            <w:r>
              <w:rPr>
                <w:rFonts w:hint="eastAsia" w:ascii="宋体" w:hAnsi="宋体" w:eastAsia="宋体"/>
                <w:color w:val="000000"/>
                <w:sz w:val="21"/>
                <w:szCs w:val="21"/>
                <w:lang w:eastAsia="zh-CN"/>
              </w:rPr>
              <w:t>主编：</w:t>
            </w:r>
            <w:r>
              <w:rPr>
                <w:rFonts w:hint="eastAsia" w:ascii="宋体" w:hAnsi="宋体" w:eastAsia="宋体"/>
                <w:color w:val="000000"/>
                <w:sz w:val="21"/>
                <w:szCs w:val="21"/>
              </w:rPr>
              <w:t>李刚、马文丽，北京大学医学出版社；</w:t>
            </w:r>
          </w:p>
        </w:tc>
      </w:tr>
    </w:tbl>
    <w:p>
      <w:pPr>
        <w:snapToGrid w:val="0"/>
        <w:spacing w:line="340" w:lineRule="exact"/>
        <w:rPr>
          <w:rFonts w:ascii="Calibri" w:hAnsi="Calibri" w:eastAsia="宋体"/>
          <w:b/>
          <w:color w:val="000000"/>
          <w:szCs w:val="20"/>
          <w:lang w:eastAsia="zh-CN"/>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7"/>
        <w:tblW w:w="8789" w:type="dxa"/>
        <w:tblInd w:w="108" w:type="dxa"/>
        <w:tblLayout w:type="fixed"/>
        <w:tblCellMar>
          <w:top w:w="0" w:type="dxa"/>
          <w:left w:w="0" w:type="dxa"/>
          <w:bottom w:w="0" w:type="dxa"/>
          <w:right w:w="0" w:type="dxa"/>
        </w:tblCellMar>
      </w:tblPr>
      <w:tblGrid>
        <w:gridCol w:w="659"/>
        <w:gridCol w:w="3877"/>
        <w:gridCol w:w="1276"/>
        <w:gridCol w:w="2977"/>
      </w:tblGrid>
      <w:tr>
        <w:trPr>
          <w:trHeight w:val="528" w:hRule="atLeast"/>
        </w:trPr>
        <w:tc>
          <w:tcPr>
            <w:tcW w:w="659"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rPr>
          <w:trHeight w:val="90" w:hRule="atLeast"/>
        </w:trPr>
        <w:tc>
          <w:tcPr>
            <w:tcW w:w="659"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rPr>
                <w:rFonts w:ascii="宋体" w:hAnsi="宋体" w:eastAsia="宋体"/>
                <w:color w:val="000000"/>
                <w:sz w:val="21"/>
                <w:szCs w:val="21"/>
                <w:lang w:eastAsia="zh-CN"/>
              </w:rPr>
            </w:pPr>
            <w:r>
              <w:rPr>
                <w:rFonts w:hint="eastAsia" w:ascii="宋体" w:hAnsi="宋体" w:eastAsia="宋体"/>
                <w:color w:val="000000"/>
                <w:sz w:val="21"/>
                <w:szCs w:val="21"/>
                <w:lang w:eastAsia="zh-CN"/>
              </w:rPr>
              <w:t>生物化学绪论；</w:t>
            </w:r>
            <w:r>
              <w:rPr>
                <w:rFonts w:hint="eastAsia" w:ascii="宋体" w:hAnsi="宋体" w:eastAsia="宋体"/>
                <w:color w:val="000000"/>
                <w:sz w:val="21"/>
                <w:szCs w:val="21"/>
              </w:rPr>
              <w:t>蛋白质的结构与功能：组成蛋白质的氨基酸结构及分类；蛋白质一、二、三、四级结构；蛋白质结构与功能的关系；蛋白质的理化性质。</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2</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rPr>
                <w:rFonts w:ascii="宋体" w:hAnsi="宋体" w:eastAsia="宋体" w:cs="Arial"/>
                <w:kern w:val="0"/>
                <w:sz w:val="21"/>
                <w:szCs w:val="21"/>
                <w:lang w:eastAsia="zh-CN"/>
              </w:rPr>
            </w:pPr>
            <w:r>
              <w:rPr>
                <w:rFonts w:hint="eastAsia" w:ascii="宋体" w:hAnsi="宋体" w:eastAsia="宋体"/>
                <w:color w:val="000000"/>
                <w:sz w:val="21"/>
                <w:szCs w:val="21"/>
              </w:rPr>
              <w:t>核酸的结构与功能：核苷酸分子组成及结构；DNA、RNA组成的异同；核酸(DNA、RNA)的一级结构、连接键，DNA双螺旋结构模式的要点，tRNA、mRNA、rRNA的组成、结构特点；熔解温度、增色效应、DNA复性、核酸分子杂交的概念；原核生物DNA的超螺旋结构。</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tcBorders>
              <w:top w:val="single" w:color="000000" w:sz="8" w:space="0"/>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hint="eastAsia" w:ascii="宋体" w:hAnsi="宋体" w:eastAsia="宋体" w:cs="Arial"/>
                <w:kern w:val="0"/>
                <w:sz w:val="18"/>
                <w:szCs w:val="18"/>
                <w:lang w:val="en-US" w:eastAsia="zh-CN"/>
              </w:rPr>
              <w:t>3</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s="Arial"/>
                <w:kern w:val="0"/>
                <w:sz w:val="21"/>
                <w:szCs w:val="21"/>
                <w:lang w:eastAsia="zh-CN"/>
              </w:rPr>
            </w:pPr>
            <w:r>
              <w:rPr>
                <w:rFonts w:hint="eastAsia" w:ascii="宋体" w:hAnsi="宋体" w:eastAsia="宋体"/>
                <w:color w:val="000000"/>
                <w:sz w:val="21"/>
                <w:szCs w:val="21"/>
              </w:rPr>
              <w:t>维生素与微量元素：维生素、微量元素的概念；维生素的种类及其与疾病的联系，重要的微量元素及其与疾病的联系；维生素的生化作用，微量元素在机体的作用；维生素的化学本质、性质、分类与命名。</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restart"/>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4</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lang w:eastAsia="zh-CN"/>
              </w:rPr>
            </w:pPr>
            <w:r>
              <w:rPr>
                <w:rFonts w:hint="eastAsia" w:ascii="宋体" w:hAnsi="宋体" w:eastAsia="宋体"/>
                <w:color w:val="000000"/>
                <w:sz w:val="21"/>
                <w:szCs w:val="21"/>
                <w:lang w:eastAsia="zh-CN"/>
              </w:rPr>
              <w:t>酶：</w:t>
            </w:r>
            <w:r>
              <w:rPr>
                <w:rFonts w:hint="eastAsia" w:ascii="宋体" w:hAnsi="宋体" w:eastAsia="宋体"/>
                <w:color w:val="000000"/>
                <w:sz w:val="21"/>
                <w:szCs w:val="21"/>
              </w:rPr>
              <w:t>酶的概念，酶的化学本质与组成；酶促反应的动力学；酶与医学的关系；酶作用的机制，酶催化作用的特点；酶的发展、分类与命名。</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continue"/>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rPr>
                <w:rFonts w:hint="eastAsia" w:ascii="宋体" w:hAnsi="宋体" w:eastAsia="宋体" w:cs="宋体"/>
                <w:sz w:val="21"/>
                <w:szCs w:val="21"/>
              </w:rPr>
            </w:pPr>
            <w:r>
              <w:rPr>
                <w:rFonts w:hint="eastAsia" w:ascii="宋体" w:hAnsi="宋体" w:eastAsia="宋体" w:cs="宋体"/>
                <w:sz w:val="21"/>
                <w:szCs w:val="21"/>
              </w:rPr>
              <w:t>酶的特性：酶的性质的认识。</w:t>
            </w:r>
          </w:p>
          <w:p>
            <w:pPr>
              <w:widowControl/>
              <w:rPr>
                <w:rFonts w:ascii="宋体" w:hAnsi="宋体" w:eastAsia="宋体"/>
                <w:color w:val="000000"/>
                <w:sz w:val="21"/>
                <w:szCs w:val="21"/>
              </w:rPr>
            </w:pPr>
            <w:r>
              <w:rPr>
                <w:rFonts w:hint="eastAsia" w:ascii="宋体" w:hAnsi="宋体" w:eastAsia="宋体"/>
                <w:color w:val="000000"/>
                <w:sz w:val="21"/>
                <w:szCs w:val="21"/>
              </w:rPr>
              <w:t>DNA的生物合成： DNA复制体系的组成、半保留复制的特点及其意义；DNA复制的基本规律，DNA聚合酶的类型及功能特点；DNA复制的过程，原核DNA复制与真核DNA复制的主要区别；真核生物DNA端粒及端粒酶；非染色体DNA复制的其他形式，引起DNA损伤的主要因素及体内DNA修复的主要机制。</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实验</w:t>
            </w:r>
          </w:p>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实验报告</w:t>
            </w:r>
          </w:p>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hint="eastAsia"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5</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rPr>
            </w:pPr>
            <w:r>
              <w:rPr>
                <w:rFonts w:hint="eastAsia" w:ascii="宋体" w:hAnsi="宋体" w:eastAsia="宋体"/>
                <w:color w:val="000000"/>
                <w:sz w:val="21"/>
                <w:szCs w:val="21"/>
              </w:rPr>
              <w:t>RNA的生物合成：转录体系的主要成分、转录的基本过程、RNA转录后加工的主要方式和mRNA前体的加工特点；tRNA和</w:t>
            </w:r>
          </w:p>
          <w:p>
            <w:pPr>
              <w:snapToGrid w:val="0"/>
              <w:spacing w:line="288" w:lineRule="auto"/>
              <w:rPr>
                <w:rFonts w:ascii="宋体" w:hAnsi="宋体" w:eastAsia="宋体" w:cs="Arial"/>
                <w:kern w:val="0"/>
                <w:sz w:val="21"/>
                <w:szCs w:val="21"/>
                <w:lang w:eastAsia="zh-CN"/>
              </w:rPr>
            </w:pPr>
            <w:r>
              <w:rPr>
                <w:rFonts w:hint="eastAsia" w:ascii="宋体" w:hAnsi="宋体" w:eastAsia="宋体"/>
                <w:color w:val="000000"/>
                <w:sz w:val="21"/>
                <w:szCs w:val="21"/>
              </w:rPr>
              <w:t>rRNA前体加工的主要方式；RNA的复制。</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90" w:hRule="atLeast"/>
        </w:trPr>
        <w:tc>
          <w:tcPr>
            <w:tcW w:w="659" w:type="dxa"/>
            <w:vMerge w:val="restart"/>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6</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lang w:eastAsia="zh-CN"/>
              </w:rPr>
            </w:pPr>
            <w:r>
              <w:rPr>
                <w:rFonts w:hint="eastAsia" w:ascii="宋体" w:hAnsi="宋体" w:eastAsia="宋体"/>
                <w:color w:val="000000"/>
                <w:sz w:val="21"/>
                <w:szCs w:val="21"/>
              </w:rPr>
              <w:t>蛋白质的生物合成：翻译的概念；参与蛋白质生物合成的各种物质(氨基酸、mRNA、核糖体、tRNA、有关的酶与蛋白质因子)及其在蛋白质生物合成中的作用；遗传密码的概念及特点，核糖体循环的概念及步骤</w:t>
            </w:r>
            <w:r>
              <w:rPr>
                <w:rFonts w:hint="eastAsia" w:ascii="宋体" w:hAnsi="宋体" w:eastAsia="宋体"/>
                <w:color w:val="000000"/>
                <w:sz w:val="21"/>
                <w:szCs w:val="21"/>
                <w:lang w:eastAsia="zh-CN"/>
              </w:rPr>
              <w:t>；</w:t>
            </w:r>
            <w:r>
              <w:rPr>
                <w:rFonts w:hint="eastAsia" w:ascii="宋体" w:hAnsi="宋体" w:eastAsia="宋体"/>
                <w:color w:val="000000"/>
                <w:sz w:val="21"/>
                <w:szCs w:val="21"/>
              </w:rPr>
              <w:t>肽链的生物合成过程，SD序列、分子伴侣、信号序列的概念，蛋白质生物合成后修饰加工方式，蛋白质生物合成的干扰和抑制</w:t>
            </w:r>
            <w:r>
              <w:rPr>
                <w:rFonts w:hint="eastAsia" w:ascii="宋体" w:hAnsi="宋体" w:eastAsia="宋体"/>
                <w:color w:val="000000"/>
                <w:sz w:val="21"/>
                <w:szCs w:val="21"/>
                <w:lang w:eastAsia="zh-CN"/>
              </w:rPr>
              <w:t>；</w:t>
            </w:r>
            <w:r>
              <w:rPr>
                <w:rFonts w:hint="eastAsia" w:ascii="宋体" w:hAnsi="宋体" w:eastAsia="宋体"/>
                <w:color w:val="000000"/>
                <w:sz w:val="21"/>
                <w:szCs w:val="21"/>
              </w:rPr>
              <w:t>蛋白质合成后的靶向分送。</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continue"/>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rPr>
            </w:pPr>
            <w:r>
              <w:rPr>
                <w:rFonts w:hint="eastAsia" w:ascii="宋体" w:hAnsi="宋体" w:eastAsia="宋体"/>
                <w:color w:val="000000"/>
                <w:sz w:val="21"/>
                <w:szCs w:val="21"/>
              </w:rPr>
              <w:t>基因表达调控：基因表达的概念、规律和方式；基因表达调控的意义及特点；原核基因表达调控基本原理及乳糖操纵子的调节机制和真核基因在转录水平的表达调控机制；真核基因表达调控的特点；色氨酸操纵子的调节机制和真核基因在转录后、翻译及翻译后环节的表达调控特点。</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restart"/>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7</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lang w:eastAsia="zh-CN"/>
              </w:rPr>
            </w:pPr>
            <w:r>
              <w:rPr>
                <w:rFonts w:hint="eastAsia" w:ascii="宋体" w:hAnsi="宋体" w:eastAsia="宋体"/>
                <w:color w:val="000000"/>
                <w:sz w:val="21"/>
                <w:szCs w:val="21"/>
              </w:rPr>
              <w:t>基因重组与分子生物学技术：DNA克隆、基因工程、目的基因、基因载体的概念；DNA克隆(基因工程)的一般步骤；工具酶及限制性内切核酸酶的概念、作用特点；重组DNA技术在疾病基因的发现、生物制药、转基因、基因沉默、基因诊断、基因治疗及遗传病预防中的应用。</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hint="eastAsia"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continue"/>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rPr>
            </w:pPr>
            <w:r>
              <w:rPr>
                <w:rFonts w:hint="eastAsia" w:ascii="宋体" w:hAnsi="宋体" w:eastAsia="宋体"/>
                <w:color w:val="000000"/>
                <w:sz w:val="21"/>
                <w:szCs w:val="21"/>
              </w:rPr>
              <w:t>糖代谢：葡萄糖的无氧分解、有氧氧化和磷酸戊糖途径的基本过程、代谢调节及生理意义；糖原合成与分解、糖异生</w:t>
            </w:r>
            <w:r>
              <w:rPr>
                <w:rFonts w:hint="eastAsia" w:ascii="宋体" w:hAnsi="宋体" w:eastAsia="宋体"/>
                <w:color w:val="000000"/>
                <w:sz w:val="18"/>
                <w:szCs w:val="18"/>
                <w:lang w:val="en-US" w:eastAsia="zh-CN"/>
              </w:rPr>
              <w:t>8</w:t>
            </w:r>
            <w:r>
              <w:rPr>
                <w:rFonts w:hint="eastAsia" w:ascii="宋体" w:hAnsi="宋体" w:eastAsia="宋体"/>
                <w:color w:val="000000"/>
                <w:sz w:val="21"/>
                <w:szCs w:val="21"/>
              </w:rPr>
              <w:t>和</w:t>
            </w:r>
          </w:p>
          <w:p>
            <w:pPr>
              <w:widowControl/>
              <w:rPr>
                <w:rFonts w:ascii="宋体" w:hAnsi="宋体" w:eastAsia="宋体"/>
                <w:color w:val="000000"/>
                <w:sz w:val="21"/>
                <w:szCs w:val="21"/>
              </w:rPr>
            </w:pPr>
            <w:r>
              <w:rPr>
                <w:rFonts w:hint="eastAsia" w:ascii="宋体" w:hAnsi="宋体" w:eastAsia="宋体"/>
                <w:color w:val="000000"/>
                <w:sz w:val="21"/>
                <w:szCs w:val="21"/>
              </w:rPr>
              <w:t>乳酸循环的基本过程以及代谢调节的基本原理、血糖的来源和去路；血糖以及血糖水平的调节方式。</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vMerge w:val="restart"/>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8</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rPr>
                <w:rFonts w:ascii="宋体" w:hAnsi="宋体" w:eastAsia="宋体" w:cs="Arial"/>
                <w:kern w:val="0"/>
                <w:sz w:val="21"/>
                <w:szCs w:val="21"/>
                <w:lang w:eastAsia="zh-CN"/>
              </w:rPr>
            </w:pPr>
            <w:r>
              <w:rPr>
                <w:rFonts w:hint="eastAsia" w:ascii="宋体" w:hAnsi="宋体" w:eastAsia="宋体" w:cs="宋体"/>
                <w:sz w:val="21"/>
                <w:szCs w:val="21"/>
              </w:rPr>
              <w:t>糖类的性质实验：</w:t>
            </w:r>
            <w:r>
              <w:rPr>
                <w:rFonts w:hint="eastAsia" w:ascii="宋体" w:hAnsi="宋体" w:eastAsia="宋体" w:cs="宋体"/>
                <w:sz w:val="21"/>
                <w:szCs w:val="21"/>
                <w:lang w:val="zh-CN"/>
              </w:rPr>
              <w:t>糖类颜色反应；应用糖的颜色反应鉴别糖的种类；常用的鉴定糖类还原性的方法。</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实验</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实验报告</w:t>
            </w:r>
          </w:p>
        </w:tc>
      </w:tr>
      <w:tr>
        <w:trPr>
          <w:trHeight w:val="528" w:hRule="atLeast"/>
        </w:trPr>
        <w:tc>
          <w:tcPr>
            <w:tcW w:w="659" w:type="dxa"/>
            <w:vMerge w:val="continue"/>
            <w:tcBorders>
              <w:left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olor w:val="000000"/>
                <w:sz w:val="21"/>
                <w:szCs w:val="21"/>
              </w:rPr>
            </w:pPr>
            <w:r>
              <w:rPr>
                <w:rFonts w:hint="eastAsia" w:ascii="宋体" w:hAnsi="宋体" w:eastAsia="宋体"/>
                <w:color w:val="000000"/>
                <w:sz w:val="21"/>
                <w:szCs w:val="21"/>
              </w:rPr>
              <w:t>脂类代谢：脂肪的动员，脂肪酸β-氧化，酮体的生成、利用及其调节，甘油磷脂的合成及降解，胆固醇合成的限速反应及调节，各类脂蛋白来源、组成特点及主要生理功能；脂类的消化吸收，脂肪的合成及其调节；必需脂肪酸的生理功能和胆固醇的转化。</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top"/>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讲课</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r>
              <w:rPr>
                <w:rFonts w:hint="eastAsia" w:ascii="宋体" w:hAnsi="宋体" w:eastAsia="宋体" w:cs="Arial"/>
                <w:kern w:val="0"/>
                <w:sz w:val="21"/>
                <w:szCs w:val="21"/>
                <w:lang w:eastAsia="zh-CN"/>
              </w:rPr>
              <w:t>课前预习</w:t>
            </w:r>
          </w:p>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课后复习题</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38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snapToGrid w:val="0"/>
              <w:spacing w:line="288" w:lineRule="auto"/>
              <w:rPr>
                <w:rFonts w:ascii="宋体" w:hAnsi="宋体" w:eastAsia="宋体" w:cs="Arial"/>
                <w:kern w:val="0"/>
                <w:sz w:val="21"/>
                <w:szCs w:val="21"/>
                <w:lang w:eastAsia="zh-CN"/>
              </w:rPr>
            </w:pPr>
            <w:r>
              <w:rPr>
                <w:rFonts w:hint="eastAsia" w:ascii="宋体" w:hAnsi="宋体" w:eastAsia="宋体"/>
                <w:kern w:val="0"/>
                <w:sz w:val="21"/>
                <w:szCs w:val="21"/>
                <w:lang w:eastAsia="zh-CN"/>
              </w:rPr>
              <w:t>考试周</w:t>
            </w:r>
          </w:p>
        </w:tc>
        <w:tc>
          <w:tcPr>
            <w:tcW w:w="1276"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r>
              <w:rPr>
                <w:rFonts w:hint="eastAsia" w:ascii="宋体" w:hAnsi="宋体" w:eastAsia="宋体"/>
                <w:kern w:val="0"/>
                <w:sz w:val="21"/>
                <w:szCs w:val="21"/>
                <w:lang w:eastAsia="zh-CN"/>
              </w:rPr>
              <w:t>考试</w:t>
            </w:r>
          </w:p>
        </w:tc>
        <w:tc>
          <w:tcPr>
            <w:tcW w:w="2977" w:type="dxa"/>
            <w:tcBorders>
              <w:top w:val="single" w:color="000000" w:sz="8" w:space="0"/>
              <w:left w:val="single" w:color="000000" w:sz="8" w:space="0"/>
              <w:bottom w:val="single" w:color="000000" w:sz="8" w:space="0"/>
              <w:right w:val="single" w:color="000000" w:sz="8" w:space="0"/>
            </w:tcBorders>
            <w:noWrap w:val="0"/>
            <w:tcMar>
              <w:top w:w="15" w:type="dxa"/>
              <w:left w:w="108" w:type="dxa"/>
              <w:bottom w:w="0" w:type="dxa"/>
              <w:right w:w="108" w:type="dxa"/>
            </w:tcMar>
            <w:vAlign w:val="center"/>
          </w:tcPr>
          <w:p>
            <w:pPr>
              <w:widowControl/>
              <w:jc w:val="center"/>
              <w:rPr>
                <w:rFonts w:ascii="宋体" w:hAnsi="宋体" w:eastAsia="宋体" w:cs="Arial"/>
                <w:kern w:val="0"/>
                <w:sz w:val="21"/>
                <w:szCs w:val="21"/>
                <w:lang w:eastAsia="zh-CN"/>
              </w:rPr>
            </w:pPr>
          </w:p>
        </w:tc>
      </w:tr>
    </w:tbl>
    <w:p>
      <w:pPr>
        <w:snapToGrid w:val="0"/>
        <w:jc w:val="both"/>
        <w:rPr>
          <w:rFonts w:ascii="仿宋" w:hAnsi="仿宋" w:eastAsia="仿宋"/>
          <w:b/>
          <w:color w:val="000000"/>
          <w:sz w:val="28"/>
          <w:szCs w:val="28"/>
          <w:lang w:eastAsia="zh-CN"/>
        </w:rPr>
      </w:pPr>
    </w:p>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7"/>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180" w:beforeLines="50" w:after="18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noWrap w:val="0"/>
            <w:vAlign w:val="top"/>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2127" w:type="dxa"/>
            <w:noWrap w:val="0"/>
            <w:vAlign w:val="top"/>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180" w:beforeLines="50" w:after="180" w:afterLines="50"/>
              <w:jc w:val="center"/>
              <w:rPr>
                <w:rFonts w:ascii="宋体" w:hAnsi="宋体"/>
                <w:bCs/>
                <w:color w:val="000000"/>
                <w:sz w:val="21"/>
                <w:szCs w:val="21"/>
              </w:rPr>
            </w:pPr>
            <w:r>
              <w:rPr>
                <w:rFonts w:ascii="宋体" w:hAnsi="宋体"/>
                <w:bCs/>
                <w:color w:val="000000"/>
                <w:sz w:val="21"/>
                <w:szCs w:val="21"/>
              </w:rPr>
              <w:t>1</w:t>
            </w:r>
          </w:p>
        </w:tc>
        <w:tc>
          <w:tcPr>
            <w:tcW w:w="5103" w:type="dxa"/>
            <w:noWrap w:val="0"/>
            <w:vAlign w:val="top"/>
          </w:tcPr>
          <w:p>
            <w:pPr>
              <w:spacing w:line="288" w:lineRule="auto"/>
              <w:ind w:firstLine="420" w:firstLineChars="200"/>
              <w:jc w:val="center"/>
              <w:rPr>
                <w:rFonts w:ascii="宋体" w:hAnsi="宋体"/>
                <w:bCs/>
                <w:color w:val="000000"/>
                <w:sz w:val="21"/>
                <w:szCs w:val="21"/>
              </w:rPr>
            </w:pPr>
            <w:r>
              <w:rPr>
                <w:rFonts w:hint="eastAsia" w:ascii="宋体" w:hAnsi="宋体" w:eastAsia="宋体" w:cs="宋体"/>
                <w:bCs/>
                <w:color w:val="000000"/>
                <w:sz w:val="21"/>
                <w:szCs w:val="21"/>
              </w:rPr>
              <w:t>期末闭卷考试</w:t>
            </w:r>
          </w:p>
        </w:tc>
        <w:tc>
          <w:tcPr>
            <w:tcW w:w="2127" w:type="dxa"/>
            <w:noWrap w:val="0"/>
            <w:vAlign w:val="top"/>
          </w:tcPr>
          <w:p>
            <w:pPr>
              <w:snapToGrid w:val="0"/>
              <w:spacing w:before="180" w:beforeLines="50" w:after="180" w:afterLines="50"/>
              <w:jc w:val="center"/>
              <w:rPr>
                <w:rFonts w:ascii="宋体" w:hAnsi="宋体"/>
                <w:bCs/>
                <w:color w:val="000000"/>
                <w:sz w:val="21"/>
                <w:szCs w:val="21"/>
              </w:rPr>
            </w:pPr>
            <w:r>
              <w:rPr>
                <w:rFonts w:ascii="宋体" w:hAnsi="宋体"/>
                <w:bCs/>
                <w:color w:val="00000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cs="宋体"/>
                <w:bCs/>
                <w:color w:val="000000"/>
                <w:sz w:val="21"/>
                <w:szCs w:val="21"/>
              </w:rPr>
              <w:t>X1</w:t>
            </w:r>
          </w:p>
        </w:tc>
        <w:tc>
          <w:tcPr>
            <w:tcW w:w="5103"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bCs/>
                <w:color w:val="000000"/>
                <w:sz w:val="21"/>
                <w:szCs w:val="21"/>
              </w:rPr>
              <w:t>实验报告</w:t>
            </w:r>
          </w:p>
        </w:tc>
        <w:tc>
          <w:tcPr>
            <w:tcW w:w="2127"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bCs/>
                <w:color w:val="000000"/>
                <w:sz w:val="21"/>
                <w:szCs w:val="21"/>
                <w:lang w:val="en-US" w:eastAsia="zh-CN"/>
              </w:rPr>
              <w:t>15</w:t>
            </w:r>
            <w:r>
              <w:rPr>
                <w:rFonts w:ascii="宋体" w:hAnsi="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cs="宋体"/>
                <w:bCs/>
                <w:color w:val="000000"/>
                <w:sz w:val="21"/>
                <w:szCs w:val="21"/>
              </w:rPr>
              <w:t>X2</w:t>
            </w:r>
          </w:p>
        </w:tc>
        <w:tc>
          <w:tcPr>
            <w:tcW w:w="5103"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cs="宋体"/>
                <w:bCs/>
                <w:color w:val="000000"/>
                <w:sz w:val="21"/>
                <w:szCs w:val="21"/>
                <w:lang w:eastAsia="zh-CN"/>
              </w:rPr>
              <w:t>课堂</w:t>
            </w:r>
            <w:r>
              <w:rPr>
                <w:rFonts w:hint="eastAsia" w:ascii="宋体" w:hAnsi="宋体" w:eastAsia="宋体" w:cs="宋体"/>
                <w:bCs/>
                <w:color w:val="000000"/>
                <w:sz w:val="21"/>
                <w:szCs w:val="21"/>
              </w:rPr>
              <w:t>测验</w:t>
            </w:r>
          </w:p>
        </w:tc>
        <w:tc>
          <w:tcPr>
            <w:tcW w:w="2127" w:type="dxa"/>
            <w:noWrap w:val="0"/>
            <w:vAlign w:val="top"/>
          </w:tcPr>
          <w:p>
            <w:pPr>
              <w:snapToGrid w:val="0"/>
              <w:spacing w:before="180" w:beforeLines="50" w:after="180" w:afterLines="50"/>
              <w:jc w:val="center"/>
              <w:rPr>
                <w:rFonts w:ascii="宋体" w:hAnsi="宋体"/>
                <w:bCs/>
                <w:color w:val="000000"/>
                <w:sz w:val="21"/>
                <w:szCs w:val="21"/>
              </w:rPr>
            </w:pPr>
            <w:r>
              <w:rPr>
                <w:rFonts w:ascii="宋体" w:hAnsi="宋体"/>
                <w:bCs/>
                <w:color w:val="000000"/>
                <w:sz w:val="21"/>
                <w:szCs w:val="21"/>
              </w:rPr>
              <w:t>2</w:t>
            </w:r>
            <w:r>
              <w:rPr>
                <w:rFonts w:hint="eastAsia" w:ascii="宋体" w:hAnsi="宋体" w:eastAsia="宋体"/>
                <w:bCs/>
                <w:color w:val="000000"/>
                <w:sz w:val="21"/>
                <w:szCs w:val="21"/>
                <w:lang w:val="en-US" w:eastAsia="zh-CN"/>
              </w:rPr>
              <w:t>5</w:t>
            </w:r>
            <w:r>
              <w:rPr>
                <w:rFonts w:ascii="宋体" w:hAnsi="宋体"/>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noWrap w:val="0"/>
            <w:vAlign w:val="top"/>
          </w:tcPr>
          <w:p>
            <w:pPr>
              <w:snapToGrid w:val="0"/>
              <w:spacing w:before="180" w:beforeLines="50" w:after="180" w:afterLines="50"/>
              <w:jc w:val="center"/>
              <w:rPr>
                <w:rFonts w:ascii="宋体" w:hAnsi="宋体"/>
                <w:bCs/>
                <w:color w:val="000000"/>
                <w:sz w:val="21"/>
                <w:szCs w:val="21"/>
              </w:rPr>
            </w:pPr>
            <w:r>
              <w:rPr>
                <w:rFonts w:hint="eastAsia" w:ascii="宋体" w:hAnsi="宋体" w:eastAsia="宋体" w:cs="宋体"/>
                <w:bCs/>
                <w:color w:val="000000"/>
                <w:sz w:val="21"/>
                <w:szCs w:val="21"/>
              </w:rPr>
              <w:t>X3</w:t>
            </w:r>
          </w:p>
        </w:tc>
        <w:tc>
          <w:tcPr>
            <w:tcW w:w="5103" w:type="dxa"/>
            <w:noWrap w:val="0"/>
            <w:vAlign w:val="top"/>
          </w:tcPr>
          <w:p>
            <w:pPr>
              <w:snapToGrid w:val="0"/>
              <w:spacing w:before="180" w:beforeLines="50" w:after="180" w:afterLines="50"/>
              <w:jc w:val="center"/>
              <w:rPr>
                <w:rFonts w:ascii="宋体" w:hAnsi="宋体"/>
                <w:bCs/>
                <w:color w:val="000000"/>
                <w:sz w:val="21"/>
                <w:szCs w:val="21"/>
                <w:lang w:eastAsia="zh-CN"/>
              </w:rPr>
            </w:pPr>
            <w:r>
              <w:rPr>
                <w:rFonts w:hint="eastAsia" w:ascii="宋体" w:hAnsi="宋体" w:eastAsia="宋体"/>
                <w:bCs/>
                <w:color w:val="000000"/>
                <w:sz w:val="21"/>
                <w:szCs w:val="21"/>
                <w:lang w:eastAsia="zh-CN"/>
              </w:rPr>
              <w:t>课堂表现</w:t>
            </w:r>
          </w:p>
        </w:tc>
        <w:tc>
          <w:tcPr>
            <w:tcW w:w="2127" w:type="dxa"/>
            <w:noWrap w:val="0"/>
            <w:vAlign w:val="top"/>
          </w:tcPr>
          <w:p>
            <w:pPr>
              <w:snapToGrid w:val="0"/>
              <w:spacing w:before="180" w:beforeLines="50" w:after="180" w:afterLines="50"/>
              <w:jc w:val="center"/>
              <w:rPr>
                <w:rFonts w:ascii="宋体" w:hAnsi="宋体"/>
                <w:bCs/>
                <w:color w:val="000000"/>
                <w:sz w:val="21"/>
                <w:szCs w:val="21"/>
              </w:rPr>
            </w:pPr>
            <w:r>
              <w:rPr>
                <w:rFonts w:ascii="宋体" w:hAnsi="宋体"/>
                <w:bCs/>
                <w:color w:val="000000"/>
                <w:sz w:val="21"/>
                <w:szCs w:val="21"/>
              </w:rPr>
              <w:t>10%</w:t>
            </w:r>
          </w:p>
        </w:tc>
      </w:tr>
    </w:tbl>
    <w:p>
      <w:pPr>
        <w:tabs>
          <w:tab w:val="left" w:pos="3210"/>
          <w:tab w:val="left" w:pos="7560"/>
        </w:tabs>
        <w:spacing w:before="72" w:beforeLines="20" w:line="360" w:lineRule="auto"/>
        <w:jc w:val="both"/>
        <w:outlineLvl w:val="0"/>
        <w:rPr>
          <w:rFonts w:ascii="仿宋" w:hAnsi="仿宋" w:eastAsia="仿宋"/>
          <w:sz w:val="28"/>
          <w:szCs w:val="28"/>
          <w:lang w:eastAsia="zh-CN"/>
        </w:rPr>
      </w:pPr>
      <w:bookmarkStart w:id="0" w:name="_GoBack"/>
      <w:bookmarkEnd w:id="0"/>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t>彭</w:t>
      </w:r>
      <w:r>
        <w:rPr>
          <w:rFonts w:hint="eastAsia" w:ascii="仿宋" w:hAnsi="仿宋" w:eastAsia="仿宋"/>
          <w:color w:val="000000"/>
          <w:position w:val="-20"/>
          <w:sz w:val="28"/>
          <w:szCs w:val="28"/>
          <w:lang w:val="en-US" w:eastAsia="zh-CN"/>
        </w:rPr>
        <w:t xml:space="preserve"> 伟</w:t>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w:t>
      </w:r>
      <w:r>
        <w:rPr>
          <w:sz w:val="28"/>
          <w:szCs w:val="28"/>
        </w:rPr>
        <w:drawing>
          <wp:inline distT="0" distB="0" distL="114300" distR="114300">
            <wp:extent cx="718185" cy="309245"/>
            <wp:effectExtent l="0" t="0" r="18415" b="20955"/>
            <wp:docPr id="4" name="图片 4"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海英"/>
                    <pic:cNvPicPr>
                      <a:picLocks noChangeAspect="1"/>
                    </pic:cNvPicPr>
                  </pic:nvPicPr>
                  <pic:blipFill>
                    <a:blip r:embed="rId8"/>
                    <a:stretch>
                      <a:fillRect/>
                    </a:stretch>
                  </pic:blipFill>
                  <pic:spPr>
                    <a:xfrm>
                      <a:off x="0" y="0"/>
                      <a:ext cx="718185" cy="309245"/>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 xml:space="preserve"> 日期：</w:t>
      </w:r>
      <w:r>
        <w:rPr>
          <w:rFonts w:hint="default" w:ascii="仿宋" w:hAnsi="仿宋" w:eastAsia="仿宋"/>
          <w:color w:val="000000"/>
          <w:position w:val="-20"/>
          <w:sz w:val="28"/>
          <w:szCs w:val="28"/>
        </w:rPr>
        <w:t>2022</w:t>
      </w:r>
      <w:r>
        <w:rPr>
          <w:rFonts w:hint="eastAsia" w:ascii="仿宋" w:hAnsi="仿宋" w:eastAsia="仿宋"/>
          <w:color w:val="000000"/>
          <w:position w:val="-20"/>
          <w:sz w:val="28"/>
          <w:szCs w:val="28"/>
          <w:lang w:val="en-US" w:eastAsia="zh-Hans"/>
        </w:rPr>
        <w:t>年</w:t>
      </w:r>
      <w:r>
        <w:rPr>
          <w:rFonts w:hint="default" w:ascii="仿宋" w:hAnsi="仿宋" w:eastAsia="仿宋"/>
          <w:color w:val="000000"/>
          <w:position w:val="-20"/>
          <w:sz w:val="28"/>
          <w:szCs w:val="28"/>
          <w:lang w:eastAsia="zh-Hans"/>
        </w:rPr>
        <w:t>9</w:t>
      </w:r>
      <w:r>
        <w:rPr>
          <w:rFonts w:hint="eastAsia" w:ascii="仿宋" w:hAnsi="仿宋" w:eastAsia="仿宋"/>
          <w:color w:val="000000"/>
          <w:position w:val="-20"/>
          <w:sz w:val="28"/>
          <w:szCs w:val="28"/>
          <w:lang w:val="en-US" w:eastAsia="zh-Hans"/>
        </w:rPr>
        <w:t>月</w:t>
      </w:r>
      <w:r>
        <w:rPr>
          <w:rFonts w:hint="default" w:ascii="仿宋" w:hAnsi="仿宋" w:eastAsia="仿宋"/>
          <w:color w:val="000000"/>
          <w:position w:val="-20"/>
          <w:sz w:val="28"/>
          <w:szCs w:val="28"/>
          <w:lang w:eastAsia="zh-Hans"/>
        </w:rPr>
        <w:t>16</w:t>
      </w:r>
      <w:r>
        <w:rPr>
          <w:rFonts w:hint="eastAsia" w:ascii="仿宋" w:hAnsi="仿宋" w:eastAsia="仿宋"/>
          <w:color w:val="000000"/>
          <w:position w:val="-20"/>
          <w:sz w:val="28"/>
          <w:szCs w:val="28"/>
          <w:lang w:val="en-US" w:eastAsia="zh-Hans"/>
        </w:rPr>
        <w:t>日</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PMingLiU">
    <w:altName w:val="宋体-繁"/>
    <w:panose1 w:val="02020500000000000000"/>
    <w:charset w:val="88"/>
    <w:family w:val="auto"/>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Segoe Print">
    <w:altName w:val="苹方-简"/>
    <w:panose1 w:val="02000600000000000000"/>
    <w:charset w:val="00"/>
    <w:family w:val="auto"/>
    <w:pitch w:val="default"/>
    <w:sig w:usb0="00000000" w:usb1="00000000" w:usb2="00000000" w:usb3="00000000" w:csb0="2000009F" w:csb1="47010000"/>
  </w:font>
  <w:font w:name="DotumChe">
    <w:altName w:val="Apple SD Gothic Neo"/>
    <w:panose1 w:val="020B0609000101010101"/>
    <w:charset w:val="81"/>
    <w:family w:val="modern"/>
    <w:pitch w:val="default"/>
    <w:sig w:usb0="00000000" w:usb1="00000000" w:usb2="00000030" w:usb3="00000000" w:csb0="4008009F" w:csb1="DFD70000"/>
  </w:font>
  <w:font w:name="華康粗圓體">
    <w:altName w:val="苹方-简"/>
    <w:panose1 w:val="00000000000000000000"/>
    <w:charset w:val="88"/>
    <w:family w:val="modern"/>
    <w:pitch w:val="default"/>
    <w:sig w:usb0="00000000" w:usb1="00000000" w:usb2="00000016" w:usb3="00000000" w:csb0="00100000" w:csb1="00000000"/>
  </w:font>
  <w:font w:name="Microsoft JhengHei">
    <w:altName w:val="汉仪中简黑简"/>
    <w:panose1 w:val="020B0604030504040204"/>
    <w:charset w:val="88"/>
    <w:family w:val="auto"/>
    <w:pitch w:val="default"/>
    <w:sig w:usb0="00000000" w:usb1="00000000" w:usb2="00000016" w:usb3="00000000" w:csb0="00100009"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宋体-繁">
    <w:panose1 w:val="02010600040101010101"/>
    <w:charset w:val="86"/>
    <w:family w:val="auto"/>
    <w:pitch w:val="default"/>
    <w:sig w:usb0="00000287" w:usb1="080F0000" w:usb2="00000000" w:usb3="00000000" w:csb0="0004009F" w:csb1="DFD70000"/>
  </w:font>
  <w:font w:name="方正小标宋简体">
    <w:altName w:val="汉仪书宋二KW"/>
    <w:panose1 w:val="00000000000000000000"/>
    <w:charset w:val="86"/>
    <w:family w:val="script"/>
    <w:pitch w:val="default"/>
    <w:sig w:usb0="00000000" w:usb1="00000000" w:usb2="00000010" w:usb3="00000000" w:csb0="00040000"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5"/>
        <w:rFonts w:ascii="ITC Bookman Demi" w:hAnsi="ITC Bookman Demi"/>
        <w:color w:val="FFFFFF"/>
        <w:sz w:val="26"/>
        <w:szCs w:val="26"/>
      </w:rPr>
    </w:pPr>
    <w:r>
      <w:rPr>
        <w:rStyle w:val="5"/>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5"/>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5"/>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5"/>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5"/>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5"/>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5"/>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114300" distR="114300">
          <wp:extent cx="6619875" cy="247650"/>
          <wp:effectExtent l="0" t="0" r="9525" b="0"/>
          <wp:docPr id="2"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底線"/>
                  <pic:cNvPicPr>
                    <a:picLocks noChangeAspect="1"/>
                  </pic:cNvPicPr>
                </pic:nvPicPr>
                <pic:blipFill>
                  <a:blip r:embed="rId1"/>
                  <a:stretch>
                    <a:fillRect/>
                  </a:stretch>
                </pic:blipFill>
                <pic:spPr>
                  <a:xfrm>
                    <a:off x="0" y="0"/>
                    <a:ext cx="6619875" cy="24765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Xkipv0wAA&#10;AAkBAAAPAAAAAAAAAAEAIAAAADgAAABkcnMvZG93bnJldi54bWxQSwECFAAUAAAACACHTuJAdjaQ&#10;4kYCAABZBAAADgAAAAAAAAABACAAAAA4AQAAZHJzL2Uyb0RvYy54bWxQSwUGAAAAAAYABgBZAQAA&#10;8AU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-26670</wp:posOffset>
          </wp:positionH>
          <wp:positionV relativeFrom="paragraph">
            <wp:posOffset>-32385</wp:posOffset>
          </wp:positionV>
          <wp:extent cx="6668135" cy="365760"/>
          <wp:effectExtent l="0" t="0" r="18415" b="15240"/>
          <wp:wrapTight wrapText="bothSides">
            <wp:wrapPolygon>
              <wp:start x="-62" y="0"/>
              <wp:lineTo x="-62" y="20250"/>
              <wp:lineTo x="21598" y="20250"/>
              <wp:lineTo x="21598" y="0"/>
              <wp:lineTo x="-62" y="0"/>
            </wp:wrapPolygon>
          </wp:wrapTight>
          <wp:docPr id="1"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ntitled"/>
                  <pic:cNvPicPr>
                    <a:picLocks noChangeAspect="1"/>
                  </pic:cNvPicPr>
                </pic:nvPicPr>
                <pic:blipFill>
                  <a:blip r:embed="rId1"/>
                  <a:srcRect b="79587"/>
                  <a:stretch>
                    <a:fillRect/>
                  </a:stretch>
                </pic:blipFill>
                <pic:spPr>
                  <a:xfrm>
                    <a:off x="0" y="0"/>
                    <a:ext cx="6668135" cy="3657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80"/>
  <w:hyphenationZone w:val="360"/>
  <w:drawingGridHorizontalSpacing w:val="1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WFlNWI5ZTM2OGUyN2YzNTU1OWU4OGM4NzU4YWQifQ=="/>
  </w:docVars>
  <w:rsids>
    <w:rsidRoot w:val="00475657"/>
    <w:rsid w:val="00001A9A"/>
    <w:rsid w:val="000138B2"/>
    <w:rsid w:val="000369D9"/>
    <w:rsid w:val="00040BAC"/>
    <w:rsid w:val="000439B6"/>
    <w:rsid w:val="000457BB"/>
    <w:rsid w:val="00045AE0"/>
    <w:rsid w:val="000509DC"/>
    <w:rsid w:val="0005291A"/>
    <w:rsid w:val="00054B07"/>
    <w:rsid w:val="00061DF6"/>
    <w:rsid w:val="00062F38"/>
    <w:rsid w:val="00065C53"/>
    <w:rsid w:val="000708DA"/>
    <w:rsid w:val="00073336"/>
    <w:rsid w:val="00075557"/>
    <w:rsid w:val="000757F8"/>
    <w:rsid w:val="00081FA0"/>
    <w:rsid w:val="00087FB2"/>
    <w:rsid w:val="00094CE3"/>
    <w:rsid w:val="000A22C6"/>
    <w:rsid w:val="000A3531"/>
    <w:rsid w:val="000A448C"/>
    <w:rsid w:val="000A5A1C"/>
    <w:rsid w:val="000A5D03"/>
    <w:rsid w:val="000B1579"/>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674D7"/>
    <w:rsid w:val="00171DEE"/>
    <w:rsid w:val="00173320"/>
    <w:rsid w:val="00176B28"/>
    <w:rsid w:val="0017703A"/>
    <w:rsid w:val="0018174E"/>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2B6"/>
    <w:rsid w:val="00382FDD"/>
    <w:rsid w:val="00387718"/>
    <w:rsid w:val="003958D4"/>
    <w:rsid w:val="003A045C"/>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00BB"/>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1A26"/>
    <w:rsid w:val="005C4583"/>
    <w:rsid w:val="005D54FC"/>
    <w:rsid w:val="005E29D2"/>
    <w:rsid w:val="005E7A88"/>
    <w:rsid w:val="005F0931"/>
    <w:rsid w:val="005F2CBF"/>
    <w:rsid w:val="00601B1B"/>
    <w:rsid w:val="006044A3"/>
    <w:rsid w:val="006046EF"/>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75DA4"/>
    <w:rsid w:val="0078027D"/>
    <w:rsid w:val="00780EC3"/>
    <w:rsid w:val="007825FB"/>
    <w:rsid w:val="007829F6"/>
    <w:rsid w:val="00787558"/>
    <w:rsid w:val="00787DF8"/>
    <w:rsid w:val="00794E0E"/>
    <w:rsid w:val="007A042A"/>
    <w:rsid w:val="007A4668"/>
    <w:rsid w:val="007A53A6"/>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54D"/>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E644E"/>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3796B"/>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45AB"/>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2AC3"/>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007F"/>
    <w:rsid w:val="00B751A9"/>
    <w:rsid w:val="00B7624C"/>
    <w:rsid w:val="00B767B7"/>
    <w:rsid w:val="00B8468B"/>
    <w:rsid w:val="00B8514A"/>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83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69B4"/>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26FDC"/>
    <w:rsid w:val="00D36F07"/>
    <w:rsid w:val="00D51526"/>
    <w:rsid w:val="00D5461A"/>
    <w:rsid w:val="00D547FE"/>
    <w:rsid w:val="00D55702"/>
    <w:rsid w:val="00D60D3E"/>
    <w:rsid w:val="00D65223"/>
    <w:rsid w:val="00D7212C"/>
    <w:rsid w:val="00D76124"/>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57FB"/>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2AC2"/>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3FF"/>
    <w:rsid w:val="00FF2D60"/>
    <w:rsid w:val="0250298D"/>
    <w:rsid w:val="0B02141F"/>
    <w:rsid w:val="0DB76A4A"/>
    <w:rsid w:val="1146205D"/>
    <w:rsid w:val="199D2E85"/>
    <w:rsid w:val="1B9B294B"/>
    <w:rsid w:val="2D9F1DE6"/>
    <w:rsid w:val="2E59298A"/>
    <w:rsid w:val="37E50B00"/>
    <w:rsid w:val="49DF08B3"/>
    <w:rsid w:val="54DC2048"/>
    <w:rsid w:val="64A46781"/>
    <w:rsid w:val="65310993"/>
    <w:rsid w:val="6E256335"/>
    <w:rsid w:val="700912C5"/>
    <w:rsid w:val="71DA6DEA"/>
    <w:rsid w:val="7406189F"/>
    <w:rsid w:val="74F62C86"/>
    <w:rsid w:val="7F7D098A"/>
    <w:rsid w:val="BBFFCAAF"/>
    <w:rsid w:val="BFA01D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4">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character" w:styleId="5">
    <w:name w:val="page number"/>
    <w:basedOn w:val="4"/>
    <w:qFormat/>
    <w:uiPriority w:val="0"/>
  </w:style>
  <w:style w:type="character" w:styleId="6">
    <w:name w:val="Hyperlink"/>
    <w:qFormat/>
    <w:uiPriority w:val="0"/>
    <w:rPr>
      <w:color w:val="0000FF"/>
      <w:u w:val="single"/>
    </w:rPr>
  </w:style>
  <w:style w:type="table" w:styleId="8">
    <w:name w:val="Table Grid"/>
    <w:basedOn w:val="7"/>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1878</Words>
  <Characters>2000</Characters>
  <Lines>23</Lines>
  <Paragraphs>6</Paragraphs>
  <TotalTime>0</TotalTime>
  <ScaleCrop>false</ScaleCrop>
  <LinksUpToDate>false</LinksUpToDate>
  <CharactersWithSpaces>2009</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2015-08-27T20:51:00Z</dcterms:created>
  <dc:creator>*****</dc:creator>
  <cp:lastModifiedBy>apple</cp:lastModifiedBy>
  <cp:lastPrinted>2015-03-18T19:45:00Z</cp:lastPrinted>
  <dcterms:modified xsi:type="dcterms:W3CDTF">2022-10-08T18:42:21Z</dcterms:modified>
  <dc:title>上海建桥学院教学进度计划表</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4E352B1103B44C0EA91543D3E68F37CA</vt:lpwstr>
  </property>
</Properties>
</file>