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1BA00">
      <w:pPr>
        <w:jc w:val="center"/>
        <w:rPr>
          <w:rFonts w:ascii="黑体" w:hAnsi="黑体" w:eastAsia="黑体"/>
          <w:bCs/>
          <w:sz w:val="32"/>
          <w:szCs w:val="32"/>
        </w:rPr>
      </w:pPr>
      <w:r>
        <w:rPr>
          <w:rFonts w:hint="eastAsia" w:ascii="黑体" w:hAnsi="黑体" w:eastAsia="黑体"/>
          <w:bCs/>
          <w:sz w:val="32"/>
          <w:szCs w:val="32"/>
        </w:rPr>
        <w:t xml:space="preserve">《 </w:t>
      </w:r>
      <w:r>
        <w:rPr>
          <w:rFonts w:hint="eastAsia" w:ascii="黑体" w:hAnsi="黑体" w:eastAsia="黑体"/>
          <w:bCs/>
          <w:sz w:val="32"/>
          <w:szCs w:val="32"/>
          <w:lang w:val="en-US" w:eastAsia="zh-CN"/>
        </w:rPr>
        <w:t>职业卫生与职业医学</w:t>
      </w:r>
      <w:r>
        <w:rPr>
          <w:rFonts w:ascii="黑体" w:hAnsi="黑体" w:eastAsia="黑体"/>
          <w:bCs/>
          <w:sz w:val="32"/>
          <w:szCs w:val="32"/>
        </w:rPr>
        <w:t xml:space="preserve"> </w:t>
      </w:r>
      <w:r>
        <w:rPr>
          <w:rFonts w:hint="eastAsia" w:ascii="黑体" w:hAnsi="黑体" w:eastAsia="黑体"/>
          <w:bCs/>
          <w:sz w:val="32"/>
          <w:szCs w:val="32"/>
        </w:rPr>
        <w:t>》课程教学大纲</w:t>
      </w:r>
    </w:p>
    <w:p w14:paraId="085F2417">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E87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854109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9D13607">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职业卫生与职业医学</w:t>
            </w:r>
          </w:p>
        </w:tc>
      </w:tr>
      <w:tr w14:paraId="6D74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6303A3F">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DE9FEF2">
            <w:pPr>
              <w:widowControl w:val="0"/>
              <w:jc w:val="left"/>
              <w:rPr>
                <w:color w:val="000000" w:themeColor="text1"/>
                <w:sz w:val="21"/>
                <w:szCs w:val="21"/>
                <w14:textFill>
                  <w14:solidFill>
                    <w14:schemeClr w14:val="tx1"/>
                  </w14:solidFill>
                </w14:textFill>
              </w:rPr>
            </w:pPr>
            <w:r>
              <w:rPr>
                <w:rFonts w:ascii="宋体" w:hAnsi="宋体"/>
                <w:b/>
                <w:sz w:val="21"/>
                <w:szCs w:val="21"/>
              </w:rPr>
              <w:t>Occupational Health and Occupationl Medicine</w:t>
            </w:r>
          </w:p>
        </w:tc>
      </w:tr>
      <w:tr w14:paraId="0892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2DD22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1C80D774">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2170039</w:t>
            </w:r>
          </w:p>
        </w:tc>
        <w:tc>
          <w:tcPr>
            <w:tcW w:w="2126" w:type="dxa"/>
            <w:gridSpan w:val="2"/>
            <w:vAlign w:val="center"/>
          </w:tcPr>
          <w:p w14:paraId="7C78403D">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2B3DF75">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14:paraId="46E9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34F255C">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23319C4">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48</w:t>
            </w:r>
          </w:p>
        </w:tc>
        <w:tc>
          <w:tcPr>
            <w:tcW w:w="1272" w:type="dxa"/>
            <w:vAlign w:val="center"/>
          </w:tcPr>
          <w:p w14:paraId="09E800B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DFB9515">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4305707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8302107">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r>
      <w:tr w14:paraId="6F4B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9BEA67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8F5A073">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71F6DDD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6D040C6">
            <w:pPr>
              <w:widowControl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健康服务与管理</w:t>
            </w:r>
          </w:p>
          <w:p w14:paraId="65136AE1">
            <w:pPr>
              <w:widowControl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2022级</w:t>
            </w:r>
          </w:p>
        </w:tc>
      </w:tr>
      <w:tr w14:paraId="11A7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1FD6D4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75CE2F0">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专业基础必修课</w:t>
            </w:r>
          </w:p>
        </w:tc>
        <w:tc>
          <w:tcPr>
            <w:tcW w:w="2126" w:type="dxa"/>
            <w:gridSpan w:val="2"/>
            <w:vAlign w:val="center"/>
          </w:tcPr>
          <w:p w14:paraId="64AAE4E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74D2467">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14:paraId="30F0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3637D9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653FC66">
            <w:pPr>
              <w:widowControl w:val="0"/>
              <w:jc w:val="center"/>
              <w:rPr>
                <w:rFonts w:ascii="Times New Roman" w:hAnsi="Times New Roman"/>
                <w:color w:val="000000" w:themeColor="text1"/>
                <w:sz w:val="21"/>
                <w:szCs w:val="21"/>
                <w14:textFill>
                  <w14:solidFill>
                    <w14:schemeClr w14:val="tx1"/>
                  </w14:solidFill>
                </w14:textFill>
              </w:rPr>
            </w:pPr>
            <w:r>
              <w:rPr>
                <w:rFonts w:ascii="宋体" w:hAnsi="宋体"/>
                <w:sz w:val="21"/>
                <w:szCs w:val="21"/>
              </w:rPr>
              <w:t>《</w:t>
            </w:r>
            <w:r>
              <w:rPr>
                <w:rFonts w:hint="eastAsia" w:ascii="宋体" w:hAnsi="宋体"/>
                <w:sz w:val="21"/>
                <w:szCs w:val="21"/>
              </w:rPr>
              <w:t>职业卫生与职业医学》，9787117246651</w:t>
            </w:r>
            <w:r>
              <w:rPr>
                <w:rFonts w:hint="eastAsia"/>
                <w:sz w:val="21"/>
                <w:szCs w:val="21"/>
                <w:lang w:eastAsia="zh-CN"/>
              </w:rPr>
              <w:t>，</w:t>
            </w:r>
            <w:r>
              <w:rPr>
                <w:rFonts w:hint="eastAsia" w:ascii="宋体" w:hAnsi="宋体"/>
                <w:sz w:val="21"/>
                <w:szCs w:val="21"/>
              </w:rPr>
              <w:t>邬堂春，人民卫生出版社，2017年第8版</w:t>
            </w:r>
          </w:p>
        </w:tc>
        <w:tc>
          <w:tcPr>
            <w:tcW w:w="1413" w:type="dxa"/>
            <w:gridSpan w:val="2"/>
            <w:vAlign w:val="center"/>
          </w:tcPr>
          <w:p w14:paraId="20F17F2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94FB9C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8E9D6E4">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4AAF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44" w:hRule="atLeast"/>
        </w:trPr>
        <w:tc>
          <w:tcPr>
            <w:tcW w:w="1691" w:type="dxa"/>
            <w:tcBorders>
              <w:left w:val="single" w:color="auto" w:sz="12" w:space="0"/>
            </w:tcBorders>
            <w:shd w:val="clear" w:color="auto" w:fill="auto"/>
            <w:vAlign w:val="center"/>
          </w:tcPr>
          <w:p w14:paraId="017DE86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C30F2B9">
            <w:pPr>
              <w:pStyle w:val="15"/>
              <w:widowControl w:val="0"/>
              <w:jc w:val="both"/>
              <w:rPr>
                <w:rFonts w:hint="default" w:eastAsia="宋体"/>
                <w:lang w:val="en-US" w:eastAsia="zh-CN"/>
              </w:rPr>
            </w:pPr>
            <w:r>
              <w:rPr>
                <w:rFonts w:hint="eastAsia" w:ascii="宋体" w:hAnsi="宋体"/>
                <w:sz w:val="21"/>
                <w:szCs w:val="21"/>
              </w:rPr>
              <w:t>医学统计学 2170005（3）、临床医学概论2170006（4）、公共卫生概论2170017（2）</w:t>
            </w:r>
          </w:p>
        </w:tc>
      </w:tr>
      <w:tr w14:paraId="2D58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116" w:hRule="atLeast"/>
        </w:trPr>
        <w:tc>
          <w:tcPr>
            <w:tcW w:w="1691" w:type="dxa"/>
            <w:tcBorders>
              <w:left w:val="single" w:color="auto" w:sz="12" w:space="0"/>
            </w:tcBorders>
            <w:shd w:val="clear" w:color="auto" w:fill="auto"/>
            <w:vAlign w:val="center"/>
          </w:tcPr>
          <w:p w14:paraId="46AFA2A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A6CE3D9">
            <w:pPr>
              <w:widowControl w:val="0"/>
              <w:spacing w:line="312" w:lineRule="auto"/>
              <w:ind w:firstLine="400" w:firstLineChars="200"/>
              <w:jc w:val="both"/>
              <w:rPr>
                <w:rFonts w:hint="eastAsia" w:ascii="宋体" w:hAnsi="宋体"/>
                <w:sz w:val="20"/>
                <w:szCs w:val="20"/>
              </w:rPr>
            </w:pPr>
            <w:bookmarkStart w:id="0" w:name="_Hlk53326444"/>
            <w:r>
              <w:rPr>
                <w:rFonts w:hint="eastAsia" w:ascii="宋体" w:hAnsi="宋体"/>
                <w:sz w:val="20"/>
                <w:szCs w:val="20"/>
              </w:rPr>
              <w:t>《职业卫生与职业医学》是研究劳动条件与职业从事者健康之间关系的学科，是预防医学和临床医学的重要组成部分。职业医学是以职业从事者个体为主要对象，旨在对受到职业危害因素损害或存在潜在健康危险的个体进行早期检测、诊断、治疗和康复处理；职业卫生是职业人群为主要对象，研究劳动条件对职业人群健康的影响，为保护职业从事者健康、提高作业能力、改善劳动条件提供科学的依据。两者的最终目的就是使职业从事者在其所从事的生产或工作过程中，有充分的安全和健康保障，并为不断提高工作效率提供科学依据和技术保障。</w:t>
            </w:r>
          </w:p>
          <w:p w14:paraId="4F07DB7F">
            <w:pPr>
              <w:widowControl w:val="0"/>
              <w:spacing w:line="312" w:lineRule="auto"/>
              <w:ind w:firstLine="400" w:firstLineChars="200"/>
              <w:jc w:val="both"/>
              <w:rPr>
                <w:rFonts w:hint="eastAsia" w:ascii="宋体" w:hAnsi="宋体" w:eastAsia="宋体" w:cs="宋体"/>
                <w:sz w:val="24"/>
                <w:szCs w:val="24"/>
                <w:lang w:val="en-US" w:eastAsia="zh-CN" w:bidi="ar-SA"/>
              </w:rPr>
            </w:pPr>
            <w:r>
              <w:rPr>
                <w:rFonts w:hint="eastAsia" w:ascii="宋体" w:hAnsi="宋体"/>
                <w:sz w:val="20"/>
                <w:szCs w:val="20"/>
              </w:rPr>
              <w:t>学习了解职业卫生与职业医学基本知识，有利于健康服务与管理专业开展健康服务与管理开展工作，是重要的专业必修课程。</w:t>
            </w:r>
            <w:bookmarkEnd w:id="0"/>
          </w:p>
        </w:tc>
      </w:tr>
      <w:tr w14:paraId="6A3B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67" w:hRule="atLeast"/>
        </w:trPr>
        <w:tc>
          <w:tcPr>
            <w:tcW w:w="1691" w:type="dxa"/>
            <w:tcBorders>
              <w:left w:val="single" w:color="auto" w:sz="12" w:space="0"/>
              <w:bottom w:val="double" w:color="auto" w:sz="4" w:space="0"/>
            </w:tcBorders>
            <w:shd w:val="clear" w:color="auto" w:fill="auto"/>
            <w:vAlign w:val="center"/>
          </w:tcPr>
          <w:p w14:paraId="7125429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49050CE">
            <w:pPr>
              <w:widowControl w:val="0"/>
              <w:spacing w:line="312" w:lineRule="auto"/>
              <w:ind w:firstLine="800" w:firstLineChars="400"/>
              <w:jc w:val="both"/>
            </w:pPr>
            <w:r>
              <w:rPr>
                <w:rFonts w:hint="eastAsia" w:ascii="宋体" w:hAnsi="宋体"/>
                <w:sz w:val="20"/>
                <w:szCs w:val="20"/>
                <w:lang w:val="en-US" w:eastAsia="zh-CN"/>
              </w:rPr>
              <w:t>该课程适合</w:t>
            </w:r>
            <w:r>
              <w:rPr>
                <w:rFonts w:hint="eastAsia" w:ascii="宋体" w:hAnsi="宋体"/>
                <w:sz w:val="20"/>
                <w:szCs w:val="20"/>
              </w:rPr>
              <w:t>健康服务与管理专业</w:t>
            </w:r>
            <w:r>
              <w:rPr>
                <w:rFonts w:hint="eastAsia" w:ascii="宋体" w:hAnsi="宋体"/>
                <w:sz w:val="20"/>
                <w:szCs w:val="20"/>
                <w:lang w:val="en-US" w:eastAsia="zh-CN"/>
              </w:rPr>
              <w:t>大三的学生学习</w:t>
            </w:r>
            <w:r>
              <w:rPr>
                <w:rFonts w:hint="eastAsia" w:ascii="宋体" w:hAnsi="宋体"/>
                <w:sz w:val="20"/>
                <w:szCs w:val="20"/>
              </w:rPr>
              <w:t>学习。学习《职业卫生与职业医学》需要具备临床医学、医学统计学和公共卫生基础知识。</w:t>
            </w:r>
          </w:p>
        </w:tc>
      </w:tr>
      <w:tr w14:paraId="263C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3F3641B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892AE1D">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978535</wp:posOffset>
                  </wp:positionH>
                  <wp:positionV relativeFrom="paragraph">
                    <wp:posOffset>396240</wp:posOffset>
                  </wp:positionV>
                  <wp:extent cx="629920" cy="3721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anchor>
              </w:drawing>
            </w:r>
            <w:r>
              <w:rPr>
                <w:rFonts w:hint="eastAsia"/>
                <w:sz w:val="21"/>
                <w:szCs w:val="21"/>
              </w:rPr>
              <w:drawing>
                <wp:inline distT="0" distB="0" distL="114300" distR="114300">
                  <wp:extent cx="659130" cy="356870"/>
                  <wp:effectExtent l="0" t="0" r="11430" b="8890"/>
                  <wp:docPr id="2" name="图片 2" descr="ef1a1f8e4e06baba36bf74ec12e95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f1a1f8e4e06baba36bf74ec12e952d"/>
                          <pic:cNvPicPr>
                            <a:picLocks noChangeAspect="1"/>
                          </pic:cNvPicPr>
                        </pic:nvPicPr>
                        <pic:blipFill>
                          <a:blip r:embed="rId6"/>
                          <a:srcRect l="12395" t="25870" r="48835" b="20953"/>
                          <a:stretch>
                            <a:fillRect/>
                          </a:stretch>
                        </pic:blipFill>
                        <pic:spPr>
                          <a:xfrm>
                            <a:off x="0" y="0"/>
                            <a:ext cx="659130" cy="356870"/>
                          </a:xfrm>
                          <a:prstGeom prst="rect">
                            <a:avLst/>
                          </a:prstGeom>
                        </pic:spPr>
                      </pic:pic>
                    </a:graphicData>
                  </a:graphic>
                </wp:inline>
              </w:drawing>
            </w:r>
          </w:p>
        </w:tc>
        <w:tc>
          <w:tcPr>
            <w:tcW w:w="1425" w:type="dxa"/>
            <w:gridSpan w:val="2"/>
            <w:tcBorders>
              <w:top w:val="double" w:color="auto" w:sz="4" w:space="0"/>
            </w:tcBorders>
            <w:vAlign w:val="center"/>
          </w:tcPr>
          <w:p w14:paraId="2728FB3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3744AD9">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2024.09</w:t>
            </w:r>
          </w:p>
        </w:tc>
      </w:tr>
      <w:tr w14:paraId="4FF6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EEEE78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DFF06EE">
            <w:pPr>
              <w:widowControl w:val="0"/>
              <w:jc w:val="right"/>
              <w:rPr>
                <w:rFonts w:ascii="黑体" w:hAnsi="黑体" w:eastAsia="黑体"/>
                <w:color w:val="000000" w:themeColor="text1"/>
                <w:sz w:val="21"/>
                <w:szCs w:val="21"/>
                <w14:textFill>
                  <w14:solidFill>
                    <w14:schemeClr w14:val="tx1"/>
                  </w14:solidFill>
                </w14:textFill>
              </w:rPr>
            </w:pPr>
          </w:p>
        </w:tc>
        <w:tc>
          <w:tcPr>
            <w:tcW w:w="1425" w:type="dxa"/>
            <w:gridSpan w:val="2"/>
            <w:vAlign w:val="center"/>
          </w:tcPr>
          <w:p w14:paraId="4A4894F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2F6B59D">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2024.09</w:t>
            </w:r>
            <w:bookmarkStart w:id="5" w:name="_GoBack"/>
            <w:bookmarkEnd w:id="5"/>
          </w:p>
        </w:tc>
      </w:tr>
      <w:tr w14:paraId="71CB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D97E83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EFC0A1D">
            <w:pPr>
              <w:widowControl w:val="0"/>
              <w:jc w:val="right"/>
              <w:rPr>
                <w:rFonts w:ascii="黑体" w:hAnsi="黑体" w:eastAsia="黑体"/>
                <w:color w:val="000000" w:themeColor="text1"/>
                <w:sz w:val="21"/>
                <w:szCs w:val="21"/>
                <w14:textFill>
                  <w14:solidFill>
                    <w14:schemeClr w14:val="tx1"/>
                  </w14:solidFill>
                </w14:textFill>
              </w:rPr>
            </w:pPr>
          </w:p>
        </w:tc>
        <w:tc>
          <w:tcPr>
            <w:tcW w:w="1425" w:type="dxa"/>
            <w:gridSpan w:val="2"/>
            <w:tcBorders>
              <w:bottom w:val="single" w:color="auto" w:sz="12" w:space="0"/>
            </w:tcBorders>
            <w:vAlign w:val="center"/>
          </w:tcPr>
          <w:p w14:paraId="471F087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5132281">
            <w:pPr>
              <w:widowControl w:val="0"/>
              <w:jc w:val="center"/>
              <w:rPr>
                <w:rFonts w:ascii="Times New Roman" w:hAnsi="Times New Roman"/>
                <w:color w:val="000000"/>
                <w:sz w:val="21"/>
                <w:szCs w:val="21"/>
              </w:rPr>
            </w:pPr>
          </w:p>
        </w:tc>
      </w:tr>
    </w:tbl>
    <w:p w14:paraId="57601C9A">
      <w:pPr>
        <w:spacing w:line="100" w:lineRule="exact"/>
        <w:rPr>
          <w:rFonts w:ascii="Arial" w:hAnsi="Arial" w:eastAsia="黑体"/>
        </w:rPr>
      </w:pPr>
      <w:r>
        <w:br w:type="page"/>
      </w:r>
    </w:p>
    <w:p w14:paraId="52901B37">
      <w:pPr>
        <w:pStyle w:val="17"/>
        <w:spacing w:before="326" w:beforeLines="100" w:line="360" w:lineRule="auto"/>
        <w:rPr>
          <w:rFonts w:ascii="黑体" w:hAnsi="宋体"/>
        </w:rPr>
      </w:pPr>
      <w:r>
        <w:rPr>
          <w:rFonts w:hint="eastAsia" w:ascii="黑体" w:hAnsi="宋体"/>
        </w:rPr>
        <w:t>二、课程目标与毕业要求</w:t>
      </w:r>
    </w:p>
    <w:p w14:paraId="63767EFF">
      <w:pPr>
        <w:pStyle w:val="18"/>
        <w:spacing w:before="81" w:after="163"/>
      </w:pPr>
      <w:r>
        <w:rPr>
          <w:rFonts w:hint="eastAsia"/>
        </w:rPr>
        <w:t xml:space="preserve">（一）课程目标 </w:t>
      </w:r>
    </w:p>
    <w:tbl>
      <w:tblPr>
        <w:tblStyle w:val="8"/>
        <w:tblW w:w="48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06"/>
        <w:gridCol w:w="764"/>
        <w:gridCol w:w="6306"/>
      </w:tblGrid>
      <w:tr w14:paraId="24CFC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627B979B">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581BC724">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7101697E">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8108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54A3F2A">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06E914A2">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6B5A3B3C">
            <w:pPr>
              <w:widowControl w:val="0"/>
              <w:spacing w:line="312" w:lineRule="auto"/>
              <w:jc w:val="left"/>
              <w:rPr>
                <w:rFonts w:hint="eastAsia" w:ascii="宋体" w:hAnsi="宋体"/>
                <w:sz w:val="20"/>
                <w:szCs w:val="20"/>
              </w:rPr>
            </w:pPr>
            <w:r>
              <w:rPr>
                <w:rFonts w:hint="eastAsia" w:ascii="宋体" w:hAnsi="宋体"/>
                <w:sz w:val="20"/>
                <w:szCs w:val="20"/>
              </w:rPr>
              <w:t>具有自主学习的基本能力，能够适应不断变化的社会健康保健需求。</w:t>
            </w:r>
          </w:p>
        </w:tc>
      </w:tr>
      <w:tr w14:paraId="6038D2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5EFE45E">
            <w:pPr>
              <w:snapToGrid w:val="0"/>
              <w:jc w:val="center"/>
              <w:rPr>
                <w:rFonts w:hint="eastAsia" w:ascii="黑体" w:hAnsi="黑体" w:eastAsia="黑体"/>
                <w:bCs/>
                <w:color w:val="000000"/>
                <w:sz w:val="21"/>
                <w:szCs w:val="18"/>
              </w:rPr>
            </w:pPr>
          </w:p>
        </w:tc>
        <w:tc>
          <w:tcPr>
            <w:tcW w:w="764" w:type="dxa"/>
            <w:shd w:val="clear" w:color="auto" w:fill="auto"/>
            <w:vAlign w:val="center"/>
          </w:tcPr>
          <w:p w14:paraId="499D7493">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2</w:t>
            </w:r>
          </w:p>
        </w:tc>
        <w:tc>
          <w:tcPr>
            <w:tcW w:w="6306" w:type="dxa"/>
            <w:vAlign w:val="center"/>
          </w:tcPr>
          <w:p w14:paraId="14B71817">
            <w:pPr>
              <w:widowControl w:val="0"/>
              <w:spacing w:line="312" w:lineRule="auto"/>
              <w:jc w:val="left"/>
              <w:rPr>
                <w:rFonts w:hint="eastAsia" w:ascii="宋体" w:hAnsi="宋体"/>
                <w:sz w:val="20"/>
                <w:szCs w:val="20"/>
              </w:rPr>
            </w:pPr>
            <w:r>
              <w:rPr>
                <w:rFonts w:hint="eastAsia" w:ascii="宋体" w:hAnsi="宋体"/>
                <w:sz w:val="20"/>
                <w:szCs w:val="20"/>
              </w:rPr>
              <w:t>能全面评估服务对象的健康状态，具有健康监测、健康风险评估能力。</w:t>
            </w:r>
          </w:p>
        </w:tc>
      </w:tr>
      <w:tr w14:paraId="37F4F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DC9BAC8">
            <w:pPr>
              <w:snapToGrid w:val="0"/>
              <w:jc w:val="center"/>
              <w:rPr>
                <w:rFonts w:hint="eastAsia" w:ascii="黑体" w:hAnsi="黑体" w:eastAsia="黑体"/>
                <w:bCs/>
                <w:color w:val="000000"/>
                <w:sz w:val="21"/>
                <w:szCs w:val="18"/>
              </w:rPr>
            </w:pPr>
          </w:p>
        </w:tc>
        <w:tc>
          <w:tcPr>
            <w:tcW w:w="764" w:type="dxa"/>
            <w:shd w:val="clear" w:color="auto" w:fill="auto"/>
            <w:vAlign w:val="center"/>
          </w:tcPr>
          <w:p w14:paraId="68EDD192">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3</w:t>
            </w:r>
          </w:p>
        </w:tc>
        <w:tc>
          <w:tcPr>
            <w:tcW w:w="6306" w:type="dxa"/>
            <w:vAlign w:val="center"/>
          </w:tcPr>
          <w:p w14:paraId="3439D1F5">
            <w:pPr>
              <w:widowControl w:val="0"/>
              <w:spacing w:line="312" w:lineRule="auto"/>
              <w:jc w:val="left"/>
              <w:rPr>
                <w:rFonts w:hint="eastAsia" w:ascii="宋体" w:hAnsi="宋体"/>
                <w:sz w:val="20"/>
                <w:szCs w:val="20"/>
              </w:rPr>
            </w:pPr>
            <w:r>
              <w:rPr>
                <w:rFonts w:hint="eastAsia" w:ascii="宋体" w:hAnsi="宋体"/>
                <w:sz w:val="20"/>
                <w:szCs w:val="20"/>
              </w:rPr>
              <w:t>能利用职业卫生与职业医学知识，全面确定服务对象的健康需求。</w:t>
            </w:r>
          </w:p>
        </w:tc>
      </w:tr>
      <w:tr w14:paraId="4CDF4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6841331A">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2B20C1FF">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tc>
        <w:tc>
          <w:tcPr>
            <w:tcW w:w="6306" w:type="dxa"/>
            <w:vAlign w:val="center"/>
          </w:tcPr>
          <w:p w14:paraId="747BD218">
            <w:pPr>
              <w:widowControl w:val="0"/>
              <w:spacing w:line="312" w:lineRule="auto"/>
              <w:jc w:val="left"/>
              <w:rPr>
                <w:rFonts w:hint="eastAsia" w:ascii="宋体" w:hAnsi="宋体"/>
                <w:sz w:val="20"/>
                <w:szCs w:val="20"/>
                <w:lang w:val="en-US" w:eastAsia="zh-CN"/>
              </w:rPr>
            </w:pPr>
            <w:r>
              <w:rPr>
                <w:rFonts w:hint="eastAsia" w:ascii="宋体" w:hAnsi="宋体"/>
                <w:sz w:val="20"/>
                <w:szCs w:val="20"/>
              </w:rPr>
              <w:t xml:space="preserve">掌握慢性病管理相关知识，协助医生开展慢性病病人社区健康管理。 </w:t>
            </w:r>
          </w:p>
        </w:tc>
      </w:tr>
      <w:tr w14:paraId="2CA4C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5F2C318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8468DFA">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4D1857D">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5</w:t>
            </w:r>
          </w:p>
        </w:tc>
        <w:tc>
          <w:tcPr>
            <w:tcW w:w="6306" w:type="dxa"/>
            <w:vAlign w:val="center"/>
          </w:tcPr>
          <w:p w14:paraId="5D42A1AD">
            <w:pPr>
              <w:pStyle w:val="15"/>
              <w:jc w:val="left"/>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在集体活动中能主动担任自己的角色，与其他成员密切合作，共同完成任务。</w:t>
            </w:r>
          </w:p>
        </w:tc>
      </w:tr>
    </w:tbl>
    <w:p w14:paraId="3E9AC1F4">
      <w:pPr>
        <w:pStyle w:val="18"/>
        <w:numPr>
          <w:ilvl w:val="0"/>
          <w:numId w:val="1"/>
        </w:numPr>
        <w:spacing w:before="163" w:beforeLines="50" w:after="163"/>
        <w:rPr>
          <w:rFonts w:hint="eastAsia"/>
        </w:rPr>
      </w:pPr>
      <w:r>
        <w:rPr>
          <w:rFonts w:hint="eastAsia"/>
        </w:rPr>
        <w:t>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90431C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82" w:hRule="atLeast"/>
        </w:trPr>
        <w:tc>
          <w:tcPr>
            <w:tcW w:w="8296" w:type="dxa"/>
          </w:tcPr>
          <w:p w14:paraId="16AD7CA6">
            <w:pPr>
              <w:widowControl w:val="0"/>
              <w:spacing w:line="312" w:lineRule="auto"/>
              <w:ind w:firstLine="400" w:firstLineChars="200"/>
              <w:jc w:val="both"/>
              <w:rPr>
                <w:rFonts w:hint="eastAsia" w:ascii="宋体" w:hAnsi="宋体"/>
                <w:sz w:val="20"/>
                <w:szCs w:val="20"/>
                <w:lang w:val="en-US"/>
              </w:rPr>
            </w:pPr>
            <w:r>
              <w:rPr>
                <w:rFonts w:hint="eastAsia" w:ascii="宋体" w:hAnsi="宋体"/>
                <w:sz w:val="20"/>
                <w:szCs w:val="20"/>
                <w:lang w:val="en-U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186A748">
            <w:pPr>
              <w:widowControl w:val="0"/>
              <w:spacing w:line="312" w:lineRule="auto"/>
              <w:ind w:firstLine="400" w:firstLineChars="200"/>
              <w:jc w:val="both"/>
              <w:rPr>
                <w:rFonts w:hint="eastAsia" w:ascii="宋体" w:hAnsi="宋体"/>
                <w:bCs/>
              </w:rPr>
            </w:pPr>
            <w:r>
              <w:rPr>
                <w:rFonts w:hint="eastAsia" w:ascii="宋体" w:hAnsi="宋体"/>
                <w:sz w:val="20"/>
                <w:szCs w:val="20"/>
                <w:lang w:val="en-US"/>
              </w:rPr>
              <w:t>②遵纪守法，增强法律意识，培养法律思维，自觉遵守法律法规、校纪校规。</w:t>
            </w:r>
          </w:p>
        </w:tc>
      </w:tr>
      <w:tr w14:paraId="4B41928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82" w:hRule="atLeast"/>
        </w:trPr>
        <w:tc>
          <w:tcPr>
            <w:tcW w:w="8296" w:type="dxa"/>
          </w:tcPr>
          <w:p w14:paraId="20870A82">
            <w:pPr>
              <w:widowControl w:val="0"/>
              <w:spacing w:line="312" w:lineRule="auto"/>
              <w:ind w:firstLine="400" w:firstLineChars="200"/>
              <w:jc w:val="both"/>
              <w:rPr>
                <w:rFonts w:hint="eastAsia" w:ascii="宋体" w:hAnsi="宋体"/>
                <w:sz w:val="20"/>
                <w:szCs w:val="20"/>
                <w:lang w:val="en-US"/>
              </w:rPr>
            </w:pPr>
            <w:r>
              <w:rPr>
                <w:rFonts w:hint="eastAsia" w:ascii="宋体" w:hAnsi="宋体"/>
                <w:sz w:val="20"/>
                <w:szCs w:val="20"/>
                <w:lang w:val="en-US"/>
              </w:rPr>
              <w:t>LO2专业能力：具有人文科学素养，具备医学、健康管理学及现代管理学等相关理论知识，具备健康检测、健康评估、健康咨询、健康促进与干预等健康服务技能和健康管理特长。</w:t>
            </w:r>
          </w:p>
          <w:p w14:paraId="675D4CB8">
            <w:pPr>
              <w:widowControl w:val="0"/>
              <w:spacing w:line="312" w:lineRule="auto"/>
              <w:ind w:firstLine="400" w:firstLineChars="200"/>
              <w:jc w:val="both"/>
              <w:rPr>
                <w:rFonts w:hint="eastAsia" w:ascii="宋体" w:hAnsi="宋体"/>
                <w:bCs/>
              </w:rPr>
            </w:pPr>
            <w:r>
              <w:rPr>
                <w:rFonts w:hint="eastAsia" w:ascii="宋体" w:hAnsi="宋体"/>
                <w:sz w:val="20"/>
                <w:szCs w:val="20"/>
                <w:lang w:val="en-US"/>
              </w:rPr>
              <w:t>④健康咨询：掌握健康保健专业知识，为服务对象提供健康咨询服务。能确定服务对象的健康需求，并采用合适的健康教育方法。</w:t>
            </w:r>
          </w:p>
        </w:tc>
      </w:tr>
      <w:tr w14:paraId="05AC0A4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AA7346E">
            <w:pPr>
              <w:widowControl w:val="0"/>
              <w:spacing w:line="312" w:lineRule="auto"/>
              <w:ind w:firstLine="400" w:firstLineChars="200"/>
              <w:jc w:val="both"/>
              <w:rPr>
                <w:rFonts w:hint="eastAsia" w:ascii="宋体" w:hAnsi="宋体"/>
                <w:sz w:val="20"/>
                <w:szCs w:val="20"/>
              </w:rPr>
            </w:pPr>
            <w:r>
              <w:rPr>
                <w:rFonts w:hint="eastAsia" w:ascii="宋体" w:hAnsi="宋体"/>
                <w:sz w:val="20"/>
                <w:szCs w:val="20"/>
              </w:rPr>
              <w:t>LO3表达沟通：理解他人的观点，尊重他人的价值观，能在不同场合用书面或口头形式进行有效沟通。</w:t>
            </w:r>
          </w:p>
          <w:p w14:paraId="6DB49AD6">
            <w:pPr>
              <w:widowControl w:val="0"/>
              <w:spacing w:line="312" w:lineRule="auto"/>
              <w:ind w:firstLine="400" w:firstLineChars="200"/>
              <w:jc w:val="both"/>
              <w:rPr>
                <w:rFonts w:hint="eastAsia" w:ascii="宋体" w:hAnsi="宋体"/>
                <w:bCs/>
              </w:rPr>
            </w:pPr>
            <w:r>
              <w:rPr>
                <w:rFonts w:hint="eastAsia" w:ascii="宋体" w:hAnsi="宋体"/>
                <w:sz w:val="20"/>
                <w:szCs w:val="20"/>
              </w:rPr>
              <w:t>②应用书面或口头形式，阐释自己的观点，有效沟通</w:t>
            </w:r>
          </w:p>
        </w:tc>
      </w:tr>
    </w:tbl>
    <w:p w14:paraId="720DB12D">
      <w:pPr>
        <w:pStyle w:val="18"/>
        <w:numPr>
          <w:ilvl w:val="0"/>
          <w:numId w:val="0"/>
        </w:numPr>
        <w:spacing w:before="163" w:beforeLines="50" w:after="163"/>
        <w:rPr>
          <w:rFonts w:hint="eastAsia"/>
        </w:rPr>
      </w:pPr>
    </w:p>
    <w:p w14:paraId="61FF950F">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607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1463322A">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4B2B1940">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9B862C4">
            <w:pPr>
              <w:pStyle w:val="14"/>
              <w:rPr>
                <w:szCs w:val="16"/>
              </w:rPr>
            </w:pPr>
            <w:r>
              <w:rPr>
                <w:rFonts w:hint="eastAsia"/>
                <w:szCs w:val="16"/>
              </w:rPr>
              <w:t>支撑度</w:t>
            </w:r>
          </w:p>
        </w:tc>
        <w:tc>
          <w:tcPr>
            <w:tcW w:w="4763" w:type="dxa"/>
            <w:tcBorders>
              <w:top w:val="single" w:color="auto" w:sz="12" w:space="0"/>
            </w:tcBorders>
            <w:vAlign w:val="center"/>
          </w:tcPr>
          <w:p w14:paraId="6658E212">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7EA9567D">
            <w:pPr>
              <w:pStyle w:val="14"/>
              <w:rPr>
                <w:szCs w:val="16"/>
              </w:rPr>
            </w:pPr>
            <w:r>
              <w:rPr>
                <w:rFonts w:hint="eastAsia"/>
                <w:szCs w:val="16"/>
              </w:rPr>
              <w:t>对指标点的贡献度</w:t>
            </w:r>
          </w:p>
        </w:tc>
      </w:tr>
      <w:tr w14:paraId="1FF2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70581349">
            <w:pPr>
              <w:pStyle w:val="15"/>
              <w:rPr>
                <w:rFonts w:hint="default" w:eastAsia="宋体"/>
                <w:lang w:val="en-US" w:eastAsia="zh-CN"/>
              </w:rPr>
            </w:pPr>
            <w:r>
              <w:rPr>
                <w:rFonts w:hint="eastAsia"/>
                <w:lang w:val="en-US" w:eastAsia="zh-CN"/>
              </w:rPr>
              <w:t>L01</w:t>
            </w:r>
          </w:p>
        </w:tc>
        <w:tc>
          <w:tcPr>
            <w:tcW w:w="794" w:type="dxa"/>
            <w:tcBorders>
              <w:left w:val="single" w:color="auto" w:sz="4" w:space="0"/>
            </w:tcBorders>
            <w:vAlign w:val="center"/>
          </w:tcPr>
          <w:p w14:paraId="7CFF4965">
            <w:pPr>
              <w:pStyle w:val="15"/>
              <w:rPr>
                <w:rFonts w:hint="eastAsia" w:eastAsia="宋体" w:cs="Times New Roman"/>
                <w:bCs/>
                <w:lang w:val="en-US" w:eastAsia="zh-CN"/>
              </w:rPr>
            </w:pPr>
            <w:r>
              <w:rPr>
                <w:rFonts w:hint="eastAsia" w:cs="Times New Roman"/>
                <w:bCs/>
                <w:lang w:val="en-US" w:eastAsia="zh-CN"/>
              </w:rPr>
              <w:t>②</w:t>
            </w:r>
          </w:p>
        </w:tc>
        <w:tc>
          <w:tcPr>
            <w:tcW w:w="794" w:type="dxa"/>
            <w:tcBorders>
              <w:right w:val="double" w:color="auto" w:sz="4" w:space="0"/>
            </w:tcBorders>
            <w:shd w:val="clear" w:color="auto" w:fill="auto"/>
            <w:vAlign w:val="center"/>
          </w:tcPr>
          <w:p w14:paraId="2BD13D37">
            <w:pPr>
              <w:pStyle w:val="15"/>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3263A4F4">
            <w:pPr>
              <w:pStyle w:val="15"/>
              <w:jc w:val="left"/>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具有自主学习的基本能力，能够适应不断变化的社会健康保健需求。</w:t>
            </w:r>
          </w:p>
        </w:tc>
        <w:tc>
          <w:tcPr>
            <w:tcW w:w="1348" w:type="dxa"/>
            <w:tcBorders>
              <w:right w:val="single" w:color="auto" w:sz="12" w:space="0"/>
            </w:tcBorders>
            <w:vAlign w:val="center"/>
          </w:tcPr>
          <w:p w14:paraId="4534427C">
            <w:pPr>
              <w:pStyle w:val="15"/>
              <w:rPr>
                <w:rFonts w:hint="default" w:ascii="宋体" w:hAnsi="宋体" w:eastAsia="宋体"/>
                <w:bCs/>
                <w:lang w:val="en-US" w:eastAsia="zh-CN"/>
              </w:rPr>
            </w:pPr>
            <w:r>
              <w:rPr>
                <w:rFonts w:hint="eastAsia" w:ascii="宋体" w:hAnsi="宋体"/>
                <w:bCs/>
                <w:lang w:val="en-US" w:eastAsia="zh-CN"/>
              </w:rPr>
              <w:t>100%</w:t>
            </w:r>
          </w:p>
        </w:tc>
      </w:tr>
      <w:tr w14:paraId="0F43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79AD23DB">
            <w:pPr>
              <w:pStyle w:val="15"/>
              <w:rPr>
                <w:rFonts w:hint="default" w:eastAsia="宋体"/>
                <w:lang w:val="en-US" w:eastAsia="zh-CN"/>
              </w:rPr>
            </w:pPr>
            <w:r>
              <w:rPr>
                <w:rFonts w:hint="eastAsia"/>
                <w:lang w:val="en-US" w:eastAsia="zh-CN"/>
              </w:rPr>
              <w:t>L02</w:t>
            </w:r>
          </w:p>
        </w:tc>
        <w:tc>
          <w:tcPr>
            <w:tcW w:w="794" w:type="dxa"/>
            <w:vMerge w:val="restart"/>
            <w:tcBorders>
              <w:left w:val="single" w:color="auto" w:sz="4" w:space="0"/>
            </w:tcBorders>
            <w:vAlign w:val="center"/>
          </w:tcPr>
          <w:p w14:paraId="4244A695">
            <w:pPr>
              <w:pStyle w:val="15"/>
              <w:rPr>
                <w:rFonts w:hint="default" w:eastAsia="宋体" w:cs="Times New Roman"/>
                <w:bCs/>
                <w:lang w:val="en-US" w:eastAsia="zh-CN"/>
              </w:rPr>
            </w:pPr>
            <w:r>
              <w:rPr>
                <w:rFonts w:hint="eastAsia" w:cs="Times New Roman"/>
                <w:bCs/>
                <w:lang w:val="en-US" w:eastAsia="zh-CN"/>
              </w:rPr>
              <w:t>②</w:t>
            </w:r>
          </w:p>
        </w:tc>
        <w:tc>
          <w:tcPr>
            <w:tcW w:w="794" w:type="dxa"/>
            <w:vMerge w:val="restart"/>
            <w:tcBorders>
              <w:right w:val="double" w:color="auto" w:sz="4" w:space="0"/>
            </w:tcBorders>
            <w:shd w:val="clear" w:color="auto" w:fill="auto"/>
            <w:vAlign w:val="center"/>
          </w:tcPr>
          <w:p w14:paraId="24727EF9">
            <w:pPr>
              <w:pStyle w:val="15"/>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5D6B7A56">
            <w:pPr>
              <w:widowControl w:val="0"/>
              <w:spacing w:line="312" w:lineRule="auto"/>
              <w:ind w:firstLine="400" w:firstLineChars="200"/>
              <w:jc w:val="left"/>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健康评估：能全面评估服务对象的健康状态，具有健康监测、健康风险评估能力。</w:t>
            </w:r>
          </w:p>
        </w:tc>
        <w:tc>
          <w:tcPr>
            <w:tcW w:w="1348" w:type="dxa"/>
            <w:tcBorders>
              <w:right w:val="single" w:color="auto" w:sz="12" w:space="0"/>
            </w:tcBorders>
            <w:vAlign w:val="center"/>
          </w:tcPr>
          <w:p w14:paraId="387F5254">
            <w:pPr>
              <w:pStyle w:val="15"/>
              <w:rPr>
                <w:rFonts w:hint="default" w:ascii="宋体" w:hAnsi="宋体" w:eastAsia="宋体"/>
                <w:bCs/>
                <w:lang w:val="en-US" w:eastAsia="zh-CN"/>
              </w:rPr>
            </w:pPr>
            <w:r>
              <w:rPr>
                <w:rFonts w:hint="eastAsia" w:ascii="宋体" w:hAnsi="宋体"/>
                <w:bCs/>
                <w:lang w:val="en-US" w:eastAsia="zh-CN"/>
              </w:rPr>
              <w:t>40%</w:t>
            </w:r>
          </w:p>
        </w:tc>
      </w:tr>
      <w:tr w14:paraId="1DC3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9F0BBD0">
            <w:pPr>
              <w:pStyle w:val="15"/>
            </w:pPr>
          </w:p>
        </w:tc>
        <w:tc>
          <w:tcPr>
            <w:tcW w:w="794" w:type="dxa"/>
            <w:vMerge w:val="continue"/>
            <w:tcBorders>
              <w:left w:val="single" w:color="auto" w:sz="4" w:space="0"/>
            </w:tcBorders>
            <w:vAlign w:val="center"/>
          </w:tcPr>
          <w:p w14:paraId="6BBE3E6E">
            <w:pPr>
              <w:pStyle w:val="15"/>
              <w:rPr>
                <w:rFonts w:cs="Times New Roman"/>
                <w:bCs/>
              </w:rPr>
            </w:pPr>
          </w:p>
        </w:tc>
        <w:tc>
          <w:tcPr>
            <w:tcW w:w="794" w:type="dxa"/>
            <w:vMerge w:val="continue"/>
            <w:tcBorders>
              <w:right w:val="double" w:color="auto" w:sz="4" w:space="0"/>
            </w:tcBorders>
            <w:shd w:val="clear" w:color="auto" w:fill="auto"/>
            <w:vAlign w:val="center"/>
          </w:tcPr>
          <w:p w14:paraId="4C45733C">
            <w:pPr>
              <w:pStyle w:val="15"/>
              <w:rPr>
                <w:rFonts w:ascii="宋体" w:hAnsi="宋体"/>
              </w:rPr>
            </w:pPr>
          </w:p>
        </w:tc>
        <w:tc>
          <w:tcPr>
            <w:tcW w:w="4763" w:type="dxa"/>
            <w:vAlign w:val="center"/>
          </w:tcPr>
          <w:p w14:paraId="5FD02608">
            <w:pPr>
              <w:widowControl w:val="0"/>
              <w:spacing w:line="312" w:lineRule="auto"/>
              <w:ind w:firstLine="400" w:firstLineChars="200"/>
              <w:jc w:val="left"/>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能利用职业卫生与职业医学知识，全面确定服务对象的健康需求。</w:t>
            </w:r>
          </w:p>
        </w:tc>
        <w:tc>
          <w:tcPr>
            <w:tcW w:w="1348" w:type="dxa"/>
            <w:tcBorders>
              <w:right w:val="single" w:color="auto" w:sz="12" w:space="0"/>
            </w:tcBorders>
            <w:vAlign w:val="center"/>
          </w:tcPr>
          <w:p w14:paraId="186217B0">
            <w:pPr>
              <w:pStyle w:val="15"/>
              <w:rPr>
                <w:rFonts w:hint="default" w:ascii="宋体" w:hAnsi="宋体" w:eastAsia="宋体"/>
                <w:bCs/>
                <w:lang w:val="en-US" w:eastAsia="zh-CN"/>
              </w:rPr>
            </w:pPr>
            <w:r>
              <w:rPr>
                <w:rFonts w:hint="eastAsia" w:ascii="宋体" w:hAnsi="宋体"/>
                <w:bCs/>
                <w:lang w:val="en-US" w:eastAsia="zh-CN"/>
              </w:rPr>
              <w:t>40%</w:t>
            </w:r>
          </w:p>
        </w:tc>
      </w:tr>
      <w:tr w14:paraId="4025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0B2BB18">
            <w:pPr>
              <w:pStyle w:val="15"/>
            </w:pPr>
          </w:p>
        </w:tc>
        <w:tc>
          <w:tcPr>
            <w:tcW w:w="794" w:type="dxa"/>
            <w:vMerge w:val="continue"/>
            <w:tcBorders>
              <w:left w:val="single" w:color="auto" w:sz="4" w:space="0"/>
            </w:tcBorders>
            <w:vAlign w:val="center"/>
          </w:tcPr>
          <w:p w14:paraId="5607CA90">
            <w:pPr>
              <w:pStyle w:val="15"/>
              <w:rPr>
                <w:rFonts w:cs="Times New Roman"/>
                <w:bCs/>
              </w:rPr>
            </w:pPr>
          </w:p>
        </w:tc>
        <w:tc>
          <w:tcPr>
            <w:tcW w:w="794" w:type="dxa"/>
            <w:vMerge w:val="continue"/>
            <w:tcBorders>
              <w:right w:val="double" w:color="auto" w:sz="4" w:space="0"/>
            </w:tcBorders>
            <w:shd w:val="clear" w:color="auto" w:fill="auto"/>
            <w:vAlign w:val="center"/>
          </w:tcPr>
          <w:p w14:paraId="1DFF2AE1">
            <w:pPr>
              <w:pStyle w:val="15"/>
              <w:rPr>
                <w:rFonts w:ascii="宋体" w:hAnsi="宋体"/>
              </w:rPr>
            </w:pPr>
          </w:p>
        </w:tc>
        <w:tc>
          <w:tcPr>
            <w:tcW w:w="4763" w:type="dxa"/>
            <w:vAlign w:val="center"/>
          </w:tcPr>
          <w:p w14:paraId="0315E6CA">
            <w:pPr>
              <w:widowControl w:val="0"/>
              <w:spacing w:line="312" w:lineRule="auto"/>
              <w:ind w:firstLine="400" w:firstLineChars="200"/>
              <w:jc w:val="left"/>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 xml:space="preserve">掌握慢性病管理相关知识，协助医生开展慢性病病人社区健康管理。 </w:t>
            </w:r>
          </w:p>
        </w:tc>
        <w:tc>
          <w:tcPr>
            <w:tcW w:w="1348" w:type="dxa"/>
            <w:tcBorders>
              <w:right w:val="single" w:color="auto" w:sz="12" w:space="0"/>
            </w:tcBorders>
            <w:vAlign w:val="center"/>
          </w:tcPr>
          <w:p w14:paraId="51CC0B81">
            <w:pPr>
              <w:pStyle w:val="15"/>
              <w:rPr>
                <w:rFonts w:hint="default" w:ascii="宋体" w:hAnsi="宋体" w:eastAsia="宋体"/>
                <w:bCs/>
                <w:lang w:val="en-US" w:eastAsia="zh-CN"/>
              </w:rPr>
            </w:pPr>
            <w:r>
              <w:rPr>
                <w:rFonts w:hint="eastAsia" w:ascii="宋体" w:hAnsi="宋体"/>
                <w:bCs/>
                <w:lang w:val="en-US" w:eastAsia="zh-CN"/>
              </w:rPr>
              <w:t>20%</w:t>
            </w:r>
          </w:p>
        </w:tc>
      </w:tr>
      <w:tr w14:paraId="4194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6776F6D2">
            <w:pPr>
              <w:pStyle w:val="15"/>
              <w:rPr>
                <w:rFonts w:hint="default" w:eastAsia="宋体"/>
                <w:lang w:val="en-US" w:eastAsia="zh-CN"/>
              </w:rPr>
            </w:pPr>
            <w:r>
              <w:rPr>
                <w:rFonts w:hint="eastAsia"/>
                <w:lang w:val="en-US" w:eastAsia="zh-CN"/>
              </w:rPr>
              <w:t>L03</w:t>
            </w:r>
          </w:p>
        </w:tc>
        <w:tc>
          <w:tcPr>
            <w:tcW w:w="794" w:type="dxa"/>
            <w:tcBorders>
              <w:left w:val="single" w:color="auto" w:sz="4" w:space="0"/>
              <w:bottom w:val="single" w:color="auto" w:sz="12" w:space="0"/>
            </w:tcBorders>
            <w:vAlign w:val="center"/>
          </w:tcPr>
          <w:p w14:paraId="5EF7CB4B">
            <w:pPr>
              <w:pStyle w:val="15"/>
              <w:rPr>
                <w:rFonts w:hint="eastAsia" w:eastAsia="宋体" w:cs="Times New Roman"/>
                <w:bCs/>
                <w:lang w:val="en-US" w:eastAsia="zh-CN"/>
              </w:rPr>
            </w:pPr>
            <w:r>
              <w:rPr>
                <w:rFonts w:hint="eastAsia" w:cs="Times New Roman"/>
                <w:bCs/>
                <w:lang w:val="en-US" w:eastAsia="zh-CN"/>
              </w:rPr>
              <w:t>②</w:t>
            </w:r>
          </w:p>
        </w:tc>
        <w:tc>
          <w:tcPr>
            <w:tcW w:w="794" w:type="dxa"/>
            <w:tcBorders>
              <w:bottom w:val="single" w:color="auto" w:sz="12" w:space="0"/>
              <w:right w:val="double" w:color="auto" w:sz="4" w:space="0"/>
            </w:tcBorders>
            <w:shd w:val="clear" w:color="auto" w:fill="auto"/>
            <w:vAlign w:val="center"/>
          </w:tcPr>
          <w:p w14:paraId="2CC21637">
            <w:pPr>
              <w:pStyle w:val="15"/>
              <w:rPr>
                <w:rFonts w:hint="eastAsia" w:ascii="宋体" w:hAnsi="宋体" w:eastAsia="宋体"/>
                <w:lang w:val="en-US" w:eastAsia="zh-CN"/>
              </w:rPr>
            </w:pPr>
            <w:r>
              <w:rPr>
                <w:rFonts w:hint="eastAsia" w:ascii="宋体" w:hAnsi="宋体"/>
                <w:lang w:val="en-US" w:eastAsia="zh-CN"/>
              </w:rPr>
              <w:t>H</w:t>
            </w:r>
          </w:p>
        </w:tc>
        <w:tc>
          <w:tcPr>
            <w:tcW w:w="4763" w:type="dxa"/>
            <w:tcBorders>
              <w:bottom w:val="single" w:color="auto" w:sz="12" w:space="0"/>
            </w:tcBorders>
            <w:vAlign w:val="center"/>
          </w:tcPr>
          <w:p w14:paraId="63DC2476">
            <w:pPr>
              <w:pStyle w:val="15"/>
              <w:jc w:val="left"/>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在集体活动中能主动担任自己的角色，与其他成员密切合作，共同完成任务。</w:t>
            </w:r>
          </w:p>
        </w:tc>
        <w:tc>
          <w:tcPr>
            <w:tcW w:w="1348" w:type="dxa"/>
            <w:tcBorders>
              <w:bottom w:val="single" w:color="auto" w:sz="12" w:space="0"/>
              <w:right w:val="single" w:color="auto" w:sz="12" w:space="0"/>
            </w:tcBorders>
            <w:vAlign w:val="center"/>
          </w:tcPr>
          <w:p w14:paraId="6778D280">
            <w:pPr>
              <w:pStyle w:val="15"/>
              <w:rPr>
                <w:rFonts w:hint="default" w:ascii="宋体" w:hAnsi="宋体" w:eastAsia="宋体"/>
                <w:bCs/>
                <w:lang w:val="en-US" w:eastAsia="zh-CN"/>
              </w:rPr>
            </w:pPr>
            <w:r>
              <w:rPr>
                <w:rFonts w:hint="eastAsia" w:ascii="宋体" w:hAnsi="宋体"/>
                <w:bCs/>
                <w:lang w:val="en-US" w:eastAsia="zh-CN"/>
              </w:rPr>
              <w:t>100%</w:t>
            </w:r>
          </w:p>
        </w:tc>
      </w:tr>
    </w:tbl>
    <w:p w14:paraId="38DA8E11">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CDB3950">
      <w:pPr>
        <w:pStyle w:val="18"/>
        <w:spacing w:before="81" w:after="163"/>
      </w:pPr>
      <w:r>
        <w:rPr>
          <w:rFonts w:hint="eastAsia"/>
        </w:rPr>
        <w:t>（一）各教学单元预期学习成果与教学内容</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706"/>
        <w:gridCol w:w="3089"/>
        <w:gridCol w:w="2469"/>
        <w:gridCol w:w="1825"/>
      </w:tblGrid>
      <w:tr w14:paraId="6424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4" w:type="pct"/>
            <w:vAlign w:val="center"/>
          </w:tcPr>
          <w:p w14:paraId="0A8FACB1">
            <w:pPr>
              <w:snapToGrid w:val="0"/>
              <w:spacing w:line="300" w:lineRule="exact"/>
              <w:jc w:val="center"/>
              <w:rPr>
                <w:rFonts w:ascii="宋体" w:hAnsi="宋体"/>
                <w:b/>
                <w:sz w:val="20"/>
                <w:szCs w:val="20"/>
              </w:rPr>
            </w:pPr>
            <w:r>
              <w:rPr>
                <w:rFonts w:hint="eastAsia" w:ascii="宋体" w:hAnsi="宋体"/>
                <w:b/>
                <w:sz w:val="20"/>
                <w:szCs w:val="20"/>
              </w:rPr>
              <w:t>序号</w:t>
            </w:r>
          </w:p>
        </w:tc>
        <w:tc>
          <w:tcPr>
            <w:tcW w:w="414" w:type="pct"/>
            <w:vAlign w:val="center"/>
          </w:tcPr>
          <w:p w14:paraId="69A62812">
            <w:pPr>
              <w:snapToGrid w:val="0"/>
              <w:spacing w:line="300" w:lineRule="exact"/>
              <w:jc w:val="center"/>
              <w:rPr>
                <w:rFonts w:ascii="宋体" w:hAnsi="宋体"/>
                <w:b/>
                <w:sz w:val="20"/>
                <w:szCs w:val="20"/>
              </w:rPr>
            </w:pPr>
            <w:r>
              <w:rPr>
                <w:rFonts w:hint="eastAsia" w:ascii="宋体" w:hAnsi="宋体"/>
                <w:b/>
                <w:sz w:val="20"/>
                <w:szCs w:val="20"/>
              </w:rPr>
              <w:t>单元名称</w:t>
            </w:r>
          </w:p>
        </w:tc>
        <w:tc>
          <w:tcPr>
            <w:tcW w:w="1812" w:type="pct"/>
            <w:vAlign w:val="center"/>
          </w:tcPr>
          <w:p w14:paraId="267FFB43">
            <w:pPr>
              <w:snapToGrid w:val="0"/>
              <w:spacing w:line="300" w:lineRule="exact"/>
              <w:jc w:val="center"/>
              <w:rPr>
                <w:rFonts w:ascii="宋体" w:hAnsi="宋体"/>
                <w:b/>
                <w:sz w:val="20"/>
                <w:szCs w:val="20"/>
              </w:rPr>
            </w:pPr>
            <w:r>
              <w:rPr>
                <w:rFonts w:hint="eastAsia" w:ascii="宋体" w:hAnsi="宋体"/>
                <w:b/>
                <w:sz w:val="20"/>
                <w:szCs w:val="20"/>
              </w:rPr>
              <w:t>知识点</w:t>
            </w:r>
          </w:p>
        </w:tc>
        <w:tc>
          <w:tcPr>
            <w:tcW w:w="1448" w:type="pct"/>
            <w:vAlign w:val="center"/>
          </w:tcPr>
          <w:p w14:paraId="2E9AC7B3">
            <w:pPr>
              <w:snapToGrid w:val="0"/>
              <w:spacing w:line="300" w:lineRule="exact"/>
              <w:jc w:val="center"/>
              <w:rPr>
                <w:rFonts w:ascii="宋体" w:hAnsi="宋体"/>
                <w:b/>
                <w:sz w:val="20"/>
                <w:szCs w:val="20"/>
              </w:rPr>
            </w:pPr>
            <w:r>
              <w:rPr>
                <w:rFonts w:hint="eastAsia" w:ascii="宋体" w:hAnsi="宋体"/>
                <w:b/>
                <w:sz w:val="20"/>
                <w:szCs w:val="20"/>
              </w:rPr>
              <w:t>能力目标</w:t>
            </w:r>
          </w:p>
        </w:tc>
        <w:tc>
          <w:tcPr>
            <w:tcW w:w="1070" w:type="pct"/>
            <w:vAlign w:val="center"/>
          </w:tcPr>
          <w:p w14:paraId="1E907222">
            <w:pPr>
              <w:spacing w:line="300" w:lineRule="exact"/>
              <w:jc w:val="center"/>
              <w:rPr>
                <w:rFonts w:ascii="宋体" w:hAnsi="宋体"/>
                <w:b/>
                <w:kern w:val="0"/>
                <w:sz w:val="20"/>
                <w:szCs w:val="20"/>
              </w:rPr>
            </w:pPr>
            <w:r>
              <w:rPr>
                <w:rFonts w:hint="eastAsia" w:ascii="宋体" w:hAnsi="宋体"/>
                <w:b/>
                <w:kern w:val="0"/>
                <w:sz w:val="20"/>
                <w:szCs w:val="20"/>
              </w:rPr>
              <w:t>教学难点</w:t>
            </w:r>
          </w:p>
        </w:tc>
      </w:tr>
      <w:tr w14:paraId="0DF1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4" w:type="pct"/>
            <w:vAlign w:val="center"/>
          </w:tcPr>
          <w:p w14:paraId="347C7E0A">
            <w:pPr>
              <w:snapToGrid w:val="0"/>
              <w:spacing w:line="340" w:lineRule="exact"/>
              <w:jc w:val="center"/>
              <w:rPr>
                <w:rFonts w:ascii="宋体" w:hAnsi="宋体"/>
                <w:sz w:val="20"/>
                <w:szCs w:val="20"/>
              </w:rPr>
            </w:pPr>
            <w:r>
              <w:rPr>
                <w:rFonts w:hint="eastAsia" w:ascii="宋体" w:hAnsi="宋体"/>
                <w:sz w:val="20"/>
                <w:szCs w:val="20"/>
              </w:rPr>
              <w:t>1</w:t>
            </w:r>
          </w:p>
        </w:tc>
        <w:tc>
          <w:tcPr>
            <w:tcW w:w="414" w:type="pct"/>
            <w:vAlign w:val="center"/>
          </w:tcPr>
          <w:p w14:paraId="7F7B737F">
            <w:pPr>
              <w:snapToGrid w:val="0"/>
              <w:spacing w:line="340" w:lineRule="exact"/>
              <w:jc w:val="left"/>
              <w:rPr>
                <w:rFonts w:ascii="宋体" w:hAnsi="宋体"/>
                <w:sz w:val="20"/>
                <w:szCs w:val="20"/>
              </w:rPr>
            </w:pPr>
            <w:r>
              <w:rPr>
                <w:rFonts w:hint="eastAsia" w:ascii="宋体" w:hAnsi="宋体"/>
                <w:sz w:val="20"/>
                <w:szCs w:val="20"/>
              </w:rPr>
              <w:t>绪论</w:t>
            </w:r>
          </w:p>
          <w:p w14:paraId="4FBEAD0F">
            <w:pPr>
              <w:snapToGrid w:val="0"/>
              <w:spacing w:line="340" w:lineRule="exact"/>
              <w:jc w:val="center"/>
              <w:rPr>
                <w:rFonts w:ascii="宋体" w:hAnsi="宋体"/>
                <w:sz w:val="20"/>
                <w:szCs w:val="20"/>
              </w:rPr>
            </w:pPr>
            <w:r>
              <w:rPr>
                <w:rFonts w:hint="eastAsia" w:ascii="宋体" w:hAnsi="宋体"/>
                <w:sz w:val="20"/>
                <w:szCs w:val="20"/>
              </w:rPr>
              <w:t xml:space="preserve"> </w:t>
            </w:r>
            <w:r>
              <w:rPr>
                <w:rFonts w:ascii="宋体" w:hAnsi="宋体"/>
                <w:sz w:val="20"/>
                <w:szCs w:val="20"/>
              </w:rPr>
              <w:t xml:space="preserve">  </w:t>
            </w:r>
            <w:r>
              <w:rPr>
                <w:rFonts w:hint="eastAsia" w:ascii="宋体" w:hAnsi="宋体"/>
                <w:sz w:val="20"/>
                <w:szCs w:val="20"/>
              </w:rPr>
              <w:t>职业卫生与职业医学研究方法与应用</w:t>
            </w:r>
          </w:p>
        </w:tc>
        <w:tc>
          <w:tcPr>
            <w:tcW w:w="1812" w:type="pct"/>
          </w:tcPr>
          <w:p w14:paraId="524E818A">
            <w:pPr>
              <w:spacing w:line="340" w:lineRule="exact"/>
              <w:jc w:val="left"/>
              <w:rPr>
                <w:rFonts w:ascii="宋体" w:hAnsi="宋体"/>
                <w:sz w:val="20"/>
                <w:szCs w:val="20"/>
              </w:rPr>
            </w:pPr>
            <w:r>
              <w:rPr>
                <w:rFonts w:hint="eastAsia" w:ascii="宋体" w:hAnsi="宋体"/>
                <w:kern w:val="0"/>
                <w:sz w:val="20"/>
                <w:szCs w:val="20"/>
              </w:rPr>
              <w:t>1.知道职业性有害因素的概念、职业与健康的关系、职业性损害的三级预防。</w:t>
            </w:r>
          </w:p>
          <w:p w14:paraId="1123BB54">
            <w:pPr>
              <w:spacing w:line="340" w:lineRule="exact"/>
              <w:jc w:val="left"/>
              <w:rPr>
                <w:rFonts w:ascii="宋体" w:hAnsi="宋体"/>
                <w:kern w:val="0"/>
                <w:sz w:val="20"/>
                <w:szCs w:val="20"/>
              </w:rPr>
            </w:pPr>
            <w:r>
              <w:rPr>
                <w:rFonts w:hint="eastAsia" w:ascii="宋体" w:hAnsi="宋体"/>
                <w:kern w:val="0"/>
                <w:sz w:val="20"/>
                <w:szCs w:val="20"/>
              </w:rPr>
              <w:t>2.了解职业流行病学的概念。</w:t>
            </w:r>
          </w:p>
          <w:p w14:paraId="4AFF4A7E">
            <w:pPr>
              <w:spacing w:line="340" w:lineRule="exact"/>
              <w:jc w:val="left"/>
              <w:rPr>
                <w:rFonts w:ascii="宋体" w:hAnsi="宋体"/>
                <w:kern w:val="0"/>
                <w:sz w:val="20"/>
                <w:szCs w:val="20"/>
              </w:rPr>
            </w:pPr>
            <w:r>
              <w:rPr>
                <w:rFonts w:hint="eastAsia" w:ascii="宋体" w:hAnsi="宋体"/>
                <w:kern w:val="0"/>
                <w:sz w:val="20"/>
                <w:szCs w:val="20"/>
              </w:rPr>
              <w:t>3.知道职业生理学、心理学、工效学、职业紧张、职业生物力学、姿势负荷的概念。</w:t>
            </w:r>
          </w:p>
          <w:p w14:paraId="28A71134">
            <w:pPr>
              <w:spacing w:line="340" w:lineRule="exact"/>
              <w:jc w:val="left"/>
              <w:rPr>
                <w:rFonts w:ascii="宋体" w:hAnsi="宋体"/>
                <w:kern w:val="0"/>
                <w:sz w:val="20"/>
                <w:szCs w:val="20"/>
              </w:rPr>
            </w:pPr>
            <w:r>
              <w:rPr>
                <w:rFonts w:hint="eastAsia" w:ascii="宋体" w:hAnsi="宋体"/>
                <w:kern w:val="0"/>
                <w:sz w:val="20"/>
                <w:szCs w:val="20"/>
              </w:rPr>
              <w:t>4.了解职业毒理学的概念；职业工效学的主要内容；脑力劳动的职业卫生要求。</w:t>
            </w:r>
          </w:p>
          <w:p w14:paraId="239A66DF">
            <w:pPr>
              <w:spacing w:line="340" w:lineRule="exact"/>
              <w:jc w:val="left"/>
              <w:rPr>
                <w:rFonts w:ascii="宋体" w:hAnsi="宋体"/>
                <w:kern w:val="0"/>
                <w:sz w:val="20"/>
                <w:szCs w:val="20"/>
              </w:rPr>
            </w:pPr>
            <w:r>
              <w:rPr>
                <w:rFonts w:hint="eastAsia" w:ascii="宋体" w:hAnsi="宋体"/>
                <w:kern w:val="0"/>
                <w:sz w:val="20"/>
                <w:szCs w:val="20"/>
              </w:rPr>
              <w:t>5.理解职业紧张反应的类型、劳动过程中的职业紧张因素、职业紧张反应的表现。</w:t>
            </w:r>
          </w:p>
        </w:tc>
        <w:tc>
          <w:tcPr>
            <w:tcW w:w="1448" w:type="pct"/>
          </w:tcPr>
          <w:p w14:paraId="15396F47">
            <w:pPr>
              <w:spacing w:line="340" w:lineRule="exact"/>
              <w:jc w:val="left"/>
              <w:rPr>
                <w:rFonts w:ascii="宋体" w:hAnsi="宋体"/>
                <w:kern w:val="0"/>
                <w:sz w:val="20"/>
                <w:szCs w:val="20"/>
              </w:rPr>
            </w:pPr>
            <w:r>
              <w:rPr>
                <w:rFonts w:hint="eastAsia" w:ascii="宋体" w:hAnsi="宋体"/>
                <w:kern w:val="0"/>
                <w:sz w:val="20"/>
                <w:szCs w:val="20"/>
              </w:rPr>
              <w:t>1．能说出职业性有害因素的种类；能理解三级预防的原则。</w:t>
            </w:r>
          </w:p>
          <w:p w14:paraId="242EA752">
            <w:pPr>
              <w:spacing w:line="340" w:lineRule="exact"/>
              <w:jc w:val="left"/>
              <w:rPr>
                <w:rFonts w:ascii="宋体" w:hAnsi="宋体"/>
                <w:kern w:val="0"/>
                <w:sz w:val="20"/>
                <w:szCs w:val="20"/>
              </w:rPr>
            </w:pPr>
            <w:r>
              <w:rPr>
                <w:rFonts w:hint="eastAsia" w:ascii="宋体" w:hAnsi="宋体"/>
                <w:kern w:val="0"/>
                <w:sz w:val="20"/>
                <w:szCs w:val="20"/>
              </w:rPr>
              <w:t>2．能运用职业流行病学调查方法；能说出职业生理学、心理学、工效学概念。</w:t>
            </w:r>
          </w:p>
          <w:p w14:paraId="34BBB84D">
            <w:pPr>
              <w:spacing w:line="340" w:lineRule="exact"/>
              <w:jc w:val="left"/>
              <w:rPr>
                <w:rFonts w:ascii="宋体" w:hAnsi="宋体"/>
                <w:kern w:val="0"/>
                <w:sz w:val="20"/>
                <w:szCs w:val="20"/>
              </w:rPr>
            </w:pPr>
            <w:r>
              <w:rPr>
                <w:rFonts w:hint="eastAsia" w:ascii="宋体" w:hAnsi="宋体"/>
                <w:kern w:val="0"/>
                <w:sz w:val="20"/>
                <w:szCs w:val="20"/>
              </w:rPr>
              <w:t>3．能运用体力劳动强度分级的指标及分级。</w:t>
            </w:r>
          </w:p>
          <w:p w14:paraId="5249410D">
            <w:pPr>
              <w:spacing w:line="340" w:lineRule="exact"/>
              <w:jc w:val="left"/>
              <w:rPr>
                <w:rFonts w:ascii="宋体" w:hAnsi="宋体"/>
                <w:kern w:val="0"/>
                <w:sz w:val="20"/>
                <w:szCs w:val="20"/>
              </w:rPr>
            </w:pPr>
            <w:r>
              <w:rPr>
                <w:rFonts w:hint="eastAsia" w:ascii="宋体" w:hAnsi="宋体"/>
                <w:kern w:val="0"/>
                <w:sz w:val="20"/>
                <w:szCs w:val="20"/>
              </w:rPr>
              <w:t>4．说出劳动负荷评价的目的、人体测量学的作用。</w:t>
            </w:r>
          </w:p>
          <w:p w14:paraId="33691B6D">
            <w:pPr>
              <w:spacing w:line="340" w:lineRule="exact"/>
              <w:jc w:val="left"/>
              <w:rPr>
                <w:rFonts w:ascii="宋体" w:hAnsi="宋体"/>
                <w:kern w:val="0"/>
                <w:sz w:val="20"/>
                <w:szCs w:val="20"/>
              </w:rPr>
            </w:pPr>
            <w:r>
              <w:rPr>
                <w:rFonts w:hint="eastAsia" w:ascii="宋体" w:hAnsi="宋体"/>
                <w:kern w:val="0"/>
                <w:sz w:val="20"/>
                <w:szCs w:val="20"/>
              </w:rPr>
              <w:t>5．能运用职业紧张控制和干预的综合性措施。</w:t>
            </w:r>
          </w:p>
        </w:tc>
        <w:tc>
          <w:tcPr>
            <w:tcW w:w="1070" w:type="pct"/>
          </w:tcPr>
          <w:p w14:paraId="49BFB2C8">
            <w:pPr>
              <w:spacing w:line="340" w:lineRule="exact"/>
              <w:jc w:val="left"/>
              <w:rPr>
                <w:rFonts w:ascii="宋体" w:hAnsi="宋体"/>
                <w:kern w:val="0"/>
                <w:sz w:val="20"/>
                <w:szCs w:val="20"/>
              </w:rPr>
            </w:pPr>
            <w:r>
              <w:rPr>
                <w:rFonts w:hint="eastAsia" w:ascii="宋体" w:hAnsi="宋体"/>
                <w:kern w:val="0"/>
                <w:sz w:val="20"/>
                <w:szCs w:val="20"/>
              </w:rPr>
              <w:t>1．三级预防的策略。2.职业病、工作有关疾病、工伤的鉴别。</w:t>
            </w:r>
          </w:p>
          <w:p w14:paraId="55621AB6">
            <w:pPr>
              <w:spacing w:line="340" w:lineRule="exact"/>
              <w:jc w:val="left"/>
              <w:rPr>
                <w:rFonts w:ascii="宋体" w:hAnsi="宋体"/>
                <w:kern w:val="0"/>
                <w:sz w:val="20"/>
                <w:szCs w:val="20"/>
              </w:rPr>
            </w:pPr>
            <w:r>
              <w:rPr>
                <w:rFonts w:hint="eastAsia" w:ascii="宋体" w:hAnsi="宋体"/>
                <w:kern w:val="0"/>
                <w:sz w:val="20"/>
                <w:szCs w:val="20"/>
              </w:rPr>
              <w:t>3.各类型调查注意的问题。</w:t>
            </w:r>
            <w:r>
              <w:rPr>
                <w:rFonts w:hint="eastAsia" w:ascii="宋体" w:hAnsi="宋体"/>
                <w:sz w:val="20"/>
                <w:szCs w:val="20"/>
              </w:rPr>
              <w:t xml:space="preserve"> </w:t>
            </w:r>
            <w:r>
              <w:rPr>
                <w:rFonts w:hint="eastAsia" w:ascii="宋体" w:hAnsi="宋体"/>
                <w:kern w:val="0"/>
                <w:sz w:val="20"/>
                <w:szCs w:val="20"/>
              </w:rPr>
              <w:t>4.体力劳动过程的生理变化与适应。</w:t>
            </w:r>
          </w:p>
          <w:p w14:paraId="62B5C46F">
            <w:pPr>
              <w:spacing w:line="340" w:lineRule="exact"/>
              <w:jc w:val="left"/>
              <w:rPr>
                <w:rFonts w:ascii="宋体" w:hAnsi="宋体"/>
                <w:kern w:val="0"/>
                <w:sz w:val="20"/>
                <w:szCs w:val="20"/>
              </w:rPr>
            </w:pPr>
            <w:r>
              <w:rPr>
                <w:rFonts w:hint="eastAsia" w:ascii="宋体" w:hAnsi="宋体"/>
                <w:kern w:val="0"/>
                <w:sz w:val="20"/>
                <w:szCs w:val="20"/>
              </w:rPr>
              <w:t>5.劳动负荷评价。</w:t>
            </w:r>
          </w:p>
          <w:p w14:paraId="71501435">
            <w:pPr>
              <w:spacing w:line="340" w:lineRule="exact"/>
              <w:jc w:val="left"/>
              <w:rPr>
                <w:rFonts w:ascii="宋体" w:hAnsi="宋体"/>
                <w:kern w:val="0"/>
                <w:sz w:val="20"/>
                <w:szCs w:val="20"/>
              </w:rPr>
            </w:pPr>
            <w:r>
              <w:rPr>
                <w:rFonts w:hint="eastAsia" w:ascii="宋体" w:hAnsi="宋体"/>
                <w:kern w:val="0"/>
                <w:sz w:val="20"/>
                <w:szCs w:val="20"/>
              </w:rPr>
              <w:t>6.作业能力的主要影响因素及其改善措施。</w:t>
            </w:r>
          </w:p>
        </w:tc>
      </w:tr>
      <w:tr w14:paraId="24BA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4" w:type="pct"/>
            <w:vAlign w:val="center"/>
          </w:tcPr>
          <w:p w14:paraId="371192EB">
            <w:pPr>
              <w:snapToGrid w:val="0"/>
              <w:spacing w:line="300" w:lineRule="exact"/>
              <w:jc w:val="center"/>
              <w:rPr>
                <w:rFonts w:ascii="宋体" w:hAnsi="宋体"/>
                <w:sz w:val="20"/>
                <w:szCs w:val="20"/>
              </w:rPr>
            </w:pPr>
            <w:r>
              <w:rPr>
                <w:rFonts w:hint="eastAsia" w:ascii="宋体" w:hAnsi="宋体"/>
                <w:sz w:val="20"/>
                <w:szCs w:val="20"/>
              </w:rPr>
              <w:t>2</w:t>
            </w:r>
          </w:p>
        </w:tc>
        <w:tc>
          <w:tcPr>
            <w:tcW w:w="414" w:type="pct"/>
            <w:vAlign w:val="center"/>
          </w:tcPr>
          <w:p w14:paraId="63F7E959">
            <w:pPr>
              <w:spacing w:line="300" w:lineRule="exact"/>
              <w:jc w:val="center"/>
              <w:rPr>
                <w:rFonts w:ascii="宋体" w:hAnsi="宋体"/>
                <w:sz w:val="20"/>
                <w:szCs w:val="20"/>
              </w:rPr>
            </w:pPr>
            <w:r>
              <w:rPr>
                <w:rFonts w:hint="eastAsia" w:ascii="宋体" w:hAnsi="宋体"/>
                <w:sz w:val="20"/>
                <w:szCs w:val="20"/>
              </w:rPr>
              <w:t>生产性毒物与职业中毒</w:t>
            </w:r>
          </w:p>
        </w:tc>
        <w:tc>
          <w:tcPr>
            <w:tcW w:w="1812" w:type="pct"/>
          </w:tcPr>
          <w:p w14:paraId="75F09EE8">
            <w:pPr>
              <w:spacing w:line="300" w:lineRule="exact"/>
              <w:jc w:val="left"/>
              <w:rPr>
                <w:rFonts w:ascii="宋体" w:hAnsi="宋体"/>
                <w:sz w:val="20"/>
                <w:szCs w:val="20"/>
              </w:rPr>
            </w:pPr>
            <w:r>
              <w:rPr>
                <w:rFonts w:hint="eastAsia" w:ascii="宋体" w:hAnsi="宋体"/>
                <w:sz w:val="20"/>
                <w:szCs w:val="20"/>
              </w:rPr>
              <w:t>1.</w:t>
            </w:r>
            <w:r>
              <w:rPr>
                <w:rFonts w:ascii="宋体" w:hAnsi="宋体"/>
                <w:sz w:val="20"/>
                <w:szCs w:val="20"/>
              </w:rPr>
              <w:t>知道</w:t>
            </w:r>
            <w:r>
              <w:rPr>
                <w:rFonts w:hint="eastAsia" w:ascii="宋体" w:hAnsi="宋体"/>
                <w:sz w:val="20"/>
                <w:szCs w:val="20"/>
              </w:rPr>
              <w:t>生产性毒物进入人体的主要途径；影响毒物对机体毒作用的因素；生产性毒物危害的控制原则。</w:t>
            </w:r>
          </w:p>
          <w:p w14:paraId="66E9A9D5">
            <w:pPr>
              <w:spacing w:line="300" w:lineRule="exact"/>
              <w:jc w:val="left"/>
              <w:rPr>
                <w:rFonts w:ascii="宋体" w:hAnsi="宋体"/>
                <w:sz w:val="20"/>
                <w:szCs w:val="20"/>
              </w:rPr>
            </w:pPr>
            <w:r>
              <w:rPr>
                <w:rFonts w:hint="eastAsia" w:ascii="宋体" w:hAnsi="宋体"/>
                <w:sz w:val="20"/>
                <w:szCs w:val="20"/>
              </w:rPr>
              <w:t>2.</w:t>
            </w:r>
            <w:r>
              <w:rPr>
                <w:rFonts w:ascii="宋体" w:hAnsi="宋体"/>
                <w:sz w:val="20"/>
                <w:szCs w:val="20"/>
              </w:rPr>
              <w:t>知道</w:t>
            </w:r>
            <w:r>
              <w:rPr>
                <w:rFonts w:hint="eastAsia" w:ascii="宋体" w:hAnsi="宋体"/>
                <w:sz w:val="20"/>
                <w:szCs w:val="20"/>
              </w:rPr>
              <w:t>金属与类金属、刺激性气体、窒息性气体、有机溶剂、苯的氨基和硝基化合物、高分子化合物、农药中毒的概念、临床表现。</w:t>
            </w:r>
          </w:p>
          <w:p w14:paraId="413B0771">
            <w:pPr>
              <w:spacing w:line="300" w:lineRule="exact"/>
              <w:jc w:val="left"/>
              <w:rPr>
                <w:rFonts w:ascii="宋体" w:hAnsi="宋体"/>
                <w:sz w:val="20"/>
                <w:szCs w:val="20"/>
              </w:rPr>
            </w:pPr>
            <w:r>
              <w:rPr>
                <w:rFonts w:hint="eastAsia" w:ascii="宋体" w:hAnsi="宋体"/>
                <w:sz w:val="20"/>
                <w:szCs w:val="20"/>
              </w:rPr>
              <w:t>3.理解处理原则及预防。</w:t>
            </w:r>
          </w:p>
        </w:tc>
        <w:tc>
          <w:tcPr>
            <w:tcW w:w="1448" w:type="pct"/>
          </w:tcPr>
          <w:p w14:paraId="7BF9364E">
            <w:pPr>
              <w:spacing w:line="300" w:lineRule="exact"/>
              <w:jc w:val="left"/>
              <w:rPr>
                <w:rFonts w:ascii="宋体" w:hAnsi="宋体"/>
                <w:sz w:val="20"/>
                <w:szCs w:val="20"/>
              </w:rPr>
            </w:pPr>
            <w:r>
              <w:rPr>
                <w:rFonts w:hint="eastAsia" w:ascii="宋体" w:hAnsi="宋体"/>
                <w:sz w:val="20"/>
                <w:szCs w:val="20"/>
              </w:rPr>
              <w:t>1.</w:t>
            </w:r>
            <w:r>
              <w:rPr>
                <w:rFonts w:ascii="宋体" w:hAnsi="宋体"/>
                <w:sz w:val="20"/>
                <w:szCs w:val="20"/>
              </w:rPr>
              <w:t>能说出</w:t>
            </w:r>
            <w:r>
              <w:rPr>
                <w:rFonts w:hint="eastAsia" w:ascii="宋体" w:hAnsi="宋体"/>
                <w:sz w:val="20"/>
                <w:szCs w:val="20"/>
              </w:rPr>
              <w:t>职业生理学、职业心理学、职业工效学概念。</w:t>
            </w:r>
          </w:p>
          <w:p w14:paraId="2A0AEA1C">
            <w:pPr>
              <w:spacing w:line="300" w:lineRule="exact"/>
              <w:jc w:val="left"/>
              <w:rPr>
                <w:rFonts w:ascii="宋体" w:hAnsi="宋体"/>
                <w:sz w:val="20"/>
                <w:szCs w:val="20"/>
              </w:rPr>
            </w:pPr>
            <w:r>
              <w:rPr>
                <w:rFonts w:hint="eastAsia" w:ascii="宋体" w:hAnsi="宋体"/>
                <w:sz w:val="20"/>
                <w:szCs w:val="20"/>
              </w:rPr>
              <w:t>2.能运用体力劳动强度分级的指标及分级。</w:t>
            </w:r>
          </w:p>
          <w:p w14:paraId="4FBABB37">
            <w:pPr>
              <w:spacing w:line="300" w:lineRule="exact"/>
              <w:jc w:val="left"/>
              <w:rPr>
                <w:rFonts w:ascii="宋体" w:hAnsi="宋体"/>
                <w:sz w:val="20"/>
                <w:szCs w:val="20"/>
              </w:rPr>
            </w:pPr>
            <w:r>
              <w:rPr>
                <w:rFonts w:hint="eastAsia" w:ascii="宋体" w:hAnsi="宋体"/>
                <w:sz w:val="20"/>
                <w:szCs w:val="20"/>
              </w:rPr>
              <w:t>3.能说出劳动负荷评价的目的、人体测量学的作用。</w:t>
            </w:r>
          </w:p>
          <w:p w14:paraId="0A78525F">
            <w:pPr>
              <w:spacing w:line="300" w:lineRule="exact"/>
              <w:jc w:val="left"/>
              <w:rPr>
                <w:rFonts w:ascii="宋体" w:hAnsi="宋体"/>
                <w:sz w:val="20"/>
                <w:szCs w:val="20"/>
              </w:rPr>
            </w:pPr>
            <w:r>
              <w:rPr>
                <w:rFonts w:hint="eastAsia" w:ascii="宋体" w:hAnsi="宋体"/>
                <w:sz w:val="20"/>
                <w:szCs w:val="20"/>
              </w:rPr>
              <w:t>4．能运用职业紧张控制和干预的综合性措施。</w:t>
            </w:r>
          </w:p>
        </w:tc>
        <w:tc>
          <w:tcPr>
            <w:tcW w:w="1070" w:type="pct"/>
          </w:tcPr>
          <w:p w14:paraId="217D8D2A">
            <w:pPr>
              <w:spacing w:line="300" w:lineRule="exact"/>
              <w:jc w:val="left"/>
              <w:rPr>
                <w:rFonts w:ascii="宋体" w:hAnsi="宋体"/>
                <w:sz w:val="20"/>
                <w:szCs w:val="20"/>
              </w:rPr>
            </w:pPr>
            <w:r>
              <w:rPr>
                <w:rFonts w:hint="eastAsia" w:ascii="宋体" w:hAnsi="宋体"/>
                <w:sz w:val="20"/>
                <w:szCs w:val="20"/>
              </w:rPr>
              <w:t>1．体力劳动过程的生理变化与适应。</w:t>
            </w:r>
          </w:p>
          <w:p w14:paraId="6E855FA9">
            <w:pPr>
              <w:spacing w:line="300" w:lineRule="exact"/>
              <w:jc w:val="left"/>
              <w:rPr>
                <w:rFonts w:ascii="宋体" w:hAnsi="宋体"/>
                <w:sz w:val="20"/>
                <w:szCs w:val="20"/>
              </w:rPr>
            </w:pPr>
            <w:r>
              <w:rPr>
                <w:rFonts w:hint="eastAsia" w:ascii="宋体" w:hAnsi="宋体"/>
                <w:sz w:val="20"/>
                <w:szCs w:val="20"/>
              </w:rPr>
              <w:t>2.劳动负荷评价。</w:t>
            </w:r>
          </w:p>
          <w:p w14:paraId="38C03359">
            <w:pPr>
              <w:spacing w:line="300" w:lineRule="exact"/>
              <w:jc w:val="left"/>
              <w:rPr>
                <w:rFonts w:ascii="宋体" w:hAnsi="宋体"/>
                <w:sz w:val="20"/>
                <w:szCs w:val="20"/>
              </w:rPr>
            </w:pPr>
            <w:r>
              <w:rPr>
                <w:rFonts w:hint="eastAsia" w:ascii="宋体" w:hAnsi="宋体"/>
                <w:sz w:val="20"/>
                <w:szCs w:val="20"/>
              </w:rPr>
              <w:t>3.作业能力的主要影响因素及其改善措施。</w:t>
            </w:r>
          </w:p>
          <w:p w14:paraId="3A54A270">
            <w:pPr>
              <w:spacing w:line="300" w:lineRule="exact"/>
              <w:jc w:val="left"/>
              <w:rPr>
                <w:rFonts w:ascii="宋体" w:hAnsi="宋体"/>
                <w:sz w:val="20"/>
                <w:szCs w:val="20"/>
              </w:rPr>
            </w:pPr>
          </w:p>
        </w:tc>
      </w:tr>
      <w:tr w14:paraId="7140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4" w:type="pct"/>
            <w:vAlign w:val="center"/>
          </w:tcPr>
          <w:p w14:paraId="51024234">
            <w:pPr>
              <w:snapToGrid w:val="0"/>
              <w:spacing w:line="300" w:lineRule="exact"/>
              <w:jc w:val="center"/>
              <w:rPr>
                <w:rFonts w:ascii="宋体" w:hAnsi="宋体"/>
                <w:sz w:val="20"/>
                <w:szCs w:val="20"/>
              </w:rPr>
            </w:pPr>
            <w:r>
              <w:rPr>
                <w:rFonts w:hint="eastAsia" w:ascii="宋体" w:hAnsi="宋体"/>
                <w:sz w:val="20"/>
                <w:szCs w:val="20"/>
              </w:rPr>
              <w:t>3</w:t>
            </w:r>
          </w:p>
        </w:tc>
        <w:tc>
          <w:tcPr>
            <w:tcW w:w="414" w:type="pct"/>
            <w:vAlign w:val="center"/>
          </w:tcPr>
          <w:p w14:paraId="26E85089">
            <w:pPr>
              <w:pStyle w:val="7"/>
              <w:spacing w:before="0" w:beforeAutospacing="0" w:after="0" w:afterAutospacing="0" w:line="300" w:lineRule="exact"/>
              <w:rPr>
                <w:color w:val="auto"/>
                <w:kern w:val="2"/>
                <w:sz w:val="20"/>
                <w:szCs w:val="20"/>
              </w:rPr>
            </w:pPr>
            <w:r>
              <w:rPr>
                <w:rFonts w:hint="eastAsia"/>
                <w:color w:val="auto"/>
                <w:kern w:val="2"/>
                <w:sz w:val="20"/>
                <w:szCs w:val="20"/>
              </w:rPr>
              <w:t>生产性粉尘与职业性肺部疾病</w:t>
            </w:r>
          </w:p>
        </w:tc>
        <w:tc>
          <w:tcPr>
            <w:tcW w:w="1812" w:type="pct"/>
          </w:tcPr>
          <w:p w14:paraId="54485794">
            <w:pPr>
              <w:spacing w:line="300" w:lineRule="exact"/>
              <w:jc w:val="left"/>
              <w:rPr>
                <w:rFonts w:ascii="宋体" w:hAnsi="宋体"/>
                <w:sz w:val="20"/>
                <w:szCs w:val="20"/>
              </w:rPr>
            </w:pPr>
            <w:r>
              <w:rPr>
                <w:rFonts w:hint="eastAsia" w:ascii="宋体" w:hAnsi="宋体"/>
                <w:sz w:val="20"/>
                <w:szCs w:val="20"/>
              </w:rPr>
              <w:t>1.知道生产性粉尘、尘肺病、矽肺、煤工尘肺、硅酸盐尘、硅酸盐尘肺、石棉肺的概念。</w:t>
            </w:r>
          </w:p>
          <w:p w14:paraId="263F2C14">
            <w:pPr>
              <w:spacing w:line="300" w:lineRule="exact"/>
              <w:jc w:val="left"/>
              <w:rPr>
                <w:rFonts w:ascii="宋体" w:hAnsi="宋体"/>
                <w:sz w:val="20"/>
                <w:szCs w:val="20"/>
              </w:rPr>
            </w:pPr>
            <w:r>
              <w:rPr>
                <w:rFonts w:hint="eastAsia" w:ascii="宋体" w:hAnsi="宋体"/>
                <w:sz w:val="20"/>
                <w:szCs w:val="20"/>
              </w:rPr>
              <w:t>2.理解生产性粉尘的理化特性及其卫生学意义；影响矽肺发病的主要因素、临床表现及诊断；煤工尘肺的病理、临床表现与诊断；理解有机粉尘的来源和分类。</w:t>
            </w:r>
          </w:p>
        </w:tc>
        <w:tc>
          <w:tcPr>
            <w:tcW w:w="1448" w:type="pct"/>
          </w:tcPr>
          <w:p w14:paraId="40553D0D">
            <w:pPr>
              <w:spacing w:line="300" w:lineRule="exact"/>
              <w:jc w:val="left"/>
              <w:rPr>
                <w:rFonts w:ascii="宋体" w:hAnsi="宋体"/>
                <w:sz w:val="20"/>
                <w:szCs w:val="20"/>
              </w:rPr>
            </w:pPr>
            <w:r>
              <w:rPr>
                <w:rFonts w:hint="eastAsia" w:ascii="宋体" w:hAnsi="宋体"/>
                <w:sz w:val="20"/>
                <w:szCs w:val="20"/>
              </w:rPr>
              <w:t>1．能说出生产性粉尘对健康的影响。</w:t>
            </w:r>
          </w:p>
          <w:p w14:paraId="7F56930C">
            <w:pPr>
              <w:spacing w:line="300" w:lineRule="exact"/>
              <w:jc w:val="left"/>
              <w:rPr>
                <w:rFonts w:ascii="宋体" w:hAnsi="宋体"/>
                <w:sz w:val="20"/>
                <w:szCs w:val="20"/>
              </w:rPr>
            </w:pPr>
            <w:r>
              <w:rPr>
                <w:rFonts w:hint="eastAsia" w:ascii="宋体" w:hAnsi="宋体"/>
                <w:sz w:val="20"/>
                <w:szCs w:val="20"/>
              </w:rPr>
              <w:t>2．能运用生产性粉尘的控制与防护措施。</w:t>
            </w:r>
          </w:p>
        </w:tc>
        <w:tc>
          <w:tcPr>
            <w:tcW w:w="1070" w:type="pct"/>
          </w:tcPr>
          <w:p w14:paraId="46D15BF0">
            <w:pPr>
              <w:spacing w:line="300" w:lineRule="exact"/>
              <w:jc w:val="left"/>
              <w:rPr>
                <w:rFonts w:ascii="宋体" w:hAnsi="宋体"/>
                <w:sz w:val="20"/>
                <w:szCs w:val="20"/>
              </w:rPr>
            </w:pPr>
            <w:r>
              <w:rPr>
                <w:rFonts w:hint="eastAsia" w:ascii="宋体" w:hAnsi="宋体"/>
                <w:sz w:val="20"/>
                <w:szCs w:val="20"/>
              </w:rPr>
              <w:t>1.生产性粉尘及其危害。</w:t>
            </w:r>
          </w:p>
          <w:p w14:paraId="0444B143">
            <w:pPr>
              <w:spacing w:line="300" w:lineRule="exact"/>
              <w:jc w:val="left"/>
              <w:rPr>
                <w:rFonts w:ascii="宋体" w:hAnsi="宋体"/>
                <w:sz w:val="20"/>
                <w:szCs w:val="20"/>
              </w:rPr>
            </w:pPr>
            <w:r>
              <w:rPr>
                <w:rFonts w:hint="eastAsia" w:ascii="宋体" w:hAnsi="宋体"/>
                <w:sz w:val="20"/>
                <w:szCs w:val="20"/>
              </w:rPr>
              <w:t>2.影响矽肺发病的主要因素、临床表现及诊断。</w:t>
            </w:r>
          </w:p>
          <w:p w14:paraId="0D0CBFB0">
            <w:pPr>
              <w:spacing w:line="300" w:lineRule="exact"/>
              <w:jc w:val="left"/>
              <w:rPr>
                <w:rFonts w:ascii="宋体" w:hAnsi="宋体"/>
                <w:sz w:val="20"/>
                <w:szCs w:val="20"/>
              </w:rPr>
            </w:pPr>
            <w:r>
              <w:rPr>
                <w:rFonts w:hint="eastAsia" w:ascii="宋体" w:hAnsi="宋体"/>
                <w:sz w:val="20"/>
                <w:szCs w:val="20"/>
              </w:rPr>
              <w:t>3.煤工尘肺的病理、临床表现与诊断。</w:t>
            </w:r>
          </w:p>
          <w:p w14:paraId="4AB14D28">
            <w:pPr>
              <w:spacing w:line="300" w:lineRule="exact"/>
              <w:jc w:val="left"/>
              <w:rPr>
                <w:rFonts w:ascii="宋体" w:hAnsi="宋体"/>
                <w:sz w:val="20"/>
                <w:szCs w:val="20"/>
              </w:rPr>
            </w:pPr>
            <w:r>
              <w:rPr>
                <w:rFonts w:hint="eastAsia" w:ascii="宋体" w:hAnsi="宋体"/>
                <w:sz w:val="20"/>
                <w:szCs w:val="20"/>
              </w:rPr>
              <w:t>4.硅酸盐尘肺的共同特点</w:t>
            </w:r>
            <w:r>
              <w:rPr>
                <w:rFonts w:ascii="宋体" w:hAnsi="宋体"/>
                <w:sz w:val="20"/>
                <w:szCs w:val="20"/>
              </w:rPr>
              <w:t>。</w:t>
            </w:r>
          </w:p>
        </w:tc>
      </w:tr>
      <w:tr w14:paraId="0835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4" w:type="pct"/>
            <w:vAlign w:val="center"/>
          </w:tcPr>
          <w:p w14:paraId="086165DB">
            <w:pPr>
              <w:pStyle w:val="7"/>
              <w:spacing w:before="0" w:beforeAutospacing="0" w:after="0" w:afterAutospacing="0" w:line="300" w:lineRule="exact"/>
              <w:jc w:val="center"/>
              <w:rPr>
                <w:color w:val="auto"/>
                <w:kern w:val="2"/>
                <w:sz w:val="20"/>
                <w:szCs w:val="20"/>
              </w:rPr>
            </w:pPr>
            <w:r>
              <w:rPr>
                <w:rFonts w:hint="eastAsia"/>
                <w:color w:val="auto"/>
                <w:kern w:val="2"/>
                <w:sz w:val="20"/>
                <w:szCs w:val="20"/>
              </w:rPr>
              <w:t>4</w:t>
            </w:r>
          </w:p>
        </w:tc>
        <w:tc>
          <w:tcPr>
            <w:tcW w:w="414" w:type="pct"/>
            <w:vAlign w:val="center"/>
          </w:tcPr>
          <w:p w14:paraId="1C60B198">
            <w:pPr>
              <w:pStyle w:val="7"/>
              <w:spacing w:before="0" w:beforeAutospacing="0" w:after="0" w:afterAutospacing="0" w:line="300" w:lineRule="exact"/>
              <w:jc w:val="center"/>
              <w:rPr>
                <w:color w:val="auto"/>
                <w:kern w:val="2"/>
                <w:sz w:val="20"/>
                <w:szCs w:val="20"/>
              </w:rPr>
            </w:pPr>
            <w:r>
              <w:rPr>
                <w:rFonts w:hint="eastAsia"/>
                <w:color w:val="auto"/>
                <w:kern w:val="2"/>
                <w:sz w:val="20"/>
                <w:szCs w:val="20"/>
              </w:rPr>
              <w:t>物理因素及其对健康的影响</w:t>
            </w:r>
          </w:p>
        </w:tc>
        <w:tc>
          <w:tcPr>
            <w:tcW w:w="1812" w:type="pct"/>
          </w:tcPr>
          <w:p w14:paraId="518D43B0">
            <w:pPr>
              <w:spacing w:line="300" w:lineRule="exact"/>
              <w:jc w:val="left"/>
              <w:rPr>
                <w:rFonts w:ascii="宋体" w:hAnsi="宋体"/>
                <w:sz w:val="20"/>
                <w:szCs w:val="20"/>
              </w:rPr>
            </w:pPr>
            <w:r>
              <w:rPr>
                <w:rFonts w:hint="eastAsia" w:ascii="宋体" w:hAnsi="宋体"/>
                <w:sz w:val="20"/>
                <w:szCs w:val="20"/>
              </w:rPr>
              <w:t>1.知道减压病、高原病、高温作业、中暑和热适应、慢性高山病、噪音、手臂振动病、非电离辐射、电离辐射的概念。</w:t>
            </w:r>
          </w:p>
          <w:p w14:paraId="6A0AFBB7">
            <w:pPr>
              <w:spacing w:line="300" w:lineRule="exact"/>
              <w:jc w:val="left"/>
              <w:rPr>
                <w:rFonts w:ascii="宋体" w:hAnsi="宋体"/>
                <w:sz w:val="20"/>
                <w:szCs w:val="20"/>
              </w:rPr>
            </w:pPr>
            <w:r>
              <w:rPr>
                <w:rFonts w:hint="eastAsia" w:ascii="宋体" w:hAnsi="宋体"/>
                <w:sz w:val="20"/>
                <w:szCs w:val="20"/>
              </w:rPr>
              <w:t>2.知道中暑、冷损伤的类型、临床表现、急救方法和预防措施。</w:t>
            </w:r>
          </w:p>
          <w:p w14:paraId="285E8DB0">
            <w:pPr>
              <w:spacing w:line="300" w:lineRule="exact"/>
              <w:jc w:val="left"/>
              <w:rPr>
                <w:rFonts w:ascii="宋体" w:hAnsi="宋体"/>
                <w:sz w:val="20"/>
                <w:szCs w:val="20"/>
              </w:rPr>
            </w:pPr>
            <w:r>
              <w:rPr>
                <w:rFonts w:hint="eastAsia" w:ascii="宋体" w:hAnsi="宋体"/>
                <w:sz w:val="20"/>
                <w:szCs w:val="20"/>
              </w:rPr>
              <w:t>3.知道高气压作业及低气压作业所致疾病的分类、诊断及治疗。</w:t>
            </w:r>
          </w:p>
          <w:p w14:paraId="48FB9E53">
            <w:pPr>
              <w:spacing w:line="300" w:lineRule="exact"/>
              <w:jc w:val="left"/>
              <w:rPr>
                <w:rFonts w:ascii="宋体" w:hAnsi="宋体"/>
                <w:sz w:val="20"/>
                <w:szCs w:val="20"/>
              </w:rPr>
            </w:pPr>
            <w:r>
              <w:rPr>
                <w:rFonts w:hint="eastAsia" w:ascii="宋体" w:hAnsi="宋体"/>
                <w:sz w:val="20"/>
                <w:szCs w:val="20"/>
              </w:rPr>
              <w:t>4.知道噪声、振动对职业接触者健康的损害及其影响因素。</w:t>
            </w:r>
          </w:p>
          <w:p w14:paraId="1000B4AF">
            <w:pPr>
              <w:spacing w:line="300" w:lineRule="exact"/>
              <w:jc w:val="left"/>
              <w:rPr>
                <w:rFonts w:ascii="宋体" w:hAnsi="宋体"/>
                <w:sz w:val="20"/>
                <w:szCs w:val="20"/>
              </w:rPr>
            </w:pPr>
            <w:r>
              <w:rPr>
                <w:rFonts w:hint="eastAsia" w:ascii="宋体" w:hAnsi="宋体"/>
                <w:sz w:val="20"/>
                <w:szCs w:val="20"/>
              </w:rPr>
              <w:t>5.理解非电离辐射、电离辐射的健康效应及防护原则。</w:t>
            </w:r>
          </w:p>
        </w:tc>
        <w:tc>
          <w:tcPr>
            <w:tcW w:w="1448" w:type="pct"/>
          </w:tcPr>
          <w:p w14:paraId="44BC0EC3">
            <w:pPr>
              <w:spacing w:line="300" w:lineRule="exact"/>
              <w:jc w:val="left"/>
              <w:rPr>
                <w:rFonts w:ascii="宋体" w:hAnsi="宋体"/>
                <w:sz w:val="20"/>
                <w:szCs w:val="20"/>
              </w:rPr>
            </w:pPr>
            <w:r>
              <w:rPr>
                <w:rFonts w:hint="eastAsia" w:ascii="宋体" w:hAnsi="宋体"/>
                <w:sz w:val="20"/>
                <w:szCs w:val="20"/>
              </w:rPr>
              <w:t>1．能说出物理因素相关概念。</w:t>
            </w:r>
          </w:p>
          <w:p w14:paraId="50F745E7">
            <w:pPr>
              <w:spacing w:line="300" w:lineRule="exact"/>
              <w:jc w:val="left"/>
              <w:rPr>
                <w:rFonts w:ascii="宋体" w:hAnsi="宋体"/>
                <w:sz w:val="20"/>
                <w:szCs w:val="20"/>
              </w:rPr>
            </w:pPr>
            <w:r>
              <w:rPr>
                <w:rFonts w:hint="eastAsia" w:ascii="宋体" w:hAnsi="宋体"/>
                <w:sz w:val="20"/>
                <w:szCs w:val="20"/>
              </w:rPr>
              <w:t>2．能说出物理因素具有的共同特点。</w:t>
            </w:r>
          </w:p>
          <w:p w14:paraId="1DA9B613">
            <w:pPr>
              <w:spacing w:line="300" w:lineRule="exact"/>
              <w:jc w:val="left"/>
              <w:rPr>
                <w:rFonts w:ascii="宋体" w:hAnsi="宋体"/>
                <w:sz w:val="20"/>
                <w:szCs w:val="20"/>
              </w:rPr>
            </w:pPr>
            <w:r>
              <w:rPr>
                <w:rFonts w:ascii="宋体" w:hAnsi="宋体"/>
                <w:sz w:val="20"/>
                <w:szCs w:val="20"/>
              </w:rPr>
              <w:t>3</w:t>
            </w:r>
            <w:r>
              <w:rPr>
                <w:rFonts w:hint="eastAsia" w:ascii="宋体" w:hAnsi="宋体"/>
                <w:sz w:val="20"/>
                <w:szCs w:val="20"/>
              </w:rPr>
              <w:t>．能分析运用各类物理损伤的救治方法及防护原则。</w:t>
            </w:r>
          </w:p>
          <w:p w14:paraId="146378F7">
            <w:pPr>
              <w:spacing w:line="300" w:lineRule="exact"/>
              <w:jc w:val="left"/>
              <w:rPr>
                <w:rFonts w:ascii="宋体" w:hAnsi="宋体"/>
                <w:sz w:val="20"/>
                <w:szCs w:val="20"/>
              </w:rPr>
            </w:pPr>
          </w:p>
        </w:tc>
        <w:tc>
          <w:tcPr>
            <w:tcW w:w="1070" w:type="pct"/>
          </w:tcPr>
          <w:p w14:paraId="4A32EC05">
            <w:pPr>
              <w:spacing w:line="300" w:lineRule="exact"/>
              <w:jc w:val="left"/>
              <w:rPr>
                <w:rFonts w:ascii="宋体" w:hAnsi="宋体"/>
                <w:sz w:val="20"/>
                <w:szCs w:val="20"/>
              </w:rPr>
            </w:pPr>
            <w:r>
              <w:rPr>
                <w:rFonts w:hint="eastAsia" w:ascii="宋体" w:hAnsi="宋体"/>
                <w:sz w:val="20"/>
                <w:szCs w:val="20"/>
              </w:rPr>
              <w:t>1.中暑、冷损伤的类型、救治原则和预防措施</w:t>
            </w:r>
          </w:p>
          <w:p w14:paraId="5FF08C70">
            <w:pPr>
              <w:spacing w:line="300" w:lineRule="exact"/>
              <w:jc w:val="left"/>
              <w:rPr>
                <w:rFonts w:ascii="宋体" w:hAnsi="宋体"/>
                <w:sz w:val="20"/>
                <w:szCs w:val="20"/>
              </w:rPr>
            </w:pPr>
            <w:r>
              <w:rPr>
                <w:rFonts w:hint="eastAsia" w:ascii="宋体" w:hAnsi="宋体"/>
                <w:sz w:val="20"/>
                <w:szCs w:val="20"/>
              </w:rPr>
              <w:t>2.高气压及低气压作业所致疾病的分类。</w:t>
            </w:r>
          </w:p>
          <w:p w14:paraId="7ADF3ACD">
            <w:pPr>
              <w:spacing w:line="300" w:lineRule="exact"/>
              <w:jc w:val="left"/>
              <w:rPr>
                <w:rFonts w:ascii="宋体" w:hAnsi="宋体"/>
                <w:sz w:val="20"/>
                <w:szCs w:val="20"/>
              </w:rPr>
            </w:pPr>
            <w:r>
              <w:rPr>
                <w:rFonts w:hint="eastAsia" w:ascii="宋体" w:hAnsi="宋体"/>
                <w:sz w:val="20"/>
                <w:szCs w:val="20"/>
              </w:rPr>
              <w:t>3.噪声、振动对职业接触者健康的损害。</w:t>
            </w:r>
          </w:p>
        </w:tc>
      </w:tr>
      <w:tr w14:paraId="1AEF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4" w:type="pct"/>
            <w:vAlign w:val="center"/>
          </w:tcPr>
          <w:p w14:paraId="09F12A55">
            <w:pPr>
              <w:pStyle w:val="7"/>
              <w:spacing w:before="0" w:beforeAutospacing="0" w:after="0" w:afterAutospacing="0" w:line="300" w:lineRule="exact"/>
              <w:jc w:val="center"/>
              <w:rPr>
                <w:color w:val="auto"/>
                <w:kern w:val="2"/>
                <w:sz w:val="20"/>
                <w:szCs w:val="20"/>
              </w:rPr>
            </w:pPr>
            <w:r>
              <w:rPr>
                <w:rFonts w:hint="eastAsia"/>
                <w:color w:val="auto"/>
                <w:kern w:val="2"/>
                <w:sz w:val="20"/>
                <w:szCs w:val="20"/>
              </w:rPr>
              <w:t>5</w:t>
            </w:r>
          </w:p>
        </w:tc>
        <w:tc>
          <w:tcPr>
            <w:tcW w:w="414" w:type="pct"/>
            <w:vAlign w:val="center"/>
          </w:tcPr>
          <w:p w14:paraId="59AB2461">
            <w:pPr>
              <w:pStyle w:val="7"/>
              <w:spacing w:before="0" w:beforeAutospacing="0" w:after="0" w:afterAutospacing="0" w:line="300" w:lineRule="exact"/>
              <w:jc w:val="center"/>
              <w:rPr>
                <w:color w:val="auto"/>
                <w:kern w:val="2"/>
                <w:sz w:val="20"/>
                <w:szCs w:val="20"/>
              </w:rPr>
            </w:pPr>
            <w:r>
              <w:rPr>
                <w:rFonts w:hint="eastAsia"/>
                <w:color w:val="auto"/>
                <w:kern w:val="2"/>
                <w:sz w:val="20"/>
                <w:szCs w:val="20"/>
              </w:rPr>
              <w:t>职业性致癌因素与职业肿瘤</w:t>
            </w:r>
          </w:p>
        </w:tc>
        <w:tc>
          <w:tcPr>
            <w:tcW w:w="1812" w:type="pct"/>
          </w:tcPr>
          <w:p w14:paraId="11F60A67">
            <w:pPr>
              <w:pStyle w:val="7"/>
              <w:spacing w:line="300" w:lineRule="exact"/>
              <w:rPr>
                <w:color w:val="auto"/>
                <w:kern w:val="2"/>
                <w:sz w:val="20"/>
                <w:szCs w:val="20"/>
              </w:rPr>
            </w:pPr>
            <w:r>
              <w:rPr>
                <w:rFonts w:hint="eastAsia"/>
                <w:color w:val="auto"/>
                <w:kern w:val="2"/>
                <w:sz w:val="20"/>
                <w:szCs w:val="20"/>
              </w:rPr>
              <w:t xml:space="preserve">1.知道职业肿瘤、职业性致癌因素的概念。 </w:t>
            </w:r>
            <w:r>
              <w:rPr>
                <w:color w:val="auto"/>
                <w:kern w:val="2"/>
                <w:sz w:val="20"/>
                <w:szCs w:val="20"/>
              </w:rPr>
              <w:t xml:space="preserve">             </w:t>
            </w:r>
            <w:r>
              <w:rPr>
                <w:rFonts w:hint="eastAsia"/>
                <w:color w:val="auto"/>
                <w:kern w:val="2"/>
                <w:sz w:val="20"/>
                <w:szCs w:val="20"/>
              </w:rPr>
              <w:t xml:space="preserve">2.知道职业性肿瘤的特征、识别和判定职业肿瘤的途径。 </w:t>
            </w:r>
            <w:r>
              <w:rPr>
                <w:color w:val="auto"/>
                <w:kern w:val="2"/>
                <w:sz w:val="20"/>
                <w:szCs w:val="20"/>
              </w:rPr>
              <w:t xml:space="preserve">        </w:t>
            </w:r>
            <w:r>
              <w:rPr>
                <w:rFonts w:hint="eastAsia"/>
                <w:color w:val="auto"/>
                <w:kern w:val="2"/>
                <w:sz w:val="20"/>
                <w:szCs w:val="20"/>
              </w:rPr>
              <w:t>3.理解我国法定职业肿瘤的病因、预防原则。</w:t>
            </w:r>
          </w:p>
        </w:tc>
        <w:tc>
          <w:tcPr>
            <w:tcW w:w="1448" w:type="pct"/>
          </w:tcPr>
          <w:p w14:paraId="63534D22">
            <w:pPr>
              <w:pStyle w:val="7"/>
              <w:spacing w:line="300" w:lineRule="exact"/>
              <w:rPr>
                <w:color w:val="auto"/>
                <w:kern w:val="2"/>
                <w:sz w:val="20"/>
                <w:szCs w:val="20"/>
              </w:rPr>
            </w:pPr>
            <w:r>
              <w:rPr>
                <w:rFonts w:hint="eastAsia"/>
                <w:color w:val="auto"/>
                <w:kern w:val="2"/>
                <w:sz w:val="20"/>
                <w:szCs w:val="20"/>
              </w:rPr>
              <w:t xml:space="preserve">1.能说出职业性肿瘤、职业性致癌因素的概念。 </w:t>
            </w:r>
            <w:r>
              <w:rPr>
                <w:color w:val="auto"/>
                <w:kern w:val="2"/>
                <w:sz w:val="20"/>
                <w:szCs w:val="20"/>
              </w:rPr>
              <w:t xml:space="preserve">         </w:t>
            </w:r>
            <w:r>
              <w:rPr>
                <w:rFonts w:hint="eastAsia"/>
                <w:color w:val="auto"/>
                <w:kern w:val="2"/>
                <w:sz w:val="20"/>
                <w:szCs w:val="20"/>
              </w:rPr>
              <w:t>2.能识别职业性致癌因素。</w:t>
            </w:r>
          </w:p>
          <w:p w14:paraId="26C07651">
            <w:pPr>
              <w:pStyle w:val="7"/>
              <w:spacing w:line="300" w:lineRule="exact"/>
              <w:rPr>
                <w:color w:val="auto"/>
                <w:kern w:val="2"/>
                <w:sz w:val="20"/>
                <w:szCs w:val="20"/>
              </w:rPr>
            </w:pPr>
          </w:p>
        </w:tc>
        <w:tc>
          <w:tcPr>
            <w:tcW w:w="1070" w:type="pct"/>
          </w:tcPr>
          <w:p w14:paraId="01E2C582">
            <w:pPr>
              <w:pStyle w:val="7"/>
              <w:spacing w:line="300" w:lineRule="exact"/>
              <w:rPr>
                <w:color w:val="auto"/>
                <w:kern w:val="2"/>
                <w:sz w:val="20"/>
                <w:szCs w:val="20"/>
              </w:rPr>
            </w:pPr>
            <w:r>
              <w:rPr>
                <w:rFonts w:hint="eastAsia"/>
                <w:color w:val="auto"/>
                <w:kern w:val="2"/>
                <w:sz w:val="20"/>
                <w:szCs w:val="20"/>
              </w:rPr>
              <w:t>1.我国职业性肿瘤的种类及职业性肿瘤的预防原则。</w:t>
            </w:r>
          </w:p>
        </w:tc>
      </w:tr>
      <w:tr w14:paraId="19FB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4" w:type="pct"/>
            <w:vAlign w:val="center"/>
          </w:tcPr>
          <w:p w14:paraId="5C600352">
            <w:pPr>
              <w:snapToGrid w:val="0"/>
              <w:spacing w:line="300" w:lineRule="exact"/>
              <w:jc w:val="center"/>
              <w:rPr>
                <w:rFonts w:ascii="宋体" w:hAnsi="宋体"/>
                <w:sz w:val="20"/>
                <w:szCs w:val="20"/>
              </w:rPr>
            </w:pPr>
            <w:r>
              <w:rPr>
                <w:rFonts w:hint="eastAsia" w:ascii="宋体" w:hAnsi="宋体"/>
                <w:sz w:val="20"/>
                <w:szCs w:val="20"/>
              </w:rPr>
              <w:t>6</w:t>
            </w:r>
          </w:p>
        </w:tc>
        <w:tc>
          <w:tcPr>
            <w:tcW w:w="414" w:type="pct"/>
            <w:vAlign w:val="center"/>
          </w:tcPr>
          <w:p w14:paraId="07B51183">
            <w:pPr>
              <w:snapToGrid w:val="0"/>
              <w:spacing w:line="300" w:lineRule="exact"/>
              <w:jc w:val="left"/>
              <w:rPr>
                <w:rFonts w:ascii="宋体" w:hAnsi="宋体"/>
                <w:sz w:val="20"/>
                <w:szCs w:val="20"/>
              </w:rPr>
            </w:pPr>
            <w:r>
              <w:rPr>
                <w:rFonts w:hint="eastAsia" w:ascii="宋体" w:hAnsi="宋体"/>
                <w:sz w:val="20"/>
                <w:szCs w:val="20"/>
              </w:rPr>
              <w:t>生物有害因素所致职业性损害和</w:t>
            </w:r>
            <w:r>
              <w:rPr>
                <w:rFonts w:ascii="宋体" w:hAnsi="宋体"/>
                <w:sz w:val="20"/>
                <w:szCs w:val="20"/>
              </w:rPr>
              <w:t>其他职业病</w:t>
            </w:r>
          </w:p>
        </w:tc>
        <w:tc>
          <w:tcPr>
            <w:tcW w:w="1812" w:type="pct"/>
          </w:tcPr>
          <w:p w14:paraId="05CF1343">
            <w:pPr>
              <w:pStyle w:val="7"/>
              <w:spacing w:line="300" w:lineRule="exact"/>
              <w:rPr>
                <w:color w:val="auto"/>
                <w:kern w:val="2"/>
                <w:sz w:val="20"/>
                <w:szCs w:val="20"/>
              </w:rPr>
            </w:pPr>
            <w:r>
              <w:rPr>
                <w:rFonts w:hint="eastAsia"/>
                <w:color w:val="auto"/>
                <w:kern w:val="2"/>
                <w:sz w:val="20"/>
                <w:szCs w:val="20"/>
              </w:rPr>
              <w:t xml:space="preserve">1.了解炭疽、布氏杆菌病、职业性森林脑炎的病因机制、流行特征、临床表现、诊断及处理原则。 </w:t>
            </w:r>
            <w:r>
              <w:rPr>
                <w:color w:val="auto"/>
                <w:kern w:val="2"/>
                <w:sz w:val="20"/>
                <w:szCs w:val="20"/>
              </w:rPr>
              <w:t xml:space="preserve">            </w:t>
            </w:r>
            <w:r>
              <w:rPr>
                <w:rFonts w:hint="eastAsia"/>
                <w:color w:val="auto"/>
                <w:kern w:val="2"/>
                <w:sz w:val="20"/>
                <w:szCs w:val="20"/>
              </w:rPr>
              <w:t xml:space="preserve">2.了解职业性皮炎、职业性黑变病、职业性痤疮、职业性皮肤溃疡的病因及接触机会、临床表现、诊断、预防和治疗。 </w:t>
            </w:r>
            <w:r>
              <w:rPr>
                <w:color w:val="auto"/>
                <w:kern w:val="2"/>
                <w:sz w:val="20"/>
                <w:szCs w:val="20"/>
              </w:rPr>
              <w:t xml:space="preserve">              </w:t>
            </w:r>
            <w:r>
              <w:rPr>
                <w:rFonts w:hint="eastAsia"/>
                <w:color w:val="auto"/>
                <w:kern w:val="2"/>
                <w:sz w:val="20"/>
                <w:szCs w:val="20"/>
              </w:rPr>
              <w:t>3.了解常见五官疾病致病因素、诊断、处理原则。</w:t>
            </w:r>
          </w:p>
        </w:tc>
        <w:tc>
          <w:tcPr>
            <w:tcW w:w="1448" w:type="pct"/>
          </w:tcPr>
          <w:p w14:paraId="48427D69">
            <w:pPr>
              <w:pStyle w:val="7"/>
              <w:spacing w:line="300" w:lineRule="exact"/>
              <w:rPr>
                <w:color w:val="auto"/>
                <w:kern w:val="2"/>
                <w:sz w:val="20"/>
                <w:szCs w:val="20"/>
              </w:rPr>
            </w:pPr>
            <w:r>
              <w:rPr>
                <w:rFonts w:hint="eastAsia"/>
                <w:color w:val="auto"/>
                <w:kern w:val="2"/>
                <w:sz w:val="20"/>
                <w:szCs w:val="20"/>
              </w:rPr>
              <w:t xml:space="preserve">1．能识别职业性炭疽、布氏杆菌病、职业性森林脑炎的流行病学特点。 </w:t>
            </w:r>
            <w:r>
              <w:rPr>
                <w:color w:val="auto"/>
                <w:kern w:val="2"/>
                <w:sz w:val="20"/>
                <w:szCs w:val="20"/>
              </w:rPr>
              <w:t xml:space="preserve">          </w:t>
            </w:r>
            <w:r>
              <w:rPr>
                <w:rFonts w:hint="eastAsia"/>
                <w:color w:val="auto"/>
                <w:kern w:val="2"/>
                <w:sz w:val="20"/>
                <w:szCs w:val="20"/>
              </w:rPr>
              <w:t xml:space="preserve">2.能识别职业性皮肤病的临床类型。 </w:t>
            </w:r>
            <w:r>
              <w:rPr>
                <w:color w:val="auto"/>
                <w:kern w:val="2"/>
                <w:sz w:val="20"/>
                <w:szCs w:val="20"/>
              </w:rPr>
              <w:t xml:space="preserve">       </w:t>
            </w:r>
            <w:r>
              <w:rPr>
                <w:rFonts w:hint="eastAsia"/>
                <w:color w:val="auto"/>
                <w:kern w:val="2"/>
                <w:sz w:val="20"/>
                <w:szCs w:val="20"/>
              </w:rPr>
              <w:t>3.能说出我国法定职业性眼病内容。</w:t>
            </w:r>
          </w:p>
        </w:tc>
        <w:tc>
          <w:tcPr>
            <w:tcW w:w="1070" w:type="pct"/>
          </w:tcPr>
          <w:p w14:paraId="56E0AED7">
            <w:pPr>
              <w:pStyle w:val="7"/>
              <w:spacing w:line="300" w:lineRule="exact"/>
              <w:rPr>
                <w:color w:val="auto"/>
                <w:kern w:val="2"/>
                <w:sz w:val="20"/>
                <w:szCs w:val="20"/>
              </w:rPr>
            </w:pPr>
            <w:r>
              <w:rPr>
                <w:rFonts w:hint="eastAsia"/>
                <w:color w:val="auto"/>
                <w:kern w:val="2"/>
                <w:sz w:val="20"/>
                <w:szCs w:val="20"/>
              </w:rPr>
              <w:t xml:space="preserve">1.生物所致职业性传染病种类及相关职业。 </w:t>
            </w:r>
            <w:r>
              <w:rPr>
                <w:color w:val="auto"/>
                <w:kern w:val="2"/>
                <w:sz w:val="20"/>
                <w:szCs w:val="20"/>
              </w:rPr>
              <w:t xml:space="preserve">  </w:t>
            </w:r>
            <w:r>
              <w:rPr>
                <w:rFonts w:hint="eastAsia"/>
                <w:color w:val="auto"/>
                <w:kern w:val="2"/>
                <w:sz w:val="20"/>
                <w:szCs w:val="20"/>
              </w:rPr>
              <w:t>2.职业性皮肤病、眼病、五官病的诊断处理原则。</w:t>
            </w:r>
          </w:p>
        </w:tc>
      </w:tr>
      <w:tr w14:paraId="2E37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4" w:type="pct"/>
            <w:vAlign w:val="center"/>
          </w:tcPr>
          <w:p w14:paraId="5ECD1125">
            <w:pPr>
              <w:snapToGrid w:val="0"/>
              <w:spacing w:line="300" w:lineRule="exact"/>
              <w:jc w:val="center"/>
              <w:rPr>
                <w:rFonts w:ascii="宋体" w:hAnsi="宋体"/>
                <w:sz w:val="20"/>
                <w:szCs w:val="20"/>
              </w:rPr>
            </w:pPr>
            <w:r>
              <w:rPr>
                <w:rFonts w:hint="eastAsia" w:ascii="宋体" w:hAnsi="宋体"/>
                <w:sz w:val="20"/>
                <w:szCs w:val="20"/>
              </w:rPr>
              <w:t>7</w:t>
            </w:r>
          </w:p>
        </w:tc>
        <w:tc>
          <w:tcPr>
            <w:tcW w:w="414" w:type="pct"/>
            <w:vAlign w:val="center"/>
          </w:tcPr>
          <w:p w14:paraId="11B9CC59">
            <w:pPr>
              <w:snapToGrid w:val="0"/>
              <w:spacing w:line="300" w:lineRule="exact"/>
              <w:jc w:val="left"/>
              <w:rPr>
                <w:rFonts w:ascii="宋体" w:hAnsi="宋体"/>
                <w:sz w:val="20"/>
                <w:szCs w:val="20"/>
              </w:rPr>
            </w:pPr>
            <w:r>
              <w:rPr>
                <w:rFonts w:hint="eastAsia" w:ascii="宋体" w:hAnsi="宋体"/>
                <w:sz w:val="20"/>
                <w:szCs w:val="20"/>
              </w:rPr>
              <w:t>职业性伤害和</w:t>
            </w:r>
          </w:p>
          <w:p w14:paraId="0B3DD1E2">
            <w:pPr>
              <w:snapToGrid w:val="0"/>
              <w:spacing w:line="300" w:lineRule="exact"/>
              <w:jc w:val="left"/>
              <w:rPr>
                <w:rFonts w:ascii="宋体" w:hAnsi="宋体"/>
                <w:sz w:val="20"/>
                <w:szCs w:val="20"/>
              </w:rPr>
            </w:pPr>
            <w:r>
              <w:rPr>
                <w:rFonts w:ascii="宋体" w:hAnsi="宋体"/>
                <w:sz w:val="20"/>
                <w:szCs w:val="20"/>
              </w:rPr>
              <w:t>职业性有害因素的识别与评价</w:t>
            </w:r>
          </w:p>
        </w:tc>
        <w:tc>
          <w:tcPr>
            <w:tcW w:w="1812" w:type="pct"/>
          </w:tcPr>
          <w:p w14:paraId="04BD9166">
            <w:pPr>
              <w:pStyle w:val="7"/>
              <w:spacing w:line="300" w:lineRule="exact"/>
              <w:rPr>
                <w:color w:val="auto"/>
                <w:kern w:val="2"/>
                <w:sz w:val="20"/>
                <w:szCs w:val="20"/>
              </w:rPr>
            </w:pPr>
            <w:r>
              <w:rPr>
                <w:rFonts w:hint="eastAsia"/>
                <w:color w:val="auto"/>
                <w:kern w:val="2"/>
                <w:sz w:val="20"/>
                <w:szCs w:val="20"/>
              </w:rPr>
              <w:t xml:space="preserve">1.理解职业伤害的概念、常见职业伤害事故类型及其主要原因及预防。 </w:t>
            </w:r>
            <w:r>
              <w:rPr>
                <w:color w:val="auto"/>
                <w:kern w:val="2"/>
                <w:sz w:val="20"/>
                <w:szCs w:val="20"/>
              </w:rPr>
              <w:t xml:space="preserve">            </w:t>
            </w:r>
            <w:r>
              <w:rPr>
                <w:rFonts w:hint="eastAsia"/>
                <w:color w:val="auto"/>
                <w:kern w:val="2"/>
                <w:sz w:val="20"/>
                <w:szCs w:val="20"/>
              </w:rPr>
              <w:t xml:space="preserve">2.了解职业伤害流行病学研究方法。 </w:t>
            </w:r>
            <w:r>
              <w:rPr>
                <w:color w:val="auto"/>
                <w:kern w:val="2"/>
                <w:sz w:val="20"/>
                <w:szCs w:val="20"/>
              </w:rPr>
              <w:t xml:space="preserve">    </w:t>
            </w:r>
            <w:r>
              <w:rPr>
                <w:rFonts w:hint="eastAsia"/>
                <w:color w:val="auto"/>
                <w:kern w:val="2"/>
                <w:sz w:val="20"/>
                <w:szCs w:val="20"/>
              </w:rPr>
              <w:t xml:space="preserve">3.知道职业环境监测、生物监测、职业接触生物限值、职业卫生调查的概念。 </w:t>
            </w:r>
            <w:r>
              <w:rPr>
                <w:color w:val="auto"/>
                <w:kern w:val="2"/>
                <w:sz w:val="20"/>
                <w:szCs w:val="20"/>
              </w:rPr>
              <w:t xml:space="preserve">           </w:t>
            </w:r>
            <w:r>
              <w:rPr>
                <w:rFonts w:hint="eastAsia"/>
                <w:color w:val="auto"/>
                <w:kern w:val="2"/>
                <w:sz w:val="20"/>
                <w:szCs w:val="20"/>
              </w:rPr>
              <w:t xml:space="preserve">4.知道职业性有害因素识别的原理、评价的类别。 </w:t>
            </w:r>
            <w:r>
              <w:rPr>
                <w:color w:val="auto"/>
                <w:kern w:val="2"/>
                <w:sz w:val="20"/>
                <w:szCs w:val="20"/>
              </w:rPr>
              <w:t xml:space="preserve">                </w:t>
            </w:r>
            <w:r>
              <w:rPr>
                <w:rFonts w:hint="eastAsia"/>
                <w:color w:val="auto"/>
                <w:kern w:val="2"/>
                <w:sz w:val="20"/>
                <w:szCs w:val="20"/>
              </w:rPr>
              <w:t>5.知道职业卫生调查的种类、职业卫生基本情况调查的主要内容。</w:t>
            </w:r>
          </w:p>
          <w:p w14:paraId="61E7AB25">
            <w:pPr>
              <w:pStyle w:val="7"/>
              <w:spacing w:line="300" w:lineRule="exact"/>
              <w:rPr>
                <w:color w:val="auto"/>
                <w:kern w:val="2"/>
                <w:sz w:val="20"/>
                <w:szCs w:val="20"/>
              </w:rPr>
            </w:pPr>
          </w:p>
        </w:tc>
        <w:tc>
          <w:tcPr>
            <w:tcW w:w="1448" w:type="pct"/>
          </w:tcPr>
          <w:p w14:paraId="281CFBAC">
            <w:pPr>
              <w:pStyle w:val="7"/>
              <w:spacing w:line="300" w:lineRule="exact"/>
              <w:rPr>
                <w:color w:val="auto"/>
                <w:kern w:val="2"/>
                <w:sz w:val="20"/>
                <w:szCs w:val="20"/>
              </w:rPr>
            </w:pPr>
            <w:r>
              <w:rPr>
                <w:rFonts w:hint="eastAsia"/>
                <w:color w:val="auto"/>
                <w:kern w:val="2"/>
                <w:sz w:val="20"/>
                <w:szCs w:val="20"/>
              </w:rPr>
              <w:t xml:space="preserve">1.能说出职业伤害、职业环境监测、生物监测、职业接触生物限值、职业卫生调查的概念。 </w:t>
            </w:r>
            <w:r>
              <w:rPr>
                <w:color w:val="auto"/>
                <w:kern w:val="2"/>
                <w:sz w:val="20"/>
                <w:szCs w:val="20"/>
              </w:rPr>
              <w:t xml:space="preserve">         </w:t>
            </w:r>
            <w:r>
              <w:rPr>
                <w:rFonts w:hint="eastAsia"/>
                <w:color w:val="auto"/>
                <w:kern w:val="2"/>
                <w:sz w:val="20"/>
                <w:szCs w:val="20"/>
              </w:rPr>
              <w:t xml:space="preserve">2.能够理解未知职业性有害因素识别和鉴定的方法，已知职业性有害因素识别和筛选方法。 </w:t>
            </w:r>
            <w:r>
              <w:rPr>
                <w:color w:val="auto"/>
                <w:kern w:val="2"/>
                <w:sz w:val="20"/>
                <w:szCs w:val="20"/>
              </w:rPr>
              <w:t xml:space="preserve">         </w:t>
            </w:r>
            <w:r>
              <w:rPr>
                <w:rFonts w:hint="eastAsia"/>
                <w:color w:val="auto"/>
                <w:kern w:val="2"/>
                <w:sz w:val="20"/>
                <w:szCs w:val="20"/>
              </w:rPr>
              <w:t>3.能够了解工作场所空气中有害物质采样的方式及其优缺点。</w:t>
            </w:r>
          </w:p>
        </w:tc>
        <w:tc>
          <w:tcPr>
            <w:tcW w:w="1070" w:type="pct"/>
          </w:tcPr>
          <w:p w14:paraId="32E7E2FF">
            <w:pPr>
              <w:pStyle w:val="7"/>
              <w:spacing w:line="300" w:lineRule="exact"/>
              <w:rPr>
                <w:color w:val="auto"/>
                <w:kern w:val="2"/>
                <w:sz w:val="20"/>
                <w:szCs w:val="20"/>
              </w:rPr>
            </w:pPr>
            <w:r>
              <w:rPr>
                <w:rFonts w:hint="eastAsia"/>
                <w:color w:val="auto"/>
                <w:kern w:val="2"/>
                <w:sz w:val="20"/>
                <w:szCs w:val="20"/>
              </w:rPr>
              <w:t xml:space="preserve">1.职业性有害因素性质、强度及其时空分布与消长规律。 2.职业卫生调查的主要内容、专题调查的设计要求。 </w:t>
            </w:r>
            <w:r>
              <w:rPr>
                <w:color w:val="auto"/>
                <w:kern w:val="2"/>
                <w:sz w:val="20"/>
                <w:szCs w:val="20"/>
              </w:rPr>
              <w:t xml:space="preserve">    </w:t>
            </w:r>
            <w:r>
              <w:rPr>
                <w:rFonts w:hint="eastAsia"/>
                <w:color w:val="auto"/>
                <w:kern w:val="2"/>
                <w:sz w:val="20"/>
                <w:szCs w:val="20"/>
              </w:rPr>
              <w:t>3.生物标志物的常见类别，生物监测结果的解释及局限性。</w:t>
            </w:r>
          </w:p>
        </w:tc>
      </w:tr>
      <w:tr w14:paraId="186C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4" w:type="pct"/>
            <w:vAlign w:val="center"/>
          </w:tcPr>
          <w:p w14:paraId="348881B6">
            <w:pPr>
              <w:snapToGrid w:val="0"/>
              <w:spacing w:line="300" w:lineRule="exact"/>
              <w:jc w:val="center"/>
              <w:rPr>
                <w:rFonts w:ascii="宋体" w:hAnsi="宋体"/>
                <w:sz w:val="20"/>
                <w:szCs w:val="20"/>
              </w:rPr>
            </w:pPr>
            <w:r>
              <w:rPr>
                <w:rFonts w:hint="eastAsia" w:ascii="宋体" w:hAnsi="宋体"/>
                <w:sz w:val="20"/>
                <w:szCs w:val="20"/>
              </w:rPr>
              <w:t>8</w:t>
            </w:r>
          </w:p>
        </w:tc>
        <w:tc>
          <w:tcPr>
            <w:tcW w:w="414" w:type="pct"/>
            <w:vAlign w:val="center"/>
          </w:tcPr>
          <w:p w14:paraId="30E36CA1">
            <w:pPr>
              <w:pStyle w:val="7"/>
              <w:spacing w:before="0" w:beforeAutospacing="0" w:after="0" w:afterAutospacing="0" w:line="300" w:lineRule="exact"/>
              <w:rPr>
                <w:color w:val="auto"/>
                <w:kern w:val="2"/>
                <w:sz w:val="20"/>
                <w:szCs w:val="20"/>
              </w:rPr>
            </w:pPr>
            <w:r>
              <w:rPr>
                <w:rFonts w:hint="eastAsia"/>
                <w:color w:val="auto"/>
                <w:kern w:val="2"/>
                <w:sz w:val="20"/>
                <w:szCs w:val="20"/>
              </w:rPr>
              <w:t>职业性有害因素的预防与控制和</w:t>
            </w:r>
          </w:p>
          <w:p w14:paraId="384EC2B6">
            <w:pPr>
              <w:pStyle w:val="7"/>
              <w:spacing w:before="0" w:beforeAutospacing="0" w:after="0" w:afterAutospacing="0" w:line="300" w:lineRule="exact"/>
              <w:rPr>
                <w:color w:val="auto"/>
                <w:kern w:val="2"/>
                <w:sz w:val="20"/>
                <w:szCs w:val="20"/>
              </w:rPr>
            </w:pPr>
            <w:r>
              <w:rPr>
                <w:color w:val="auto"/>
                <w:kern w:val="2"/>
                <w:sz w:val="20"/>
                <w:szCs w:val="20"/>
              </w:rPr>
              <w:t>主要行业的职业卫生</w:t>
            </w:r>
          </w:p>
        </w:tc>
        <w:tc>
          <w:tcPr>
            <w:tcW w:w="1812" w:type="pct"/>
          </w:tcPr>
          <w:p w14:paraId="567068E7">
            <w:pPr>
              <w:spacing w:line="300" w:lineRule="exact"/>
              <w:jc w:val="left"/>
              <w:rPr>
                <w:rFonts w:ascii="宋体" w:hAnsi="宋体"/>
                <w:sz w:val="20"/>
                <w:szCs w:val="20"/>
              </w:rPr>
            </w:pPr>
            <w:r>
              <w:rPr>
                <w:rFonts w:hint="eastAsia" w:ascii="宋体" w:hAnsi="宋体"/>
                <w:sz w:val="20"/>
                <w:szCs w:val="20"/>
              </w:rPr>
              <w:t>1.知道职业卫生与职业安全相关法律法规。</w:t>
            </w:r>
          </w:p>
          <w:p w14:paraId="54C72677">
            <w:pPr>
              <w:spacing w:line="300" w:lineRule="exact"/>
              <w:jc w:val="left"/>
              <w:rPr>
                <w:rFonts w:ascii="宋体" w:hAnsi="宋体"/>
                <w:sz w:val="20"/>
                <w:szCs w:val="20"/>
              </w:rPr>
            </w:pPr>
            <w:r>
              <w:rPr>
                <w:rFonts w:hint="eastAsia" w:ascii="宋体" w:hAnsi="宋体"/>
                <w:sz w:val="20"/>
                <w:szCs w:val="20"/>
              </w:rPr>
              <w:t>2.知道职业卫生突发事件特征、调查处理原则及程序。</w:t>
            </w:r>
          </w:p>
          <w:p w14:paraId="39E4352A">
            <w:pPr>
              <w:spacing w:line="300" w:lineRule="exact"/>
              <w:jc w:val="left"/>
              <w:rPr>
                <w:rFonts w:ascii="宋体" w:hAnsi="宋体"/>
                <w:sz w:val="20"/>
                <w:szCs w:val="20"/>
              </w:rPr>
            </w:pPr>
            <w:r>
              <w:rPr>
                <w:rFonts w:hint="eastAsia" w:ascii="宋体" w:hAnsi="宋体"/>
                <w:sz w:val="20"/>
                <w:szCs w:val="20"/>
              </w:rPr>
              <w:t>3．知道工业通风、自然通风、热压、风压、个人防护用品、呼吸防护用品、职业健康监护的概念。</w:t>
            </w:r>
          </w:p>
          <w:p w14:paraId="17A16B82">
            <w:pPr>
              <w:spacing w:line="300" w:lineRule="exact"/>
              <w:jc w:val="left"/>
              <w:rPr>
                <w:rFonts w:ascii="宋体" w:hAnsi="宋体"/>
                <w:sz w:val="20"/>
                <w:szCs w:val="20"/>
              </w:rPr>
            </w:pPr>
            <w:r>
              <w:rPr>
                <w:rFonts w:hint="eastAsia" w:ascii="宋体" w:hAnsi="宋体"/>
                <w:sz w:val="20"/>
                <w:szCs w:val="20"/>
              </w:rPr>
              <w:t xml:space="preserve">4.知道早期职业性损害的发现与干预 </w:t>
            </w:r>
            <w:r>
              <w:rPr>
                <w:rFonts w:ascii="宋体" w:hAnsi="宋体"/>
                <w:sz w:val="20"/>
                <w:szCs w:val="20"/>
              </w:rPr>
              <w:t xml:space="preserve">                     </w:t>
            </w:r>
            <w:r>
              <w:rPr>
                <w:rFonts w:hint="eastAsia" w:ascii="宋体" w:hAnsi="宋体"/>
                <w:sz w:val="20"/>
                <w:szCs w:val="20"/>
              </w:rPr>
              <w:t>5.理解建筑行业、化工行业、机械制造业的主要职业卫生问题及防控。</w:t>
            </w:r>
          </w:p>
          <w:p w14:paraId="46275BA0">
            <w:pPr>
              <w:spacing w:line="300" w:lineRule="exact"/>
              <w:jc w:val="left"/>
              <w:rPr>
                <w:rFonts w:ascii="宋体" w:hAnsi="宋体"/>
                <w:sz w:val="20"/>
                <w:szCs w:val="20"/>
              </w:rPr>
            </w:pPr>
            <w:r>
              <w:rPr>
                <w:rFonts w:hint="eastAsia" w:ascii="宋体" w:hAnsi="宋体"/>
                <w:sz w:val="20"/>
                <w:szCs w:val="20"/>
              </w:rPr>
              <w:t>6.了解新兴产业职业卫生。</w:t>
            </w:r>
          </w:p>
        </w:tc>
        <w:tc>
          <w:tcPr>
            <w:tcW w:w="1448" w:type="pct"/>
          </w:tcPr>
          <w:p w14:paraId="21EA00B9">
            <w:pPr>
              <w:pStyle w:val="7"/>
              <w:spacing w:line="300" w:lineRule="exact"/>
              <w:rPr>
                <w:color w:val="auto"/>
                <w:kern w:val="2"/>
                <w:sz w:val="20"/>
                <w:szCs w:val="20"/>
              </w:rPr>
            </w:pPr>
            <w:r>
              <w:rPr>
                <w:rFonts w:hint="eastAsia"/>
                <w:color w:val="auto"/>
                <w:kern w:val="2"/>
                <w:sz w:val="20"/>
                <w:szCs w:val="20"/>
              </w:rPr>
              <w:t xml:space="preserve">1.能够说出职业病防治法的立法宗旨、职业病防治策略。 </w:t>
            </w:r>
            <w:r>
              <w:rPr>
                <w:color w:val="auto"/>
                <w:kern w:val="2"/>
                <w:sz w:val="20"/>
                <w:szCs w:val="20"/>
              </w:rPr>
              <w:t xml:space="preserve">   </w:t>
            </w:r>
            <w:r>
              <w:rPr>
                <w:rFonts w:hint="eastAsia"/>
                <w:color w:val="auto"/>
                <w:kern w:val="2"/>
                <w:sz w:val="20"/>
                <w:szCs w:val="20"/>
              </w:rPr>
              <w:t xml:space="preserve">2.能够说出个人防护用品的作用及正确选择。 </w:t>
            </w:r>
            <w:r>
              <w:rPr>
                <w:color w:val="auto"/>
                <w:kern w:val="2"/>
                <w:sz w:val="20"/>
                <w:szCs w:val="20"/>
              </w:rPr>
              <w:t xml:space="preserve">             </w:t>
            </w:r>
            <w:r>
              <w:rPr>
                <w:rFonts w:hint="eastAsia"/>
                <w:color w:val="auto"/>
                <w:kern w:val="2"/>
                <w:sz w:val="20"/>
                <w:szCs w:val="20"/>
              </w:rPr>
              <w:t>3.能够说出早期职业性损害的发现与干预措施。</w:t>
            </w:r>
          </w:p>
        </w:tc>
        <w:tc>
          <w:tcPr>
            <w:tcW w:w="1070" w:type="pct"/>
          </w:tcPr>
          <w:p w14:paraId="3136EFBD">
            <w:pPr>
              <w:pStyle w:val="7"/>
              <w:spacing w:line="300" w:lineRule="exact"/>
              <w:rPr>
                <w:color w:val="auto"/>
                <w:kern w:val="2"/>
                <w:sz w:val="20"/>
                <w:szCs w:val="20"/>
              </w:rPr>
            </w:pPr>
            <w:r>
              <w:rPr>
                <w:rFonts w:hint="eastAsia"/>
                <w:color w:val="auto"/>
                <w:kern w:val="2"/>
                <w:sz w:val="20"/>
                <w:szCs w:val="20"/>
              </w:rPr>
              <w:t>1.职业卫生与职业安全相关法律法规。2.职业卫生突发事件特征、调查处理原则及程序。3.不同行业暴露职业性有害因素的规律和特点。4.根据生产工艺过程分析有害因素。</w:t>
            </w:r>
          </w:p>
        </w:tc>
      </w:tr>
    </w:tbl>
    <w:p w14:paraId="2B9C9C83">
      <w:pPr>
        <w:pStyle w:val="18"/>
        <w:spacing w:before="81" w:after="163"/>
      </w:pPr>
    </w:p>
    <w:p w14:paraId="7FAF9B86">
      <w:pPr>
        <w:pStyle w:val="18"/>
        <w:numPr>
          <w:ilvl w:val="0"/>
          <w:numId w:val="0"/>
        </w:numPr>
        <w:spacing w:before="81" w:after="163"/>
        <w:ind w:leftChars="0"/>
        <w:rPr>
          <w:rFonts w:hint="eastAsia"/>
        </w:rPr>
      </w:pPr>
      <w:r>
        <w:rPr>
          <w:rFonts w:hint="eastAsia"/>
          <w:lang w:eastAsia="zh-CN"/>
        </w:rPr>
        <w:t>（</w:t>
      </w:r>
      <w:r>
        <w:rPr>
          <w:rFonts w:hint="eastAsia"/>
          <w:lang w:val="en-US" w:eastAsia="zh-CN"/>
        </w:rPr>
        <w:t>二</w:t>
      </w:r>
      <w:r>
        <w:rPr>
          <w:rFonts w:hint="eastAsia"/>
          <w:lang w:eastAsia="zh-CN"/>
        </w:rPr>
        <w:t>）</w:t>
      </w:r>
      <w:r>
        <w:rPr>
          <w:rFonts w:hint="eastAsia"/>
        </w:rPr>
        <w:t>教学单元对课程目标的支撑关系</w:t>
      </w:r>
    </w:p>
    <w:tbl>
      <w:tblPr>
        <w:tblStyle w:val="8"/>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61"/>
        <w:gridCol w:w="962"/>
        <w:gridCol w:w="962"/>
        <w:gridCol w:w="962"/>
        <w:gridCol w:w="962"/>
        <w:gridCol w:w="962"/>
      </w:tblGrid>
      <w:tr w14:paraId="09A7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461" w:type="dxa"/>
            <w:tcBorders>
              <w:top w:val="single" w:color="auto" w:sz="12" w:space="0"/>
              <w:left w:val="single" w:color="auto" w:sz="12" w:space="0"/>
              <w:tl2br w:val="single" w:color="auto" w:sz="4" w:space="0"/>
            </w:tcBorders>
          </w:tcPr>
          <w:p w14:paraId="7F3928D8">
            <w:pPr>
              <w:pStyle w:val="14"/>
              <w:ind w:firstLine="489"/>
              <w:jc w:val="right"/>
              <w:rPr>
                <w:szCs w:val="16"/>
              </w:rPr>
            </w:pPr>
            <w:r>
              <w:rPr>
                <w:rFonts w:hint="eastAsia"/>
                <w:szCs w:val="16"/>
              </w:rPr>
              <w:t>课程目标</w:t>
            </w:r>
          </w:p>
          <w:p w14:paraId="7A6E181F">
            <w:pPr>
              <w:pStyle w:val="14"/>
              <w:ind w:right="210"/>
              <w:jc w:val="left"/>
              <w:rPr>
                <w:rFonts w:hint="eastAsia"/>
                <w:szCs w:val="16"/>
              </w:rPr>
            </w:pPr>
          </w:p>
          <w:p w14:paraId="43C93660">
            <w:pPr>
              <w:pStyle w:val="14"/>
              <w:ind w:right="210"/>
              <w:jc w:val="left"/>
              <w:rPr>
                <w:szCs w:val="16"/>
              </w:rPr>
            </w:pPr>
            <w:r>
              <w:rPr>
                <w:rFonts w:hint="eastAsia"/>
                <w:szCs w:val="16"/>
              </w:rPr>
              <w:t>教学单元</w:t>
            </w:r>
          </w:p>
        </w:tc>
        <w:tc>
          <w:tcPr>
            <w:tcW w:w="962" w:type="dxa"/>
            <w:tcBorders>
              <w:top w:val="single" w:color="auto" w:sz="12" w:space="0"/>
            </w:tcBorders>
            <w:vAlign w:val="center"/>
          </w:tcPr>
          <w:p w14:paraId="3E401869">
            <w:pPr>
              <w:pStyle w:val="14"/>
              <w:jc w:val="center"/>
              <w:rPr>
                <w:rFonts w:hint="eastAsia" w:eastAsia="黑体"/>
                <w:szCs w:val="16"/>
                <w:lang w:val="en-US" w:eastAsia="zh-CN"/>
              </w:rPr>
            </w:pPr>
            <w:r>
              <w:rPr>
                <w:rFonts w:hint="eastAsia"/>
                <w:szCs w:val="16"/>
                <w:lang w:val="en-US" w:eastAsia="zh-CN"/>
              </w:rPr>
              <w:t>1</w:t>
            </w:r>
          </w:p>
        </w:tc>
        <w:tc>
          <w:tcPr>
            <w:tcW w:w="962" w:type="dxa"/>
            <w:tcBorders>
              <w:top w:val="single" w:color="auto" w:sz="12" w:space="0"/>
            </w:tcBorders>
            <w:vAlign w:val="center"/>
          </w:tcPr>
          <w:p w14:paraId="5313F60F">
            <w:pPr>
              <w:pStyle w:val="14"/>
              <w:jc w:val="center"/>
              <w:rPr>
                <w:rFonts w:hint="eastAsia" w:eastAsia="黑体"/>
                <w:szCs w:val="16"/>
                <w:lang w:val="en-US" w:eastAsia="zh-CN"/>
              </w:rPr>
            </w:pPr>
            <w:r>
              <w:rPr>
                <w:rFonts w:hint="eastAsia"/>
                <w:szCs w:val="16"/>
                <w:lang w:val="en-US" w:eastAsia="zh-CN"/>
              </w:rPr>
              <w:t>2</w:t>
            </w:r>
          </w:p>
        </w:tc>
        <w:tc>
          <w:tcPr>
            <w:tcW w:w="962" w:type="dxa"/>
            <w:tcBorders>
              <w:top w:val="single" w:color="auto" w:sz="12" w:space="0"/>
            </w:tcBorders>
            <w:vAlign w:val="center"/>
          </w:tcPr>
          <w:p w14:paraId="79BBA1E9">
            <w:pPr>
              <w:pStyle w:val="14"/>
              <w:jc w:val="center"/>
              <w:rPr>
                <w:rFonts w:hint="eastAsia" w:eastAsia="黑体"/>
                <w:szCs w:val="16"/>
                <w:lang w:val="en-US" w:eastAsia="zh-CN"/>
              </w:rPr>
            </w:pPr>
            <w:r>
              <w:rPr>
                <w:rFonts w:hint="eastAsia"/>
                <w:szCs w:val="16"/>
                <w:lang w:val="en-US" w:eastAsia="zh-CN"/>
              </w:rPr>
              <w:t>3</w:t>
            </w:r>
          </w:p>
        </w:tc>
        <w:tc>
          <w:tcPr>
            <w:tcW w:w="962" w:type="dxa"/>
            <w:tcBorders>
              <w:top w:val="single" w:color="auto" w:sz="12" w:space="0"/>
            </w:tcBorders>
            <w:vAlign w:val="center"/>
          </w:tcPr>
          <w:p w14:paraId="0C029644">
            <w:pPr>
              <w:pStyle w:val="14"/>
              <w:jc w:val="center"/>
              <w:rPr>
                <w:rFonts w:hint="eastAsia" w:eastAsia="黑体"/>
                <w:szCs w:val="16"/>
                <w:lang w:val="en-US" w:eastAsia="zh-CN"/>
              </w:rPr>
            </w:pPr>
            <w:r>
              <w:rPr>
                <w:rFonts w:hint="eastAsia"/>
                <w:szCs w:val="16"/>
                <w:lang w:val="en-US" w:eastAsia="zh-CN"/>
              </w:rPr>
              <w:t>4</w:t>
            </w:r>
          </w:p>
        </w:tc>
        <w:tc>
          <w:tcPr>
            <w:tcW w:w="962" w:type="dxa"/>
            <w:tcBorders>
              <w:top w:val="single" w:color="auto" w:sz="12" w:space="0"/>
              <w:right w:val="single" w:color="auto" w:sz="12" w:space="0"/>
            </w:tcBorders>
            <w:vAlign w:val="center"/>
          </w:tcPr>
          <w:p w14:paraId="09DAB220">
            <w:pPr>
              <w:pStyle w:val="14"/>
              <w:jc w:val="center"/>
              <w:rPr>
                <w:rFonts w:hint="eastAsia" w:eastAsia="黑体"/>
                <w:szCs w:val="16"/>
                <w:lang w:val="en-US" w:eastAsia="zh-CN"/>
              </w:rPr>
            </w:pPr>
            <w:r>
              <w:rPr>
                <w:rFonts w:hint="eastAsia"/>
                <w:szCs w:val="16"/>
                <w:lang w:val="en-US" w:eastAsia="zh-CN"/>
              </w:rPr>
              <w:t>6</w:t>
            </w:r>
          </w:p>
        </w:tc>
      </w:tr>
      <w:tr w14:paraId="42AA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61" w:type="dxa"/>
            <w:tcBorders>
              <w:left w:val="single" w:color="auto" w:sz="12" w:space="0"/>
            </w:tcBorders>
            <w:vAlign w:val="center"/>
          </w:tcPr>
          <w:p w14:paraId="10A59419">
            <w:pPr>
              <w:widowControl w:val="0"/>
              <w:snapToGrid w:val="0"/>
              <w:spacing w:line="340" w:lineRule="exact"/>
              <w:jc w:val="left"/>
              <w:rPr>
                <w:rFonts w:ascii="宋体" w:hAnsi="宋体"/>
                <w:sz w:val="20"/>
                <w:szCs w:val="20"/>
              </w:rPr>
            </w:pPr>
            <w:r>
              <w:rPr>
                <w:rFonts w:hint="eastAsia" w:ascii="宋体" w:hAnsi="宋体"/>
                <w:sz w:val="20"/>
                <w:szCs w:val="20"/>
              </w:rPr>
              <w:t>绪论</w:t>
            </w:r>
          </w:p>
          <w:p w14:paraId="659F2134">
            <w:pPr>
              <w:widowControl w:val="0"/>
              <w:snapToGrid w:val="0"/>
              <w:spacing w:line="340" w:lineRule="exact"/>
              <w:jc w:val="left"/>
            </w:pPr>
            <w:r>
              <w:rPr>
                <w:rFonts w:hint="eastAsia" w:ascii="宋体" w:hAnsi="宋体"/>
                <w:sz w:val="20"/>
                <w:szCs w:val="20"/>
              </w:rPr>
              <w:t xml:space="preserve"> </w:t>
            </w:r>
            <w:r>
              <w:rPr>
                <w:rFonts w:ascii="宋体" w:hAnsi="宋体"/>
                <w:sz w:val="20"/>
                <w:szCs w:val="20"/>
              </w:rPr>
              <w:t xml:space="preserve">  </w:t>
            </w:r>
            <w:r>
              <w:rPr>
                <w:rFonts w:hint="eastAsia" w:ascii="宋体" w:hAnsi="宋体"/>
                <w:sz w:val="20"/>
                <w:szCs w:val="20"/>
              </w:rPr>
              <w:t>职业卫生与职业医学研究方法与应用</w:t>
            </w:r>
          </w:p>
        </w:tc>
        <w:tc>
          <w:tcPr>
            <w:tcW w:w="962" w:type="dxa"/>
            <w:vAlign w:val="center"/>
          </w:tcPr>
          <w:p w14:paraId="666115FC">
            <w:pPr>
              <w:pStyle w:val="15"/>
              <w:jc w:val="center"/>
            </w:pPr>
            <w:r>
              <w:rPr>
                <w:rFonts w:hint="default" w:ascii="Arial" w:hAnsi="Arial" w:cs="Arial"/>
              </w:rPr>
              <w:t>√</w:t>
            </w:r>
          </w:p>
        </w:tc>
        <w:tc>
          <w:tcPr>
            <w:tcW w:w="962" w:type="dxa"/>
            <w:vAlign w:val="center"/>
          </w:tcPr>
          <w:p w14:paraId="0F14A056">
            <w:pPr>
              <w:pStyle w:val="15"/>
              <w:jc w:val="center"/>
            </w:pPr>
          </w:p>
        </w:tc>
        <w:tc>
          <w:tcPr>
            <w:tcW w:w="962" w:type="dxa"/>
            <w:vAlign w:val="center"/>
          </w:tcPr>
          <w:p w14:paraId="2480FD55">
            <w:pPr>
              <w:pStyle w:val="15"/>
              <w:jc w:val="center"/>
            </w:pPr>
          </w:p>
        </w:tc>
        <w:tc>
          <w:tcPr>
            <w:tcW w:w="962" w:type="dxa"/>
            <w:vAlign w:val="center"/>
          </w:tcPr>
          <w:p w14:paraId="7948064E">
            <w:pPr>
              <w:pStyle w:val="15"/>
              <w:jc w:val="center"/>
            </w:pPr>
          </w:p>
        </w:tc>
        <w:tc>
          <w:tcPr>
            <w:tcW w:w="962" w:type="dxa"/>
            <w:tcBorders>
              <w:right w:val="single" w:color="auto" w:sz="12" w:space="0"/>
            </w:tcBorders>
            <w:vAlign w:val="center"/>
          </w:tcPr>
          <w:p w14:paraId="0C3BA6CF">
            <w:pPr>
              <w:jc w:val="center"/>
            </w:pPr>
            <w:r>
              <w:rPr>
                <w:rFonts w:hint="default" w:ascii="Arial" w:hAnsi="Arial" w:cs="Arial"/>
              </w:rPr>
              <w:t>√</w:t>
            </w:r>
          </w:p>
        </w:tc>
      </w:tr>
      <w:tr w14:paraId="5D19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61" w:type="dxa"/>
            <w:tcBorders>
              <w:left w:val="single" w:color="auto" w:sz="12" w:space="0"/>
            </w:tcBorders>
            <w:vAlign w:val="center"/>
          </w:tcPr>
          <w:p w14:paraId="330930F1">
            <w:pPr>
              <w:widowControl w:val="0"/>
              <w:spacing w:line="300" w:lineRule="exact"/>
              <w:jc w:val="left"/>
            </w:pPr>
            <w:r>
              <w:rPr>
                <w:rFonts w:hint="eastAsia" w:ascii="宋体" w:hAnsi="宋体"/>
                <w:sz w:val="20"/>
                <w:szCs w:val="20"/>
              </w:rPr>
              <w:t>生产性毒物与职业中毒</w:t>
            </w:r>
          </w:p>
        </w:tc>
        <w:tc>
          <w:tcPr>
            <w:tcW w:w="962" w:type="dxa"/>
            <w:vAlign w:val="center"/>
          </w:tcPr>
          <w:p w14:paraId="4F0B9AEB">
            <w:pPr>
              <w:pStyle w:val="15"/>
              <w:jc w:val="center"/>
            </w:pPr>
          </w:p>
        </w:tc>
        <w:tc>
          <w:tcPr>
            <w:tcW w:w="962" w:type="dxa"/>
            <w:vAlign w:val="center"/>
          </w:tcPr>
          <w:p w14:paraId="3D92955B">
            <w:pPr>
              <w:jc w:val="center"/>
            </w:pPr>
            <w:r>
              <w:rPr>
                <w:rFonts w:hint="default" w:ascii="Arial" w:hAnsi="Arial" w:cs="Arial"/>
              </w:rPr>
              <w:t>√</w:t>
            </w:r>
          </w:p>
        </w:tc>
        <w:tc>
          <w:tcPr>
            <w:tcW w:w="962" w:type="dxa"/>
            <w:vAlign w:val="center"/>
          </w:tcPr>
          <w:p w14:paraId="0AC9453F">
            <w:pPr>
              <w:jc w:val="center"/>
            </w:pPr>
            <w:r>
              <w:rPr>
                <w:rFonts w:hint="default" w:ascii="Arial" w:hAnsi="Arial" w:cs="Arial"/>
              </w:rPr>
              <w:t>√</w:t>
            </w:r>
          </w:p>
        </w:tc>
        <w:tc>
          <w:tcPr>
            <w:tcW w:w="962" w:type="dxa"/>
            <w:vAlign w:val="center"/>
          </w:tcPr>
          <w:p w14:paraId="0519E2B7">
            <w:pPr>
              <w:jc w:val="center"/>
            </w:pPr>
            <w:r>
              <w:rPr>
                <w:rFonts w:hint="default" w:ascii="Arial" w:hAnsi="Arial" w:cs="Arial"/>
              </w:rPr>
              <w:t>√</w:t>
            </w:r>
          </w:p>
        </w:tc>
        <w:tc>
          <w:tcPr>
            <w:tcW w:w="962" w:type="dxa"/>
            <w:tcBorders>
              <w:right w:val="single" w:color="auto" w:sz="12" w:space="0"/>
            </w:tcBorders>
            <w:vAlign w:val="center"/>
          </w:tcPr>
          <w:p w14:paraId="60D031C7">
            <w:pPr>
              <w:jc w:val="center"/>
            </w:pPr>
            <w:r>
              <w:rPr>
                <w:rFonts w:hint="default" w:ascii="Arial" w:hAnsi="Arial" w:cs="Arial"/>
              </w:rPr>
              <w:t>√</w:t>
            </w:r>
          </w:p>
        </w:tc>
      </w:tr>
      <w:tr w14:paraId="3034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61" w:type="dxa"/>
            <w:tcBorders>
              <w:left w:val="single" w:color="auto" w:sz="12" w:space="0"/>
            </w:tcBorders>
            <w:vAlign w:val="center"/>
          </w:tcPr>
          <w:p w14:paraId="57A9A236">
            <w:pPr>
              <w:pStyle w:val="7"/>
              <w:widowControl w:val="0"/>
              <w:spacing w:before="0" w:beforeAutospacing="0" w:after="0" w:afterAutospacing="0" w:line="300" w:lineRule="exact"/>
              <w:jc w:val="left"/>
            </w:pPr>
            <w:r>
              <w:rPr>
                <w:rFonts w:hint="eastAsia"/>
                <w:color w:val="auto"/>
                <w:kern w:val="2"/>
                <w:sz w:val="20"/>
                <w:szCs w:val="20"/>
              </w:rPr>
              <w:t>生产性粉尘与职业性肺部疾病</w:t>
            </w:r>
          </w:p>
        </w:tc>
        <w:tc>
          <w:tcPr>
            <w:tcW w:w="962" w:type="dxa"/>
            <w:vAlign w:val="center"/>
          </w:tcPr>
          <w:p w14:paraId="4C4D01F6">
            <w:pPr>
              <w:pStyle w:val="15"/>
              <w:jc w:val="center"/>
            </w:pPr>
            <w:r>
              <w:rPr>
                <w:rFonts w:hint="default" w:ascii="Arial" w:hAnsi="Arial" w:cs="Arial"/>
              </w:rPr>
              <w:t>√</w:t>
            </w:r>
          </w:p>
        </w:tc>
        <w:tc>
          <w:tcPr>
            <w:tcW w:w="962" w:type="dxa"/>
            <w:vAlign w:val="center"/>
          </w:tcPr>
          <w:p w14:paraId="1BF71C4E">
            <w:pPr>
              <w:jc w:val="center"/>
            </w:pPr>
            <w:r>
              <w:rPr>
                <w:rFonts w:hint="default" w:ascii="Arial" w:hAnsi="Arial" w:cs="Arial"/>
              </w:rPr>
              <w:t>√</w:t>
            </w:r>
          </w:p>
        </w:tc>
        <w:tc>
          <w:tcPr>
            <w:tcW w:w="962" w:type="dxa"/>
            <w:vAlign w:val="center"/>
          </w:tcPr>
          <w:p w14:paraId="5DE4E91E">
            <w:pPr>
              <w:jc w:val="center"/>
            </w:pPr>
            <w:r>
              <w:rPr>
                <w:rFonts w:hint="default" w:ascii="Arial" w:hAnsi="Arial" w:cs="Arial"/>
              </w:rPr>
              <w:t>√</w:t>
            </w:r>
          </w:p>
        </w:tc>
        <w:tc>
          <w:tcPr>
            <w:tcW w:w="962" w:type="dxa"/>
            <w:vAlign w:val="center"/>
          </w:tcPr>
          <w:p w14:paraId="29532745">
            <w:pPr>
              <w:jc w:val="center"/>
            </w:pPr>
            <w:r>
              <w:rPr>
                <w:rFonts w:hint="default" w:ascii="Arial" w:hAnsi="Arial" w:cs="Arial"/>
              </w:rPr>
              <w:t>√</w:t>
            </w:r>
          </w:p>
        </w:tc>
        <w:tc>
          <w:tcPr>
            <w:tcW w:w="962" w:type="dxa"/>
            <w:tcBorders>
              <w:right w:val="single" w:color="auto" w:sz="12" w:space="0"/>
            </w:tcBorders>
            <w:vAlign w:val="center"/>
          </w:tcPr>
          <w:p w14:paraId="7AF32546">
            <w:pPr>
              <w:jc w:val="center"/>
            </w:pPr>
            <w:r>
              <w:rPr>
                <w:rFonts w:hint="default" w:ascii="Arial" w:hAnsi="Arial" w:cs="Arial"/>
              </w:rPr>
              <w:t>√</w:t>
            </w:r>
          </w:p>
        </w:tc>
      </w:tr>
      <w:tr w14:paraId="30BA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61" w:type="dxa"/>
            <w:tcBorders>
              <w:left w:val="single" w:color="auto" w:sz="12" w:space="0"/>
            </w:tcBorders>
            <w:vAlign w:val="center"/>
          </w:tcPr>
          <w:p w14:paraId="6863AB71">
            <w:pPr>
              <w:pStyle w:val="7"/>
              <w:widowControl w:val="0"/>
              <w:spacing w:before="0" w:beforeAutospacing="0" w:after="0" w:afterAutospacing="0" w:line="300" w:lineRule="exact"/>
              <w:jc w:val="left"/>
            </w:pPr>
            <w:r>
              <w:rPr>
                <w:rFonts w:hint="eastAsia"/>
                <w:color w:val="auto"/>
                <w:kern w:val="2"/>
                <w:sz w:val="20"/>
                <w:szCs w:val="20"/>
              </w:rPr>
              <w:t>物理因素及其对健康的影响</w:t>
            </w:r>
          </w:p>
        </w:tc>
        <w:tc>
          <w:tcPr>
            <w:tcW w:w="962" w:type="dxa"/>
            <w:vAlign w:val="center"/>
          </w:tcPr>
          <w:p w14:paraId="42D4D0C2">
            <w:pPr>
              <w:pStyle w:val="15"/>
              <w:jc w:val="center"/>
            </w:pPr>
            <w:r>
              <w:rPr>
                <w:rFonts w:hint="default" w:ascii="Arial" w:hAnsi="Arial" w:cs="Arial"/>
              </w:rPr>
              <w:t>√</w:t>
            </w:r>
          </w:p>
        </w:tc>
        <w:tc>
          <w:tcPr>
            <w:tcW w:w="962" w:type="dxa"/>
            <w:vAlign w:val="center"/>
          </w:tcPr>
          <w:p w14:paraId="36A63460">
            <w:pPr>
              <w:jc w:val="center"/>
            </w:pPr>
            <w:r>
              <w:rPr>
                <w:rFonts w:hint="default" w:ascii="Arial" w:hAnsi="Arial" w:cs="Arial"/>
              </w:rPr>
              <w:t>√</w:t>
            </w:r>
          </w:p>
        </w:tc>
        <w:tc>
          <w:tcPr>
            <w:tcW w:w="962" w:type="dxa"/>
            <w:vAlign w:val="center"/>
          </w:tcPr>
          <w:p w14:paraId="3EEB9475">
            <w:pPr>
              <w:jc w:val="center"/>
            </w:pPr>
            <w:r>
              <w:rPr>
                <w:rFonts w:hint="default" w:ascii="Arial" w:hAnsi="Arial" w:cs="Arial"/>
              </w:rPr>
              <w:t>√</w:t>
            </w:r>
          </w:p>
        </w:tc>
        <w:tc>
          <w:tcPr>
            <w:tcW w:w="962" w:type="dxa"/>
            <w:vAlign w:val="center"/>
          </w:tcPr>
          <w:p w14:paraId="342886A4">
            <w:pPr>
              <w:jc w:val="center"/>
            </w:pPr>
            <w:r>
              <w:rPr>
                <w:rFonts w:hint="default" w:ascii="Arial" w:hAnsi="Arial" w:cs="Arial"/>
              </w:rPr>
              <w:t>√</w:t>
            </w:r>
          </w:p>
        </w:tc>
        <w:tc>
          <w:tcPr>
            <w:tcW w:w="962" w:type="dxa"/>
            <w:tcBorders>
              <w:right w:val="single" w:color="auto" w:sz="12" w:space="0"/>
            </w:tcBorders>
            <w:vAlign w:val="center"/>
          </w:tcPr>
          <w:p w14:paraId="549C65D2">
            <w:pPr>
              <w:jc w:val="center"/>
            </w:pPr>
            <w:r>
              <w:rPr>
                <w:rFonts w:hint="default" w:ascii="Arial" w:hAnsi="Arial" w:cs="Arial"/>
              </w:rPr>
              <w:t>√</w:t>
            </w:r>
          </w:p>
        </w:tc>
      </w:tr>
      <w:tr w14:paraId="1911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61" w:type="dxa"/>
            <w:tcBorders>
              <w:left w:val="single" w:color="auto" w:sz="12" w:space="0"/>
            </w:tcBorders>
            <w:vAlign w:val="center"/>
          </w:tcPr>
          <w:p w14:paraId="7EB28931">
            <w:pPr>
              <w:pStyle w:val="7"/>
              <w:widowControl w:val="0"/>
              <w:spacing w:before="0" w:beforeAutospacing="0" w:after="0" w:afterAutospacing="0" w:line="300" w:lineRule="exact"/>
              <w:jc w:val="left"/>
            </w:pPr>
            <w:r>
              <w:rPr>
                <w:rFonts w:hint="eastAsia"/>
                <w:color w:val="auto"/>
                <w:kern w:val="2"/>
                <w:sz w:val="20"/>
                <w:szCs w:val="20"/>
              </w:rPr>
              <w:t>职业性致癌因素与职业肿瘤</w:t>
            </w:r>
          </w:p>
        </w:tc>
        <w:tc>
          <w:tcPr>
            <w:tcW w:w="962" w:type="dxa"/>
            <w:vAlign w:val="center"/>
          </w:tcPr>
          <w:p w14:paraId="62DFC8DC">
            <w:pPr>
              <w:pStyle w:val="15"/>
              <w:jc w:val="center"/>
            </w:pPr>
          </w:p>
        </w:tc>
        <w:tc>
          <w:tcPr>
            <w:tcW w:w="962" w:type="dxa"/>
            <w:vAlign w:val="center"/>
          </w:tcPr>
          <w:p w14:paraId="491869C6">
            <w:pPr>
              <w:jc w:val="center"/>
            </w:pPr>
            <w:r>
              <w:rPr>
                <w:rFonts w:hint="default" w:ascii="Arial" w:hAnsi="Arial" w:cs="Arial"/>
              </w:rPr>
              <w:t>√</w:t>
            </w:r>
          </w:p>
        </w:tc>
        <w:tc>
          <w:tcPr>
            <w:tcW w:w="962" w:type="dxa"/>
            <w:vAlign w:val="center"/>
          </w:tcPr>
          <w:p w14:paraId="0DB8692C">
            <w:pPr>
              <w:jc w:val="center"/>
            </w:pPr>
            <w:r>
              <w:rPr>
                <w:rFonts w:hint="default" w:ascii="Arial" w:hAnsi="Arial" w:cs="Arial"/>
              </w:rPr>
              <w:t>√</w:t>
            </w:r>
          </w:p>
        </w:tc>
        <w:tc>
          <w:tcPr>
            <w:tcW w:w="962" w:type="dxa"/>
            <w:vAlign w:val="center"/>
          </w:tcPr>
          <w:p w14:paraId="14A5D802">
            <w:pPr>
              <w:jc w:val="center"/>
            </w:pPr>
            <w:r>
              <w:rPr>
                <w:rFonts w:hint="default" w:ascii="Arial" w:hAnsi="Arial" w:cs="Arial"/>
              </w:rPr>
              <w:t>√</w:t>
            </w:r>
          </w:p>
        </w:tc>
        <w:tc>
          <w:tcPr>
            <w:tcW w:w="962" w:type="dxa"/>
            <w:tcBorders>
              <w:right w:val="single" w:color="auto" w:sz="12" w:space="0"/>
            </w:tcBorders>
            <w:vAlign w:val="center"/>
          </w:tcPr>
          <w:p w14:paraId="3D281F14">
            <w:pPr>
              <w:jc w:val="center"/>
            </w:pPr>
            <w:r>
              <w:rPr>
                <w:rFonts w:hint="default" w:ascii="Arial" w:hAnsi="Arial" w:cs="Arial"/>
              </w:rPr>
              <w:t>√</w:t>
            </w:r>
          </w:p>
        </w:tc>
      </w:tr>
      <w:tr w14:paraId="2B75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61" w:type="dxa"/>
            <w:tcBorders>
              <w:left w:val="single" w:color="auto" w:sz="12" w:space="0"/>
            </w:tcBorders>
            <w:vAlign w:val="center"/>
          </w:tcPr>
          <w:p w14:paraId="4EFD848D">
            <w:pPr>
              <w:widowControl w:val="0"/>
              <w:snapToGrid w:val="0"/>
              <w:spacing w:line="300" w:lineRule="exact"/>
              <w:jc w:val="left"/>
            </w:pPr>
            <w:r>
              <w:rPr>
                <w:rFonts w:hint="eastAsia" w:ascii="宋体" w:hAnsi="宋体"/>
                <w:sz w:val="20"/>
                <w:szCs w:val="20"/>
              </w:rPr>
              <w:t>生物有害因素所致职业性损害和</w:t>
            </w:r>
            <w:r>
              <w:rPr>
                <w:rFonts w:ascii="宋体" w:hAnsi="宋体"/>
                <w:sz w:val="20"/>
                <w:szCs w:val="20"/>
              </w:rPr>
              <w:t>其他职业病</w:t>
            </w:r>
          </w:p>
        </w:tc>
        <w:tc>
          <w:tcPr>
            <w:tcW w:w="962" w:type="dxa"/>
            <w:vAlign w:val="center"/>
          </w:tcPr>
          <w:p w14:paraId="6C34E2E4">
            <w:pPr>
              <w:pStyle w:val="15"/>
              <w:jc w:val="center"/>
            </w:pPr>
          </w:p>
        </w:tc>
        <w:tc>
          <w:tcPr>
            <w:tcW w:w="962" w:type="dxa"/>
            <w:vAlign w:val="center"/>
          </w:tcPr>
          <w:p w14:paraId="0A6EBE52">
            <w:pPr>
              <w:jc w:val="center"/>
            </w:pPr>
            <w:r>
              <w:rPr>
                <w:rFonts w:hint="default" w:ascii="Arial" w:hAnsi="Arial" w:cs="Arial"/>
              </w:rPr>
              <w:t>√</w:t>
            </w:r>
          </w:p>
        </w:tc>
        <w:tc>
          <w:tcPr>
            <w:tcW w:w="962" w:type="dxa"/>
            <w:vAlign w:val="center"/>
          </w:tcPr>
          <w:p w14:paraId="2B18875B">
            <w:pPr>
              <w:jc w:val="center"/>
            </w:pPr>
            <w:r>
              <w:rPr>
                <w:rFonts w:hint="default" w:ascii="Arial" w:hAnsi="Arial" w:cs="Arial"/>
              </w:rPr>
              <w:t>√</w:t>
            </w:r>
          </w:p>
        </w:tc>
        <w:tc>
          <w:tcPr>
            <w:tcW w:w="962" w:type="dxa"/>
            <w:vAlign w:val="center"/>
          </w:tcPr>
          <w:p w14:paraId="19B01764">
            <w:pPr>
              <w:jc w:val="center"/>
            </w:pPr>
            <w:r>
              <w:rPr>
                <w:rFonts w:hint="default" w:ascii="Arial" w:hAnsi="Arial" w:cs="Arial"/>
              </w:rPr>
              <w:t>√</w:t>
            </w:r>
          </w:p>
        </w:tc>
        <w:tc>
          <w:tcPr>
            <w:tcW w:w="962" w:type="dxa"/>
            <w:tcBorders>
              <w:right w:val="single" w:color="auto" w:sz="12" w:space="0"/>
            </w:tcBorders>
            <w:vAlign w:val="center"/>
          </w:tcPr>
          <w:p w14:paraId="5B8338AF">
            <w:pPr>
              <w:jc w:val="center"/>
            </w:pPr>
            <w:r>
              <w:rPr>
                <w:rFonts w:hint="default" w:ascii="Arial" w:hAnsi="Arial" w:cs="Arial"/>
              </w:rPr>
              <w:t>√</w:t>
            </w:r>
          </w:p>
        </w:tc>
      </w:tr>
      <w:tr w14:paraId="3F43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61" w:type="dxa"/>
            <w:tcBorders>
              <w:left w:val="single" w:color="auto" w:sz="12" w:space="0"/>
            </w:tcBorders>
            <w:vAlign w:val="center"/>
          </w:tcPr>
          <w:p w14:paraId="5AF65DFD">
            <w:pPr>
              <w:widowControl w:val="0"/>
              <w:snapToGrid w:val="0"/>
              <w:spacing w:line="300" w:lineRule="exact"/>
              <w:jc w:val="left"/>
              <w:rPr>
                <w:rFonts w:ascii="宋体" w:hAnsi="宋体"/>
                <w:sz w:val="20"/>
                <w:szCs w:val="20"/>
              </w:rPr>
            </w:pPr>
            <w:r>
              <w:rPr>
                <w:rFonts w:hint="eastAsia" w:ascii="宋体" w:hAnsi="宋体"/>
                <w:sz w:val="20"/>
                <w:szCs w:val="20"/>
              </w:rPr>
              <w:t>职业性伤害和</w:t>
            </w:r>
          </w:p>
          <w:p w14:paraId="6F6D58A0">
            <w:pPr>
              <w:widowControl w:val="0"/>
              <w:snapToGrid w:val="0"/>
              <w:spacing w:line="300" w:lineRule="exact"/>
              <w:jc w:val="left"/>
            </w:pPr>
            <w:r>
              <w:rPr>
                <w:rFonts w:ascii="宋体" w:hAnsi="宋体"/>
                <w:sz w:val="20"/>
                <w:szCs w:val="20"/>
              </w:rPr>
              <w:t>职业性有害因素的识别与评价</w:t>
            </w:r>
          </w:p>
        </w:tc>
        <w:tc>
          <w:tcPr>
            <w:tcW w:w="962" w:type="dxa"/>
            <w:vAlign w:val="center"/>
          </w:tcPr>
          <w:p w14:paraId="12242BBE">
            <w:pPr>
              <w:pStyle w:val="15"/>
              <w:jc w:val="center"/>
            </w:pPr>
          </w:p>
        </w:tc>
        <w:tc>
          <w:tcPr>
            <w:tcW w:w="962" w:type="dxa"/>
            <w:vAlign w:val="center"/>
          </w:tcPr>
          <w:p w14:paraId="1CC76B7B">
            <w:pPr>
              <w:jc w:val="center"/>
            </w:pPr>
            <w:r>
              <w:rPr>
                <w:rFonts w:hint="default" w:ascii="Arial" w:hAnsi="Arial" w:cs="Arial"/>
              </w:rPr>
              <w:t>√</w:t>
            </w:r>
          </w:p>
        </w:tc>
        <w:tc>
          <w:tcPr>
            <w:tcW w:w="962" w:type="dxa"/>
            <w:vAlign w:val="center"/>
          </w:tcPr>
          <w:p w14:paraId="4B9631E0">
            <w:pPr>
              <w:jc w:val="center"/>
            </w:pPr>
            <w:r>
              <w:rPr>
                <w:rFonts w:hint="default" w:ascii="Arial" w:hAnsi="Arial" w:cs="Arial"/>
              </w:rPr>
              <w:t>√</w:t>
            </w:r>
          </w:p>
        </w:tc>
        <w:tc>
          <w:tcPr>
            <w:tcW w:w="962" w:type="dxa"/>
            <w:vAlign w:val="center"/>
          </w:tcPr>
          <w:p w14:paraId="102D98A2">
            <w:pPr>
              <w:jc w:val="center"/>
            </w:pPr>
            <w:r>
              <w:rPr>
                <w:rFonts w:hint="default" w:ascii="Arial" w:hAnsi="Arial" w:cs="Arial"/>
              </w:rPr>
              <w:t>√</w:t>
            </w:r>
          </w:p>
        </w:tc>
        <w:tc>
          <w:tcPr>
            <w:tcW w:w="962" w:type="dxa"/>
            <w:tcBorders>
              <w:right w:val="single" w:color="auto" w:sz="12" w:space="0"/>
            </w:tcBorders>
            <w:vAlign w:val="center"/>
          </w:tcPr>
          <w:p w14:paraId="1E4D9E78">
            <w:pPr>
              <w:jc w:val="center"/>
            </w:pPr>
            <w:r>
              <w:rPr>
                <w:rFonts w:hint="default" w:ascii="Arial" w:hAnsi="Arial" w:cs="Arial"/>
              </w:rPr>
              <w:t>√</w:t>
            </w:r>
          </w:p>
        </w:tc>
      </w:tr>
      <w:tr w14:paraId="2237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61" w:type="dxa"/>
            <w:tcBorders>
              <w:left w:val="single" w:color="auto" w:sz="12" w:space="0"/>
            </w:tcBorders>
            <w:vAlign w:val="center"/>
          </w:tcPr>
          <w:p w14:paraId="62B0715F">
            <w:pPr>
              <w:pStyle w:val="7"/>
              <w:widowControl w:val="0"/>
              <w:spacing w:before="0" w:beforeAutospacing="0" w:after="0" w:afterAutospacing="0" w:line="300" w:lineRule="exact"/>
              <w:jc w:val="left"/>
              <w:rPr>
                <w:color w:val="auto"/>
                <w:kern w:val="2"/>
                <w:sz w:val="20"/>
                <w:szCs w:val="20"/>
              </w:rPr>
            </w:pPr>
            <w:r>
              <w:rPr>
                <w:rFonts w:hint="eastAsia"/>
                <w:color w:val="auto"/>
                <w:kern w:val="2"/>
                <w:sz w:val="20"/>
                <w:szCs w:val="20"/>
              </w:rPr>
              <w:t>职业性有害因素的预防与控制和</w:t>
            </w:r>
          </w:p>
          <w:p w14:paraId="1CEC074F">
            <w:pPr>
              <w:pStyle w:val="7"/>
              <w:widowControl w:val="0"/>
              <w:spacing w:before="0" w:beforeAutospacing="0" w:after="0" w:afterAutospacing="0" w:line="300" w:lineRule="exact"/>
              <w:jc w:val="left"/>
            </w:pPr>
            <w:r>
              <w:rPr>
                <w:color w:val="auto"/>
                <w:kern w:val="2"/>
                <w:sz w:val="20"/>
                <w:szCs w:val="20"/>
              </w:rPr>
              <w:t>主要行业的职业卫生</w:t>
            </w:r>
          </w:p>
        </w:tc>
        <w:tc>
          <w:tcPr>
            <w:tcW w:w="962" w:type="dxa"/>
            <w:vAlign w:val="center"/>
          </w:tcPr>
          <w:p w14:paraId="7878C673">
            <w:pPr>
              <w:pStyle w:val="15"/>
              <w:jc w:val="center"/>
            </w:pPr>
          </w:p>
        </w:tc>
        <w:tc>
          <w:tcPr>
            <w:tcW w:w="962" w:type="dxa"/>
            <w:vAlign w:val="center"/>
          </w:tcPr>
          <w:p w14:paraId="4E5CCA8D">
            <w:pPr>
              <w:jc w:val="center"/>
            </w:pPr>
            <w:r>
              <w:rPr>
                <w:rFonts w:hint="default" w:ascii="Arial" w:hAnsi="Arial" w:cs="Arial"/>
              </w:rPr>
              <w:t>√</w:t>
            </w:r>
          </w:p>
        </w:tc>
        <w:tc>
          <w:tcPr>
            <w:tcW w:w="962" w:type="dxa"/>
            <w:vAlign w:val="center"/>
          </w:tcPr>
          <w:p w14:paraId="47D3C896">
            <w:pPr>
              <w:jc w:val="center"/>
            </w:pPr>
            <w:r>
              <w:rPr>
                <w:rFonts w:hint="default" w:ascii="Arial" w:hAnsi="Arial" w:cs="Arial"/>
              </w:rPr>
              <w:t>√</w:t>
            </w:r>
          </w:p>
        </w:tc>
        <w:tc>
          <w:tcPr>
            <w:tcW w:w="962" w:type="dxa"/>
            <w:vAlign w:val="center"/>
          </w:tcPr>
          <w:p w14:paraId="0CB852C5">
            <w:pPr>
              <w:jc w:val="center"/>
            </w:pPr>
            <w:r>
              <w:rPr>
                <w:rFonts w:hint="default" w:ascii="Arial" w:hAnsi="Arial" w:cs="Arial"/>
              </w:rPr>
              <w:t>√</w:t>
            </w:r>
          </w:p>
        </w:tc>
        <w:tc>
          <w:tcPr>
            <w:tcW w:w="962" w:type="dxa"/>
            <w:tcBorders>
              <w:right w:val="single" w:color="auto" w:sz="12" w:space="0"/>
            </w:tcBorders>
            <w:vAlign w:val="center"/>
          </w:tcPr>
          <w:p w14:paraId="4A5EC5C1">
            <w:pPr>
              <w:jc w:val="center"/>
            </w:pPr>
            <w:r>
              <w:rPr>
                <w:rFonts w:hint="default" w:ascii="Arial" w:hAnsi="Arial" w:cs="Arial"/>
              </w:rPr>
              <w:t>√</w:t>
            </w:r>
          </w:p>
        </w:tc>
      </w:tr>
    </w:tbl>
    <w:p w14:paraId="399E6F38">
      <w:pPr>
        <w:pStyle w:val="18"/>
        <w:numPr>
          <w:ilvl w:val="0"/>
          <w:numId w:val="0"/>
        </w:numPr>
        <w:spacing w:before="81" w:after="163"/>
        <w:ind w:leftChars="0"/>
        <w:rPr>
          <w:rFonts w:hint="eastAsia"/>
        </w:rPr>
      </w:pPr>
    </w:p>
    <w:p w14:paraId="14E14464">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247"/>
        <w:gridCol w:w="2380"/>
        <w:gridCol w:w="1738"/>
        <w:gridCol w:w="725"/>
        <w:gridCol w:w="669"/>
        <w:gridCol w:w="717"/>
      </w:tblGrid>
      <w:tr w14:paraId="56F1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47" w:type="dxa"/>
            <w:vMerge w:val="restart"/>
            <w:tcBorders>
              <w:top w:val="single" w:color="auto" w:sz="12" w:space="0"/>
              <w:left w:val="single" w:color="auto" w:sz="12" w:space="0"/>
            </w:tcBorders>
            <w:vAlign w:val="center"/>
          </w:tcPr>
          <w:p w14:paraId="3416448B">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380" w:type="dxa"/>
            <w:vMerge w:val="restart"/>
            <w:tcBorders>
              <w:top w:val="single" w:color="auto" w:sz="12" w:space="0"/>
            </w:tcBorders>
            <w:vAlign w:val="center"/>
          </w:tcPr>
          <w:p w14:paraId="2440EE63">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16FF2797">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28F8FC4D">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6CA6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47" w:type="dxa"/>
            <w:vMerge w:val="continue"/>
            <w:tcBorders>
              <w:left w:val="single" w:color="auto" w:sz="12" w:space="0"/>
            </w:tcBorders>
          </w:tcPr>
          <w:p w14:paraId="51023749">
            <w:pPr>
              <w:widowControl w:val="0"/>
              <w:snapToGrid w:val="0"/>
              <w:jc w:val="center"/>
              <w:rPr>
                <w:rFonts w:ascii="黑体" w:hAnsi="黑体" w:eastAsia="黑体"/>
                <w:bCs/>
                <w:sz w:val="21"/>
                <w:szCs w:val="21"/>
              </w:rPr>
            </w:pPr>
          </w:p>
        </w:tc>
        <w:tc>
          <w:tcPr>
            <w:tcW w:w="2380" w:type="dxa"/>
            <w:vMerge w:val="continue"/>
          </w:tcPr>
          <w:p w14:paraId="3D9904AA">
            <w:pPr>
              <w:widowControl w:val="0"/>
              <w:snapToGrid w:val="0"/>
              <w:jc w:val="center"/>
              <w:rPr>
                <w:rFonts w:ascii="黑体" w:hAnsi="黑体" w:eastAsia="黑体"/>
                <w:bCs/>
                <w:sz w:val="21"/>
                <w:szCs w:val="21"/>
              </w:rPr>
            </w:pPr>
          </w:p>
        </w:tc>
        <w:tc>
          <w:tcPr>
            <w:tcW w:w="1738" w:type="dxa"/>
            <w:vMerge w:val="continue"/>
          </w:tcPr>
          <w:p w14:paraId="5806BFF5">
            <w:pPr>
              <w:widowControl w:val="0"/>
              <w:snapToGrid w:val="0"/>
              <w:jc w:val="center"/>
              <w:rPr>
                <w:rFonts w:ascii="黑体" w:hAnsi="黑体" w:eastAsia="黑体"/>
                <w:bCs/>
                <w:sz w:val="21"/>
                <w:szCs w:val="21"/>
              </w:rPr>
            </w:pPr>
          </w:p>
        </w:tc>
        <w:tc>
          <w:tcPr>
            <w:tcW w:w="725" w:type="dxa"/>
            <w:vAlign w:val="center"/>
          </w:tcPr>
          <w:p w14:paraId="30D4BBF6">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20BCA187">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2A3794C6">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233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47" w:type="dxa"/>
            <w:tcBorders>
              <w:left w:val="single" w:color="auto" w:sz="12" w:space="0"/>
            </w:tcBorders>
            <w:vAlign w:val="center"/>
          </w:tcPr>
          <w:p w14:paraId="31891A4B">
            <w:pPr>
              <w:widowControl w:val="0"/>
              <w:snapToGrid w:val="0"/>
              <w:spacing w:line="340" w:lineRule="exact"/>
              <w:jc w:val="left"/>
              <w:rPr>
                <w:rFonts w:ascii="宋体" w:hAnsi="宋体"/>
                <w:sz w:val="20"/>
                <w:szCs w:val="20"/>
              </w:rPr>
            </w:pPr>
            <w:r>
              <w:rPr>
                <w:rFonts w:hint="eastAsia" w:ascii="宋体" w:hAnsi="宋体"/>
                <w:sz w:val="20"/>
                <w:szCs w:val="20"/>
              </w:rPr>
              <w:t>绪论</w:t>
            </w:r>
          </w:p>
          <w:p w14:paraId="5E440707">
            <w:pPr>
              <w:widowControl w:val="0"/>
              <w:snapToGrid w:val="0"/>
              <w:spacing w:line="340" w:lineRule="exact"/>
              <w:jc w:val="left"/>
              <w:rPr>
                <w:rFonts w:ascii="宋体" w:hAnsi="宋体" w:eastAsia="宋体" w:cs="宋体"/>
                <w:sz w:val="20"/>
                <w:szCs w:val="20"/>
                <w:lang w:val="en-US" w:eastAsia="zh-CN" w:bidi="ar-SA"/>
              </w:rPr>
            </w:pPr>
            <w:r>
              <w:rPr>
                <w:rFonts w:hint="eastAsia" w:ascii="宋体" w:hAnsi="宋体"/>
                <w:sz w:val="20"/>
                <w:szCs w:val="20"/>
              </w:rPr>
              <w:t xml:space="preserve"> </w:t>
            </w:r>
            <w:r>
              <w:rPr>
                <w:rFonts w:ascii="宋体" w:hAnsi="宋体"/>
                <w:sz w:val="20"/>
                <w:szCs w:val="20"/>
              </w:rPr>
              <w:t xml:space="preserve">  </w:t>
            </w:r>
            <w:r>
              <w:rPr>
                <w:rFonts w:hint="eastAsia" w:ascii="宋体" w:hAnsi="宋体"/>
                <w:sz w:val="20"/>
                <w:szCs w:val="20"/>
              </w:rPr>
              <w:t>职业卫生与职业医学研究方法与应用</w:t>
            </w:r>
          </w:p>
        </w:tc>
        <w:tc>
          <w:tcPr>
            <w:tcW w:w="2380" w:type="dxa"/>
            <w:vAlign w:val="top"/>
          </w:tcPr>
          <w:p w14:paraId="0C5623BA">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23AA151B">
            <w:pPr>
              <w:widowControl w:val="0"/>
              <w:snapToGrid w:val="0"/>
              <w:spacing w:line="288" w:lineRule="auto"/>
              <w:jc w:val="left"/>
              <w:rPr>
                <w:rFonts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rPr>
              <w:t>讨论教学法</w:t>
            </w:r>
          </w:p>
        </w:tc>
        <w:tc>
          <w:tcPr>
            <w:tcW w:w="1738" w:type="dxa"/>
            <w:vAlign w:val="top"/>
          </w:tcPr>
          <w:p w14:paraId="0C877FD6">
            <w:pPr>
              <w:widowControl w:val="0"/>
              <w:snapToGrid w:val="0"/>
              <w:spacing w:line="288" w:lineRule="auto"/>
              <w:jc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平时作业</w:t>
            </w:r>
          </w:p>
        </w:tc>
        <w:tc>
          <w:tcPr>
            <w:tcW w:w="725" w:type="dxa"/>
            <w:vAlign w:val="center"/>
          </w:tcPr>
          <w:p w14:paraId="613663A0">
            <w:pPr>
              <w:widowControl w:val="0"/>
              <w:spacing w:line="340" w:lineRule="exact"/>
              <w:jc w:val="center"/>
              <w:rPr>
                <w:rFonts w:ascii="宋体" w:hAnsi="宋体" w:eastAsia="宋体" w:cs="宋体"/>
                <w:sz w:val="20"/>
                <w:szCs w:val="20"/>
                <w:lang w:val="en-US" w:eastAsia="zh-CN" w:bidi="ar-SA"/>
              </w:rPr>
            </w:pPr>
            <w:r>
              <w:rPr>
                <w:rFonts w:hint="eastAsia" w:ascii="宋体" w:hAnsi="宋体"/>
                <w:sz w:val="20"/>
                <w:szCs w:val="20"/>
              </w:rPr>
              <w:t>4</w:t>
            </w:r>
          </w:p>
        </w:tc>
        <w:tc>
          <w:tcPr>
            <w:tcW w:w="669" w:type="dxa"/>
            <w:vAlign w:val="center"/>
          </w:tcPr>
          <w:p w14:paraId="52FCB943">
            <w:pPr>
              <w:widowControl w:val="0"/>
              <w:spacing w:line="340" w:lineRule="exact"/>
              <w:jc w:val="center"/>
              <w:rPr>
                <w:rFonts w:ascii="宋体" w:hAnsi="宋体" w:eastAsia="宋体" w:cs="宋体"/>
                <w:sz w:val="20"/>
                <w:szCs w:val="20"/>
                <w:lang w:val="en-US" w:eastAsia="zh-CN" w:bidi="ar-SA"/>
              </w:rPr>
            </w:pPr>
            <w:r>
              <w:rPr>
                <w:rFonts w:hint="eastAsia" w:ascii="宋体" w:hAnsi="宋体"/>
                <w:sz w:val="20"/>
                <w:szCs w:val="20"/>
              </w:rPr>
              <w:t>2</w:t>
            </w:r>
          </w:p>
        </w:tc>
        <w:tc>
          <w:tcPr>
            <w:tcW w:w="717" w:type="dxa"/>
            <w:tcBorders>
              <w:right w:val="single" w:color="auto" w:sz="12" w:space="0"/>
            </w:tcBorders>
            <w:vAlign w:val="center"/>
          </w:tcPr>
          <w:p w14:paraId="75201D98">
            <w:pPr>
              <w:widowControl w:val="0"/>
              <w:spacing w:line="340" w:lineRule="exact"/>
              <w:jc w:val="center"/>
              <w:rPr>
                <w:rFonts w:ascii="宋体" w:hAnsi="宋体" w:eastAsia="宋体" w:cs="宋体"/>
                <w:sz w:val="20"/>
                <w:szCs w:val="20"/>
                <w:lang w:val="en-US" w:eastAsia="zh-CN" w:bidi="ar-SA"/>
              </w:rPr>
            </w:pPr>
            <w:r>
              <w:rPr>
                <w:rFonts w:hint="eastAsia" w:ascii="宋体" w:hAnsi="宋体"/>
                <w:sz w:val="20"/>
                <w:szCs w:val="20"/>
              </w:rPr>
              <w:t>6</w:t>
            </w:r>
          </w:p>
        </w:tc>
      </w:tr>
      <w:tr w14:paraId="6821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47" w:type="dxa"/>
            <w:tcBorders>
              <w:left w:val="single" w:color="auto" w:sz="12" w:space="0"/>
            </w:tcBorders>
            <w:vAlign w:val="center"/>
          </w:tcPr>
          <w:p w14:paraId="70ED75B7">
            <w:pPr>
              <w:widowControl w:val="0"/>
              <w:spacing w:line="300" w:lineRule="exact"/>
              <w:jc w:val="left"/>
              <w:rPr>
                <w:rFonts w:ascii="宋体" w:hAnsi="宋体" w:eastAsia="宋体" w:cs="宋体"/>
                <w:sz w:val="20"/>
                <w:szCs w:val="20"/>
                <w:lang w:val="en-US" w:eastAsia="zh-CN" w:bidi="ar-SA"/>
              </w:rPr>
            </w:pPr>
            <w:r>
              <w:rPr>
                <w:rFonts w:hint="eastAsia" w:ascii="宋体" w:hAnsi="宋体"/>
                <w:sz w:val="20"/>
                <w:szCs w:val="20"/>
              </w:rPr>
              <w:t>生产性毒物与职业中毒</w:t>
            </w:r>
          </w:p>
        </w:tc>
        <w:tc>
          <w:tcPr>
            <w:tcW w:w="2380" w:type="dxa"/>
            <w:vAlign w:val="top"/>
          </w:tcPr>
          <w:p w14:paraId="4D3F02A2">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04B303F9">
            <w:pPr>
              <w:widowControl w:val="0"/>
              <w:snapToGrid w:val="0"/>
              <w:spacing w:line="288" w:lineRule="auto"/>
              <w:jc w:val="left"/>
              <w:rPr>
                <w:rFonts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rPr>
              <w:t>探究教学法</w:t>
            </w:r>
          </w:p>
        </w:tc>
        <w:tc>
          <w:tcPr>
            <w:tcW w:w="1738" w:type="dxa"/>
            <w:vAlign w:val="top"/>
          </w:tcPr>
          <w:p w14:paraId="0D6B772E">
            <w:pPr>
              <w:widowControl w:val="0"/>
              <w:snapToGrid w:val="0"/>
              <w:spacing w:line="288" w:lineRule="auto"/>
              <w:jc w:val="center"/>
              <w:rPr>
                <w:rFonts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口头评价或纸笔测验评价</w:t>
            </w:r>
          </w:p>
        </w:tc>
        <w:tc>
          <w:tcPr>
            <w:tcW w:w="725" w:type="dxa"/>
            <w:vAlign w:val="center"/>
          </w:tcPr>
          <w:p w14:paraId="36A295C1">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4</w:t>
            </w:r>
          </w:p>
        </w:tc>
        <w:tc>
          <w:tcPr>
            <w:tcW w:w="669" w:type="dxa"/>
            <w:vAlign w:val="center"/>
          </w:tcPr>
          <w:p w14:paraId="27E1A28D">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2</w:t>
            </w:r>
          </w:p>
        </w:tc>
        <w:tc>
          <w:tcPr>
            <w:tcW w:w="717" w:type="dxa"/>
            <w:tcBorders>
              <w:right w:val="single" w:color="auto" w:sz="12" w:space="0"/>
            </w:tcBorders>
            <w:vAlign w:val="center"/>
          </w:tcPr>
          <w:p w14:paraId="77F85163">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6</w:t>
            </w:r>
          </w:p>
        </w:tc>
      </w:tr>
      <w:tr w14:paraId="0E42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47" w:type="dxa"/>
            <w:tcBorders>
              <w:left w:val="single" w:color="auto" w:sz="12" w:space="0"/>
            </w:tcBorders>
            <w:vAlign w:val="center"/>
          </w:tcPr>
          <w:p w14:paraId="2D34174E">
            <w:pPr>
              <w:pStyle w:val="7"/>
              <w:widowControl w:val="0"/>
              <w:spacing w:before="0" w:beforeAutospacing="0" w:after="0" w:afterAutospacing="0" w:line="300" w:lineRule="exact"/>
              <w:jc w:val="left"/>
              <w:rPr>
                <w:rFonts w:ascii="宋体" w:hAnsi="宋体" w:eastAsia="宋体" w:cs="宋体"/>
                <w:color w:val="auto"/>
                <w:kern w:val="2"/>
                <w:sz w:val="20"/>
                <w:szCs w:val="20"/>
                <w:lang w:val="en-US" w:eastAsia="zh-CN" w:bidi="ar-SA"/>
              </w:rPr>
            </w:pPr>
            <w:r>
              <w:rPr>
                <w:rFonts w:hint="eastAsia"/>
                <w:color w:val="auto"/>
                <w:kern w:val="2"/>
                <w:sz w:val="20"/>
                <w:szCs w:val="20"/>
              </w:rPr>
              <w:t>生产性粉尘与职业性肺部疾病</w:t>
            </w:r>
          </w:p>
        </w:tc>
        <w:tc>
          <w:tcPr>
            <w:tcW w:w="2380" w:type="dxa"/>
            <w:vAlign w:val="top"/>
          </w:tcPr>
          <w:p w14:paraId="2A9E57FF">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5D086F9A">
            <w:pPr>
              <w:widowControl w:val="0"/>
              <w:snapToGrid w:val="0"/>
              <w:spacing w:line="288" w:lineRule="auto"/>
              <w:jc w:val="left"/>
              <w:rPr>
                <w:rFonts w:ascii="黑体" w:hAnsi="宋体" w:eastAsia="黑体" w:cs="Times New Roman"/>
                <w:kern w:val="2"/>
                <w:sz w:val="24"/>
                <w:szCs w:val="22"/>
                <w:lang w:val="en-US" w:eastAsia="zh-CN" w:bidi="ar-SA"/>
              </w:rPr>
            </w:pPr>
            <w:r>
              <w:rPr>
                <w:rFonts w:hint="eastAsia" w:asciiTheme="minorEastAsia" w:hAnsiTheme="minorEastAsia" w:eastAsiaTheme="minorEastAsia" w:cstheme="minorEastAsia"/>
                <w:sz w:val="20"/>
                <w:szCs w:val="20"/>
              </w:rPr>
              <w:t>探究教学法</w:t>
            </w:r>
          </w:p>
        </w:tc>
        <w:tc>
          <w:tcPr>
            <w:tcW w:w="1738" w:type="dxa"/>
            <w:vAlign w:val="top"/>
          </w:tcPr>
          <w:p w14:paraId="420E9AD1">
            <w:pPr>
              <w:widowControl w:val="0"/>
              <w:snapToGrid w:val="0"/>
              <w:spacing w:line="288" w:lineRule="auto"/>
              <w:jc w:val="center"/>
              <w:rPr>
                <w:rFonts w:hint="default"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lang w:val="en-US" w:eastAsia="zh-CN"/>
              </w:rPr>
              <w:t>平时作业</w:t>
            </w:r>
          </w:p>
        </w:tc>
        <w:tc>
          <w:tcPr>
            <w:tcW w:w="725" w:type="dxa"/>
            <w:vAlign w:val="center"/>
          </w:tcPr>
          <w:p w14:paraId="03C6F8B6">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4</w:t>
            </w:r>
          </w:p>
        </w:tc>
        <w:tc>
          <w:tcPr>
            <w:tcW w:w="669" w:type="dxa"/>
            <w:vAlign w:val="center"/>
          </w:tcPr>
          <w:p w14:paraId="4F0C2AD0">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2</w:t>
            </w:r>
          </w:p>
        </w:tc>
        <w:tc>
          <w:tcPr>
            <w:tcW w:w="717" w:type="dxa"/>
            <w:tcBorders>
              <w:right w:val="single" w:color="auto" w:sz="12" w:space="0"/>
            </w:tcBorders>
            <w:vAlign w:val="center"/>
          </w:tcPr>
          <w:p w14:paraId="6408654F">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6</w:t>
            </w:r>
          </w:p>
        </w:tc>
      </w:tr>
      <w:tr w14:paraId="3823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47" w:type="dxa"/>
            <w:tcBorders>
              <w:left w:val="single" w:color="auto" w:sz="12" w:space="0"/>
            </w:tcBorders>
            <w:vAlign w:val="center"/>
          </w:tcPr>
          <w:p w14:paraId="40756122">
            <w:pPr>
              <w:pStyle w:val="7"/>
              <w:widowControl w:val="0"/>
              <w:spacing w:before="0" w:beforeAutospacing="0" w:after="0" w:afterAutospacing="0" w:line="300" w:lineRule="exact"/>
              <w:jc w:val="left"/>
              <w:rPr>
                <w:rFonts w:ascii="宋体" w:hAnsi="宋体" w:eastAsia="宋体" w:cs="宋体"/>
                <w:color w:val="auto"/>
                <w:kern w:val="2"/>
                <w:sz w:val="20"/>
                <w:szCs w:val="20"/>
                <w:lang w:val="en-US" w:eastAsia="zh-CN" w:bidi="ar-SA"/>
              </w:rPr>
            </w:pPr>
            <w:r>
              <w:rPr>
                <w:rFonts w:hint="eastAsia"/>
                <w:color w:val="auto"/>
                <w:kern w:val="2"/>
                <w:sz w:val="20"/>
                <w:szCs w:val="20"/>
              </w:rPr>
              <w:t>物理因素及其对健康的影响</w:t>
            </w:r>
          </w:p>
        </w:tc>
        <w:tc>
          <w:tcPr>
            <w:tcW w:w="2380" w:type="dxa"/>
            <w:vAlign w:val="top"/>
          </w:tcPr>
          <w:p w14:paraId="59FA047C">
            <w:pPr>
              <w:widowControl w:val="0"/>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直接教学法</w:t>
            </w:r>
          </w:p>
          <w:p w14:paraId="3440A207">
            <w:pPr>
              <w:widowControl w:val="0"/>
              <w:snapToGrid w:val="0"/>
              <w:spacing w:line="288" w:lineRule="auto"/>
              <w:jc w:val="left"/>
              <w:rPr>
                <w:rFonts w:hint="default"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lang w:val="en-US" w:eastAsia="zh-CN"/>
              </w:rPr>
              <w:t>小组汇报法</w:t>
            </w:r>
          </w:p>
        </w:tc>
        <w:tc>
          <w:tcPr>
            <w:tcW w:w="1738" w:type="dxa"/>
            <w:vAlign w:val="top"/>
          </w:tcPr>
          <w:p w14:paraId="78904465">
            <w:pPr>
              <w:widowControl w:val="0"/>
              <w:snapToGrid w:val="0"/>
              <w:spacing w:line="288" w:lineRule="auto"/>
              <w:jc w:val="center"/>
              <w:rPr>
                <w:rFonts w:hint="default"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lang w:val="en-US" w:eastAsia="zh-CN"/>
              </w:rPr>
              <w:t>汇报成绩</w:t>
            </w:r>
          </w:p>
        </w:tc>
        <w:tc>
          <w:tcPr>
            <w:tcW w:w="725" w:type="dxa"/>
            <w:vAlign w:val="center"/>
          </w:tcPr>
          <w:p w14:paraId="1F95ABC2">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4</w:t>
            </w:r>
          </w:p>
        </w:tc>
        <w:tc>
          <w:tcPr>
            <w:tcW w:w="669" w:type="dxa"/>
            <w:vAlign w:val="center"/>
          </w:tcPr>
          <w:p w14:paraId="00BF8268">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2</w:t>
            </w:r>
          </w:p>
        </w:tc>
        <w:tc>
          <w:tcPr>
            <w:tcW w:w="717" w:type="dxa"/>
            <w:tcBorders>
              <w:right w:val="single" w:color="auto" w:sz="12" w:space="0"/>
            </w:tcBorders>
            <w:vAlign w:val="center"/>
          </w:tcPr>
          <w:p w14:paraId="17B0EE91">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6</w:t>
            </w:r>
          </w:p>
        </w:tc>
      </w:tr>
      <w:tr w14:paraId="13BE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47" w:type="dxa"/>
            <w:tcBorders>
              <w:left w:val="single" w:color="auto" w:sz="12" w:space="0"/>
            </w:tcBorders>
            <w:vAlign w:val="center"/>
          </w:tcPr>
          <w:p w14:paraId="26364F87">
            <w:pPr>
              <w:pStyle w:val="7"/>
              <w:widowControl w:val="0"/>
              <w:spacing w:before="0" w:beforeAutospacing="0" w:after="0" w:afterAutospacing="0" w:line="300" w:lineRule="exact"/>
              <w:jc w:val="left"/>
              <w:rPr>
                <w:rFonts w:ascii="宋体" w:hAnsi="宋体" w:eastAsia="宋体" w:cs="宋体"/>
                <w:color w:val="auto"/>
                <w:kern w:val="2"/>
                <w:sz w:val="20"/>
                <w:szCs w:val="20"/>
                <w:lang w:val="en-US" w:eastAsia="zh-CN" w:bidi="ar-SA"/>
              </w:rPr>
            </w:pPr>
            <w:r>
              <w:rPr>
                <w:rFonts w:hint="eastAsia"/>
                <w:color w:val="auto"/>
                <w:kern w:val="2"/>
                <w:sz w:val="20"/>
                <w:szCs w:val="20"/>
              </w:rPr>
              <w:t>职业性致癌因素与职业肿瘤</w:t>
            </w:r>
          </w:p>
        </w:tc>
        <w:tc>
          <w:tcPr>
            <w:tcW w:w="2380" w:type="dxa"/>
            <w:vAlign w:val="top"/>
          </w:tcPr>
          <w:p w14:paraId="56803F2A">
            <w:pPr>
              <w:widowControl w:val="0"/>
              <w:snapToGrid w:val="0"/>
              <w:spacing w:line="288" w:lineRule="auto"/>
              <w:jc w:val="both"/>
              <w:rPr>
                <w:rFonts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rPr>
              <w:t>合作学习教学法</w:t>
            </w:r>
          </w:p>
        </w:tc>
        <w:tc>
          <w:tcPr>
            <w:tcW w:w="1738" w:type="dxa"/>
            <w:vAlign w:val="top"/>
          </w:tcPr>
          <w:p w14:paraId="606DABC1">
            <w:pPr>
              <w:widowControl w:val="0"/>
              <w:snapToGrid w:val="0"/>
              <w:spacing w:line="288" w:lineRule="auto"/>
              <w:jc w:val="center"/>
              <w:rPr>
                <w:rFonts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口头评价或纸笔测验评价</w:t>
            </w:r>
          </w:p>
        </w:tc>
        <w:tc>
          <w:tcPr>
            <w:tcW w:w="725" w:type="dxa"/>
            <w:vAlign w:val="center"/>
          </w:tcPr>
          <w:p w14:paraId="3FB000AA">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4</w:t>
            </w:r>
          </w:p>
        </w:tc>
        <w:tc>
          <w:tcPr>
            <w:tcW w:w="669" w:type="dxa"/>
            <w:vAlign w:val="center"/>
          </w:tcPr>
          <w:p w14:paraId="7BDCE8CC">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2</w:t>
            </w:r>
          </w:p>
        </w:tc>
        <w:tc>
          <w:tcPr>
            <w:tcW w:w="717" w:type="dxa"/>
            <w:tcBorders>
              <w:right w:val="single" w:color="auto" w:sz="12" w:space="0"/>
            </w:tcBorders>
            <w:vAlign w:val="center"/>
          </w:tcPr>
          <w:p w14:paraId="5C119DA0">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6</w:t>
            </w:r>
          </w:p>
        </w:tc>
      </w:tr>
      <w:tr w14:paraId="01C1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47" w:type="dxa"/>
            <w:tcBorders>
              <w:left w:val="single" w:color="auto" w:sz="12" w:space="0"/>
            </w:tcBorders>
            <w:vAlign w:val="center"/>
          </w:tcPr>
          <w:p w14:paraId="794AE69E">
            <w:pPr>
              <w:widowControl w:val="0"/>
              <w:snapToGrid w:val="0"/>
              <w:spacing w:line="300" w:lineRule="exact"/>
              <w:jc w:val="left"/>
              <w:rPr>
                <w:rFonts w:ascii="宋体" w:hAnsi="宋体" w:eastAsia="宋体" w:cs="宋体"/>
                <w:sz w:val="20"/>
                <w:szCs w:val="20"/>
                <w:lang w:val="en-US" w:eastAsia="zh-CN" w:bidi="ar-SA"/>
              </w:rPr>
            </w:pPr>
            <w:r>
              <w:rPr>
                <w:rFonts w:hint="eastAsia" w:ascii="宋体" w:hAnsi="宋体"/>
                <w:sz w:val="20"/>
                <w:szCs w:val="20"/>
              </w:rPr>
              <w:t>生物有害因素所致职业性损害和</w:t>
            </w:r>
            <w:r>
              <w:rPr>
                <w:rFonts w:ascii="宋体" w:hAnsi="宋体"/>
                <w:sz w:val="20"/>
                <w:szCs w:val="20"/>
              </w:rPr>
              <w:t>其他职业病</w:t>
            </w:r>
          </w:p>
        </w:tc>
        <w:tc>
          <w:tcPr>
            <w:tcW w:w="2380" w:type="dxa"/>
            <w:vAlign w:val="top"/>
          </w:tcPr>
          <w:p w14:paraId="199D6FE1">
            <w:pPr>
              <w:widowControl w:val="0"/>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直接教学法</w:t>
            </w:r>
          </w:p>
          <w:p w14:paraId="6E0A11CA">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7243A9DF">
            <w:pPr>
              <w:widowControl w:val="0"/>
              <w:snapToGrid w:val="0"/>
              <w:spacing w:line="288" w:lineRule="auto"/>
              <w:jc w:val="left"/>
              <w:rPr>
                <w:rFonts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rPr>
              <w:t>探究教学法</w:t>
            </w:r>
          </w:p>
        </w:tc>
        <w:tc>
          <w:tcPr>
            <w:tcW w:w="1738" w:type="dxa"/>
            <w:vAlign w:val="top"/>
          </w:tcPr>
          <w:p w14:paraId="6C7F4E09">
            <w:pPr>
              <w:widowControl w:val="0"/>
              <w:snapToGrid w:val="0"/>
              <w:spacing w:line="288" w:lineRule="auto"/>
              <w:jc w:val="center"/>
              <w:rPr>
                <w:rFonts w:hint="default"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lang w:val="en-US" w:eastAsia="zh-CN"/>
              </w:rPr>
              <w:t>平时作业</w:t>
            </w:r>
          </w:p>
        </w:tc>
        <w:tc>
          <w:tcPr>
            <w:tcW w:w="725" w:type="dxa"/>
            <w:vAlign w:val="center"/>
          </w:tcPr>
          <w:p w14:paraId="123970FE">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4</w:t>
            </w:r>
          </w:p>
        </w:tc>
        <w:tc>
          <w:tcPr>
            <w:tcW w:w="669" w:type="dxa"/>
            <w:vAlign w:val="center"/>
          </w:tcPr>
          <w:p w14:paraId="3E539FD5">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0</w:t>
            </w:r>
          </w:p>
        </w:tc>
        <w:tc>
          <w:tcPr>
            <w:tcW w:w="717" w:type="dxa"/>
            <w:tcBorders>
              <w:right w:val="single" w:color="auto" w:sz="12" w:space="0"/>
            </w:tcBorders>
            <w:vAlign w:val="center"/>
          </w:tcPr>
          <w:p w14:paraId="084BC99F">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4</w:t>
            </w:r>
          </w:p>
        </w:tc>
      </w:tr>
      <w:tr w14:paraId="7E93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47" w:type="dxa"/>
            <w:tcBorders>
              <w:left w:val="single" w:color="auto" w:sz="12" w:space="0"/>
            </w:tcBorders>
            <w:vAlign w:val="center"/>
          </w:tcPr>
          <w:p w14:paraId="44C98163">
            <w:pPr>
              <w:widowControl w:val="0"/>
              <w:snapToGrid w:val="0"/>
              <w:spacing w:line="300" w:lineRule="exact"/>
              <w:jc w:val="left"/>
              <w:rPr>
                <w:rFonts w:ascii="宋体" w:hAnsi="宋体"/>
                <w:sz w:val="20"/>
                <w:szCs w:val="20"/>
              </w:rPr>
            </w:pPr>
            <w:r>
              <w:rPr>
                <w:rFonts w:hint="eastAsia" w:ascii="宋体" w:hAnsi="宋体"/>
                <w:sz w:val="20"/>
                <w:szCs w:val="20"/>
              </w:rPr>
              <w:t>职业性伤害和</w:t>
            </w:r>
          </w:p>
          <w:p w14:paraId="252E09A8">
            <w:pPr>
              <w:widowControl w:val="0"/>
              <w:snapToGrid w:val="0"/>
              <w:spacing w:line="300" w:lineRule="exact"/>
              <w:jc w:val="left"/>
              <w:rPr>
                <w:rFonts w:ascii="宋体" w:hAnsi="宋体" w:eastAsia="宋体" w:cs="宋体"/>
                <w:sz w:val="20"/>
                <w:szCs w:val="20"/>
                <w:lang w:val="en-US" w:eastAsia="zh-CN" w:bidi="ar-SA"/>
              </w:rPr>
            </w:pPr>
            <w:r>
              <w:rPr>
                <w:rFonts w:ascii="宋体" w:hAnsi="宋体"/>
                <w:sz w:val="20"/>
                <w:szCs w:val="20"/>
              </w:rPr>
              <w:t>职业性有害因素的识别与评价</w:t>
            </w:r>
          </w:p>
        </w:tc>
        <w:tc>
          <w:tcPr>
            <w:tcW w:w="2380" w:type="dxa"/>
            <w:vAlign w:val="top"/>
          </w:tcPr>
          <w:p w14:paraId="66F0B247">
            <w:pPr>
              <w:widowControl w:val="0"/>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直接教学法</w:t>
            </w:r>
          </w:p>
          <w:p w14:paraId="562EF902">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177CB90F">
            <w:pPr>
              <w:widowControl w:val="0"/>
              <w:snapToGrid w:val="0"/>
              <w:spacing w:line="288" w:lineRule="auto"/>
              <w:jc w:val="left"/>
              <w:rPr>
                <w:rFonts w:ascii="黑体" w:hAnsi="宋体" w:eastAsia="黑体" w:cs="Times New Roman"/>
                <w:kern w:val="2"/>
                <w:sz w:val="24"/>
                <w:szCs w:val="22"/>
                <w:lang w:val="en-US" w:eastAsia="zh-CN" w:bidi="ar-SA"/>
              </w:rPr>
            </w:pPr>
            <w:r>
              <w:rPr>
                <w:rFonts w:hint="eastAsia" w:asciiTheme="minorEastAsia" w:hAnsiTheme="minorEastAsia" w:eastAsiaTheme="minorEastAsia" w:cstheme="minorEastAsia"/>
                <w:sz w:val="20"/>
                <w:szCs w:val="20"/>
              </w:rPr>
              <w:t>探究教学法</w:t>
            </w:r>
          </w:p>
        </w:tc>
        <w:tc>
          <w:tcPr>
            <w:tcW w:w="1738" w:type="dxa"/>
            <w:vAlign w:val="top"/>
          </w:tcPr>
          <w:p w14:paraId="4FB9DBEC">
            <w:pPr>
              <w:widowControl w:val="0"/>
              <w:snapToGrid w:val="0"/>
              <w:spacing w:line="288" w:lineRule="auto"/>
              <w:jc w:val="center"/>
              <w:rPr>
                <w:rFonts w:hint="default" w:ascii="黑体" w:hAnsi="宋体" w:eastAsia="黑体" w:cs="宋体"/>
                <w:sz w:val="24"/>
                <w:szCs w:val="24"/>
                <w:lang w:val="en-US" w:eastAsia="zh-CN" w:bidi="ar-SA"/>
              </w:rPr>
            </w:pPr>
            <w:r>
              <w:rPr>
                <w:rFonts w:hint="eastAsia" w:ascii="宋体" w:hAnsi="宋体" w:eastAsia="宋体" w:cs="宋体"/>
                <w:sz w:val="21"/>
                <w:szCs w:val="21"/>
                <w:lang w:val="en-US" w:eastAsia="zh-CN" w:bidi="ar-SA"/>
              </w:rPr>
              <w:t>平时作业</w:t>
            </w:r>
          </w:p>
        </w:tc>
        <w:tc>
          <w:tcPr>
            <w:tcW w:w="725" w:type="dxa"/>
            <w:vAlign w:val="center"/>
          </w:tcPr>
          <w:p w14:paraId="7B7E8BB3">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4</w:t>
            </w:r>
          </w:p>
        </w:tc>
        <w:tc>
          <w:tcPr>
            <w:tcW w:w="669" w:type="dxa"/>
            <w:vAlign w:val="center"/>
          </w:tcPr>
          <w:p w14:paraId="7035536D">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4</w:t>
            </w:r>
          </w:p>
        </w:tc>
        <w:tc>
          <w:tcPr>
            <w:tcW w:w="717" w:type="dxa"/>
            <w:tcBorders>
              <w:right w:val="single" w:color="auto" w:sz="12" w:space="0"/>
            </w:tcBorders>
            <w:vAlign w:val="center"/>
          </w:tcPr>
          <w:p w14:paraId="792FFCF2">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8</w:t>
            </w:r>
          </w:p>
        </w:tc>
      </w:tr>
      <w:tr w14:paraId="4CC8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47" w:type="dxa"/>
            <w:tcBorders>
              <w:left w:val="single" w:color="auto" w:sz="12" w:space="0"/>
            </w:tcBorders>
            <w:vAlign w:val="center"/>
          </w:tcPr>
          <w:p w14:paraId="37D90C64">
            <w:pPr>
              <w:pStyle w:val="7"/>
              <w:widowControl w:val="0"/>
              <w:spacing w:before="0" w:beforeAutospacing="0" w:after="0" w:afterAutospacing="0" w:line="300" w:lineRule="exact"/>
              <w:jc w:val="left"/>
              <w:rPr>
                <w:color w:val="auto"/>
                <w:kern w:val="2"/>
                <w:sz w:val="20"/>
                <w:szCs w:val="20"/>
              </w:rPr>
            </w:pPr>
            <w:r>
              <w:rPr>
                <w:rFonts w:hint="eastAsia"/>
                <w:color w:val="auto"/>
                <w:kern w:val="2"/>
                <w:sz w:val="20"/>
                <w:szCs w:val="20"/>
              </w:rPr>
              <w:t>职业性有害因素的预防与控制和</w:t>
            </w:r>
          </w:p>
          <w:p w14:paraId="47105586">
            <w:pPr>
              <w:pStyle w:val="7"/>
              <w:widowControl w:val="0"/>
              <w:spacing w:before="0" w:beforeAutospacing="0" w:after="0" w:afterAutospacing="0" w:line="300" w:lineRule="exact"/>
              <w:jc w:val="left"/>
              <w:rPr>
                <w:rFonts w:ascii="宋体" w:hAnsi="宋体" w:eastAsia="宋体" w:cs="宋体"/>
                <w:color w:val="auto"/>
                <w:kern w:val="2"/>
                <w:sz w:val="20"/>
                <w:szCs w:val="20"/>
                <w:lang w:val="en-US" w:eastAsia="zh-CN" w:bidi="ar-SA"/>
              </w:rPr>
            </w:pPr>
            <w:r>
              <w:rPr>
                <w:color w:val="auto"/>
                <w:kern w:val="2"/>
                <w:sz w:val="20"/>
                <w:szCs w:val="20"/>
              </w:rPr>
              <w:t>主要行业的职业卫生</w:t>
            </w:r>
          </w:p>
        </w:tc>
        <w:tc>
          <w:tcPr>
            <w:tcW w:w="2380" w:type="dxa"/>
            <w:vAlign w:val="top"/>
          </w:tcPr>
          <w:p w14:paraId="021B03D2">
            <w:pPr>
              <w:widowControl w:val="0"/>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直接教学法</w:t>
            </w:r>
          </w:p>
          <w:p w14:paraId="2166958C">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627FCB46">
            <w:pPr>
              <w:widowControl w:val="0"/>
              <w:snapToGrid w:val="0"/>
              <w:spacing w:line="288" w:lineRule="auto"/>
              <w:jc w:val="left"/>
              <w:rPr>
                <w:rFonts w:ascii="黑体" w:hAnsi="宋体" w:eastAsia="黑体" w:cs="Times New Roman"/>
                <w:kern w:val="2"/>
                <w:sz w:val="24"/>
                <w:szCs w:val="22"/>
                <w:lang w:val="en-US" w:eastAsia="zh-CN" w:bidi="ar-SA"/>
              </w:rPr>
            </w:pPr>
            <w:r>
              <w:rPr>
                <w:rFonts w:hint="eastAsia" w:asciiTheme="minorEastAsia" w:hAnsiTheme="minorEastAsia" w:eastAsiaTheme="minorEastAsia" w:cstheme="minorEastAsia"/>
                <w:sz w:val="20"/>
                <w:szCs w:val="20"/>
              </w:rPr>
              <w:t>探究教学法</w:t>
            </w:r>
          </w:p>
        </w:tc>
        <w:tc>
          <w:tcPr>
            <w:tcW w:w="1738" w:type="dxa"/>
            <w:vAlign w:val="top"/>
          </w:tcPr>
          <w:p w14:paraId="49199CA4">
            <w:pPr>
              <w:widowControl w:val="0"/>
              <w:snapToGrid w:val="0"/>
              <w:spacing w:line="288" w:lineRule="auto"/>
              <w:jc w:val="center"/>
              <w:rPr>
                <w:rFonts w:hint="default" w:ascii="黑体" w:hAnsi="宋体" w:eastAsia="黑体" w:cs="宋体"/>
                <w:sz w:val="24"/>
                <w:szCs w:val="24"/>
                <w:lang w:val="en-US" w:eastAsia="zh-CN" w:bidi="ar-SA"/>
              </w:rPr>
            </w:pPr>
            <w:r>
              <w:rPr>
                <w:rFonts w:hint="eastAsia" w:ascii="宋体" w:hAnsi="宋体" w:eastAsia="宋体" w:cs="宋体"/>
                <w:sz w:val="21"/>
                <w:szCs w:val="21"/>
                <w:lang w:val="en-US" w:eastAsia="zh-CN" w:bidi="ar-SA"/>
              </w:rPr>
              <w:t>平时作业</w:t>
            </w:r>
          </w:p>
        </w:tc>
        <w:tc>
          <w:tcPr>
            <w:tcW w:w="725" w:type="dxa"/>
            <w:vAlign w:val="center"/>
          </w:tcPr>
          <w:p w14:paraId="33065AFB">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4</w:t>
            </w:r>
          </w:p>
        </w:tc>
        <w:tc>
          <w:tcPr>
            <w:tcW w:w="669" w:type="dxa"/>
            <w:vAlign w:val="center"/>
          </w:tcPr>
          <w:p w14:paraId="5509569B">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2</w:t>
            </w:r>
          </w:p>
        </w:tc>
        <w:tc>
          <w:tcPr>
            <w:tcW w:w="717" w:type="dxa"/>
            <w:tcBorders>
              <w:right w:val="single" w:color="auto" w:sz="12" w:space="0"/>
            </w:tcBorders>
            <w:vAlign w:val="center"/>
          </w:tcPr>
          <w:p w14:paraId="006456B8">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6</w:t>
            </w:r>
          </w:p>
        </w:tc>
      </w:tr>
      <w:tr w14:paraId="7DB3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6B0B7F27">
            <w:pPr>
              <w:pStyle w:val="14"/>
              <w:widowControl w:val="0"/>
            </w:pPr>
            <w:r>
              <w:rPr>
                <w:rFonts w:hint="eastAsia"/>
              </w:rPr>
              <w:t>合计</w:t>
            </w:r>
          </w:p>
        </w:tc>
        <w:tc>
          <w:tcPr>
            <w:tcW w:w="725" w:type="dxa"/>
            <w:tcBorders>
              <w:bottom w:val="single" w:color="auto" w:sz="12" w:space="0"/>
            </w:tcBorders>
            <w:vAlign w:val="center"/>
          </w:tcPr>
          <w:p w14:paraId="016A128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69" w:type="dxa"/>
            <w:tcBorders>
              <w:bottom w:val="single" w:color="auto" w:sz="12" w:space="0"/>
            </w:tcBorders>
            <w:vAlign w:val="center"/>
          </w:tcPr>
          <w:p w14:paraId="51E85C6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c>
          <w:tcPr>
            <w:tcW w:w="717" w:type="dxa"/>
            <w:tcBorders>
              <w:bottom w:val="single" w:color="auto" w:sz="12" w:space="0"/>
              <w:right w:val="single" w:color="auto" w:sz="12" w:space="0"/>
            </w:tcBorders>
            <w:vAlign w:val="center"/>
          </w:tcPr>
          <w:p w14:paraId="603173B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14:paraId="009FB8E4">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49AE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639968EF">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659928AE">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5D6D046F">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57334E73">
            <w:pPr>
              <w:pStyle w:val="14"/>
              <w:rPr>
                <w:szCs w:val="16"/>
              </w:rPr>
            </w:pPr>
            <w:r>
              <w:rPr>
                <w:rFonts w:hint="eastAsia"/>
                <w:szCs w:val="16"/>
              </w:rPr>
              <w:t>实验</w:t>
            </w:r>
          </w:p>
          <w:p w14:paraId="68EF3E9F">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6C807BD0">
            <w:pPr>
              <w:pStyle w:val="14"/>
              <w:rPr>
                <w:szCs w:val="16"/>
              </w:rPr>
            </w:pPr>
            <w:r>
              <w:rPr>
                <w:rFonts w:hint="eastAsia"/>
                <w:szCs w:val="16"/>
              </w:rPr>
              <w:t>实验</w:t>
            </w:r>
          </w:p>
          <w:p w14:paraId="39097A34">
            <w:pPr>
              <w:pStyle w:val="14"/>
              <w:rPr>
                <w:szCs w:val="16"/>
              </w:rPr>
            </w:pPr>
            <w:r>
              <w:rPr>
                <w:rFonts w:hint="eastAsia"/>
                <w:szCs w:val="16"/>
              </w:rPr>
              <w:t>类型</w:t>
            </w:r>
          </w:p>
        </w:tc>
      </w:tr>
      <w:tr w14:paraId="45A1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1E027D9">
            <w:pPr>
              <w:snapToGrid w:val="0"/>
              <w:spacing w:before="156" w:beforeLines="50" w:after="156" w:afterLines="50" w:line="288" w:lineRule="auto"/>
              <w:jc w:val="center"/>
            </w:pPr>
            <w:r>
              <w:rPr>
                <w:rFonts w:hint="eastAsia" w:ascii="宋体" w:hAnsi="宋体"/>
                <w:sz w:val="20"/>
                <w:szCs w:val="20"/>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5FEFD22">
            <w:pPr>
              <w:jc w:val="left"/>
            </w:pPr>
            <w:r>
              <w:rPr>
                <w:rFonts w:hint="eastAsia" w:ascii="宋体" w:hAnsi="宋体"/>
                <w:kern w:val="10"/>
                <w:sz w:val="20"/>
                <w:szCs w:val="20"/>
              </w:rPr>
              <w:t>案例分析：职业流行病学调查</w:t>
            </w:r>
          </w:p>
        </w:tc>
        <w:tc>
          <w:tcPr>
            <w:tcW w:w="4061" w:type="dxa"/>
            <w:tcBorders>
              <w:top w:val="single" w:color="auto" w:sz="4" w:space="0"/>
              <w:left w:val="single" w:color="auto" w:sz="4" w:space="0"/>
              <w:bottom w:val="single" w:color="auto" w:sz="4" w:space="0"/>
              <w:right w:val="single" w:color="auto" w:sz="4" w:space="0"/>
            </w:tcBorders>
            <w:vAlign w:val="top"/>
          </w:tcPr>
          <w:p w14:paraId="4D5F5207">
            <w:pPr>
              <w:snapToGrid w:val="0"/>
              <w:spacing w:before="156" w:beforeLines="50" w:after="156" w:afterLines="50" w:line="288" w:lineRule="auto"/>
              <w:jc w:val="left"/>
            </w:pPr>
            <w:r>
              <w:rPr>
                <w:rFonts w:hint="eastAsia" w:ascii="宋体" w:hAnsi="宋体"/>
                <w:sz w:val="20"/>
                <w:szCs w:val="20"/>
              </w:rPr>
              <w:t>结合案例分析，为在职业卫生工作中更好地推广和使用职业流行病学方法，结合既往研究和应用经验，采用案例进行分析和讨论，初步掌握职业流行病研究实施之前必须有科学合理的设计。</w:t>
            </w:r>
          </w:p>
        </w:tc>
        <w:tc>
          <w:tcPr>
            <w:tcW w:w="862" w:type="dxa"/>
            <w:tcBorders>
              <w:left w:val="single" w:color="auto" w:sz="4" w:space="0"/>
              <w:right w:val="single" w:color="auto" w:sz="4" w:space="0"/>
            </w:tcBorders>
            <w:shd w:val="clear" w:color="auto" w:fill="auto"/>
            <w:vAlign w:val="center"/>
          </w:tcPr>
          <w:p w14:paraId="43203D47">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14:paraId="215A1789">
            <w:pPr>
              <w:snapToGrid w:val="0"/>
              <w:spacing w:before="156" w:beforeLines="50" w:after="156" w:afterLines="50" w:line="288" w:lineRule="auto"/>
              <w:jc w:val="center"/>
            </w:pPr>
            <w:r>
              <w:rPr>
                <w:rFonts w:hint="eastAsia" w:ascii="宋体" w:hAnsi="宋体"/>
                <w:sz w:val="20"/>
                <w:szCs w:val="20"/>
              </w:rPr>
              <w:t>综合型</w:t>
            </w:r>
          </w:p>
        </w:tc>
      </w:tr>
      <w:tr w14:paraId="4A37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EDFA4C4">
            <w:pPr>
              <w:snapToGrid w:val="0"/>
              <w:spacing w:before="156" w:beforeLines="50" w:after="156" w:afterLines="50" w:line="288" w:lineRule="auto"/>
              <w:jc w:val="center"/>
            </w:pPr>
            <w:r>
              <w:rPr>
                <w:rFonts w:hint="eastAsia" w:ascii="宋体" w:hAnsi="宋体"/>
                <w:sz w:val="20"/>
                <w:szCs w:val="20"/>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0B1CF0C">
            <w:r>
              <w:rPr>
                <w:rFonts w:hint="eastAsia" w:ascii="宋体" w:hAnsi="宋体"/>
                <w:sz w:val="20"/>
                <w:szCs w:val="20"/>
              </w:rPr>
              <w:t>案例分析：生产毒物与职业中毒</w:t>
            </w:r>
          </w:p>
        </w:tc>
        <w:tc>
          <w:tcPr>
            <w:tcW w:w="4061" w:type="dxa"/>
            <w:tcBorders>
              <w:top w:val="single" w:color="auto" w:sz="4" w:space="0"/>
              <w:left w:val="single" w:color="auto" w:sz="4" w:space="0"/>
              <w:bottom w:val="single" w:color="auto" w:sz="4" w:space="0"/>
              <w:right w:val="single" w:color="auto" w:sz="4" w:space="0"/>
            </w:tcBorders>
            <w:vAlign w:val="top"/>
          </w:tcPr>
          <w:p w14:paraId="57EF056D">
            <w:pPr>
              <w:snapToGrid w:val="0"/>
              <w:spacing w:before="156" w:beforeLines="50" w:after="156" w:afterLines="50" w:line="288" w:lineRule="auto"/>
              <w:jc w:val="left"/>
            </w:pPr>
            <w:r>
              <w:rPr>
                <w:rFonts w:hint="eastAsia" w:ascii="宋体" w:hAnsi="宋体"/>
                <w:sz w:val="20"/>
                <w:szCs w:val="20"/>
              </w:rPr>
              <w:t>结合案例分析，明确发生职业中毒与职业暴露的关系，需进行的职业卫生现场调查，明确从职业卫生角度应采取的改进和预防措施。</w:t>
            </w:r>
          </w:p>
        </w:tc>
        <w:tc>
          <w:tcPr>
            <w:tcW w:w="862" w:type="dxa"/>
            <w:tcBorders>
              <w:left w:val="single" w:color="auto" w:sz="4" w:space="0"/>
              <w:bottom w:val="single" w:color="auto" w:sz="4" w:space="0"/>
              <w:right w:val="single" w:color="auto" w:sz="4" w:space="0"/>
            </w:tcBorders>
            <w:shd w:val="clear" w:color="auto" w:fill="auto"/>
            <w:vAlign w:val="center"/>
          </w:tcPr>
          <w:p w14:paraId="2360BDA3">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bottom w:val="single" w:color="auto" w:sz="4" w:space="0"/>
              <w:right w:val="single" w:color="auto" w:sz="12" w:space="0"/>
            </w:tcBorders>
            <w:shd w:val="clear" w:color="auto" w:fill="auto"/>
            <w:vAlign w:val="center"/>
          </w:tcPr>
          <w:p w14:paraId="4D325E8C">
            <w:pPr>
              <w:snapToGrid w:val="0"/>
              <w:spacing w:before="156" w:beforeLines="50" w:after="156" w:afterLines="50" w:line="288" w:lineRule="auto"/>
              <w:jc w:val="center"/>
            </w:pPr>
            <w:r>
              <w:rPr>
                <w:rFonts w:hint="eastAsia" w:ascii="宋体" w:hAnsi="宋体"/>
                <w:sz w:val="20"/>
                <w:szCs w:val="20"/>
              </w:rPr>
              <w:t>综合型</w:t>
            </w:r>
          </w:p>
        </w:tc>
      </w:tr>
      <w:tr w14:paraId="0F31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25BA381">
            <w:pPr>
              <w:snapToGrid w:val="0"/>
              <w:spacing w:before="156" w:beforeLines="50" w:after="156" w:afterLines="50" w:line="288" w:lineRule="auto"/>
              <w:jc w:val="center"/>
            </w:pPr>
            <w:r>
              <w:rPr>
                <w:rFonts w:hint="eastAsia" w:ascii="宋体" w:hAnsi="宋体"/>
                <w:sz w:val="20"/>
                <w:szCs w:val="20"/>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0B89D5C">
            <w:pPr>
              <w:snapToGrid w:val="0"/>
              <w:spacing w:before="156" w:beforeLines="50" w:after="156" w:afterLines="50" w:line="288" w:lineRule="auto"/>
              <w:jc w:val="left"/>
            </w:pPr>
            <w:r>
              <w:rPr>
                <w:rFonts w:hint="eastAsia" w:ascii="宋体" w:hAnsi="宋体"/>
                <w:sz w:val="20"/>
                <w:szCs w:val="20"/>
              </w:rPr>
              <w:t>案例分析：生产粉尘与职业性肺部疾患</w:t>
            </w:r>
          </w:p>
        </w:tc>
        <w:tc>
          <w:tcPr>
            <w:tcW w:w="4061" w:type="dxa"/>
            <w:tcBorders>
              <w:top w:val="single" w:color="auto" w:sz="4" w:space="0"/>
              <w:left w:val="single" w:color="auto" w:sz="4" w:space="0"/>
              <w:bottom w:val="single" w:color="auto" w:sz="4" w:space="0"/>
              <w:right w:val="single" w:color="auto" w:sz="4" w:space="0"/>
            </w:tcBorders>
            <w:vAlign w:val="top"/>
          </w:tcPr>
          <w:p w14:paraId="6F5CE8D6">
            <w:pPr>
              <w:snapToGrid w:val="0"/>
              <w:spacing w:before="156" w:beforeLines="50" w:after="156" w:afterLines="50" w:line="288" w:lineRule="auto"/>
              <w:jc w:val="left"/>
            </w:pPr>
            <w:r>
              <w:rPr>
                <w:rFonts w:hint="eastAsia" w:ascii="宋体" w:hAnsi="宋体"/>
                <w:sz w:val="20"/>
                <w:szCs w:val="20"/>
              </w:rPr>
              <w:t>结合案例分析，明确生产性粉尘对呼吸系统的影响</w:t>
            </w:r>
          </w:p>
        </w:tc>
        <w:tc>
          <w:tcPr>
            <w:tcW w:w="862" w:type="dxa"/>
            <w:tcBorders>
              <w:left w:val="single" w:color="auto" w:sz="4" w:space="0"/>
              <w:right w:val="single" w:color="auto" w:sz="4" w:space="0"/>
            </w:tcBorders>
            <w:shd w:val="clear" w:color="auto" w:fill="auto"/>
            <w:vAlign w:val="center"/>
          </w:tcPr>
          <w:p w14:paraId="594B62C8">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14:paraId="1DCBDB4F">
            <w:pPr>
              <w:snapToGrid w:val="0"/>
              <w:spacing w:before="156" w:beforeLines="50" w:after="156" w:afterLines="50" w:line="288" w:lineRule="auto"/>
              <w:jc w:val="center"/>
            </w:pPr>
            <w:r>
              <w:rPr>
                <w:rFonts w:hint="eastAsia" w:ascii="宋体" w:hAnsi="宋体"/>
                <w:sz w:val="20"/>
                <w:szCs w:val="20"/>
              </w:rPr>
              <w:t>综合型</w:t>
            </w:r>
          </w:p>
        </w:tc>
      </w:tr>
      <w:tr w14:paraId="2F6B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232EE784">
            <w:pPr>
              <w:snapToGrid w:val="0"/>
              <w:spacing w:before="156" w:beforeLines="50" w:after="156" w:afterLines="50" w:line="288" w:lineRule="auto"/>
              <w:jc w:val="center"/>
              <w:rPr>
                <w:rFonts w:hint="eastAsia" w:eastAsia="宋体"/>
                <w:lang w:val="en-US" w:eastAsia="zh-CN"/>
              </w:rPr>
            </w:pPr>
            <w:r>
              <w:rPr>
                <w:rFonts w:hint="eastAsia" w:ascii="宋体" w:hAnsi="宋体"/>
                <w:sz w:val="20"/>
                <w:szCs w:val="20"/>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14:paraId="7A86D8BB">
            <w:pPr>
              <w:snapToGrid w:val="0"/>
              <w:spacing w:before="156" w:beforeLines="50" w:after="156" w:afterLines="50" w:line="288" w:lineRule="auto"/>
              <w:jc w:val="left"/>
            </w:pPr>
            <w:r>
              <w:rPr>
                <w:rFonts w:hint="eastAsia" w:ascii="宋体" w:hAnsi="宋体"/>
                <w:sz w:val="20"/>
                <w:szCs w:val="20"/>
              </w:rPr>
              <w:t>案例分析：物理因素对健康的影响</w:t>
            </w:r>
          </w:p>
        </w:tc>
        <w:tc>
          <w:tcPr>
            <w:tcW w:w="4061" w:type="dxa"/>
            <w:tcBorders>
              <w:top w:val="single" w:color="auto" w:sz="4" w:space="0"/>
              <w:left w:val="single" w:color="auto" w:sz="4" w:space="0"/>
              <w:bottom w:val="single" w:color="auto" w:sz="4" w:space="0"/>
              <w:right w:val="single" w:color="auto" w:sz="4" w:space="0"/>
            </w:tcBorders>
            <w:vAlign w:val="top"/>
          </w:tcPr>
          <w:p w14:paraId="7675051D">
            <w:pPr>
              <w:snapToGrid w:val="0"/>
              <w:spacing w:before="156" w:beforeLines="50" w:after="156" w:afterLines="50" w:line="288" w:lineRule="auto"/>
              <w:jc w:val="left"/>
            </w:pPr>
            <w:r>
              <w:rPr>
                <w:rFonts w:hint="eastAsia" w:ascii="宋体" w:hAnsi="宋体"/>
                <w:sz w:val="20"/>
                <w:szCs w:val="20"/>
              </w:rPr>
              <w:t>结合案例分析，了解物理因素的特点，针对物理因素超出正常范围对人体健康构成的危害，明确需采取的办法。</w:t>
            </w:r>
          </w:p>
        </w:tc>
        <w:tc>
          <w:tcPr>
            <w:tcW w:w="862" w:type="dxa"/>
            <w:tcBorders>
              <w:left w:val="single" w:color="auto" w:sz="4" w:space="0"/>
              <w:right w:val="single" w:color="auto" w:sz="4" w:space="0"/>
            </w:tcBorders>
            <w:shd w:val="clear" w:color="auto" w:fill="auto"/>
            <w:vAlign w:val="center"/>
          </w:tcPr>
          <w:p w14:paraId="423D7270">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14:paraId="22FB1C65">
            <w:pPr>
              <w:snapToGrid w:val="0"/>
              <w:spacing w:before="156" w:beforeLines="50" w:after="156" w:afterLines="50" w:line="288" w:lineRule="auto"/>
              <w:jc w:val="center"/>
            </w:pPr>
            <w:r>
              <w:rPr>
                <w:rFonts w:hint="eastAsia" w:ascii="宋体" w:hAnsi="宋体"/>
                <w:sz w:val="20"/>
                <w:szCs w:val="20"/>
              </w:rPr>
              <w:t>综合型</w:t>
            </w:r>
          </w:p>
        </w:tc>
      </w:tr>
      <w:tr w14:paraId="69DA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4281169">
            <w:pPr>
              <w:snapToGrid w:val="0"/>
              <w:spacing w:before="156" w:beforeLines="50" w:after="156" w:afterLines="50" w:line="288" w:lineRule="auto"/>
              <w:jc w:val="center"/>
              <w:rPr>
                <w:rFonts w:hint="default" w:eastAsia="宋体"/>
                <w:lang w:val="en-US" w:eastAsia="zh-CN"/>
              </w:rPr>
            </w:pPr>
            <w:r>
              <w:rPr>
                <w:rFonts w:hint="eastAsia" w:ascii="宋体" w:hAnsi="宋体"/>
                <w:sz w:val="20"/>
                <w:szCs w:val="20"/>
              </w:rPr>
              <w:t>5</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14:paraId="671958C1">
            <w:pPr>
              <w:snapToGrid w:val="0"/>
              <w:spacing w:before="156" w:beforeLines="50" w:after="156" w:afterLines="50" w:line="288" w:lineRule="auto"/>
              <w:jc w:val="left"/>
              <w:rPr>
                <w:rFonts w:hint="default"/>
                <w:lang w:val="en-US"/>
              </w:rPr>
            </w:pPr>
            <w:r>
              <w:rPr>
                <w:rFonts w:hint="eastAsia" w:ascii="宋体" w:hAnsi="宋体"/>
                <w:sz w:val="20"/>
                <w:szCs w:val="20"/>
              </w:rPr>
              <w:t>案例分析：职业性致癌因素与职业肿瘤</w:t>
            </w:r>
          </w:p>
        </w:tc>
        <w:tc>
          <w:tcPr>
            <w:tcW w:w="4061" w:type="dxa"/>
            <w:tcBorders>
              <w:top w:val="single" w:color="auto" w:sz="4" w:space="0"/>
              <w:left w:val="single" w:color="auto" w:sz="4" w:space="0"/>
              <w:bottom w:val="single" w:color="auto" w:sz="4" w:space="0"/>
              <w:right w:val="single" w:color="auto" w:sz="4" w:space="0"/>
            </w:tcBorders>
            <w:vAlign w:val="top"/>
          </w:tcPr>
          <w:p w14:paraId="2A4598E8">
            <w:pPr>
              <w:snapToGrid w:val="0"/>
              <w:spacing w:before="156" w:beforeLines="50" w:after="156" w:afterLines="50" w:line="288" w:lineRule="auto"/>
              <w:jc w:val="left"/>
              <w:rPr>
                <w:rFonts w:hint="default"/>
                <w:lang w:val="en-US"/>
              </w:rPr>
            </w:pPr>
            <w:r>
              <w:rPr>
                <w:rFonts w:hint="eastAsia" w:ascii="宋体" w:hAnsi="宋体"/>
                <w:sz w:val="20"/>
                <w:szCs w:val="20"/>
              </w:rPr>
              <w:t>结合案例分析，探索确定致癌因素的必要条件，明确针对性的</w:t>
            </w:r>
            <w:r>
              <w:rPr>
                <w:rFonts w:ascii="宋体" w:hAnsi="宋体"/>
                <w:sz w:val="20"/>
                <w:szCs w:val="20"/>
              </w:rPr>
              <w:t>预防原则及措施，</w:t>
            </w:r>
            <w:r>
              <w:rPr>
                <w:rFonts w:hint="eastAsia" w:ascii="宋体" w:hAnsi="宋体"/>
                <w:sz w:val="20"/>
                <w:szCs w:val="20"/>
              </w:rPr>
              <w:t>降低因职业接触所致的超额发病率。</w:t>
            </w:r>
          </w:p>
        </w:tc>
        <w:tc>
          <w:tcPr>
            <w:tcW w:w="862" w:type="dxa"/>
            <w:tcBorders>
              <w:left w:val="single" w:color="auto" w:sz="4" w:space="0"/>
              <w:right w:val="single" w:color="auto" w:sz="4" w:space="0"/>
            </w:tcBorders>
            <w:shd w:val="clear" w:color="auto" w:fill="auto"/>
            <w:vAlign w:val="center"/>
          </w:tcPr>
          <w:p w14:paraId="3C0DB9C6">
            <w:pPr>
              <w:snapToGrid w:val="0"/>
              <w:spacing w:before="156" w:beforeLines="50" w:after="156" w:afterLines="50" w:line="288" w:lineRule="auto"/>
              <w:jc w:val="center"/>
              <w:rPr>
                <w:rFonts w:hint="default"/>
                <w:lang w:val="en-US"/>
              </w:rP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14:paraId="2D3ABC7E">
            <w:pPr>
              <w:snapToGrid w:val="0"/>
              <w:spacing w:before="156" w:beforeLines="50" w:after="156" w:afterLines="50" w:line="288" w:lineRule="auto"/>
              <w:jc w:val="center"/>
              <w:rPr>
                <w:rFonts w:hint="default"/>
                <w:lang w:val="en-US"/>
              </w:rPr>
            </w:pPr>
            <w:r>
              <w:rPr>
                <w:rFonts w:hint="eastAsia" w:ascii="宋体" w:hAnsi="宋体"/>
                <w:sz w:val="20"/>
                <w:szCs w:val="20"/>
              </w:rPr>
              <w:t>综合型</w:t>
            </w:r>
          </w:p>
        </w:tc>
      </w:tr>
      <w:tr w14:paraId="560A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EB7093D">
            <w:pPr>
              <w:snapToGrid w:val="0"/>
              <w:spacing w:before="156" w:beforeLines="50" w:after="156" w:afterLines="50" w:line="288" w:lineRule="auto"/>
              <w:jc w:val="center"/>
              <w:rPr>
                <w:rFonts w:hint="default" w:eastAsia="宋体"/>
                <w:lang w:val="en-US" w:eastAsia="zh-CN"/>
              </w:rPr>
            </w:pPr>
            <w:r>
              <w:rPr>
                <w:rFonts w:hint="eastAsia" w:ascii="宋体" w:hAnsi="宋体"/>
                <w:sz w:val="20"/>
                <w:szCs w:val="20"/>
              </w:rPr>
              <w:t>6</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14:paraId="59356D3F">
            <w:pPr>
              <w:snapToGrid w:val="0"/>
              <w:spacing w:before="156" w:beforeLines="50" w:after="156" w:afterLines="50" w:line="288" w:lineRule="auto"/>
              <w:jc w:val="left"/>
              <w:rPr>
                <w:rFonts w:hint="default"/>
                <w:lang w:val="en-US"/>
              </w:rPr>
            </w:pPr>
            <w:r>
              <w:rPr>
                <w:rFonts w:hint="eastAsia" w:ascii="宋体" w:hAnsi="宋体"/>
                <w:sz w:val="20"/>
                <w:szCs w:val="20"/>
              </w:rPr>
              <w:t>案例分析：职业性伤害</w:t>
            </w:r>
          </w:p>
        </w:tc>
        <w:tc>
          <w:tcPr>
            <w:tcW w:w="4061" w:type="dxa"/>
            <w:tcBorders>
              <w:top w:val="single" w:color="auto" w:sz="4" w:space="0"/>
              <w:left w:val="single" w:color="auto" w:sz="4" w:space="0"/>
              <w:bottom w:val="single" w:color="auto" w:sz="4" w:space="0"/>
              <w:right w:val="single" w:color="auto" w:sz="4" w:space="0"/>
            </w:tcBorders>
            <w:vAlign w:val="top"/>
          </w:tcPr>
          <w:p w14:paraId="4EE511C3">
            <w:pPr>
              <w:snapToGrid w:val="0"/>
              <w:spacing w:before="156" w:beforeLines="50" w:after="156" w:afterLines="50" w:line="288" w:lineRule="auto"/>
              <w:jc w:val="left"/>
              <w:rPr>
                <w:rFonts w:hint="default"/>
                <w:lang w:val="en-US"/>
              </w:rPr>
            </w:pPr>
            <w:r>
              <w:rPr>
                <w:rFonts w:hint="eastAsia" w:ascii="宋体" w:hAnsi="宋体"/>
                <w:sz w:val="20"/>
                <w:szCs w:val="20"/>
              </w:rPr>
              <w:t>结合案例分析，明确职业伤害的范围、认定及其报告系统，分析常见</w:t>
            </w:r>
            <w:r>
              <w:rPr>
                <w:rFonts w:ascii="宋体" w:hAnsi="宋体"/>
                <w:sz w:val="20"/>
                <w:szCs w:val="20"/>
              </w:rPr>
              <w:t>的职业伤害事故</w:t>
            </w:r>
            <w:r>
              <w:rPr>
                <w:rFonts w:hint="eastAsia" w:ascii="宋体" w:hAnsi="宋体"/>
                <w:sz w:val="20"/>
                <w:szCs w:val="20"/>
              </w:rPr>
              <w:t>类型，职业伤害的调查与评估。</w:t>
            </w:r>
          </w:p>
        </w:tc>
        <w:tc>
          <w:tcPr>
            <w:tcW w:w="862" w:type="dxa"/>
            <w:tcBorders>
              <w:left w:val="single" w:color="auto" w:sz="4" w:space="0"/>
              <w:right w:val="single" w:color="auto" w:sz="4" w:space="0"/>
            </w:tcBorders>
            <w:shd w:val="clear" w:color="auto" w:fill="auto"/>
            <w:vAlign w:val="center"/>
          </w:tcPr>
          <w:p w14:paraId="6A6135DA">
            <w:pPr>
              <w:snapToGrid w:val="0"/>
              <w:spacing w:before="156" w:beforeLines="50" w:after="156" w:afterLines="50" w:line="288" w:lineRule="auto"/>
              <w:jc w:val="center"/>
              <w:rPr>
                <w:rFonts w:hint="default"/>
                <w:lang w:val="en-US"/>
              </w:rP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14:paraId="314E2773">
            <w:pPr>
              <w:snapToGrid w:val="0"/>
              <w:spacing w:before="156" w:beforeLines="50" w:after="156" w:afterLines="50" w:line="288" w:lineRule="auto"/>
              <w:jc w:val="center"/>
              <w:rPr>
                <w:rFonts w:hint="default"/>
                <w:lang w:val="en-US"/>
              </w:rPr>
            </w:pPr>
            <w:r>
              <w:rPr>
                <w:rFonts w:hint="eastAsia" w:ascii="宋体" w:hAnsi="宋体"/>
                <w:sz w:val="20"/>
                <w:szCs w:val="20"/>
              </w:rPr>
              <w:t>综合型</w:t>
            </w:r>
          </w:p>
        </w:tc>
      </w:tr>
      <w:tr w14:paraId="223D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43ABAC1">
            <w:pPr>
              <w:snapToGrid w:val="0"/>
              <w:spacing w:before="156" w:beforeLines="50" w:after="156" w:afterLines="50" w:line="288" w:lineRule="auto"/>
              <w:jc w:val="center"/>
              <w:rPr>
                <w:rFonts w:hint="eastAsia" w:eastAsia="宋体"/>
                <w:lang w:val="en-US" w:eastAsia="zh-CN"/>
              </w:rPr>
            </w:pPr>
            <w:r>
              <w:rPr>
                <w:rFonts w:hint="eastAsia" w:ascii="宋体" w:hAnsi="宋体"/>
                <w:sz w:val="20"/>
                <w:szCs w:val="20"/>
              </w:rPr>
              <w:t>7</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14:paraId="66DFAA3A">
            <w:pPr>
              <w:snapToGrid w:val="0"/>
              <w:spacing w:before="156" w:beforeLines="50" w:after="156" w:afterLines="50" w:line="288" w:lineRule="auto"/>
              <w:jc w:val="left"/>
            </w:pPr>
            <w:r>
              <w:rPr>
                <w:rFonts w:hint="eastAsia" w:ascii="宋体" w:hAnsi="宋体"/>
                <w:sz w:val="20"/>
                <w:szCs w:val="20"/>
              </w:rPr>
              <w:t>案例分析：职业性有害因素的识别与评价</w:t>
            </w:r>
          </w:p>
        </w:tc>
        <w:tc>
          <w:tcPr>
            <w:tcW w:w="4061" w:type="dxa"/>
            <w:tcBorders>
              <w:top w:val="single" w:color="auto" w:sz="4" w:space="0"/>
              <w:left w:val="single" w:color="auto" w:sz="4" w:space="0"/>
              <w:bottom w:val="single" w:color="auto" w:sz="4" w:space="0"/>
              <w:right w:val="single" w:color="auto" w:sz="4" w:space="0"/>
            </w:tcBorders>
            <w:vAlign w:val="top"/>
          </w:tcPr>
          <w:p w14:paraId="6479766C">
            <w:pPr>
              <w:snapToGrid w:val="0"/>
              <w:spacing w:before="156" w:beforeLines="50" w:after="156" w:afterLines="50" w:line="288" w:lineRule="auto"/>
              <w:jc w:val="left"/>
            </w:pPr>
            <w:r>
              <w:rPr>
                <w:rFonts w:hint="eastAsia" w:ascii="宋体" w:hAnsi="宋体"/>
                <w:sz w:val="20"/>
                <w:szCs w:val="20"/>
              </w:rPr>
              <w:t>结合案例分析，明确拟定职业环境监测的采样方式和测定方式。</w:t>
            </w:r>
          </w:p>
        </w:tc>
        <w:tc>
          <w:tcPr>
            <w:tcW w:w="862" w:type="dxa"/>
            <w:tcBorders>
              <w:left w:val="single" w:color="auto" w:sz="4" w:space="0"/>
              <w:right w:val="single" w:color="auto" w:sz="4" w:space="0"/>
            </w:tcBorders>
            <w:shd w:val="clear" w:color="auto" w:fill="auto"/>
            <w:vAlign w:val="center"/>
          </w:tcPr>
          <w:p w14:paraId="07F98173">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14:paraId="359FB895">
            <w:pPr>
              <w:snapToGrid w:val="0"/>
              <w:spacing w:before="156" w:beforeLines="50" w:after="156" w:afterLines="50" w:line="288" w:lineRule="auto"/>
              <w:jc w:val="center"/>
            </w:pPr>
            <w:r>
              <w:rPr>
                <w:rFonts w:hint="eastAsia" w:ascii="宋体" w:hAnsi="宋体"/>
                <w:sz w:val="20"/>
                <w:szCs w:val="20"/>
              </w:rPr>
              <w:t>综合型</w:t>
            </w:r>
          </w:p>
        </w:tc>
      </w:tr>
      <w:tr w14:paraId="68FC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43BEA16">
            <w:pPr>
              <w:snapToGrid w:val="0"/>
              <w:spacing w:before="156" w:beforeLines="50" w:after="156" w:afterLines="50" w:line="288" w:lineRule="auto"/>
              <w:jc w:val="center"/>
              <w:rPr>
                <w:rFonts w:hint="eastAsia" w:eastAsia="宋体"/>
                <w:lang w:val="en-US" w:eastAsia="zh-CN"/>
              </w:rPr>
            </w:pPr>
            <w:r>
              <w:rPr>
                <w:rFonts w:hint="eastAsia" w:ascii="宋体" w:hAnsi="宋体"/>
                <w:sz w:val="20"/>
                <w:szCs w:val="20"/>
              </w:rPr>
              <w:t>8</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14:paraId="221FE509">
            <w:pPr>
              <w:snapToGrid w:val="0"/>
              <w:spacing w:before="156" w:beforeLines="50" w:after="156" w:afterLines="50" w:line="288" w:lineRule="auto"/>
              <w:jc w:val="left"/>
            </w:pPr>
            <w:r>
              <w:rPr>
                <w:rFonts w:hint="eastAsia" w:ascii="宋体" w:hAnsi="宋体"/>
                <w:sz w:val="20"/>
                <w:szCs w:val="20"/>
              </w:rPr>
              <w:t>案例分析：职业性有害因素的预防与控制</w:t>
            </w:r>
          </w:p>
        </w:tc>
        <w:tc>
          <w:tcPr>
            <w:tcW w:w="4061" w:type="dxa"/>
            <w:tcBorders>
              <w:top w:val="single" w:color="auto" w:sz="4" w:space="0"/>
              <w:left w:val="single" w:color="auto" w:sz="4" w:space="0"/>
              <w:bottom w:val="single" w:color="auto" w:sz="4" w:space="0"/>
              <w:right w:val="single" w:color="auto" w:sz="4" w:space="0"/>
            </w:tcBorders>
            <w:vAlign w:val="top"/>
          </w:tcPr>
          <w:p w14:paraId="2EFDFFBF">
            <w:pPr>
              <w:snapToGrid w:val="0"/>
              <w:spacing w:before="156" w:beforeLines="50" w:after="156" w:afterLines="50" w:line="288" w:lineRule="auto"/>
              <w:jc w:val="left"/>
            </w:pPr>
            <w:r>
              <w:rPr>
                <w:rFonts w:hint="eastAsia" w:ascii="宋体" w:hAnsi="宋体"/>
                <w:sz w:val="20"/>
                <w:szCs w:val="20"/>
              </w:rPr>
              <w:t>结合案例分析，明确个人防护用品的使用标准。</w:t>
            </w:r>
          </w:p>
        </w:tc>
        <w:tc>
          <w:tcPr>
            <w:tcW w:w="862" w:type="dxa"/>
            <w:tcBorders>
              <w:left w:val="single" w:color="auto" w:sz="4" w:space="0"/>
              <w:right w:val="single" w:color="auto" w:sz="4" w:space="0"/>
            </w:tcBorders>
            <w:shd w:val="clear" w:color="auto" w:fill="auto"/>
            <w:vAlign w:val="center"/>
          </w:tcPr>
          <w:p w14:paraId="31242CBA">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14:paraId="2A134E02">
            <w:pPr>
              <w:snapToGrid w:val="0"/>
              <w:spacing w:before="156" w:beforeLines="50" w:after="156" w:afterLines="50" w:line="288" w:lineRule="auto"/>
              <w:jc w:val="center"/>
            </w:pPr>
            <w:r>
              <w:rPr>
                <w:rFonts w:hint="eastAsia" w:ascii="宋体" w:hAnsi="宋体"/>
                <w:sz w:val="20"/>
                <w:szCs w:val="20"/>
              </w:rPr>
              <w:t>综合型</w:t>
            </w:r>
          </w:p>
        </w:tc>
      </w:tr>
      <w:tr w14:paraId="7C55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1522AA52">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AA00B88">
      <w:pPr>
        <w:pStyle w:val="17"/>
        <w:spacing w:before="326" w:beforeLines="100" w:line="360" w:lineRule="auto"/>
        <w:ind w:firstLine="140" w:firstLineChars="50"/>
        <w:rPr>
          <w:rFonts w:ascii="黑体" w:hAnsi="宋体"/>
        </w:rPr>
      </w:pPr>
      <w:bookmarkStart w:id="1" w:name="OLE_LINK1"/>
      <w:bookmarkStart w:id="2" w:name="OLE_LINK2"/>
      <w:r>
        <w:rPr>
          <w:rFonts w:hint="eastAsia" w:ascii="黑体" w:hAnsi="宋体"/>
        </w:rPr>
        <w:t>四、课程思政教学设计</w:t>
      </w:r>
    </w:p>
    <w:bookmarkEnd w:id="1"/>
    <w:bookmarkEnd w:id="2"/>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CAEA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A69FAFD">
            <w:pPr>
              <w:pStyle w:val="15"/>
              <w:widowControl w:val="0"/>
              <w:jc w:val="left"/>
              <w:rPr>
                <w:rFonts w:hint="eastAsia"/>
              </w:rPr>
            </w:pPr>
            <w:r>
              <w:rPr>
                <w:rFonts w:hint="eastAsia"/>
              </w:rPr>
              <w:t>1.通过视频、新闻案例，让学生了解</w:t>
            </w:r>
            <w:r>
              <w:rPr>
                <w:rFonts w:hint="eastAsia"/>
                <w:lang w:val="en-US" w:eastAsia="zh-CN"/>
              </w:rPr>
              <w:t>职业卫生与职业医学</w:t>
            </w:r>
            <w:r>
              <w:rPr>
                <w:rFonts w:hint="eastAsia"/>
              </w:rPr>
              <w:t>的悠久历史以及世界对</w:t>
            </w:r>
            <w:r>
              <w:rPr>
                <w:rFonts w:hint="eastAsia"/>
                <w:lang w:val="en-US" w:eastAsia="zh-CN"/>
              </w:rPr>
              <w:t>职业医学</w:t>
            </w:r>
            <w:r>
              <w:rPr>
                <w:rFonts w:hint="eastAsia"/>
              </w:rPr>
              <w:t>的认可，激发学生的学习热情；</w:t>
            </w:r>
          </w:p>
          <w:p w14:paraId="178850AF">
            <w:pPr>
              <w:pStyle w:val="15"/>
              <w:widowControl w:val="0"/>
              <w:jc w:val="left"/>
              <w:rPr>
                <w:rFonts w:hint="eastAsia"/>
              </w:rPr>
            </w:pPr>
          </w:p>
          <w:p w14:paraId="77D50DCD">
            <w:pPr>
              <w:pStyle w:val="15"/>
              <w:widowControl w:val="0"/>
              <w:jc w:val="left"/>
              <w:rPr>
                <w:rFonts w:hint="eastAsia"/>
              </w:rPr>
            </w:pPr>
            <w:r>
              <w:rPr>
                <w:rFonts w:hint="eastAsia"/>
              </w:rPr>
              <w:t>2.通过“引导文教学法”、“任务驱动法”，培养学生自主学习、团队合作的能力；</w:t>
            </w:r>
          </w:p>
          <w:p w14:paraId="3FB2EDE7">
            <w:pPr>
              <w:pStyle w:val="15"/>
              <w:widowControl w:val="0"/>
              <w:jc w:val="left"/>
              <w:rPr>
                <w:rFonts w:hint="eastAsia"/>
              </w:rPr>
            </w:pPr>
          </w:p>
          <w:p w14:paraId="63800E68">
            <w:pPr>
              <w:pStyle w:val="15"/>
              <w:widowControl w:val="0"/>
              <w:jc w:val="left"/>
              <w:rPr>
                <w:rFonts w:hint="eastAsia"/>
              </w:rPr>
            </w:pPr>
            <w:r>
              <w:rPr>
                <w:rFonts w:hint="eastAsia"/>
              </w:rPr>
              <w:t>3.认知与实践相结合，知行合一，做中学、做中悟，培养学生实践探究的能力；</w:t>
            </w:r>
          </w:p>
          <w:p w14:paraId="6AF24984">
            <w:pPr>
              <w:pStyle w:val="15"/>
              <w:widowControl w:val="0"/>
              <w:jc w:val="left"/>
              <w:rPr>
                <w:rFonts w:hint="eastAsia"/>
              </w:rPr>
            </w:pPr>
          </w:p>
          <w:p w14:paraId="41EAE2B7">
            <w:pPr>
              <w:pStyle w:val="15"/>
              <w:widowControl w:val="0"/>
              <w:jc w:val="left"/>
              <w:rPr>
                <w:rFonts w:hint="eastAsia"/>
              </w:rPr>
            </w:pPr>
            <w:r>
              <w:rPr>
                <w:rFonts w:hint="eastAsia"/>
              </w:rPr>
              <w:t>4.实践中渗透人文关怀、爱伤观念，培养德才兼备的工匠精神；</w:t>
            </w:r>
          </w:p>
          <w:p w14:paraId="1A68E525">
            <w:pPr>
              <w:pStyle w:val="15"/>
              <w:widowControl w:val="0"/>
              <w:jc w:val="left"/>
              <w:rPr>
                <w:rFonts w:hint="eastAsia"/>
              </w:rPr>
            </w:pPr>
          </w:p>
          <w:p w14:paraId="4F7F8E52">
            <w:pPr>
              <w:pStyle w:val="15"/>
              <w:widowControl w:val="0"/>
              <w:jc w:val="left"/>
            </w:pPr>
            <w:r>
              <w:rPr>
                <w:rFonts w:hint="eastAsia"/>
              </w:rPr>
              <w:t>5.课后带领学生走进社区、社会服务，培养学生的社会责任感。</w:t>
            </w:r>
          </w:p>
          <w:p w14:paraId="74EDE0EB">
            <w:pPr>
              <w:pStyle w:val="15"/>
              <w:widowControl w:val="0"/>
              <w:jc w:val="left"/>
            </w:pPr>
          </w:p>
          <w:p w14:paraId="6FD40A2C">
            <w:pPr>
              <w:pStyle w:val="15"/>
              <w:widowControl w:val="0"/>
              <w:jc w:val="left"/>
              <w:rPr>
                <w:rFonts w:hint="eastAsia"/>
              </w:rPr>
            </w:pPr>
          </w:p>
        </w:tc>
      </w:tr>
    </w:tbl>
    <w:p w14:paraId="393FD135">
      <w:pPr>
        <w:pStyle w:val="17"/>
        <w:spacing w:before="326" w:beforeLines="100" w:line="360" w:lineRule="auto"/>
        <w:rPr>
          <w:rFonts w:ascii="黑体" w:hAnsi="宋体"/>
        </w:rPr>
      </w:pPr>
      <w:r>
        <w:rPr>
          <w:rFonts w:hint="eastAsia" w:ascii="黑体" w:hAnsi="宋体"/>
        </w:rPr>
        <w:t>五、课程考核</w:t>
      </w:r>
      <w:bookmarkStart w:id="3" w:name="OLE_LINK3"/>
      <w:bookmarkStart w:id="4" w:name="OLE_LINK4"/>
    </w:p>
    <w:bookmarkEnd w:id="3"/>
    <w:bookmarkEnd w:id="4"/>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911"/>
        <w:gridCol w:w="807"/>
        <w:gridCol w:w="751"/>
        <w:gridCol w:w="602"/>
        <w:gridCol w:w="601"/>
        <w:gridCol w:w="706"/>
      </w:tblGrid>
      <w:tr w14:paraId="5C44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A927973">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20F5BFB1">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4CB7D96">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5"/>
            <w:tcBorders>
              <w:top w:val="single" w:color="auto" w:sz="12" w:space="0"/>
              <w:left w:val="double" w:color="auto" w:sz="4" w:space="0"/>
            </w:tcBorders>
            <w:vAlign w:val="center"/>
          </w:tcPr>
          <w:p w14:paraId="6781DC78">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ABE1B63">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6316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233AAF1">
            <w:pPr>
              <w:widowControl w:val="0"/>
              <w:snapToGrid w:val="0"/>
              <w:jc w:val="center"/>
              <w:rPr>
                <w:rFonts w:ascii="黑体" w:hAnsi="黑体" w:eastAsia="黑体"/>
                <w:bCs/>
                <w:sz w:val="21"/>
                <w:szCs w:val="21"/>
              </w:rPr>
            </w:pPr>
          </w:p>
        </w:tc>
        <w:tc>
          <w:tcPr>
            <w:tcW w:w="709" w:type="dxa"/>
            <w:vMerge w:val="continue"/>
          </w:tcPr>
          <w:p w14:paraId="5F6D1CEF">
            <w:pPr>
              <w:pStyle w:val="17"/>
              <w:widowControl w:val="0"/>
              <w:jc w:val="both"/>
              <w:rPr>
                <w:rFonts w:ascii="黑体" w:hAnsi="黑体"/>
                <w:bCs/>
                <w:sz w:val="21"/>
                <w:szCs w:val="21"/>
              </w:rPr>
            </w:pPr>
          </w:p>
        </w:tc>
        <w:tc>
          <w:tcPr>
            <w:tcW w:w="2353" w:type="dxa"/>
            <w:vMerge w:val="continue"/>
            <w:tcBorders>
              <w:right w:val="double" w:color="auto" w:sz="4" w:space="0"/>
            </w:tcBorders>
          </w:tcPr>
          <w:p w14:paraId="14338B43">
            <w:pPr>
              <w:pStyle w:val="17"/>
              <w:widowControl w:val="0"/>
              <w:jc w:val="both"/>
              <w:rPr>
                <w:rFonts w:ascii="黑体" w:hAnsi="黑体"/>
                <w:bCs/>
                <w:sz w:val="21"/>
                <w:szCs w:val="21"/>
              </w:rPr>
            </w:pPr>
          </w:p>
        </w:tc>
        <w:tc>
          <w:tcPr>
            <w:tcW w:w="911" w:type="dxa"/>
            <w:tcBorders>
              <w:left w:val="double" w:color="auto" w:sz="4" w:space="0"/>
            </w:tcBorders>
            <w:vAlign w:val="center"/>
          </w:tcPr>
          <w:p w14:paraId="7022F68E">
            <w:pPr>
              <w:pStyle w:val="17"/>
              <w:widowControl w:val="0"/>
              <w:spacing w:line="240" w:lineRule="auto"/>
              <w:jc w:val="left"/>
              <w:rPr>
                <w:rFonts w:ascii="黑体" w:hAnsi="黑体"/>
                <w:bCs/>
                <w:sz w:val="21"/>
                <w:szCs w:val="21"/>
              </w:rPr>
            </w:pPr>
            <w:r>
              <w:rPr>
                <w:rFonts w:hint="eastAsia" w:ascii="黑体" w:hAnsi="黑体"/>
                <w:bCs/>
                <w:color w:val="000000"/>
                <w:sz w:val="21"/>
                <w:szCs w:val="18"/>
              </w:rPr>
              <w:t>1</w:t>
            </w:r>
          </w:p>
        </w:tc>
        <w:tc>
          <w:tcPr>
            <w:tcW w:w="807" w:type="dxa"/>
            <w:vAlign w:val="center"/>
          </w:tcPr>
          <w:p w14:paraId="697BC7D5">
            <w:pPr>
              <w:pStyle w:val="17"/>
              <w:widowControl w:val="0"/>
              <w:spacing w:line="240" w:lineRule="auto"/>
              <w:jc w:val="left"/>
              <w:rPr>
                <w:rFonts w:ascii="黑体" w:hAnsi="黑体"/>
                <w:bCs/>
                <w:sz w:val="21"/>
                <w:szCs w:val="21"/>
              </w:rPr>
            </w:pPr>
            <w:r>
              <w:rPr>
                <w:rFonts w:hint="eastAsia" w:ascii="黑体" w:hAnsi="黑体"/>
                <w:bCs/>
                <w:sz w:val="21"/>
                <w:szCs w:val="21"/>
              </w:rPr>
              <w:t>2</w:t>
            </w:r>
          </w:p>
        </w:tc>
        <w:tc>
          <w:tcPr>
            <w:tcW w:w="751" w:type="dxa"/>
            <w:vAlign w:val="center"/>
          </w:tcPr>
          <w:p w14:paraId="207F303A">
            <w:pPr>
              <w:pStyle w:val="17"/>
              <w:widowControl w:val="0"/>
              <w:spacing w:line="240" w:lineRule="auto"/>
              <w:jc w:val="left"/>
              <w:rPr>
                <w:rFonts w:ascii="黑体" w:hAnsi="黑体"/>
                <w:bCs/>
                <w:sz w:val="21"/>
                <w:szCs w:val="21"/>
              </w:rPr>
            </w:pPr>
            <w:r>
              <w:rPr>
                <w:rFonts w:hint="eastAsia" w:ascii="黑体" w:hAnsi="黑体"/>
                <w:bCs/>
                <w:sz w:val="21"/>
                <w:szCs w:val="21"/>
              </w:rPr>
              <w:t>3</w:t>
            </w:r>
          </w:p>
        </w:tc>
        <w:tc>
          <w:tcPr>
            <w:tcW w:w="602" w:type="dxa"/>
            <w:vAlign w:val="top"/>
          </w:tcPr>
          <w:p w14:paraId="62761045">
            <w:pPr>
              <w:pStyle w:val="17"/>
              <w:widowControl w:val="0"/>
              <w:spacing w:line="240" w:lineRule="auto"/>
              <w:jc w:val="left"/>
              <w:rPr>
                <w:rFonts w:ascii="黑体" w:hAnsi="黑体"/>
                <w:bCs/>
                <w:sz w:val="21"/>
                <w:szCs w:val="21"/>
              </w:rPr>
            </w:pPr>
            <w:r>
              <w:rPr>
                <w:rFonts w:hint="eastAsia" w:ascii="黑体" w:hAnsi="黑体"/>
                <w:bCs/>
                <w:sz w:val="21"/>
                <w:szCs w:val="21"/>
              </w:rPr>
              <w:t>4</w:t>
            </w:r>
          </w:p>
        </w:tc>
        <w:tc>
          <w:tcPr>
            <w:tcW w:w="601" w:type="dxa"/>
            <w:vAlign w:val="top"/>
          </w:tcPr>
          <w:p w14:paraId="61CCF1D6">
            <w:pPr>
              <w:pStyle w:val="17"/>
              <w:widowControl w:val="0"/>
              <w:spacing w:line="240" w:lineRule="auto"/>
              <w:jc w:val="left"/>
              <w:rPr>
                <w:rFonts w:ascii="黑体" w:hAnsi="黑体"/>
                <w:bCs/>
                <w:sz w:val="21"/>
                <w:szCs w:val="21"/>
              </w:rPr>
            </w:pPr>
            <w:r>
              <w:rPr>
                <w:rFonts w:hint="eastAsia" w:ascii="黑体" w:hAnsi="黑体"/>
                <w:bCs/>
                <w:sz w:val="21"/>
                <w:szCs w:val="21"/>
                <w:lang w:val="en-US" w:eastAsia="zh-CN"/>
              </w:rPr>
              <w:t>5</w:t>
            </w:r>
          </w:p>
        </w:tc>
        <w:tc>
          <w:tcPr>
            <w:tcW w:w="706" w:type="dxa"/>
            <w:vMerge w:val="continue"/>
            <w:tcBorders>
              <w:right w:val="single" w:color="auto" w:sz="12" w:space="0"/>
            </w:tcBorders>
            <w:vAlign w:val="top"/>
          </w:tcPr>
          <w:p w14:paraId="31D30525">
            <w:pPr>
              <w:pStyle w:val="17"/>
              <w:widowControl w:val="0"/>
              <w:spacing w:line="240" w:lineRule="auto"/>
              <w:jc w:val="center"/>
              <w:rPr>
                <w:rFonts w:ascii="黑体" w:hAnsi="黑体"/>
                <w:bCs/>
                <w:sz w:val="21"/>
                <w:szCs w:val="21"/>
              </w:rPr>
            </w:pPr>
          </w:p>
        </w:tc>
      </w:tr>
      <w:tr w14:paraId="6A69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90B9ABF">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top"/>
          </w:tcPr>
          <w:p w14:paraId="38A8A514">
            <w:pPr>
              <w:widowControl w:val="0"/>
              <w:snapToGrid w:val="0"/>
              <w:spacing w:beforeLines="50" w:afterLines="50"/>
              <w:jc w:val="center"/>
              <w:rPr>
                <w:rFonts w:ascii="宋体" w:hAnsi="宋体" w:eastAsia="宋体" w:cs="宋体"/>
                <w:bCs/>
                <w:color w:val="000000"/>
                <w:sz w:val="24"/>
                <w:szCs w:val="20"/>
                <w:lang w:val="en-US" w:eastAsia="zh-CN" w:bidi="ar-SA"/>
              </w:rPr>
            </w:pPr>
            <w:r>
              <w:rPr>
                <w:rFonts w:hint="eastAsia" w:ascii="宋体" w:hAnsi="宋体"/>
                <w:bCs/>
                <w:color w:val="000000"/>
                <w:szCs w:val="20"/>
              </w:rPr>
              <w:t>60%</w:t>
            </w:r>
          </w:p>
        </w:tc>
        <w:tc>
          <w:tcPr>
            <w:tcW w:w="2353" w:type="dxa"/>
            <w:tcBorders>
              <w:right w:val="double" w:color="auto" w:sz="4" w:space="0"/>
            </w:tcBorders>
            <w:vAlign w:val="center"/>
          </w:tcPr>
          <w:p w14:paraId="0A4651C6">
            <w:pPr>
              <w:widowControl/>
              <w:spacing w:line="360" w:lineRule="auto"/>
              <w:jc w:val="center"/>
              <w:rPr>
                <w:rFonts w:ascii="宋体" w:hAnsi="宋体" w:eastAsia="宋体" w:cs="宋体"/>
                <w:bCs/>
                <w:color w:val="000000"/>
                <w:sz w:val="24"/>
                <w:szCs w:val="20"/>
                <w:lang w:val="en-US" w:eastAsia="zh-CN" w:bidi="ar-SA"/>
              </w:rPr>
            </w:pPr>
            <w:r>
              <w:rPr>
                <w:rFonts w:hint="eastAsia" w:ascii="宋体" w:hAnsi="宋体" w:cs="Arial"/>
                <w:kern w:val="0"/>
                <w:szCs w:val="21"/>
              </w:rPr>
              <w:t>期末闭卷考</w:t>
            </w:r>
          </w:p>
        </w:tc>
        <w:tc>
          <w:tcPr>
            <w:tcW w:w="911" w:type="dxa"/>
            <w:tcBorders>
              <w:left w:val="double" w:color="auto" w:sz="4" w:space="0"/>
            </w:tcBorders>
            <w:vAlign w:val="center"/>
          </w:tcPr>
          <w:p w14:paraId="6B2065EA">
            <w:pPr>
              <w:pStyle w:val="15"/>
              <w:widowControl w:val="0"/>
              <w:rPr>
                <w:rFonts w:ascii="宋体" w:hAnsi="宋体" w:eastAsia="宋体" w:cs="宋体"/>
                <w:bCs/>
                <w:color w:val="000000"/>
                <w:sz w:val="24"/>
                <w:szCs w:val="20"/>
                <w:lang w:val="en-US" w:eastAsia="zh-CN" w:bidi="ar-SA"/>
              </w:rPr>
            </w:pPr>
            <w:r>
              <w:rPr>
                <w:rFonts w:hint="eastAsia"/>
                <w:lang w:val="en-US" w:eastAsia="zh-CN"/>
              </w:rPr>
              <w:t>6</w:t>
            </w:r>
            <w:r>
              <w:rPr>
                <w:rFonts w:hint="eastAsia"/>
              </w:rPr>
              <w:t>0%</w:t>
            </w:r>
          </w:p>
        </w:tc>
        <w:tc>
          <w:tcPr>
            <w:tcW w:w="807" w:type="dxa"/>
            <w:vAlign w:val="center"/>
          </w:tcPr>
          <w:p w14:paraId="4478B4FE">
            <w:pPr>
              <w:pStyle w:val="15"/>
              <w:widowControl w:val="0"/>
            </w:pPr>
            <w:r>
              <w:rPr>
                <w:rFonts w:hint="eastAsia"/>
                <w:lang w:val="en-US" w:eastAsia="zh-CN"/>
              </w:rPr>
              <w:t>2</w:t>
            </w:r>
            <w:r>
              <w:t>0</w:t>
            </w:r>
            <w:r>
              <w:rPr>
                <w:rFonts w:hint="eastAsia"/>
              </w:rPr>
              <w:t>%</w:t>
            </w:r>
          </w:p>
        </w:tc>
        <w:tc>
          <w:tcPr>
            <w:tcW w:w="751" w:type="dxa"/>
            <w:vAlign w:val="center"/>
          </w:tcPr>
          <w:p w14:paraId="5A8279B0">
            <w:pPr>
              <w:pStyle w:val="15"/>
              <w:widowControl w:val="0"/>
            </w:pPr>
            <w:r>
              <w:rPr>
                <w:rFonts w:hint="eastAsia"/>
              </w:rPr>
              <w:t>1</w:t>
            </w:r>
            <w:r>
              <w:t>0</w:t>
            </w:r>
            <w:r>
              <w:rPr>
                <w:rFonts w:hint="eastAsia"/>
              </w:rPr>
              <w:t>%</w:t>
            </w:r>
          </w:p>
        </w:tc>
        <w:tc>
          <w:tcPr>
            <w:tcW w:w="602" w:type="dxa"/>
            <w:vAlign w:val="center"/>
          </w:tcPr>
          <w:p w14:paraId="28393F99">
            <w:pPr>
              <w:pStyle w:val="15"/>
              <w:widowControl w:val="0"/>
            </w:pPr>
            <w:r>
              <w:rPr>
                <w:rFonts w:hint="eastAsia"/>
              </w:rPr>
              <w:t>1</w:t>
            </w:r>
            <w:r>
              <w:t>0</w:t>
            </w:r>
            <w:r>
              <w:rPr>
                <w:rFonts w:hint="eastAsia"/>
              </w:rPr>
              <w:t>%</w:t>
            </w:r>
          </w:p>
        </w:tc>
        <w:tc>
          <w:tcPr>
            <w:tcW w:w="601" w:type="dxa"/>
            <w:vAlign w:val="center"/>
          </w:tcPr>
          <w:p w14:paraId="47F049C8">
            <w:pPr>
              <w:pStyle w:val="15"/>
              <w:widowControl w:val="0"/>
            </w:pPr>
            <w:r>
              <w:rPr>
                <w:rFonts w:hint="eastAsia"/>
                <w:lang w:val="en-US" w:eastAsia="zh-CN"/>
              </w:rPr>
              <w:t>0</w:t>
            </w:r>
          </w:p>
        </w:tc>
        <w:tc>
          <w:tcPr>
            <w:tcW w:w="706" w:type="dxa"/>
            <w:tcBorders>
              <w:right w:val="single" w:color="auto" w:sz="12" w:space="0"/>
            </w:tcBorders>
            <w:vAlign w:val="center"/>
          </w:tcPr>
          <w:p w14:paraId="321507CF">
            <w:pPr>
              <w:pStyle w:val="15"/>
              <w:widowControl w:val="0"/>
            </w:pPr>
            <w:r>
              <w:rPr>
                <w:rFonts w:hint="eastAsia"/>
              </w:rPr>
              <w:t>100</w:t>
            </w:r>
          </w:p>
        </w:tc>
      </w:tr>
      <w:tr w14:paraId="310F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F49EE1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top"/>
          </w:tcPr>
          <w:p w14:paraId="283CC42F">
            <w:pPr>
              <w:widowControl w:val="0"/>
              <w:snapToGrid w:val="0"/>
              <w:spacing w:beforeLines="50" w:afterLines="50"/>
              <w:jc w:val="center"/>
              <w:rPr>
                <w:rFonts w:ascii="宋体" w:hAnsi="宋体" w:eastAsia="宋体" w:cs="宋体"/>
                <w:bCs/>
                <w:color w:val="000000"/>
                <w:sz w:val="24"/>
                <w:szCs w:val="20"/>
                <w:lang w:val="en-US" w:eastAsia="zh-CN" w:bidi="ar-SA"/>
              </w:rPr>
            </w:pPr>
            <w:r>
              <w:rPr>
                <w:rFonts w:hint="eastAsia" w:ascii="宋体" w:hAnsi="宋体" w:eastAsiaTheme="minorEastAsia"/>
                <w:bCs/>
                <w:color w:val="000000"/>
                <w:szCs w:val="20"/>
              </w:rPr>
              <w:t>2</w:t>
            </w:r>
            <w:r>
              <w:rPr>
                <w:rFonts w:hint="eastAsia" w:ascii="宋体" w:hAnsi="宋体"/>
                <w:bCs/>
                <w:color w:val="000000"/>
                <w:szCs w:val="20"/>
              </w:rPr>
              <w:t>0%</w:t>
            </w:r>
          </w:p>
        </w:tc>
        <w:tc>
          <w:tcPr>
            <w:tcW w:w="2353" w:type="dxa"/>
            <w:tcBorders>
              <w:right w:val="double" w:color="auto" w:sz="4" w:space="0"/>
            </w:tcBorders>
            <w:vAlign w:val="center"/>
          </w:tcPr>
          <w:p w14:paraId="5099737E">
            <w:pPr>
              <w:widowControl/>
              <w:spacing w:line="360" w:lineRule="auto"/>
              <w:jc w:val="center"/>
              <w:rPr>
                <w:rFonts w:hint="default" w:ascii="宋体" w:hAnsi="宋体" w:eastAsia="宋体" w:cs="宋体"/>
                <w:bCs/>
                <w:color w:val="000000"/>
                <w:sz w:val="24"/>
                <w:szCs w:val="20"/>
                <w:lang w:val="en-US" w:eastAsia="zh-CN" w:bidi="ar-SA"/>
              </w:rPr>
            </w:pPr>
            <w:r>
              <w:rPr>
                <w:rFonts w:hint="eastAsia" w:ascii="宋体" w:hAnsi="宋体"/>
                <w:bCs/>
                <w:szCs w:val="21"/>
              </w:rPr>
              <w:t>阶段测试</w:t>
            </w:r>
          </w:p>
        </w:tc>
        <w:tc>
          <w:tcPr>
            <w:tcW w:w="911" w:type="dxa"/>
            <w:tcBorders>
              <w:left w:val="double" w:color="auto" w:sz="4" w:space="0"/>
            </w:tcBorders>
            <w:vAlign w:val="center"/>
          </w:tcPr>
          <w:p w14:paraId="79DD4D43">
            <w:pPr>
              <w:pStyle w:val="15"/>
              <w:widowControl w:val="0"/>
              <w:rPr>
                <w:rFonts w:ascii="宋体" w:hAnsi="宋体" w:eastAsia="宋体" w:cs="宋体"/>
                <w:bCs/>
                <w:color w:val="000000"/>
                <w:sz w:val="24"/>
                <w:szCs w:val="20"/>
                <w:lang w:val="en-US" w:eastAsia="zh-CN" w:bidi="ar-SA"/>
              </w:rPr>
            </w:pPr>
            <w:r>
              <w:rPr>
                <w:rFonts w:hint="eastAsia"/>
                <w:lang w:val="en-US" w:eastAsia="zh-CN"/>
              </w:rPr>
              <w:t>4</w:t>
            </w:r>
            <w:r>
              <w:rPr>
                <w:rFonts w:hint="eastAsia"/>
              </w:rPr>
              <w:t>0%</w:t>
            </w:r>
          </w:p>
        </w:tc>
        <w:tc>
          <w:tcPr>
            <w:tcW w:w="807" w:type="dxa"/>
            <w:vAlign w:val="center"/>
          </w:tcPr>
          <w:p w14:paraId="08ED7B14">
            <w:pPr>
              <w:pStyle w:val="15"/>
              <w:widowControl w:val="0"/>
            </w:pPr>
            <w:r>
              <w:rPr>
                <w:rFonts w:hint="eastAsia"/>
                <w:lang w:val="en-US" w:eastAsia="zh-CN"/>
              </w:rPr>
              <w:t>1</w:t>
            </w:r>
            <w:r>
              <w:rPr>
                <w:rFonts w:hint="eastAsia"/>
              </w:rPr>
              <w:t>0%</w:t>
            </w:r>
          </w:p>
        </w:tc>
        <w:tc>
          <w:tcPr>
            <w:tcW w:w="751" w:type="dxa"/>
            <w:vAlign w:val="center"/>
          </w:tcPr>
          <w:p w14:paraId="3586B6A7">
            <w:pPr>
              <w:pStyle w:val="15"/>
              <w:widowControl w:val="0"/>
            </w:pPr>
            <w:r>
              <w:rPr>
                <w:rFonts w:hint="eastAsia"/>
              </w:rPr>
              <w:t>30%</w:t>
            </w:r>
          </w:p>
        </w:tc>
        <w:tc>
          <w:tcPr>
            <w:tcW w:w="602" w:type="dxa"/>
            <w:vAlign w:val="center"/>
          </w:tcPr>
          <w:p w14:paraId="634F626E">
            <w:pPr>
              <w:pStyle w:val="15"/>
              <w:widowControl w:val="0"/>
            </w:pPr>
            <w:r>
              <w:rPr>
                <w:rFonts w:hint="eastAsia"/>
              </w:rPr>
              <w:t>1</w:t>
            </w:r>
            <w:r>
              <w:t>0</w:t>
            </w:r>
            <w:r>
              <w:rPr>
                <w:rFonts w:hint="eastAsia"/>
              </w:rPr>
              <w:t>%</w:t>
            </w:r>
          </w:p>
        </w:tc>
        <w:tc>
          <w:tcPr>
            <w:tcW w:w="601" w:type="dxa"/>
            <w:vAlign w:val="center"/>
          </w:tcPr>
          <w:p w14:paraId="6D60BEFB">
            <w:pPr>
              <w:pStyle w:val="15"/>
              <w:widowControl w:val="0"/>
            </w:pPr>
            <w:r>
              <w:rPr>
                <w:rFonts w:hint="eastAsia"/>
                <w:lang w:val="en-US" w:eastAsia="zh-CN"/>
              </w:rPr>
              <w:t>10%</w:t>
            </w:r>
          </w:p>
        </w:tc>
        <w:tc>
          <w:tcPr>
            <w:tcW w:w="706" w:type="dxa"/>
            <w:tcBorders>
              <w:right w:val="single" w:color="auto" w:sz="12" w:space="0"/>
            </w:tcBorders>
            <w:vAlign w:val="center"/>
          </w:tcPr>
          <w:p w14:paraId="2C6DEB43">
            <w:pPr>
              <w:pStyle w:val="15"/>
              <w:widowControl w:val="0"/>
            </w:pPr>
            <w:r>
              <w:rPr>
                <w:rFonts w:hint="eastAsia"/>
              </w:rPr>
              <w:t>1</w:t>
            </w:r>
            <w:r>
              <w:t>00</w:t>
            </w:r>
          </w:p>
        </w:tc>
      </w:tr>
      <w:tr w14:paraId="3354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A0904E4">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top"/>
          </w:tcPr>
          <w:p w14:paraId="74388703">
            <w:pPr>
              <w:widowControl w:val="0"/>
              <w:snapToGrid w:val="0"/>
              <w:spacing w:beforeLines="50" w:afterLines="50"/>
              <w:jc w:val="center"/>
              <w:rPr>
                <w:rFonts w:ascii="宋体" w:hAnsi="宋体" w:eastAsia="宋体" w:cs="宋体"/>
                <w:bCs/>
                <w:color w:val="000000"/>
                <w:sz w:val="24"/>
                <w:szCs w:val="20"/>
                <w:lang w:val="en-US" w:eastAsia="zh-CN" w:bidi="ar-SA"/>
              </w:rPr>
            </w:pPr>
            <w:r>
              <w:rPr>
                <w:rFonts w:hint="eastAsia" w:ascii="宋体" w:hAnsi="宋体"/>
                <w:bCs/>
                <w:color w:val="000000"/>
                <w:szCs w:val="20"/>
              </w:rPr>
              <w:t>10%</w:t>
            </w:r>
          </w:p>
        </w:tc>
        <w:tc>
          <w:tcPr>
            <w:tcW w:w="2353" w:type="dxa"/>
            <w:tcBorders>
              <w:right w:val="double" w:color="auto" w:sz="4" w:space="0"/>
            </w:tcBorders>
            <w:vAlign w:val="center"/>
          </w:tcPr>
          <w:p w14:paraId="5CB2A38B">
            <w:pPr>
              <w:widowControl w:val="0"/>
              <w:snapToGrid w:val="0"/>
              <w:spacing w:line="288" w:lineRule="auto"/>
              <w:jc w:val="center"/>
              <w:rPr>
                <w:rFonts w:hint="default" w:ascii="宋体" w:hAnsi="宋体" w:eastAsia="宋体" w:cs="宋体"/>
                <w:bCs/>
                <w:color w:val="000000"/>
                <w:sz w:val="24"/>
                <w:szCs w:val="20"/>
                <w:lang w:val="en-US" w:eastAsia="zh-CN" w:bidi="ar-SA"/>
              </w:rPr>
            </w:pPr>
            <w:r>
              <w:rPr>
                <w:rFonts w:hint="eastAsia" w:ascii="宋体" w:hAnsi="宋体" w:cs="宋体"/>
                <w:kern w:val="0"/>
                <w:szCs w:val="21"/>
              </w:rPr>
              <w:t>案例分析报告</w:t>
            </w:r>
          </w:p>
        </w:tc>
        <w:tc>
          <w:tcPr>
            <w:tcW w:w="911" w:type="dxa"/>
            <w:tcBorders>
              <w:left w:val="double" w:color="auto" w:sz="4" w:space="0"/>
            </w:tcBorders>
            <w:vAlign w:val="center"/>
          </w:tcPr>
          <w:p w14:paraId="5AB43171">
            <w:pPr>
              <w:pStyle w:val="15"/>
              <w:widowControl w:val="0"/>
              <w:rPr>
                <w:rFonts w:ascii="宋体" w:hAnsi="宋体" w:eastAsia="宋体" w:cs="宋体"/>
                <w:bCs/>
                <w:color w:val="000000"/>
                <w:sz w:val="24"/>
                <w:szCs w:val="20"/>
                <w:lang w:val="en-US" w:eastAsia="zh-CN" w:bidi="ar-SA"/>
              </w:rPr>
            </w:pPr>
            <w:r>
              <w:rPr>
                <w:rFonts w:hint="eastAsia"/>
              </w:rPr>
              <w:t>20%</w:t>
            </w:r>
          </w:p>
        </w:tc>
        <w:tc>
          <w:tcPr>
            <w:tcW w:w="807" w:type="dxa"/>
            <w:vAlign w:val="center"/>
          </w:tcPr>
          <w:p w14:paraId="7B08F3D4">
            <w:pPr>
              <w:pStyle w:val="15"/>
              <w:widowControl w:val="0"/>
            </w:pPr>
            <w:r>
              <w:rPr>
                <w:rFonts w:hint="eastAsia"/>
                <w:lang w:val="en-US" w:eastAsia="zh-CN"/>
              </w:rPr>
              <w:t>1</w:t>
            </w:r>
            <w:r>
              <w:rPr>
                <w:rFonts w:hint="eastAsia"/>
              </w:rPr>
              <w:t>0%</w:t>
            </w:r>
          </w:p>
        </w:tc>
        <w:tc>
          <w:tcPr>
            <w:tcW w:w="751" w:type="dxa"/>
            <w:vAlign w:val="center"/>
          </w:tcPr>
          <w:p w14:paraId="7F4141E0">
            <w:pPr>
              <w:pStyle w:val="15"/>
              <w:widowControl w:val="0"/>
            </w:pPr>
            <w:r>
              <w:rPr>
                <w:rFonts w:hint="eastAsia"/>
                <w:lang w:val="en-US" w:eastAsia="zh-CN"/>
              </w:rPr>
              <w:t>5</w:t>
            </w:r>
            <w:r>
              <w:rPr>
                <w:rFonts w:hint="eastAsia"/>
              </w:rPr>
              <w:t>0%</w:t>
            </w:r>
          </w:p>
        </w:tc>
        <w:tc>
          <w:tcPr>
            <w:tcW w:w="602" w:type="dxa"/>
            <w:vAlign w:val="center"/>
          </w:tcPr>
          <w:p w14:paraId="64D5BAB3">
            <w:pPr>
              <w:pStyle w:val="15"/>
              <w:widowControl w:val="0"/>
            </w:pPr>
            <w:r>
              <w:rPr>
                <w:rFonts w:hint="eastAsia"/>
                <w:lang w:val="en-US" w:eastAsia="zh-CN"/>
              </w:rPr>
              <w:t>1</w:t>
            </w:r>
            <w:r>
              <w:rPr>
                <w:rFonts w:hint="eastAsia"/>
              </w:rPr>
              <w:t>0%</w:t>
            </w:r>
          </w:p>
        </w:tc>
        <w:tc>
          <w:tcPr>
            <w:tcW w:w="601" w:type="dxa"/>
            <w:vAlign w:val="center"/>
          </w:tcPr>
          <w:p w14:paraId="552EC6C0">
            <w:pPr>
              <w:pStyle w:val="15"/>
              <w:widowControl w:val="0"/>
            </w:pPr>
            <w:r>
              <w:rPr>
                <w:rFonts w:hint="eastAsia"/>
                <w:lang w:val="en-US" w:eastAsia="zh-CN"/>
              </w:rPr>
              <w:t>10%</w:t>
            </w:r>
          </w:p>
        </w:tc>
        <w:tc>
          <w:tcPr>
            <w:tcW w:w="706" w:type="dxa"/>
            <w:tcBorders>
              <w:right w:val="single" w:color="auto" w:sz="12" w:space="0"/>
            </w:tcBorders>
            <w:vAlign w:val="center"/>
          </w:tcPr>
          <w:p w14:paraId="1D7C7C74">
            <w:pPr>
              <w:pStyle w:val="15"/>
              <w:widowControl w:val="0"/>
            </w:pPr>
            <w:r>
              <w:rPr>
                <w:rFonts w:hint="eastAsia"/>
              </w:rPr>
              <w:t>1</w:t>
            </w:r>
            <w:r>
              <w:t>00</w:t>
            </w:r>
          </w:p>
        </w:tc>
      </w:tr>
      <w:tr w14:paraId="0349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AC4C10E">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top"/>
          </w:tcPr>
          <w:p w14:paraId="6B5EE080">
            <w:pPr>
              <w:widowControl w:val="0"/>
              <w:snapToGrid w:val="0"/>
              <w:spacing w:beforeLines="50" w:afterLines="50"/>
              <w:jc w:val="center"/>
              <w:rPr>
                <w:rFonts w:ascii="宋体" w:hAnsi="宋体" w:eastAsia="宋体" w:cs="宋体"/>
                <w:bCs/>
                <w:color w:val="000000"/>
                <w:sz w:val="24"/>
                <w:szCs w:val="20"/>
                <w:lang w:val="en-US" w:eastAsia="zh-CN" w:bidi="ar-SA"/>
              </w:rPr>
            </w:pPr>
            <w:r>
              <w:rPr>
                <w:rFonts w:hint="eastAsia" w:ascii="宋体" w:hAnsi="宋体"/>
                <w:bCs/>
                <w:color w:val="000000"/>
                <w:szCs w:val="20"/>
              </w:rPr>
              <w:t>10%</w:t>
            </w:r>
          </w:p>
        </w:tc>
        <w:tc>
          <w:tcPr>
            <w:tcW w:w="2353" w:type="dxa"/>
            <w:tcBorders>
              <w:right w:val="double" w:color="auto" w:sz="4" w:space="0"/>
            </w:tcBorders>
            <w:vAlign w:val="center"/>
          </w:tcPr>
          <w:p w14:paraId="68AB8A87">
            <w:pPr>
              <w:widowControl/>
              <w:spacing w:line="360" w:lineRule="auto"/>
              <w:jc w:val="center"/>
              <w:rPr>
                <w:rFonts w:ascii="宋体" w:hAnsi="宋体" w:eastAsia="宋体" w:cs="宋体"/>
                <w:bCs/>
                <w:color w:val="000000"/>
                <w:sz w:val="24"/>
                <w:szCs w:val="20"/>
                <w:lang w:val="en-US" w:eastAsia="zh-CN" w:bidi="ar-SA"/>
              </w:rPr>
            </w:pPr>
            <w:r>
              <w:rPr>
                <w:rFonts w:hint="eastAsia" w:ascii="宋体" w:hAnsi="宋体" w:cs="Arial"/>
                <w:kern w:val="0"/>
                <w:szCs w:val="21"/>
              </w:rPr>
              <w:t>出勤率、课堂表现</w:t>
            </w:r>
          </w:p>
        </w:tc>
        <w:tc>
          <w:tcPr>
            <w:tcW w:w="911" w:type="dxa"/>
            <w:tcBorders>
              <w:left w:val="double" w:color="auto" w:sz="4" w:space="0"/>
            </w:tcBorders>
            <w:vAlign w:val="center"/>
          </w:tcPr>
          <w:p w14:paraId="3A59E18B">
            <w:pPr>
              <w:pStyle w:val="15"/>
              <w:widowControl w:val="0"/>
              <w:rPr>
                <w:rFonts w:ascii="宋体" w:hAnsi="宋体" w:eastAsia="宋体" w:cs="宋体"/>
                <w:bCs/>
                <w:color w:val="000000"/>
                <w:sz w:val="24"/>
                <w:szCs w:val="20"/>
                <w:lang w:val="en-US" w:eastAsia="zh-CN" w:bidi="ar-SA"/>
              </w:rPr>
            </w:pPr>
            <w:r>
              <w:rPr>
                <w:rFonts w:hint="eastAsia"/>
                <w:lang w:val="en-US" w:eastAsia="zh-CN"/>
              </w:rPr>
              <w:t>5</w:t>
            </w:r>
            <w:r>
              <w:rPr>
                <w:rFonts w:hint="eastAsia"/>
              </w:rPr>
              <w:t>0%</w:t>
            </w:r>
          </w:p>
        </w:tc>
        <w:tc>
          <w:tcPr>
            <w:tcW w:w="807" w:type="dxa"/>
            <w:vAlign w:val="center"/>
          </w:tcPr>
          <w:p w14:paraId="4FC4D346">
            <w:pPr>
              <w:pStyle w:val="15"/>
              <w:widowControl w:val="0"/>
            </w:pPr>
            <w:r>
              <w:rPr>
                <w:rFonts w:hint="eastAsia"/>
                <w:lang w:val="en-US" w:eastAsia="zh-CN"/>
              </w:rPr>
              <w:t>2</w:t>
            </w:r>
            <w:r>
              <w:rPr>
                <w:rFonts w:hint="eastAsia"/>
              </w:rPr>
              <w:t>0%</w:t>
            </w:r>
          </w:p>
        </w:tc>
        <w:tc>
          <w:tcPr>
            <w:tcW w:w="751" w:type="dxa"/>
            <w:vAlign w:val="center"/>
          </w:tcPr>
          <w:p w14:paraId="76986728">
            <w:pPr>
              <w:pStyle w:val="15"/>
              <w:widowControl w:val="0"/>
            </w:pPr>
            <w:r>
              <w:rPr>
                <w:rFonts w:hint="eastAsia"/>
                <w:lang w:val="en-US" w:eastAsia="zh-CN"/>
              </w:rPr>
              <w:t>15</w:t>
            </w:r>
            <w:r>
              <w:rPr>
                <w:rFonts w:hint="eastAsia"/>
              </w:rPr>
              <w:t>%</w:t>
            </w:r>
          </w:p>
        </w:tc>
        <w:tc>
          <w:tcPr>
            <w:tcW w:w="602" w:type="dxa"/>
            <w:vAlign w:val="center"/>
          </w:tcPr>
          <w:p w14:paraId="6C36663B">
            <w:pPr>
              <w:pStyle w:val="15"/>
              <w:widowControl w:val="0"/>
            </w:pPr>
            <w:r>
              <w:rPr>
                <w:rFonts w:hint="eastAsia"/>
                <w:lang w:val="en-US" w:eastAsia="zh-CN"/>
              </w:rPr>
              <w:t>15</w:t>
            </w:r>
            <w:r>
              <w:rPr>
                <w:rFonts w:hint="eastAsia"/>
              </w:rPr>
              <w:t>%</w:t>
            </w:r>
          </w:p>
        </w:tc>
        <w:tc>
          <w:tcPr>
            <w:tcW w:w="601" w:type="dxa"/>
            <w:vAlign w:val="center"/>
          </w:tcPr>
          <w:p w14:paraId="00F2BB8A">
            <w:pPr>
              <w:pStyle w:val="15"/>
              <w:widowControl w:val="0"/>
            </w:pPr>
            <w:r>
              <w:rPr>
                <w:rFonts w:hint="eastAsia"/>
                <w:lang w:val="en-US" w:eastAsia="zh-CN"/>
              </w:rPr>
              <w:t>0</w:t>
            </w:r>
          </w:p>
        </w:tc>
        <w:tc>
          <w:tcPr>
            <w:tcW w:w="706" w:type="dxa"/>
            <w:tcBorders>
              <w:right w:val="single" w:color="auto" w:sz="12" w:space="0"/>
            </w:tcBorders>
            <w:vAlign w:val="center"/>
          </w:tcPr>
          <w:p w14:paraId="5406B91B">
            <w:pPr>
              <w:pStyle w:val="15"/>
              <w:widowControl w:val="0"/>
            </w:pPr>
            <w:r>
              <w:rPr>
                <w:rFonts w:hint="eastAsia"/>
              </w:rPr>
              <w:t>1</w:t>
            </w:r>
            <w:r>
              <w:t>00</w:t>
            </w:r>
          </w:p>
        </w:tc>
      </w:tr>
    </w:tbl>
    <w:p w14:paraId="3EFE67AA">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4841A8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14:paraId="704F928D">
            <w:pPr>
              <w:pStyle w:val="15"/>
              <w:widowControl w:val="0"/>
              <w:jc w:val="left"/>
              <w:rPr>
                <w:rFonts w:ascii="仿宋" w:hAnsi="仿宋" w:eastAsia="仿宋" w:cs="仿宋"/>
              </w:rPr>
            </w:pPr>
          </w:p>
          <w:p w14:paraId="1ADFD8F1">
            <w:pPr>
              <w:pStyle w:val="15"/>
              <w:widowControl w:val="0"/>
              <w:jc w:val="left"/>
              <w:rPr>
                <w:rFonts w:hint="eastAsia" w:ascii="宋体" w:hAnsi="宋体" w:eastAsia="宋体"/>
                <w:bCs/>
                <w:lang w:val="en-US" w:eastAsia="zh-CN"/>
              </w:rPr>
            </w:pPr>
            <w:r>
              <w:rPr>
                <w:rFonts w:hint="eastAsia" w:ascii="宋体" w:hAnsi="宋体"/>
                <w:bCs/>
                <w:lang w:val="en-US" w:eastAsia="zh-CN"/>
              </w:rPr>
              <w:t>暂无</w:t>
            </w:r>
          </w:p>
          <w:p w14:paraId="1ED0A234">
            <w:pPr>
              <w:pStyle w:val="15"/>
              <w:widowControl w:val="0"/>
              <w:jc w:val="left"/>
              <w:rPr>
                <w:rFonts w:ascii="黑体"/>
              </w:rPr>
            </w:pPr>
          </w:p>
        </w:tc>
      </w:tr>
    </w:tbl>
    <w:p w14:paraId="3B264A6A">
      <w:pPr>
        <w:pStyle w:val="17"/>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45C2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C7610B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C7610BB">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55056"/>
    <w:multiLevelType w:val="singleLevel"/>
    <w:tmpl w:val="B60550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NDM1ODgzOTU5ZmI5MzJjZDZiMWIwNzA2YTEwMm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44F9"/>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9F81250"/>
    <w:rsid w:val="22987C80"/>
    <w:rsid w:val="24192CCC"/>
    <w:rsid w:val="38846A9A"/>
    <w:rsid w:val="38A03F85"/>
    <w:rsid w:val="39A66CD4"/>
    <w:rsid w:val="3CD52CE1"/>
    <w:rsid w:val="410F2E6A"/>
    <w:rsid w:val="4430136C"/>
    <w:rsid w:val="489B42C9"/>
    <w:rsid w:val="4AB0382B"/>
    <w:rsid w:val="4C446142"/>
    <w:rsid w:val="569868B5"/>
    <w:rsid w:val="611F6817"/>
    <w:rsid w:val="66CA1754"/>
    <w:rsid w:val="6B4D6473"/>
    <w:rsid w:val="6F1E65D4"/>
    <w:rsid w:val="6F266C86"/>
    <w:rsid w:val="6F5042C2"/>
    <w:rsid w:val="70F3746A"/>
    <w:rsid w:val="74316312"/>
    <w:rsid w:val="780F13C8"/>
    <w:rsid w:val="7A885E98"/>
    <w:rsid w:val="7B7E514F"/>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qFormat/>
    <w:uiPriority w:val="1"/>
    <w:rPr>
      <w:rFonts w:ascii="黑体" w:hAnsi="黑体" w:eastAsia="黑体" w:cs="黑体"/>
      <w:sz w:val="36"/>
      <w:szCs w:val="36"/>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table" w:customStyle="1" w:styleId="24">
    <w:name w:val="Table Normal"/>
    <w:autoRedefine/>
    <w:semiHidden/>
    <w:unhideWhenUsed/>
    <w:qFormat/>
    <w:uiPriority w:val="2"/>
    <w:rPr>
      <w:rFonts w:ascii="Calibri" w:hAnsi="Calibr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4964</Words>
  <Characters>5211</Characters>
  <Lines>6</Lines>
  <Paragraphs>1</Paragraphs>
  <TotalTime>126</TotalTime>
  <ScaleCrop>false</ScaleCrop>
  <LinksUpToDate>false</LinksUpToDate>
  <CharactersWithSpaces>5436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你谁呢2</cp:lastModifiedBy>
  <cp:lastPrinted>2023-11-21T00:52:00Z</cp:lastPrinted>
  <dcterms:modified xsi:type="dcterms:W3CDTF">2024-09-09T05:08:44Z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A99E3E9CE2A646A2A73087CCCE45146B_13</vt:lpwstr>
  </property>
</Properties>
</file>