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1DB98">
      <w:pPr>
        <w:snapToGrid w:val="0"/>
        <w:jc w:val="center"/>
        <w:rPr>
          <w:sz w:val="6"/>
          <w:szCs w:val="6"/>
        </w:rPr>
      </w:pPr>
    </w:p>
    <w:p w14:paraId="08E21C21">
      <w:pPr>
        <w:snapToGrid w:val="0"/>
        <w:jc w:val="center"/>
        <w:rPr>
          <w:sz w:val="6"/>
          <w:szCs w:val="6"/>
        </w:rPr>
      </w:pPr>
    </w:p>
    <w:p w14:paraId="655DE385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DEE54BC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2CA1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9FB65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4B4DC05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药理学</w:t>
            </w:r>
          </w:p>
        </w:tc>
      </w:tr>
      <w:tr w14:paraId="5DD6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F4A631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640DBB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2170004</w:t>
            </w:r>
          </w:p>
        </w:tc>
        <w:tc>
          <w:tcPr>
            <w:tcW w:w="1314" w:type="dxa"/>
            <w:vAlign w:val="center"/>
          </w:tcPr>
          <w:p w14:paraId="631E1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3E7B5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0412</w:t>
            </w:r>
          </w:p>
        </w:tc>
        <w:tc>
          <w:tcPr>
            <w:tcW w:w="1753" w:type="dxa"/>
            <w:vAlign w:val="center"/>
          </w:tcPr>
          <w:p w14:paraId="2479158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A7817A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3/48</w:t>
            </w:r>
          </w:p>
        </w:tc>
      </w:tr>
      <w:tr w14:paraId="59FF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622584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6F758E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陈艳杰</w:t>
            </w:r>
          </w:p>
        </w:tc>
        <w:tc>
          <w:tcPr>
            <w:tcW w:w="1314" w:type="dxa"/>
            <w:vAlign w:val="center"/>
          </w:tcPr>
          <w:p w14:paraId="7391C9F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9397E5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23153</w:t>
            </w:r>
          </w:p>
        </w:tc>
        <w:tc>
          <w:tcPr>
            <w:tcW w:w="1753" w:type="dxa"/>
            <w:vAlign w:val="center"/>
          </w:tcPr>
          <w:p w14:paraId="3E88D6A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08854E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</w:t>
            </w:r>
          </w:p>
        </w:tc>
      </w:tr>
      <w:tr w14:paraId="3D5F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2E66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B966EE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健康服务B25-2</w:t>
            </w:r>
          </w:p>
        </w:tc>
        <w:tc>
          <w:tcPr>
            <w:tcW w:w="1314" w:type="dxa"/>
            <w:vAlign w:val="center"/>
          </w:tcPr>
          <w:p w14:paraId="12A063D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2CCBEE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753" w:type="dxa"/>
            <w:vAlign w:val="center"/>
          </w:tcPr>
          <w:p w14:paraId="65E2791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41398A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12号楼226、健康204</w:t>
            </w:r>
          </w:p>
        </w:tc>
      </w:tr>
      <w:tr w14:paraId="22CC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8D2E4A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3504F5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二3-4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节    地点: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新闻学院109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 电话：15225093681</w:t>
            </w:r>
          </w:p>
        </w:tc>
      </w:tr>
      <w:tr w14:paraId="4B51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927E50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23665B5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云班课号：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</w:rPr>
              <w:t>2875574，超星平台</w:t>
            </w:r>
          </w:p>
        </w:tc>
      </w:tr>
      <w:tr w14:paraId="13B6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E0AF6F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37C63A2"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秦红兵，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韩永红，苏湲淇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.药理学.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高等教育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出版社，20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月第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版.</w:t>
            </w:r>
          </w:p>
        </w:tc>
      </w:tr>
      <w:tr w14:paraId="13F96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2BB208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58AD40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1.蔡卫民等.临床药学理论与实践.北京：人民卫生出版社，2012年.</w:t>
            </w:r>
          </w:p>
          <w:p w14:paraId="547B4E26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2.秦红兵，陈树君.护用药理学实验与学习指导.北京：人民卫生出版社，2016年.</w:t>
            </w:r>
          </w:p>
          <w:p w14:paraId="014056CA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3.苏定冯，陈丰原.心血管药理学.第4版.北京：科学出版社，2011年.</w:t>
            </w:r>
          </w:p>
        </w:tc>
      </w:tr>
    </w:tbl>
    <w:p w14:paraId="082A66F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5D060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BC4EAB">
            <w:pPr>
              <w:widowControl/>
              <w:spacing w:before="120" w:after="120"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22E086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0C2576">
            <w:pPr>
              <w:widowControl/>
              <w:spacing w:line="240" w:lineRule="exact"/>
              <w:ind w:firstLine="357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5DCDC">
            <w:pPr>
              <w:snapToGrid w:val="0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6B837">
            <w:pPr>
              <w:snapToGrid w:val="0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B0D8A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2B248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FE62A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1C5D9E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绪言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：药物、药理学、药物效应动力学、药物代谢动力学的概念；药理学的发展简史；新药开发与研究的基本过程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  <w:p w14:paraId="14403711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药物效应动力学：药物的基本作用，包括对因治疗、对症治疗； 药物的不良反应（副作用、毒性反应、后遗效应、停药反应、变态反应、继发反应、特异质反应）；药物的量效关系，包括量效关系、量效曲线、量反应、质反应、最小有效量、效价、效能、半数有效量、半数致死量等在药物应用中的意义； 药物作用机制的主要类型；受体学说。</w:t>
            </w:r>
          </w:p>
          <w:p w14:paraId="7E8D3148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物代谢动力学：药物的体内过程，包括药物转运、吸收、分布、代谢、排泄过程的基本规律及影响因素；血药浓度的动态变化；药物代谢动力学参数，包括血药浓度-时间曲线下面积、峰浓度、达峰时间、半衰期、清除率、生物利用度、表观分布容积、稳态血药浓度及其临床意义。</w:t>
            </w:r>
          </w:p>
          <w:p w14:paraId="09A89A8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影响药物效应的因素及合理用药原则：合理用药原则以及用药监护对临床治疗的作用；药物剂型、药动学和药效学对药物效应的影响；年龄、性别和病理生理状态对药物效应的影响。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3C30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68F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4657A2C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47150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3F7F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D23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6E9B5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传出神经系统药物：传出神经系统受体的分类和生理效应；毛果芸香碱、新斯的明、阿托品、肾上腺素、去甲肾上腺素、异丙肾上腺素和多巴胺的药理作用、不良反应及注意事项；山莨菪碱、酚妥拉明、普萘洛尔、美托洛尔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9C5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C2D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7114D3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6579A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B5A4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2BF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2E1F8D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给药剂量对药物血浓度的影响：观察不同给药剂量对药物血药浓度的影响。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9C6D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1F6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7476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E567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171F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31F2D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麻醉药、镇静催眠药、抗惊厥药、抗癫痫药：局麻药与全麻药的概念及其基本作用；常用药物的作用特点及应用，不良反应及防治；常用的局麻方法及全麻辅助用药的意义；地西泮、氯硝西泮、艾司唑仑和硫酸镁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物的药理作用、用途、不良反应及注意事项；巴比妥类药物的药理作用、用途、不良反应及注意事项；其他镇静催眠药的作用特点及注意事项；丙戊酸钠的药理作用、用途、不良反应及注意事项；拉莫三嗪、卡马西平、苯妥英钠、左乙拉西坦的作用特点、用途和不良反应；各类型癫痫的首选治疗药物；癫痫发作类型和抗癫痫药物的临床用药原则。</w:t>
            </w:r>
          </w:p>
          <w:p w14:paraId="1D3FDB4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帕金森病药和治疗阿尔兹海默病药、抗精神失常药：左旋多巴、苄丝肼的作用特点、用途及不良反应；几种药物治疗阿尔兹海默病药物的作用特点；其他抗帕金森病药；抗精神病药的分类及其特点；氯丙嗪的药理作用、作用机理、临床应用及常见不良反应；其他抗精神失常药的作用特点及用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B71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07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378653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5D84A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776359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2B30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0A545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镇痛药、解热镇痛抗炎药：吗啡、哌替啶的药理作用、用途、不良反应和注意事项；可待因、芬太尼、美沙酮、喷他佐辛、纳洛酮的作用特点和用途；解热镇痛抗炎药的共性；阿司匹林的药理作用、用途、不良反应及注意事项；对乙酰氨基酚、吲哚美辛、布洛芬的作用特点和用途；其他解热镇痛抗炎药和抗痛风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1036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5CA79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课前预习</w:t>
            </w:r>
          </w:p>
          <w:p w14:paraId="14961A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课后复习题</w:t>
            </w:r>
          </w:p>
        </w:tc>
      </w:tr>
      <w:tr w14:paraId="177DAF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A067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0C8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C04BDE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给药途径对药物血浓度的影响：观察不同给药途径对药物血药浓度的影响，掌握小白鼠的口服给药法及尾静脉注射法。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6AF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EEC5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90B4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5EEDE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DA59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B6590A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中枢兴奋药：常见中枢神经系统兴奋药的药理作用、用途、不良反应及注意事项。</w:t>
            </w:r>
          </w:p>
          <w:p w14:paraId="5D82A1BC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利尿药：呋塞米、氢氯噻嗪、螺内酯、甘露醇的药理作用、用途、不良反应和注意事项；其他利尿药、脱水药的特点。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37F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38D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B16E9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78A4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452D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A18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7D6C6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抗高血压药：常用抗高血压药的药理作用、用途、不良反应和注意事项；抗高血压药的分类及代表药。</w:t>
            </w:r>
          </w:p>
          <w:p w14:paraId="6A373FCC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9755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847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EC5DBB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B53FB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04847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BAE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08E6C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抗心绞痛药：硝酸甘油、普萘洛尔、硝苯地平抗心绞痛药物的药理作用、用途、不良反应及注意事项；常用抗心绞痛药物的分类。</w:t>
            </w:r>
          </w:p>
          <w:p w14:paraId="41D4A871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抗心律失常药：常用抗心律失常药的分类；普鲁卡因胺、利多卡因、普萘洛尔、胺碘酮、维拉帕米等抗心律失常药的药理作用、用途、不良反应和注意事项。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4EBD6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2E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887585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7A70AF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8FE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7D98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C1FD2A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药物在体内的分布：观察大鼠口服磺胺嘧啶钠后一定时间血液、肝脏、脑组织中药物的浓度，以了解药物在体内的分布情况。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1A39B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249B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97B6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2C9F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BD1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330F0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慢性心功能不全药：抗慢性心功能不全药强心苷、肾素-血管紧张素系统抑制药、利尿药、醛固酮拮抗药、β-肾上腺素受体阻断药的药理作用、用途、不良反应和注意事项；运用药理知识对病人和家属进行宣教。</w:t>
            </w:r>
          </w:p>
          <w:p w14:paraId="1EA93F8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抗动脉粥样硬化药：他汀类调血脂药的作用特点、用途、不良反应和注意事项；其他调血脂药的调血脂作用。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6FD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3808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517B4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25EDA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3125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40E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A2984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传出神经系统药物对血压的影响：观察神经体液因素及药物对心血管活动的影响；学习哺乳动物动脉血压的直接测量方法。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79D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0439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44FD4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650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D451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1052C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作用于呼吸系统疾病药物：分析氨茶碱、糖皮质激素的平喘作用、用途、不良反应和注意事项；可待因的镇咳作用特点及用途。</w:t>
            </w:r>
          </w:p>
          <w:p w14:paraId="76403B54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作用于消化系统疾病药物：奥美拉唑、硫酸镁的药理作用、用途、不良反应和注意事项；助消化药、止泻药的特点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  <w:p w14:paraId="1930F742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A6EA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2CD3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574674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7F55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2A9E25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01BF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18FA6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作用于血液和造血系统疾病药物：肝素、铁制剂的药理作用、用途、不良反应和注意事项；</w:t>
            </w:r>
          </w:p>
          <w:p w14:paraId="1FC0B80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子宫平滑肌兴奋药与抑制药：缩宫素、麦角生物碱的药理作用、用途、不良反应和注意事项；</w:t>
            </w:r>
          </w:p>
          <w:p w14:paraId="3F60035D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维生素类药物：维生素A、维生素D、维生素C的药理作用、用途、不良反应和注意事项。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6DCA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DF2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28589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D6F8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0F51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169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6090B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去甲肾上腺素的缩血管作用：观察去甲肾上腺素的缩血管作用；练习蛙的捉拿及破坏其脑脊髓的方法。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19B1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0CD7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7B65D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19B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Borders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89E50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24B05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性激素与避孕药：常用雌激素类药、孕激素类药、雄激素类药和同化激素类药的药理作用、用途、不良反应和注意事项；常用避孕药的分类、特点及用法；</w:t>
            </w:r>
          </w:p>
          <w:p w14:paraId="6B8CB451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抗变态反应药物：常用H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subscript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受体阻断药的药理作用、用途、不良反应和注意事项。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E7D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57AE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DCEA3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376BB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B8C8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5B8D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441200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肾上腺皮质激素类药物：糖皮质激素类药物的药理作用、用途、不良反应和注意事项；盐皮质激素类药、促皮质激素及皮质激素抑制药的用途；</w:t>
            </w:r>
          </w:p>
          <w:p w14:paraId="534006FC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甲状腺激素类药和抗甲状腺药：硫脲类抗甲状腺药的药理作用、用途、不良反应和注意事项；甲状腺激素类药的药理作用与用途；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58D0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41D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1EBF0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34468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570D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C64A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DE058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氨茶碱和异丙肾上腺素的平喘作用：学习喷雾乙酰胆碱和组胺引起豚鼠支气管哮喘的实验方法，观察氨茶碱和异丙肾上腺素的平喘作用。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0465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C3A2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25BF7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D69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9463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C1399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降血糖药：胰岛素的常用制剂、药理作用、用途、不良反应和注意事项；其他口服降血糖药的作用特点和应用。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8C5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4EF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1D36467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0145EF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F2A4F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6DC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EC117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影响免疫功能药物、抗菌药物概论、 β-内酰胺类抗生素：干扰素、转移因子的作用特点及用途；化学治疗药物的常用术语，细菌耐药性及抗菌药的作用机制；青霉素G的抗菌作用、用途、不良反应及注意事项；其他β-内酰胺类抗生素的抗菌作用及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2E15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EE4D2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7130F7D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6AD9C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625C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3A0A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AEB26">
            <w:pPr>
              <w:widowControl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环内酯类抗生素、氨基糖苷类抗生素、四环素类及氯霉素类抗生素、其他类抗生素，化学合成抗菌药、：红霉素、阿奇霉素、地红霉素、克拉霉素的药理作用、用途、不良反应和注意事项；阿米卡星、庆大霉素的用途及不良反应；四环素的药理作用、用途、不良反应和注意事项；林可霉素、克林霉素的药理作用、用途、不良反应和注意事项；喹诺酮类、硝基咪唑类的药理作用、用途、不良反应和注意事项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  <w:p w14:paraId="5057E9FC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抗结核病药及抗麻风病药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异烟肼、利福平的作用特点、用途、不良反应。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839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5B0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6926F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14:paraId="5B727F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FA1D32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3ED9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FC27B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病毒药和抗真菌药、消毒防腐药，抗寄生虫病药：常用的抗真菌药的药理作用、用途、不良反应和注意事项；常用的抗病毒药物的药理作用、用途、不良反应和注意事项；乙醇、甲醛、聚维酮碘的药理作用特点及用途；氯喹、甲硝唑、吡喹酮的药理作用、用途、不良反应和注意事项；抗恶性肿瘤药：常用抗恶性肿瘤药物的常见不良反应及注意事项；抗恶性肿瘤药的分类及代表药的用途。</w:t>
            </w:r>
          </w:p>
          <w:p w14:paraId="0C74EF2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考前总复习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0893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99CC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04D0DB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</w:tbl>
    <w:p w14:paraId="52A3E273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08"/>
        <w:gridCol w:w="1827"/>
        <w:gridCol w:w="591"/>
        <w:gridCol w:w="591"/>
        <w:gridCol w:w="591"/>
        <w:gridCol w:w="591"/>
        <w:gridCol w:w="591"/>
        <w:gridCol w:w="591"/>
        <w:gridCol w:w="653"/>
        <w:gridCol w:w="687"/>
      </w:tblGrid>
      <w:tr w14:paraId="3932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7E45D19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0"/>
              </w:rPr>
              <w:t>总评构成（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0"/>
                <w:lang w:val="en-US" w:eastAsia="zh-CN"/>
              </w:rPr>
              <w:t>全</w:t>
            </w: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0"/>
              </w:rPr>
              <w:t>X）</w:t>
            </w:r>
          </w:p>
        </w:tc>
        <w:tc>
          <w:tcPr>
            <w:tcW w:w="708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72683B38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占比</w:t>
            </w:r>
          </w:p>
        </w:tc>
        <w:tc>
          <w:tcPr>
            <w:tcW w:w="1827" w:type="dxa"/>
            <w:vMerge w:val="restart"/>
            <w:tcBorders>
              <w:top w:val="single" w:color="auto" w:sz="12" w:space="0"/>
              <w:right w:val="double" w:color="auto" w:sz="4" w:space="0"/>
            </w:tcBorders>
            <w:noWrap w:val="0"/>
            <w:vAlign w:val="center"/>
          </w:tcPr>
          <w:p w14:paraId="6EFD1DA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考核方式</w:t>
            </w:r>
          </w:p>
        </w:tc>
        <w:tc>
          <w:tcPr>
            <w:tcW w:w="4199" w:type="dxa"/>
            <w:gridSpan w:val="7"/>
            <w:tcBorders>
              <w:top w:val="single" w:color="auto" w:sz="12" w:space="0"/>
              <w:left w:val="double" w:color="auto" w:sz="4" w:space="0"/>
            </w:tcBorders>
            <w:noWrap w:val="0"/>
            <w:vAlign w:val="center"/>
          </w:tcPr>
          <w:p w14:paraId="0A1D05B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课程目标</w:t>
            </w:r>
          </w:p>
        </w:tc>
        <w:tc>
          <w:tcPr>
            <w:tcW w:w="687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165F55A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合计</w:t>
            </w:r>
          </w:p>
        </w:tc>
      </w:tr>
      <w:tr w14:paraId="300C6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 w14:paraId="184AAA55">
            <w:pP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Merge w:val="continue"/>
            <w:noWrap w:val="0"/>
            <w:vAlign w:val="top"/>
          </w:tcPr>
          <w:p w14:paraId="59BDB3AA">
            <w:pP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7" w:type="dxa"/>
            <w:vMerge w:val="continue"/>
            <w:tcBorders>
              <w:right w:val="double" w:color="auto" w:sz="4" w:space="0"/>
            </w:tcBorders>
            <w:noWrap w:val="0"/>
            <w:vAlign w:val="top"/>
          </w:tcPr>
          <w:p w14:paraId="34A3CA14">
            <w:pP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591" w:type="dxa"/>
            <w:tcBorders>
              <w:left w:val="double" w:color="auto" w:sz="4" w:space="0"/>
            </w:tcBorders>
            <w:noWrap w:val="0"/>
            <w:vAlign w:val="center"/>
          </w:tcPr>
          <w:p w14:paraId="510D02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591" w:type="dxa"/>
            <w:noWrap w:val="0"/>
            <w:vAlign w:val="center"/>
          </w:tcPr>
          <w:p w14:paraId="0D3DF08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591" w:type="dxa"/>
            <w:noWrap w:val="0"/>
            <w:vAlign w:val="center"/>
          </w:tcPr>
          <w:p w14:paraId="5F83A9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591" w:type="dxa"/>
            <w:noWrap w:val="0"/>
            <w:vAlign w:val="center"/>
          </w:tcPr>
          <w:p w14:paraId="5826B22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591" w:type="dxa"/>
            <w:noWrap w:val="0"/>
            <w:vAlign w:val="center"/>
          </w:tcPr>
          <w:p w14:paraId="1845029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591" w:type="dxa"/>
            <w:noWrap w:val="0"/>
            <w:vAlign w:val="center"/>
          </w:tcPr>
          <w:p w14:paraId="106E78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653" w:type="dxa"/>
            <w:noWrap w:val="0"/>
            <w:vAlign w:val="center"/>
          </w:tcPr>
          <w:p w14:paraId="05B6A50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687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 w14:paraId="6C54048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</w:tr>
      <w:tr w14:paraId="2A3D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tcBorders>
              <w:left w:val="single" w:color="auto" w:sz="12" w:space="0"/>
            </w:tcBorders>
            <w:noWrap w:val="0"/>
            <w:vAlign w:val="top"/>
          </w:tcPr>
          <w:p w14:paraId="45CB08A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X1</w:t>
            </w:r>
          </w:p>
        </w:tc>
        <w:tc>
          <w:tcPr>
            <w:tcW w:w="708" w:type="dxa"/>
            <w:noWrap w:val="0"/>
            <w:vAlign w:val="top"/>
          </w:tcPr>
          <w:p w14:paraId="369F1B47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0%</w:t>
            </w:r>
          </w:p>
        </w:tc>
        <w:tc>
          <w:tcPr>
            <w:tcW w:w="1827" w:type="dxa"/>
            <w:tcBorders>
              <w:right w:val="double" w:color="auto" w:sz="4" w:space="0"/>
            </w:tcBorders>
            <w:noWrap w:val="0"/>
            <w:vAlign w:val="top"/>
          </w:tcPr>
          <w:p w14:paraId="71505DC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期末测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试</w:t>
            </w:r>
          </w:p>
        </w:tc>
        <w:tc>
          <w:tcPr>
            <w:tcW w:w="591" w:type="dxa"/>
            <w:tcBorders>
              <w:left w:val="double" w:color="auto" w:sz="4" w:space="0"/>
            </w:tcBorders>
            <w:noWrap w:val="0"/>
            <w:vAlign w:val="center"/>
          </w:tcPr>
          <w:p w14:paraId="09DBB56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734547D7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63C49A1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19055CC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2C1624D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91" w:type="dxa"/>
            <w:noWrap w:val="0"/>
            <w:vAlign w:val="center"/>
          </w:tcPr>
          <w:p w14:paraId="0E8B41F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53" w:type="dxa"/>
            <w:noWrap w:val="0"/>
            <w:vAlign w:val="center"/>
          </w:tcPr>
          <w:p w14:paraId="43E33A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687" w:type="dxa"/>
            <w:tcBorders>
              <w:right w:val="single" w:color="auto" w:sz="12" w:space="0"/>
            </w:tcBorders>
            <w:noWrap w:val="0"/>
            <w:vAlign w:val="center"/>
          </w:tcPr>
          <w:p w14:paraId="2094AE6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  <w:tr w14:paraId="5887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tcBorders>
              <w:left w:val="single" w:color="auto" w:sz="12" w:space="0"/>
            </w:tcBorders>
            <w:noWrap w:val="0"/>
            <w:vAlign w:val="top"/>
          </w:tcPr>
          <w:p w14:paraId="627BEF4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8" w:type="dxa"/>
            <w:noWrap w:val="0"/>
            <w:vAlign w:val="top"/>
          </w:tcPr>
          <w:p w14:paraId="7743FAC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20%</w:t>
            </w:r>
          </w:p>
        </w:tc>
        <w:tc>
          <w:tcPr>
            <w:tcW w:w="1827" w:type="dxa"/>
            <w:tcBorders>
              <w:right w:val="double" w:color="auto" w:sz="4" w:space="0"/>
            </w:tcBorders>
            <w:noWrap w:val="0"/>
            <w:vAlign w:val="top"/>
          </w:tcPr>
          <w:p w14:paraId="264FCB77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阶段测试</w:t>
            </w:r>
          </w:p>
        </w:tc>
        <w:tc>
          <w:tcPr>
            <w:tcW w:w="591" w:type="dxa"/>
            <w:tcBorders>
              <w:left w:val="double" w:color="auto" w:sz="4" w:space="0"/>
            </w:tcBorders>
            <w:noWrap w:val="0"/>
            <w:vAlign w:val="center"/>
          </w:tcPr>
          <w:p w14:paraId="75DC5CD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5AED934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1A1BCFE6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591" w:type="dxa"/>
            <w:noWrap w:val="0"/>
            <w:vAlign w:val="center"/>
          </w:tcPr>
          <w:p w14:paraId="4C63A60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02A6713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591" w:type="dxa"/>
            <w:noWrap w:val="0"/>
            <w:vAlign w:val="center"/>
          </w:tcPr>
          <w:p w14:paraId="0E74E87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53" w:type="dxa"/>
            <w:noWrap w:val="0"/>
            <w:vAlign w:val="center"/>
          </w:tcPr>
          <w:p w14:paraId="0E4F1E8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87" w:type="dxa"/>
            <w:tcBorders>
              <w:right w:val="single" w:color="auto" w:sz="12" w:space="0"/>
            </w:tcBorders>
            <w:noWrap w:val="0"/>
            <w:vAlign w:val="center"/>
          </w:tcPr>
          <w:p w14:paraId="2E134FA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  <w:tr w14:paraId="5DFA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tcBorders>
              <w:left w:val="single" w:color="auto" w:sz="12" w:space="0"/>
            </w:tcBorders>
            <w:noWrap w:val="0"/>
            <w:vAlign w:val="top"/>
          </w:tcPr>
          <w:p w14:paraId="7B40492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08" w:type="dxa"/>
            <w:noWrap w:val="0"/>
            <w:vAlign w:val="top"/>
          </w:tcPr>
          <w:p w14:paraId="1263727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20%</w:t>
            </w:r>
          </w:p>
        </w:tc>
        <w:tc>
          <w:tcPr>
            <w:tcW w:w="1827" w:type="dxa"/>
            <w:tcBorders>
              <w:right w:val="double" w:color="auto" w:sz="4" w:space="0"/>
            </w:tcBorders>
            <w:noWrap w:val="0"/>
            <w:vAlign w:val="top"/>
          </w:tcPr>
          <w:p w14:paraId="29A05ABE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实验报告</w:t>
            </w:r>
          </w:p>
        </w:tc>
        <w:tc>
          <w:tcPr>
            <w:tcW w:w="591" w:type="dxa"/>
            <w:tcBorders>
              <w:left w:val="double" w:color="auto" w:sz="4" w:space="0"/>
            </w:tcBorders>
            <w:noWrap w:val="0"/>
            <w:vAlign w:val="center"/>
          </w:tcPr>
          <w:p w14:paraId="6A3864F7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591" w:type="dxa"/>
            <w:noWrap w:val="0"/>
            <w:vAlign w:val="center"/>
          </w:tcPr>
          <w:p w14:paraId="69CCBDA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54AAB19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591" w:type="dxa"/>
            <w:noWrap w:val="0"/>
            <w:vAlign w:val="center"/>
          </w:tcPr>
          <w:p w14:paraId="440BDC1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591" w:type="dxa"/>
            <w:noWrap w:val="0"/>
            <w:vAlign w:val="center"/>
          </w:tcPr>
          <w:p w14:paraId="03801D4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7910881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53" w:type="dxa"/>
            <w:noWrap w:val="0"/>
            <w:vAlign w:val="center"/>
          </w:tcPr>
          <w:p w14:paraId="7D35CEF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87" w:type="dxa"/>
            <w:tcBorders>
              <w:right w:val="single" w:color="auto" w:sz="12" w:space="0"/>
            </w:tcBorders>
            <w:noWrap w:val="0"/>
            <w:vAlign w:val="center"/>
          </w:tcPr>
          <w:p w14:paraId="76D7A97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  <w:tr w14:paraId="5260B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tcBorders>
              <w:left w:val="single" w:color="auto" w:sz="12" w:space="0"/>
            </w:tcBorders>
            <w:noWrap w:val="0"/>
            <w:vAlign w:val="top"/>
          </w:tcPr>
          <w:p w14:paraId="2E8F3C0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X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08" w:type="dxa"/>
            <w:noWrap w:val="0"/>
            <w:vAlign w:val="top"/>
          </w:tcPr>
          <w:p w14:paraId="4971DCFB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0%</w:t>
            </w:r>
          </w:p>
        </w:tc>
        <w:tc>
          <w:tcPr>
            <w:tcW w:w="1827" w:type="dxa"/>
            <w:tcBorders>
              <w:right w:val="double" w:color="auto" w:sz="4" w:space="0"/>
            </w:tcBorders>
            <w:noWrap w:val="0"/>
            <w:vAlign w:val="top"/>
          </w:tcPr>
          <w:p w14:paraId="0A3C770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出勤率、课堂表现</w:t>
            </w:r>
          </w:p>
        </w:tc>
        <w:tc>
          <w:tcPr>
            <w:tcW w:w="591" w:type="dxa"/>
            <w:tcBorders>
              <w:left w:val="double" w:color="auto" w:sz="4" w:space="0"/>
            </w:tcBorders>
            <w:noWrap w:val="0"/>
            <w:vAlign w:val="center"/>
          </w:tcPr>
          <w:p w14:paraId="6F027E6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6C5FB40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dxa"/>
            <w:noWrap w:val="0"/>
            <w:vAlign w:val="center"/>
          </w:tcPr>
          <w:p w14:paraId="4020FDB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dxa"/>
            <w:noWrap w:val="0"/>
            <w:vAlign w:val="center"/>
          </w:tcPr>
          <w:p w14:paraId="5AC1C6D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591" w:type="dxa"/>
            <w:noWrap w:val="0"/>
            <w:vAlign w:val="center"/>
          </w:tcPr>
          <w:p w14:paraId="64A483F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dxa"/>
            <w:noWrap w:val="0"/>
            <w:vAlign w:val="center"/>
          </w:tcPr>
          <w:p w14:paraId="4B583F53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653" w:type="dxa"/>
            <w:noWrap w:val="0"/>
            <w:vAlign w:val="center"/>
          </w:tcPr>
          <w:p w14:paraId="2F5E1D5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687" w:type="dxa"/>
            <w:tcBorders>
              <w:right w:val="single" w:color="auto" w:sz="12" w:space="0"/>
            </w:tcBorders>
            <w:noWrap w:val="0"/>
            <w:vAlign w:val="center"/>
          </w:tcPr>
          <w:p w14:paraId="6898CA0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</w:t>
            </w:r>
          </w:p>
        </w:tc>
      </w:tr>
    </w:tbl>
    <w:p w14:paraId="004FC924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0C0C65C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33120" cy="301625"/>
            <wp:effectExtent l="0" t="0" r="5080" b="3175"/>
            <wp:docPr id="4" name="图片 4" descr="2eeda84a6b325bcbf625da3c6468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eda84a6b325bcbf625da3c646844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19125" cy="337820"/>
            <wp:effectExtent l="0" t="0" r="9525" b="5080"/>
            <wp:docPr id="5" name="图片 5" descr="李中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李中平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0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1F17F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62A48B1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A7EB9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23C6ABB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A6B27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A52C5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9A52C5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5AC9F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zNTQzNzkzZmU2NDJkNjU5ODg1ZWQ0MTQzNWIy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42A5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41A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015A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54754"/>
    <w:rsid w:val="00280A20"/>
    <w:rsid w:val="00283A9D"/>
    <w:rsid w:val="00287142"/>
    <w:rsid w:val="002878C2"/>
    <w:rsid w:val="00290A4F"/>
    <w:rsid w:val="00290EB6"/>
    <w:rsid w:val="00292C57"/>
    <w:rsid w:val="002A0689"/>
    <w:rsid w:val="002B23AD"/>
    <w:rsid w:val="002B5004"/>
    <w:rsid w:val="002C4BFE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1988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2DAA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36283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49DD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41D5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B59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6CF2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0CF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830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0FE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76E44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1C7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7B7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0A4F"/>
    <w:rsid w:val="00BA3552"/>
    <w:rsid w:val="00BA47DA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3C3D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8F0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5413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3E57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2D5E"/>
    <w:rsid w:val="00FA57E1"/>
    <w:rsid w:val="00FA6A7E"/>
    <w:rsid w:val="00FB15A4"/>
    <w:rsid w:val="00FB1F55"/>
    <w:rsid w:val="00FB3EDA"/>
    <w:rsid w:val="00FB4AE3"/>
    <w:rsid w:val="00FD1B13"/>
    <w:rsid w:val="00FD313C"/>
    <w:rsid w:val="00FE319F"/>
    <w:rsid w:val="00FE6709"/>
    <w:rsid w:val="00FF2D60"/>
    <w:rsid w:val="01F86CD9"/>
    <w:rsid w:val="020B6A0C"/>
    <w:rsid w:val="0250298D"/>
    <w:rsid w:val="04415E6D"/>
    <w:rsid w:val="06DE46EF"/>
    <w:rsid w:val="07C63517"/>
    <w:rsid w:val="0B02141F"/>
    <w:rsid w:val="0BEA58E4"/>
    <w:rsid w:val="0DB76A4A"/>
    <w:rsid w:val="0EEA5BFB"/>
    <w:rsid w:val="14C30A80"/>
    <w:rsid w:val="158E5532"/>
    <w:rsid w:val="16571DC8"/>
    <w:rsid w:val="18C94AD3"/>
    <w:rsid w:val="199D2E85"/>
    <w:rsid w:val="1B9B294B"/>
    <w:rsid w:val="1BE0460E"/>
    <w:rsid w:val="211D3C0E"/>
    <w:rsid w:val="213056EF"/>
    <w:rsid w:val="25D87525"/>
    <w:rsid w:val="264D1406"/>
    <w:rsid w:val="288232E4"/>
    <w:rsid w:val="2D630F36"/>
    <w:rsid w:val="2E59298A"/>
    <w:rsid w:val="311E3401"/>
    <w:rsid w:val="378E1589"/>
    <w:rsid w:val="37E50B00"/>
    <w:rsid w:val="38341B11"/>
    <w:rsid w:val="3A953F6B"/>
    <w:rsid w:val="3E067AAC"/>
    <w:rsid w:val="41E163E2"/>
    <w:rsid w:val="42E42EA4"/>
    <w:rsid w:val="45EF52CA"/>
    <w:rsid w:val="48D72771"/>
    <w:rsid w:val="49DF08B3"/>
    <w:rsid w:val="4A9A4826"/>
    <w:rsid w:val="4C51283A"/>
    <w:rsid w:val="4ED17C62"/>
    <w:rsid w:val="4FA8508E"/>
    <w:rsid w:val="505A58A5"/>
    <w:rsid w:val="51FC0D1B"/>
    <w:rsid w:val="528350D9"/>
    <w:rsid w:val="5DBF4EA2"/>
    <w:rsid w:val="62F46081"/>
    <w:rsid w:val="652F2E4A"/>
    <w:rsid w:val="65310993"/>
    <w:rsid w:val="6C3A69EF"/>
    <w:rsid w:val="6D973F20"/>
    <w:rsid w:val="6E256335"/>
    <w:rsid w:val="6F2D283B"/>
    <w:rsid w:val="700912C5"/>
    <w:rsid w:val="71566079"/>
    <w:rsid w:val="7174571D"/>
    <w:rsid w:val="72FA2A34"/>
    <w:rsid w:val="744D71C2"/>
    <w:rsid w:val="74F62C86"/>
    <w:rsid w:val="793E41EE"/>
    <w:rsid w:val="7C3670B0"/>
    <w:rsid w:val="7E5E47BF"/>
    <w:rsid w:val="7F0F16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5</Pages>
  <Words>3422</Words>
  <Characters>3502</Characters>
  <Lines>26</Lines>
  <Paragraphs>7</Paragraphs>
  <TotalTime>0</TotalTime>
  <ScaleCrop>false</ScaleCrop>
  <LinksUpToDate>false</LinksUpToDate>
  <CharactersWithSpaces>3518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2024-09-01T04:01:00Z</dcterms:created>
  <dc:creator>*****</dc:creator>
  <cp:lastModifiedBy>原味小芈</cp:lastModifiedBy>
  <cp:lastPrinted>2024-03-03T08:36:00Z</cp:lastPrinted>
  <dcterms:modified xsi:type="dcterms:W3CDTF">2026-09-15T01:54:46Z</dcterms:modified>
  <dc:title>上海建桥学院教学进度计划表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862D5195D4AE42C7ACE8ADD31631AE99_13</vt:lpwstr>
  </property>
  <property fmtid="{D5CDD505-2E9C-101B-9397-08002B2CF9AE}" pid="4" name="KSOTemplateDocerSaveRecord">
    <vt:lpwstr>eyJoZGlkIjoiNzJhNjUxM2Y5YjIzNWNjYTBmZjI4MzY5ZmVjMzI3ZDkiLCJ1c2VySWQiOiI0NTA4ODAxMzUifQ==</vt:lpwstr>
  </property>
</Properties>
</file>