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ascii="宋体" w:hAnsi="宋体"/>
          <w:b/>
          <w:kern w:val="0"/>
          <w:sz w:val="40"/>
          <w:szCs w:val="40"/>
        </w:rPr>
        <w:t>专业课课程</w:t>
      </w:r>
      <w:r>
        <w:rPr>
          <w:rFonts w:hint="eastAsia" w:ascii="方正小标宋简体" w:hAnsi="宋体" w:eastAsia="方正小标宋简体"/>
          <w:b/>
          <w:kern w:val="0"/>
          <w:sz w:val="40"/>
          <w:szCs w:val="40"/>
        </w:rPr>
        <w:t>教学大纲</w:t>
      </w:r>
    </w:p>
    <w:p>
      <w:pPr>
        <w:spacing w:line="288" w:lineRule="auto"/>
        <w:jc w:val="center"/>
        <w:rPr>
          <w:rFonts w:ascii="方正小标宋简体" w:hAnsi="宋体"/>
          <w:bCs/>
          <w:kern w:val="0"/>
          <w:szCs w:val="21"/>
        </w:rPr>
      </w:pPr>
      <w:r>
        <mc:AlternateContent>
          <mc:Choice Requires="wps">
            <w:drawing>
              <wp:anchor distT="0" distB="0" distL="114300" distR="114300" simplePos="0" relativeHeight="251657216"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wps:txbx>
                      <wps:bodyPr upright="1"/>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7216;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tWR5rUAAAACAEAAA8AAAAAAAAAAQAgAAAAOAAAAGRycy9kb3ducmV2LnhtbFBL&#10;AQIUABQAAAAIAIdO4kDEg9w2qwEAADIDAAAOAAAAAAAAAAEAIAAAADkBAABkcnMvZTJvRG9jLnht&#10;bFBLBQYAAAAABgAGAFkBAABWBQAAAAA=&#10;">
                <v:fill on="t" focussize="0,0"/>
                <v:stroke on="f" weight="0.5pt"/>
                <v:imagedata o:title=""/>
                <o:lock v:ext="edit" aspectratio="f"/>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mc:Fallback>
        </mc:AlternateContent>
      </w:r>
      <w:r>
        <w:rPr>
          <w:rFonts w:hint="eastAsia"/>
          <w:b/>
          <w:sz w:val="28"/>
          <w:szCs w:val="30"/>
        </w:rPr>
        <w:t>【</w:t>
      </w:r>
      <w:r>
        <w:rPr>
          <w:rFonts w:hint="eastAsia" w:ascii="宋体" w:hAnsi="宋体"/>
          <w:b/>
          <w:sz w:val="30"/>
        </w:rPr>
        <w:t>社区护理</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Community Nursing Syllabus</w:t>
      </w:r>
      <w:r>
        <w:rPr>
          <w:rFonts w:hint="eastAsia"/>
          <w:b/>
          <w:sz w:val="28"/>
          <w:szCs w:val="30"/>
        </w:rPr>
        <w:t>】</w:t>
      </w:r>
    </w:p>
    <w:p>
      <w:pPr>
        <w:spacing w:beforeLines="50" w:afterLines="50" w:line="288" w:lineRule="auto"/>
        <w:ind w:firstLine="240" w:firstLineChars="100"/>
        <w:rPr>
          <w:b/>
          <w:color w:val="008080"/>
          <w:sz w:val="30"/>
          <w:szCs w:val="30"/>
        </w:rPr>
      </w:pPr>
      <w:r>
        <w:rPr>
          <w:rFonts w:hint="eastAsia" w:ascii="黑体" w:hAnsi="宋体" w:eastAsia="黑体"/>
          <w:sz w:val="24"/>
        </w:rPr>
        <w:t>一、基本信息</w:t>
      </w:r>
    </w:p>
    <w:p>
      <w:pPr>
        <w:snapToGrid w:val="0"/>
        <w:spacing w:line="288" w:lineRule="auto"/>
        <w:ind w:firstLine="392" w:firstLineChars="196"/>
        <w:rPr>
          <w:color w:val="000000"/>
          <w:sz w:val="20"/>
          <w:szCs w:val="20"/>
        </w:rPr>
      </w:pPr>
      <w:r>
        <w:rPr>
          <w:rFonts w:hint="eastAsia"/>
          <w:b/>
          <w:bCs/>
          <w:color w:val="000000"/>
          <w:sz w:val="20"/>
          <w:szCs w:val="20"/>
        </w:rPr>
        <w:t>课程代码：</w:t>
      </w:r>
      <w:r>
        <w:rPr>
          <w:rFonts w:hint="eastAsia"/>
          <w:color w:val="000000"/>
          <w:sz w:val="20"/>
          <w:szCs w:val="20"/>
        </w:rPr>
        <w:t>【</w:t>
      </w:r>
      <w:r>
        <w:rPr>
          <w:rFonts w:ascii="宋体" w:hAnsi="宋体"/>
          <w:color w:val="000000"/>
          <w:sz w:val="20"/>
          <w:szCs w:val="20"/>
        </w:rPr>
        <w:t>0010081</w:t>
      </w:r>
      <w:r>
        <w:rPr>
          <w:rFonts w:hint="eastAsia"/>
          <w:color w:val="000000"/>
          <w:sz w:val="20"/>
          <w:szCs w:val="20"/>
        </w:rPr>
        <w:t>】</w:t>
      </w:r>
    </w:p>
    <w:p>
      <w:pPr>
        <w:snapToGrid w:val="0"/>
        <w:spacing w:line="288" w:lineRule="auto"/>
        <w:ind w:firstLine="392" w:firstLineChars="196"/>
        <w:rPr>
          <w:color w:val="000000"/>
          <w:szCs w:val="21"/>
        </w:rPr>
      </w:pPr>
      <w:r>
        <w:rPr>
          <w:rFonts w:hint="eastAsia"/>
          <w:b/>
          <w:bCs/>
          <w:color w:val="000000"/>
          <w:sz w:val="20"/>
          <w:szCs w:val="20"/>
        </w:rPr>
        <w:t>课程学分：</w:t>
      </w:r>
      <w:r>
        <w:rPr>
          <w:rFonts w:hint="eastAsia"/>
          <w:color w:val="000000"/>
          <w:sz w:val="20"/>
          <w:szCs w:val="20"/>
        </w:rPr>
        <w:t>【</w:t>
      </w:r>
      <w:r>
        <w:rPr>
          <w:rFonts w:ascii="宋体" w:hAnsi="宋体"/>
          <w:color w:val="000000"/>
          <w:sz w:val="20"/>
          <w:szCs w:val="20"/>
        </w:rPr>
        <w:t>2</w:t>
      </w:r>
      <w:r>
        <w:rPr>
          <w:rFonts w:ascii="宋体"/>
          <w:color w:val="000000"/>
          <w:sz w:val="20"/>
          <w:szCs w:val="20"/>
        </w:rPr>
        <w:t>.0</w:t>
      </w:r>
      <w:r>
        <w:rPr>
          <w:rFonts w:hint="eastAsia"/>
          <w:color w:val="000000"/>
          <w:sz w:val="20"/>
          <w:szCs w:val="20"/>
        </w:rPr>
        <w:t>】</w:t>
      </w:r>
    </w:p>
    <w:p>
      <w:pPr>
        <w:snapToGrid w:val="0"/>
        <w:spacing w:line="288" w:lineRule="auto"/>
        <w:ind w:firstLine="392" w:firstLineChars="196"/>
        <w:rPr>
          <w:color w:val="000000"/>
          <w:szCs w:val="21"/>
        </w:rPr>
      </w:pPr>
      <w:r>
        <w:rPr>
          <w:rFonts w:hint="eastAsia"/>
          <w:b/>
          <w:bCs/>
          <w:color w:val="000000"/>
          <w:sz w:val="20"/>
          <w:szCs w:val="20"/>
        </w:rPr>
        <w:t>面向专业：</w:t>
      </w:r>
      <w:r>
        <w:rPr>
          <w:rFonts w:hint="eastAsia"/>
          <w:color w:val="000000"/>
          <w:sz w:val="20"/>
          <w:szCs w:val="20"/>
        </w:rPr>
        <w:t>【护理】</w:t>
      </w:r>
    </w:p>
    <w:p>
      <w:pPr>
        <w:snapToGrid w:val="0"/>
        <w:spacing w:line="288" w:lineRule="auto"/>
        <w:ind w:firstLine="392" w:firstLineChars="196"/>
        <w:rPr>
          <w:color w:val="000000"/>
          <w:sz w:val="20"/>
          <w:szCs w:val="20"/>
        </w:rPr>
      </w:pPr>
      <w:r>
        <w:rPr>
          <w:rFonts w:hint="eastAsia"/>
          <w:b/>
          <w:bCs/>
          <w:color w:val="000000"/>
          <w:sz w:val="20"/>
          <w:szCs w:val="20"/>
        </w:rPr>
        <w:t>课程性质：</w:t>
      </w:r>
      <w:r>
        <w:rPr>
          <w:rFonts w:hint="eastAsia"/>
          <w:color w:val="000000"/>
          <w:sz w:val="20"/>
          <w:szCs w:val="20"/>
        </w:rPr>
        <w:t>【系级必修课】</w:t>
      </w:r>
    </w:p>
    <w:p>
      <w:pPr>
        <w:snapToGrid w:val="0"/>
        <w:spacing w:line="288" w:lineRule="auto"/>
        <w:ind w:firstLine="392" w:firstLineChars="196"/>
        <w:rPr>
          <w:b/>
          <w:bCs/>
          <w:color w:val="000000"/>
          <w:szCs w:val="21"/>
        </w:rPr>
      </w:pPr>
      <w:r>
        <w:rPr>
          <w:rFonts w:hint="eastAsia"/>
          <w:b/>
          <w:bCs/>
          <w:color w:val="000000"/>
          <w:sz w:val="20"/>
          <w:szCs w:val="20"/>
        </w:rPr>
        <w:t>开课院系：</w:t>
      </w:r>
      <w:r>
        <w:rPr>
          <w:rFonts w:hint="eastAsia"/>
          <w:b w:val="0"/>
          <w:bCs w:val="0"/>
          <w:color w:val="000000"/>
          <w:sz w:val="20"/>
          <w:szCs w:val="20"/>
        </w:rPr>
        <w:t>【健康管理学院护理系】</w:t>
      </w:r>
    </w:p>
    <w:p>
      <w:pPr>
        <w:snapToGrid w:val="0"/>
        <w:spacing w:line="288" w:lineRule="auto"/>
        <w:ind w:firstLine="392" w:firstLineChars="196"/>
        <w:rPr>
          <w:b/>
          <w:bCs/>
          <w:color w:val="000000"/>
          <w:sz w:val="20"/>
          <w:szCs w:val="20"/>
        </w:rPr>
      </w:pPr>
      <w:r>
        <w:rPr>
          <w:rFonts w:hint="eastAsia"/>
          <w:b/>
          <w:bCs/>
          <w:color w:val="000000"/>
          <w:sz w:val="20"/>
          <w:szCs w:val="20"/>
        </w:rPr>
        <w:t>使用教材：</w:t>
      </w:r>
    </w:p>
    <w:p>
      <w:pPr>
        <w:snapToGrid w:val="0"/>
        <w:spacing w:line="288" w:lineRule="auto"/>
        <w:ind w:firstLine="780" w:firstLineChars="390"/>
        <w:rPr>
          <w:rFonts w:ascii="宋体"/>
          <w:color w:val="000000"/>
          <w:sz w:val="20"/>
          <w:szCs w:val="20"/>
        </w:rPr>
      </w:pPr>
      <w:r>
        <w:rPr>
          <w:rFonts w:hint="eastAsia"/>
          <w:color w:val="000000"/>
          <w:sz w:val="20"/>
          <w:szCs w:val="20"/>
        </w:rPr>
        <w:t>教</w:t>
      </w:r>
      <w:r>
        <w:rPr>
          <w:rFonts w:hint="eastAsia" w:ascii="宋体" w:hAnsi="宋体"/>
          <w:color w:val="000000"/>
          <w:sz w:val="20"/>
          <w:szCs w:val="20"/>
        </w:rPr>
        <w:t>材：【</w:t>
      </w:r>
      <w:bookmarkStart w:id="0" w:name="OLE_LINK1"/>
      <w:bookmarkStart w:id="1" w:name="OLE_LINK2"/>
      <w:r>
        <w:rPr>
          <w:rFonts w:hint="eastAsia" w:ascii="宋体" w:hAnsi="宋体"/>
          <w:color w:val="000000"/>
          <w:sz w:val="20"/>
          <w:szCs w:val="20"/>
        </w:rPr>
        <w:t>社区护理</w:t>
      </w:r>
      <w:r>
        <w:rPr>
          <w:rFonts w:ascii="宋体" w:hAnsi="宋体"/>
          <w:color w:val="000000"/>
          <w:sz w:val="20"/>
          <w:szCs w:val="20"/>
        </w:rPr>
        <w:t xml:space="preserve">  </w:t>
      </w:r>
      <w:r>
        <w:rPr>
          <w:rFonts w:hint="eastAsia" w:ascii="宋体" w:hAnsi="宋体"/>
          <w:color w:val="000000"/>
          <w:sz w:val="20"/>
          <w:szCs w:val="20"/>
        </w:rPr>
        <w:t>主编主编 王晓莉  人民卫生出版社 2020</w:t>
      </w:r>
      <w:bookmarkEnd w:id="0"/>
      <w:bookmarkEnd w:id="1"/>
      <w:r>
        <w:rPr>
          <w:rFonts w:hint="eastAsia" w:ascii="宋体" w:hAnsi="宋体"/>
          <w:color w:val="000000"/>
          <w:sz w:val="20"/>
          <w:szCs w:val="20"/>
        </w:rPr>
        <w:t>】</w:t>
      </w:r>
    </w:p>
    <w:p>
      <w:pPr>
        <w:snapToGrid w:val="0"/>
        <w:spacing w:line="288" w:lineRule="auto"/>
        <w:ind w:firstLine="800" w:firstLineChars="400"/>
        <w:rPr>
          <w:rFonts w:ascii="宋体" w:hAnsi="宋体"/>
          <w:color w:val="000000"/>
          <w:sz w:val="20"/>
          <w:szCs w:val="20"/>
        </w:rPr>
      </w:pPr>
      <w:r>
        <w:rPr>
          <w:rFonts w:hint="eastAsia" w:ascii="宋体" w:hAnsi="宋体"/>
          <w:color w:val="000000"/>
          <w:sz w:val="20"/>
          <w:szCs w:val="20"/>
        </w:rPr>
        <w:t>参考书目：【社区护理</w:t>
      </w:r>
      <w:r>
        <w:rPr>
          <w:rFonts w:ascii="宋体" w:hAnsi="宋体"/>
          <w:color w:val="000000"/>
          <w:sz w:val="20"/>
          <w:szCs w:val="20"/>
        </w:rPr>
        <w:t xml:space="preserve">  </w:t>
      </w:r>
      <w:r>
        <w:rPr>
          <w:rFonts w:hint="eastAsia" w:ascii="宋体" w:hAnsi="宋体"/>
          <w:color w:val="000000"/>
          <w:sz w:val="20"/>
          <w:szCs w:val="20"/>
        </w:rPr>
        <w:t>主编</w:t>
      </w:r>
      <w:r>
        <w:rPr>
          <w:rFonts w:ascii="宋体" w:hAnsi="宋体"/>
          <w:color w:val="000000"/>
          <w:sz w:val="20"/>
          <w:szCs w:val="20"/>
        </w:rPr>
        <w:t xml:space="preserve"> </w:t>
      </w:r>
      <w:r>
        <w:rPr>
          <w:rFonts w:hint="eastAsia" w:ascii="宋体" w:hAnsi="宋体"/>
          <w:color w:val="000000"/>
          <w:sz w:val="20"/>
          <w:szCs w:val="20"/>
        </w:rPr>
        <w:t>姜新峰</w:t>
      </w:r>
      <w:r>
        <w:rPr>
          <w:rFonts w:ascii="宋体" w:hAnsi="宋体"/>
          <w:color w:val="000000"/>
          <w:sz w:val="20"/>
          <w:szCs w:val="20"/>
        </w:rPr>
        <w:t xml:space="preserve"> </w:t>
      </w:r>
      <w:r>
        <w:rPr>
          <w:rFonts w:hint="eastAsia" w:ascii="宋体" w:hAnsi="宋体"/>
          <w:color w:val="000000"/>
          <w:sz w:val="20"/>
          <w:szCs w:val="20"/>
        </w:rPr>
        <w:t>王秀清</w:t>
      </w:r>
      <w:r>
        <w:rPr>
          <w:rFonts w:ascii="宋体" w:hAnsi="宋体"/>
          <w:color w:val="000000"/>
          <w:sz w:val="20"/>
          <w:szCs w:val="20"/>
        </w:rPr>
        <w:t xml:space="preserve">  </w:t>
      </w:r>
      <w:r>
        <w:rPr>
          <w:rFonts w:hint="eastAsia" w:ascii="宋体" w:hAnsi="宋体"/>
          <w:color w:val="000000"/>
          <w:sz w:val="20"/>
          <w:szCs w:val="20"/>
        </w:rPr>
        <w:t>人民卫生出版社</w:t>
      </w:r>
      <w:r>
        <w:rPr>
          <w:rFonts w:ascii="宋体" w:hAnsi="宋体"/>
          <w:color w:val="000000"/>
          <w:sz w:val="20"/>
          <w:szCs w:val="20"/>
        </w:rPr>
        <w:t xml:space="preserve"> 2016</w:t>
      </w:r>
    </w:p>
    <w:p>
      <w:pPr>
        <w:snapToGrid w:val="0"/>
        <w:spacing w:line="288" w:lineRule="auto"/>
        <w:ind w:firstLine="1800" w:firstLineChars="900"/>
        <w:rPr>
          <w:rFonts w:ascii="宋体"/>
          <w:color w:val="000000"/>
          <w:sz w:val="20"/>
          <w:szCs w:val="20"/>
        </w:rPr>
      </w:pPr>
      <w:r>
        <w:rPr>
          <w:rFonts w:hint="eastAsia" w:ascii="宋体" w:hAnsi="宋体"/>
          <w:color w:val="000000"/>
          <w:sz w:val="20"/>
          <w:szCs w:val="20"/>
        </w:rPr>
        <w:t>社区护理学</w:t>
      </w:r>
      <w:r>
        <w:rPr>
          <w:rFonts w:ascii="宋体" w:hAnsi="宋体"/>
          <w:color w:val="000000"/>
          <w:sz w:val="20"/>
          <w:szCs w:val="20"/>
        </w:rPr>
        <w:t xml:space="preserve">  </w:t>
      </w:r>
      <w:r>
        <w:rPr>
          <w:rFonts w:hint="eastAsia" w:ascii="宋体" w:hAnsi="宋体"/>
          <w:color w:val="000000"/>
          <w:sz w:val="20"/>
          <w:szCs w:val="20"/>
        </w:rPr>
        <w:t>主编</w:t>
      </w:r>
      <w:r>
        <w:rPr>
          <w:rFonts w:ascii="宋体" w:hAnsi="宋体"/>
          <w:color w:val="000000"/>
          <w:sz w:val="20"/>
          <w:szCs w:val="20"/>
        </w:rPr>
        <w:t xml:space="preserve"> </w:t>
      </w:r>
      <w:r>
        <w:rPr>
          <w:rFonts w:hint="eastAsia" w:ascii="宋体" w:hAnsi="宋体"/>
          <w:color w:val="000000"/>
          <w:sz w:val="20"/>
          <w:szCs w:val="20"/>
        </w:rPr>
        <w:t>姜丽萍</w:t>
      </w:r>
      <w:r>
        <w:rPr>
          <w:rFonts w:ascii="宋体" w:hAnsi="宋体"/>
          <w:color w:val="000000"/>
          <w:sz w:val="20"/>
          <w:szCs w:val="20"/>
        </w:rPr>
        <w:t xml:space="preserve">  </w:t>
      </w:r>
      <w:r>
        <w:rPr>
          <w:rFonts w:hint="eastAsia" w:ascii="宋体" w:hAnsi="宋体"/>
          <w:color w:val="000000"/>
          <w:sz w:val="20"/>
          <w:szCs w:val="20"/>
        </w:rPr>
        <w:t>人民卫生出版社</w:t>
      </w:r>
      <w:r>
        <w:rPr>
          <w:rFonts w:ascii="宋体" w:hAnsi="宋体"/>
          <w:color w:val="000000"/>
          <w:sz w:val="20"/>
          <w:szCs w:val="20"/>
        </w:rPr>
        <w:t xml:space="preserve"> 2015</w:t>
      </w:r>
    </w:p>
    <w:p>
      <w:pPr>
        <w:snapToGrid w:val="0"/>
        <w:spacing w:line="288" w:lineRule="auto"/>
        <w:ind w:firstLine="1800" w:firstLineChars="900"/>
        <w:rPr>
          <w:rFonts w:ascii="宋体" w:hAnsi="宋体"/>
          <w:color w:val="000000"/>
          <w:sz w:val="20"/>
          <w:szCs w:val="20"/>
        </w:rPr>
      </w:pPr>
      <w:r>
        <w:rPr>
          <w:rFonts w:hint="eastAsia" w:ascii="宋体" w:hAnsi="宋体"/>
          <w:color w:val="000000"/>
          <w:sz w:val="20"/>
          <w:szCs w:val="20"/>
        </w:rPr>
        <w:t>社区护理学</w:t>
      </w:r>
      <w:r>
        <w:rPr>
          <w:rFonts w:ascii="宋体" w:hAnsi="宋体"/>
          <w:color w:val="000000"/>
          <w:sz w:val="20"/>
          <w:szCs w:val="20"/>
        </w:rPr>
        <w:t xml:space="preserve">  </w:t>
      </w:r>
      <w:r>
        <w:rPr>
          <w:rFonts w:hint="eastAsia" w:ascii="宋体" w:hAnsi="宋体"/>
          <w:color w:val="000000"/>
          <w:sz w:val="20"/>
          <w:szCs w:val="20"/>
        </w:rPr>
        <w:t>主编</w:t>
      </w:r>
      <w:r>
        <w:rPr>
          <w:rFonts w:ascii="宋体" w:hAnsi="宋体"/>
          <w:color w:val="000000"/>
          <w:sz w:val="20"/>
          <w:szCs w:val="20"/>
        </w:rPr>
        <w:t xml:space="preserve"> </w:t>
      </w:r>
      <w:r>
        <w:rPr>
          <w:rFonts w:hint="eastAsia" w:ascii="宋体" w:hAnsi="宋体"/>
          <w:color w:val="000000"/>
          <w:sz w:val="20"/>
          <w:szCs w:val="20"/>
        </w:rPr>
        <w:t>李春玉</w:t>
      </w:r>
      <w:r>
        <w:rPr>
          <w:rFonts w:ascii="宋体" w:hAnsi="宋体"/>
          <w:color w:val="000000"/>
          <w:sz w:val="20"/>
          <w:szCs w:val="20"/>
        </w:rPr>
        <w:t xml:space="preserve">  </w:t>
      </w:r>
      <w:r>
        <w:rPr>
          <w:rFonts w:hint="eastAsia" w:ascii="宋体" w:hAnsi="宋体"/>
          <w:color w:val="000000"/>
          <w:sz w:val="20"/>
          <w:szCs w:val="20"/>
        </w:rPr>
        <w:t>人民卫生出版社</w:t>
      </w:r>
      <w:r>
        <w:rPr>
          <w:rFonts w:ascii="宋体" w:hAnsi="宋体"/>
          <w:color w:val="000000"/>
          <w:sz w:val="20"/>
          <w:szCs w:val="20"/>
        </w:rPr>
        <w:t xml:space="preserve">  2012            </w:t>
      </w:r>
    </w:p>
    <w:p>
      <w:pPr>
        <w:snapToGrid w:val="0"/>
        <w:spacing w:line="288" w:lineRule="auto"/>
        <w:ind w:firstLine="1800" w:firstLineChars="900"/>
        <w:rPr>
          <w:b/>
          <w:bCs/>
          <w:color w:val="000000"/>
          <w:sz w:val="20"/>
          <w:szCs w:val="20"/>
        </w:rPr>
      </w:pPr>
      <w:r>
        <w:rPr>
          <w:rFonts w:hint="eastAsia" w:ascii="宋体" w:hAnsi="宋体"/>
          <w:color w:val="000000"/>
          <w:sz w:val="20"/>
          <w:szCs w:val="20"/>
        </w:rPr>
        <w:t>社区卫生服务管理</w:t>
      </w:r>
      <w:r>
        <w:rPr>
          <w:rFonts w:ascii="宋体" w:hAnsi="宋体"/>
          <w:color w:val="000000"/>
          <w:sz w:val="20"/>
          <w:szCs w:val="20"/>
        </w:rPr>
        <w:t xml:space="preserve">  </w:t>
      </w:r>
      <w:r>
        <w:rPr>
          <w:rFonts w:hint="eastAsia" w:ascii="宋体" w:hAnsi="宋体"/>
          <w:color w:val="000000"/>
          <w:sz w:val="20"/>
          <w:szCs w:val="20"/>
        </w:rPr>
        <w:t>主编</w:t>
      </w:r>
      <w:r>
        <w:rPr>
          <w:rFonts w:ascii="宋体" w:hAnsi="宋体"/>
          <w:color w:val="000000"/>
          <w:sz w:val="20"/>
          <w:szCs w:val="20"/>
        </w:rPr>
        <w:t xml:space="preserve"> </w:t>
      </w:r>
      <w:r>
        <w:rPr>
          <w:rFonts w:hint="eastAsia" w:ascii="宋体" w:hAnsi="宋体"/>
          <w:color w:val="000000"/>
          <w:sz w:val="20"/>
          <w:szCs w:val="20"/>
        </w:rPr>
        <w:t>崔树起</w:t>
      </w:r>
      <w:r>
        <w:rPr>
          <w:rFonts w:ascii="宋体" w:hAnsi="宋体"/>
          <w:color w:val="000000"/>
          <w:sz w:val="20"/>
          <w:szCs w:val="20"/>
        </w:rPr>
        <w:t xml:space="preserve"> </w:t>
      </w:r>
      <w:r>
        <w:rPr>
          <w:rFonts w:hint="eastAsia" w:ascii="宋体" w:hAnsi="宋体"/>
          <w:color w:val="000000"/>
          <w:sz w:val="20"/>
          <w:szCs w:val="20"/>
        </w:rPr>
        <w:t>杨文秀</w:t>
      </w:r>
      <w:r>
        <w:rPr>
          <w:rFonts w:ascii="宋体" w:hAnsi="宋体"/>
          <w:color w:val="000000"/>
          <w:sz w:val="20"/>
          <w:szCs w:val="20"/>
        </w:rPr>
        <w:t xml:space="preserve">  </w:t>
      </w:r>
      <w:r>
        <w:rPr>
          <w:rFonts w:hint="eastAsia" w:ascii="宋体" w:hAnsi="宋体"/>
          <w:color w:val="000000"/>
          <w:sz w:val="20"/>
          <w:szCs w:val="20"/>
        </w:rPr>
        <w:t>人民卫生出版社</w:t>
      </w:r>
      <w:r>
        <w:rPr>
          <w:rFonts w:ascii="宋体" w:hAnsi="宋体"/>
          <w:color w:val="000000"/>
          <w:sz w:val="20"/>
          <w:szCs w:val="20"/>
        </w:rPr>
        <w:t xml:space="preserve"> 2006</w:t>
      </w:r>
      <w:r>
        <w:rPr>
          <w:rFonts w:hint="eastAsia" w:ascii="宋体" w:hAnsi="宋体"/>
          <w:color w:val="000000"/>
          <w:sz w:val="20"/>
          <w:szCs w:val="20"/>
        </w:rPr>
        <w:t>】</w:t>
      </w:r>
    </w:p>
    <w:p>
      <w:pPr>
        <w:snapToGrid w:val="0"/>
        <w:spacing w:line="288" w:lineRule="auto"/>
        <w:ind w:left="885" w:leftChars="190" w:hanging="486" w:hangingChars="243"/>
        <w:jc w:val="left"/>
        <w:rPr>
          <w:b/>
          <w:bCs/>
          <w:color w:val="000000"/>
          <w:sz w:val="20"/>
          <w:szCs w:val="20"/>
        </w:rPr>
      </w:pPr>
      <w:r>
        <w:rPr>
          <w:rFonts w:hint="eastAsia"/>
          <w:b/>
          <w:bCs/>
          <w:color w:val="000000"/>
          <w:sz w:val="20"/>
          <w:szCs w:val="20"/>
        </w:rPr>
        <w:t>课程网站网址：【</w:t>
      </w:r>
      <w:r>
        <w:rPr>
          <w:b/>
          <w:bCs/>
          <w:color w:val="000000"/>
          <w:sz w:val="20"/>
          <w:szCs w:val="20"/>
        </w:rPr>
        <w:t>https://mooc2-ans.chaoxing.com/mooc2-ans/mycourse/tch?courseid=228577749&amp;clazzid=63443560&amp;cpi=278190607&amp;enc=6cdd3bfcd5d358253e0da4de14f85b3e&amp;t=1663488755550</w:t>
      </w:r>
      <w:r>
        <w:rPr>
          <w:rFonts w:hint="eastAsia"/>
        </w:rPr>
        <w:t>】</w:t>
      </w:r>
    </w:p>
    <w:p>
      <w:pPr>
        <w:adjustRightInd w:val="0"/>
        <w:snapToGrid w:val="0"/>
        <w:spacing w:line="288" w:lineRule="auto"/>
        <w:ind w:left="867" w:leftChars="188" w:hanging="472" w:hangingChars="236"/>
        <w:rPr>
          <w:b/>
          <w:bCs/>
          <w:color w:val="000000"/>
          <w:sz w:val="20"/>
          <w:szCs w:val="20"/>
        </w:rPr>
      </w:pPr>
      <w:r>
        <w:rPr>
          <w:rFonts w:hint="eastAsia"/>
          <w:b/>
          <w:bCs/>
          <w:color w:val="000000"/>
          <w:sz w:val="20"/>
          <w:szCs w:val="20"/>
        </w:rPr>
        <w:t>先修课程：</w:t>
      </w:r>
    </w:p>
    <w:p>
      <w:pPr>
        <w:adjustRightInd w:val="0"/>
        <w:snapToGrid w:val="0"/>
        <w:spacing w:line="288" w:lineRule="auto"/>
        <w:ind w:left="965" w:leftChars="412" w:hanging="100" w:hangingChars="50"/>
        <w:rPr>
          <w:rFonts w:ascii="宋体"/>
          <w:color w:val="000000"/>
          <w:sz w:val="20"/>
          <w:szCs w:val="20"/>
        </w:rPr>
      </w:pPr>
      <w:r>
        <w:rPr>
          <w:rFonts w:hint="eastAsia" w:ascii="宋体" w:hAnsi="宋体"/>
          <w:color w:val="000000"/>
          <w:sz w:val="20"/>
          <w:szCs w:val="20"/>
        </w:rPr>
        <w:t>【健康评估</w:t>
      </w:r>
      <w:r>
        <w:rPr>
          <w:rFonts w:ascii="宋体" w:hAnsi="宋体"/>
          <w:color w:val="000000"/>
          <w:sz w:val="20"/>
          <w:szCs w:val="20"/>
        </w:rPr>
        <w:t xml:space="preserve">0070013(3.0)  </w:t>
      </w:r>
      <w:r>
        <w:rPr>
          <w:rFonts w:hint="eastAsia" w:ascii="宋体" w:hAnsi="宋体"/>
          <w:color w:val="000000"/>
          <w:sz w:val="20"/>
          <w:szCs w:val="20"/>
        </w:rPr>
        <w:t>基础护理学</w:t>
      </w:r>
      <w:r>
        <w:rPr>
          <w:rFonts w:ascii="宋体" w:hAnsi="宋体"/>
          <w:color w:val="000000"/>
          <w:sz w:val="20"/>
          <w:szCs w:val="20"/>
        </w:rPr>
        <w:t>2 0010017(4.0</w:t>
      </w:r>
      <w:r>
        <w:rPr>
          <w:rFonts w:hint="eastAsia" w:ascii="宋体" w:hAnsi="宋体"/>
          <w:color w:val="000000"/>
          <w:sz w:val="20"/>
          <w:szCs w:val="20"/>
        </w:rPr>
        <w:t>）</w:t>
      </w:r>
      <w:r>
        <w:rPr>
          <w:rFonts w:ascii="宋体" w:hAnsi="宋体"/>
          <w:color w:val="000000"/>
          <w:sz w:val="20"/>
          <w:szCs w:val="20"/>
        </w:rPr>
        <w:t xml:space="preserve"> </w:t>
      </w:r>
      <w:r>
        <w:rPr>
          <w:rFonts w:hint="eastAsia" w:ascii="宋体" w:hAnsi="宋体"/>
          <w:color w:val="000000"/>
          <w:sz w:val="20"/>
          <w:szCs w:val="20"/>
        </w:rPr>
        <w:t>护理导论</w:t>
      </w:r>
      <w:r>
        <w:rPr>
          <w:rFonts w:ascii="宋体" w:hAnsi="宋体"/>
          <w:color w:val="000000"/>
          <w:sz w:val="20"/>
          <w:szCs w:val="20"/>
        </w:rPr>
        <w:t>0070033(2.0</w:t>
      </w:r>
      <w:r>
        <w:rPr>
          <w:rFonts w:hint="eastAsia" w:ascii="宋体" w:hAnsi="宋体"/>
          <w:color w:val="000000"/>
          <w:sz w:val="20"/>
          <w:szCs w:val="20"/>
        </w:rPr>
        <w:t>）</w:t>
      </w:r>
      <w:r>
        <w:rPr>
          <w:rFonts w:ascii="宋体" w:hAnsi="宋体"/>
          <w:color w:val="000000"/>
          <w:sz w:val="20"/>
          <w:szCs w:val="20"/>
        </w:rPr>
        <w:t xml:space="preserve"> </w:t>
      </w:r>
      <w:r>
        <w:rPr>
          <w:rFonts w:hint="eastAsia" w:ascii="宋体" w:hAnsi="宋体"/>
          <w:color w:val="000000"/>
          <w:sz w:val="20"/>
          <w:szCs w:val="20"/>
        </w:rPr>
        <w:t>人际沟通与交往</w:t>
      </w:r>
      <w:r>
        <w:rPr>
          <w:rFonts w:ascii="宋体" w:hAnsi="宋体"/>
          <w:color w:val="000000"/>
          <w:sz w:val="20"/>
          <w:szCs w:val="20"/>
        </w:rPr>
        <w:t xml:space="preserve">0070019(1.0) </w:t>
      </w:r>
      <w:r>
        <w:rPr>
          <w:rFonts w:hint="eastAsia" w:ascii="宋体" w:hAnsi="宋体"/>
          <w:color w:val="000000"/>
          <w:sz w:val="20"/>
          <w:szCs w:val="20"/>
        </w:rPr>
        <w:t>成人护理</w:t>
      </w:r>
      <w:r>
        <w:rPr>
          <w:rFonts w:ascii="宋体" w:hAnsi="宋体"/>
          <w:color w:val="000000"/>
          <w:sz w:val="20"/>
          <w:szCs w:val="20"/>
        </w:rPr>
        <w:t>1 0010027</w:t>
      </w:r>
      <w:r>
        <w:rPr>
          <w:rFonts w:hint="eastAsia" w:ascii="宋体" w:hAnsi="宋体"/>
          <w:color w:val="000000"/>
          <w:sz w:val="20"/>
          <w:szCs w:val="20"/>
        </w:rPr>
        <w:t>（</w:t>
      </w:r>
      <w:r>
        <w:rPr>
          <w:rFonts w:ascii="宋体" w:hAnsi="宋体"/>
          <w:color w:val="000000"/>
          <w:sz w:val="20"/>
          <w:szCs w:val="20"/>
        </w:rPr>
        <w:t>6.0</w:t>
      </w:r>
      <w:r>
        <w:rPr>
          <w:rFonts w:hint="eastAsia" w:ascii="宋体" w:hAnsi="宋体"/>
          <w:color w:val="000000"/>
          <w:sz w:val="20"/>
          <w:szCs w:val="20"/>
        </w:rPr>
        <w:t>）</w:t>
      </w:r>
      <w:r>
        <w:rPr>
          <w:rFonts w:ascii="宋体" w:hAnsi="宋体"/>
          <w:color w:val="000000"/>
          <w:sz w:val="20"/>
          <w:szCs w:val="20"/>
        </w:rPr>
        <w:t xml:space="preserve">  </w:t>
      </w:r>
      <w:r>
        <w:rPr>
          <w:rFonts w:hint="eastAsia" w:ascii="宋体" w:hAnsi="宋体"/>
          <w:color w:val="000000"/>
          <w:sz w:val="20"/>
          <w:szCs w:val="20"/>
        </w:rPr>
        <w:t>成人护理</w:t>
      </w:r>
      <w:r>
        <w:rPr>
          <w:rFonts w:ascii="宋体" w:hAnsi="宋体"/>
          <w:color w:val="000000"/>
          <w:sz w:val="20"/>
          <w:szCs w:val="20"/>
        </w:rPr>
        <w:t>2 0010028</w:t>
      </w:r>
      <w:r>
        <w:rPr>
          <w:rFonts w:hint="eastAsia" w:ascii="宋体" w:hAnsi="宋体"/>
          <w:color w:val="000000"/>
          <w:sz w:val="20"/>
          <w:szCs w:val="20"/>
        </w:rPr>
        <w:t>（</w:t>
      </w:r>
      <w:r>
        <w:rPr>
          <w:rFonts w:ascii="宋体" w:hAnsi="宋体"/>
          <w:color w:val="000000"/>
          <w:sz w:val="20"/>
          <w:szCs w:val="20"/>
        </w:rPr>
        <w:t>6.0</w:t>
      </w:r>
      <w:r>
        <w:rPr>
          <w:rFonts w:hint="eastAsia" w:ascii="宋体" w:hAnsi="宋体"/>
          <w:color w:val="000000"/>
          <w:sz w:val="20"/>
          <w:szCs w:val="20"/>
        </w:rPr>
        <w:t>）</w:t>
      </w:r>
      <w:r>
        <w:rPr>
          <w:rFonts w:ascii="宋体" w:hAnsi="宋体"/>
          <w:color w:val="000000"/>
          <w:sz w:val="20"/>
          <w:szCs w:val="20"/>
        </w:rPr>
        <w:t xml:space="preserve"> </w:t>
      </w:r>
      <w:r>
        <w:rPr>
          <w:rFonts w:hint="eastAsia" w:ascii="宋体" w:hAnsi="宋体"/>
          <w:color w:val="000000"/>
          <w:sz w:val="20"/>
          <w:szCs w:val="20"/>
        </w:rPr>
        <w:t>母婴护理学</w:t>
      </w:r>
      <w:r>
        <w:rPr>
          <w:rFonts w:ascii="宋体" w:hAnsi="宋体"/>
          <w:color w:val="000000"/>
          <w:sz w:val="20"/>
          <w:szCs w:val="20"/>
        </w:rPr>
        <w:t>0010012 (4.0</w:t>
      </w:r>
      <w:r>
        <w:rPr>
          <w:rFonts w:hint="eastAsia" w:ascii="宋体" w:hAnsi="宋体"/>
          <w:color w:val="000000"/>
          <w:sz w:val="20"/>
          <w:szCs w:val="20"/>
        </w:rPr>
        <w:t>）儿童护理学</w:t>
      </w:r>
      <w:r>
        <w:rPr>
          <w:rFonts w:ascii="宋体" w:hAnsi="宋体"/>
          <w:color w:val="000000"/>
          <w:sz w:val="20"/>
          <w:szCs w:val="20"/>
        </w:rPr>
        <w:t>0010014 (3.0</w:t>
      </w:r>
      <w:r>
        <w:rPr>
          <w:rFonts w:hint="eastAsia" w:ascii="宋体" w:hAnsi="宋体"/>
          <w:color w:val="000000"/>
          <w:sz w:val="20"/>
          <w:szCs w:val="20"/>
        </w:rPr>
        <w:t>）</w:t>
      </w:r>
      <w:r>
        <w:rPr>
          <w:rFonts w:ascii="宋体" w:hAnsi="宋体"/>
          <w:color w:val="000000"/>
          <w:sz w:val="20"/>
          <w:szCs w:val="20"/>
        </w:rPr>
        <w:t xml:space="preserve"> </w:t>
      </w:r>
      <w:r>
        <w:rPr>
          <w:rFonts w:hint="eastAsia" w:ascii="宋体" w:hAnsi="宋体"/>
          <w:color w:val="000000"/>
          <w:sz w:val="20"/>
          <w:szCs w:val="20"/>
        </w:rPr>
        <w:t>护理心理学</w:t>
      </w:r>
      <w:r>
        <w:rPr>
          <w:rFonts w:ascii="宋体" w:hAnsi="宋体"/>
          <w:color w:val="000000"/>
          <w:sz w:val="20"/>
          <w:szCs w:val="20"/>
        </w:rPr>
        <w:t>0070027 (1.0)</w:t>
      </w:r>
      <w:r>
        <w:rPr>
          <w:rFonts w:hint="eastAsia" w:ascii="宋体" w:hAnsi="宋体"/>
          <w:color w:val="000000"/>
          <w:sz w:val="20"/>
          <w:szCs w:val="20"/>
        </w:rPr>
        <w:t>】</w:t>
      </w:r>
    </w:p>
    <w:p>
      <w:pPr>
        <w:adjustRightInd w:val="0"/>
        <w:snapToGrid w:val="0"/>
        <w:spacing w:beforeLines="50" w:afterLines="50" w:line="288" w:lineRule="auto"/>
        <w:ind w:firstLine="240" w:firstLineChars="100"/>
        <w:rPr>
          <w:b/>
          <w:color w:val="000000"/>
          <w:sz w:val="24"/>
          <w:szCs w:val="20"/>
        </w:rPr>
      </w:pPr>
      <w:r>
        <w:rPr>
          <w:rFonts w:hint="eastAsia" w:ascii="黑体" w:hAnsi="宋体" w:eastAsia="黑体"/>
          <w:sz w:val="24"/>
        </w:rPr>
        <w:t>二、课程简介</w:t>
      </w:r>
    </w:p>
    <w:p>
      <w:pPr>
        <w:spacing w:beforeLines="50" w:afterLines="50" w:line="288" w:lineRule="auto"/>
        <w:ind w:firstLine="400" w:firstLineChars="200"/>
        <w:rPr>
          <w:rFonts w:ascii="黑体" w:hAnsi="宋体" w:eastAsia="黑体"/>
          <w:sz w:val="24"/>
        </w:rPr>
      </w:pPr>
      <w:r>
        <w:rPr>
          <w:rFonts w:hint="eastAsia"/>
          <w:color w:val="000000"/>
          <w:sz w:val="20"/>
          <w:szCs w:val="20"/>
        </w:rPr>
        <w:t>社区护理是一门融护理学和公共卫生学为一体的应用型护理学科。社区护理学以社区为基础、以人群为对象、以服务为中心，将医疗、预防、保健、康复、健康教育、计划生育技术等融于护理学中，并以促进和维护社区人群健康为最终目的，提供连续性的、动态的和综合的护理服务。社区护理作为护理领域中新兴的重要学科，已经成为国家公共卫生体系的重要组成部分。社区护理学作为护理学专业的专业必修课程，该课程将以个体、家庭、和社区健康为主线，介绍和讨论社区护理的理论基本理论，基本知识和基本技能，体现社区护理的特点。是培养社区护理专业人才的重要课程，为将来从事社区护理工作，促进社区护理的发展及护理学学科发展具有十分重要的现实意义。</w:t>
      </w:r>
    </w:p>
    <w:p>
      <w:pPr>
        <w:widowControl/>
        <w:spacing w:beforeLines="50" w:afterLines="50" w:line="288" w:lineRule="auto"/>
        <w:ind w:firstLine="240" w:firstLineChars="100"/>
        <w:jc w:val="left"/>
        <w:rPr>
          <w:rFonts w:ascii="黑体" w:hAnsi="宋体" w:eastAsia="黑体"/>
          <w:sz w:val="24"/>
        </w:rPr>
      </w:pPr>
      <w:r>
        <w:rPr>
          <w:rFonts w:hint="eastAsia" w:ascii="黑体" w:hAnsi="宋体" w:eastAsia="黑体"/>
          <w:sz w:val="24"/>
        </w:rPr>
        <w:t>三、选课建议</w:t>
      </w:r>
    </w:p>
    <w:p>
      <w:pPr>
        <w:spacing w:line="288" w:lineRule="auto"/>
        <w:ind w:firstLine="400" w:firstLineChars="200"/>
        <w:rPr>
          <w:color w:val="000000"/>
          <w:sz w:val="20"/>
          <w:szCs w:val="20"/>
        </w:rPr>
      </w:pPr>
      <w:r>
        <w:rPr>
          <w:rFonts w:hint="eastAsia"/>
          <w:color w:val="000000"/>
          <w:sz w:val="20"/>
          <w:szCs w:val="20"/>
        </w:rPr>
        <w:t>社区护理是在护理学、医学、社会学、公共卫生学、预防医学、康复医学等相关学科理论基础上所发展的新兴学科。社区护理是衔接基础与临床的重要专业课程。本课程在专业培养计划中安排在护理专业二年级第一学期。</w:t>
      </w:r>
    </w:p>
    <w:p>
      <w:pPr>
        <w:snapToGrid w:val="0"/>
        <w:spacing w:line="288" w:lineRule="auto"/>
        <w:ind w:firstLine="400" w:firstLineChars="200"/>
        <w:rPr>
          <w:color w:val="000000"/>
          <w:sz w:val="20"/>
          <w:szCs w:val="20"/>
        </w:rPr>
      </w:pPr>
    </w:p>
    <w:p>
      <w:pPr>
        <w:widowControl/>
        <w:spacing w:beforeLines="50" w:afterLines="50" w:line="288" w:lineRule="auto"/>
        <w:ind w:firstLine="240" w:firstLineChars="100"/>
        <w:jc w:val="left"/>
        <w:rPr>
          <w:rFonts w:ascii="黑体" w:hAnsi="宋体" w:eastAsia="黑体"/>
          <w:sz w:val="24"/>
        </w:rPr>
      </w:pPr>
      <w:r>
        <w:rPr>
          <w:rFonts w:hint="eastAsia" w:ascii="黑体" w:hAnsi="宋体" w:eastAsia="黑体"/>
          <w:sz w:val="24"/>
        </w:rPr>
        <w:t>四、课程与专业毕业要求的关联性</w:t>
      </w:r>
    </w:p>
    <w:tbl>
      <w:tblPr>
        <w:tblStyle w:val="9"/>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8429" w:type="dxa"/>
            <w:gridSpan w:val="3"/>
            <w:vAlign w:val="center"/>
          </w:tcPr>
          <w:p>
            <w:pPr>
              <w:jc w:val="center"/>
              <w:rPr>
                <w:rFonts w:ascii="宋体" w:cs="宋体"/>
                <w:color w:val="000000"/>
                <w:kern w:val="0"/>
                <w:sz w:val="18"/>
                <w:szCs w:val="18"/>
              </w:rPr>
            </w:pPr>
            <w:r>
              <w:rPr>
                <w:rFonts w:hint="eastAsia" w:ascii="宋体" w:hAnsi="宋体" w:cs="黑体"/>
                <w:b/>
                <w:kern w:val="0"/>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55" w:type="dxa"/>
            <w:vMerge w:val="restart"/>
            <w:vAlign w:val="center"/>
          </w:tcPr>
          <w:p>
            <w:pPr>
              <w:widowControl/>
              <w:jc w:val="center"/>
              <w:rPr>
                <w:rFonts w:ascii="宋体" w:cs="宋体"/>
                <w:color w:val="000000"/>
                <w:kern w:val="0"/>
                <w:sz w:val="20"/>
                <w:szCs w:val="20"/>
              </w:rPr>
            </w:pPr>
            <w:r>
              <w:rPr>
                <w:rFonts w:ascii="宋体" w:hAnsi="宋体" w:cs="宋体"/>
                <w:color w:val="000000"/>
                <w:kern w:val="0"/>
                <w:sz w:val="20"/>
                <w:szCs w:val="20"/>
              </w:rPr>
              <w:t>LO11</w:t>
            </w:r>
            <w:r>
              <w:rPr>
                <w:rFonts w:hint="eastAsia" w:ascii="宋体" w:hAnsi="宋体" w:cs="宋体"/>
                <w:color w:val="000000"/>
                <w:kern w:val="0"/>
                <w:sz w:val="20"/>
                <w:szCs w:val="20"/>
              </w:rPr>
              <w:t>表达沟通</w:t>
            </w: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LO111 </w:t>
            </w:r>
            <w:r>
              <w:rPr>
                <w:rFonts w:hint="eastAsia" w:ascii="宋体" w:hAnsi="宋体" w:cs="宋体"/>
                <w:color w:val="000000"/>
                <w:kern w:val="0"/>
                <w:sz w:val="18"/>
                <w:szCs w:val="18"/>
              </w:rPr>
              <w:t>倾听他人意见、尊重他人观点、分析他人需求。</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LO102 </w:t>
            </w:r>
            <w:r>
              <w:rPr>
                <w:rFonts w:hint="eastAsia" w:ascii="宋体" w:hAnsi="宋体" w:cs="宋体"/>
                <w:color w:val="000000"/>
                <w:kern w:val="0"/>
                <w:sz w:val="18"/>
                <w:szCs w:val="18"/>
              </w:rPr>
              <w:t>应用书面或口头形式，阐释自己的观点，有效沟通。</w:t>
            </w:r>
          </w:p>
        </w:tc>
        <w:tc>
          <w:tcPr>
            <w:tcW w:w="67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widowControl/>
              <w:jc w:val="center"/>
              <w:rPr>
                <w:rFonts w:ascii="宋体" w:cs="宋体"/>
                <w:color w:val="000000"/>
                <w:kern w:val="0"/>
                <w:sz w:val="20"/>
                <w:szCs w:val="20"/>
              </w:rPr>
            </w:pPr>
            <w:r>
              <w:rPr>
                <w:rFonts w:ascii="宋体" w:hAnsi="宋体" w:cs="宋体"/>
                <w:color w:val="000000"/>
                <w:kern w:val="0"/>
                <w:sz w:val="20"/>
                <w:szCs w:val="20"/>
              </w:rPr>
              <w:t>LO21</w:t>
            </w:r>
            <w:r>
              <w:rPr>
                <w:rFonts w:hint="eastAsia" w:ascii="宋体" w:hAnsi="宋体" w:cs="宋体"/>
                <w:color w:val="000000"/>
                <w:kern w:val="0"/>
                <w:sz w:val="20"/>
                <w:szCs w:val="20"/>
              </w:rPr>
              <w:t>自主学习</w:t>
            </w: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LO211 </w:t>
            </w:r>
            <w:r>
              <w:rPr>
                <w:rFonts w:hint="eastAsia" w:ascii="宋体" w:hAnsi="宋体" w:cs="宋体"/>
                <w:color w:val="000000"/>
                <w:kern w:val="0"/>
                <w:sz w:val="18"/>
                <w:szCs w:val="18"/>
              </w:rPr>
              <w:t>能根据需要自己确定学习目标，并设计学习计划。</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L0212 </w:t>
            </w:r>
            <w:r>
              <w:rPr>
                <w:rFonts w:hint="eastAsia" w:ascii="宋体" w:hAnsi="宋体" w:cs="宋体"/>
                <w:color w:val="000000"/>
                <w:kern w:val="0"/>
                <w:sz w:val="18"/>
                <w:szCs w:val="18"/>
              </w:rPr>
              <w:t>能搜集、获取达到目标所需要的学习资源，实施学习计划、反思学习计划、持续改进，达到学习目标。</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7755" w:type="dxa"/>
            <w:gridSpan w:val="2"/>
            <w:vAlign w:val="center"/>
          </w:tcPr>
          <w:p>
            <w:pPr>
              <w:widowControl/>
              <w:rPr>
                <w:rFonts w:ascii="宋体" w:cs="宋体"/>
                <w:color w:val="000000"/>
                <w:kern w:val="0"/>
                <w:sz w:val="20"/>
                <w:szCs w:val="20"/>
              </w:rPr>
            </w:pPr>
            <w:r>
              <w:rPr>
                <w:rFonts w:ascii="宋体" w:hAnsi="宋体" w:cs="宋体"/>
                <w:color w:val="000000"/>
                <w:kern w:val="0"/>
                <w:sz w:val="20"/>
                <w:szCs w:val="20"/>
              </w:rPr>
              <w:t>LO31</w:t>
            </w:r>
            <w:r>
              <w:rPr>
                <w:rFonts w:hint="eastAsia" w:ascii="宋体" w:hAnsi="宋体" w:cs="宋体"/>
                <w:color w:val="000000"/>
                <w:kern w:val="0"/>
                <w:sz w:val="18"/>
                <w:szCs w:val="18"/>
              </w:rPr>
              <w:t>专业通用能力：能应用医学基础知识解释常见临床现象，具有一定的指导护理工作和用药指导能力。</w:t>
            </w:r>
          </w:p>
        </w:tc>
        <w:tc>
          <w:tcPr>
            <w:tcW w:w="674" w:type="dxa"/>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 w:hRule="atLeast"/>
        </w:trPr>
        <w:tc>
          <w:tcPr>
            <w:tcW w:w="7755" w:type="dxa"/>
            <w:gridSpan w:val="2"/>
            <w:vAlign w:val="center"/>
          </w:tcPr>
          <w:p>
            <w:pPr>
              <w:widowControl/>
              <w:rPr>
                <w:rFonts w:ascii="宋体" w:cs="宋体"/>
                <w:color w:val="000000"/>
                <w:kern w:val="0"/>
                <w:sz w:val="20"/>
                <w:szCs w:val="20"/>
              </w:rPr>
            </w:pPr>
            <w:r>
              <w:rPr>
                <w:rFonts w:ascii="宋体" w:hAnsi="宋体" w:cs="宋体"/>
                <w:color w:val="000000"/>
                <w:kern w:val="0"/>
                <w:sz w:val="20"/>
                <w:szCs w:val="20"/>
              </w:rPr>
              <w:t xml:space="preserve">LO32 </w:t>
            </w:r>
            <w:r>
              <w:rPr>
                <w:rFonts w:hint="eastAsia" w:ascii="宋体" w:hAnsi="宋体" w:cs="宋体"/>
                <w:color w:val="000000"/>
                <w:kern w:val="0"/>
                <w:sz w:val="18"/>
                <w:szCs w:val="18"/>
              </w:rPr>
              <w:t>护理评估能力：能全面评估护理服务对象的身、心、社会及精神方面的健康状态。</w:t>
            </w:r>
          </w:p>
        </w:tc>
        <w:tc>
          <w:tcPr>
            <w:tcW w:w="674"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7755" w:type="dxa"/>
            <w:gridSpan w:val="2"/>
            <w:vAlign w:val="center"/>
          </w:tcPr>
          <w:p>
            <w:pPr>
              <w:widowControl/>
              <w:rPr>
                <w:rFonts w:ascii="宋体" w:cs="宋体"/>
                <w:color w:val="000000"/>
                <w:kern w:val="0"/>
                <w:sz w:val="20"/>
                <w:szCs w:val="20"/>
              </w:rPr>
            </w:pPr>
            <w:r>
              <w:rPr>
                <w:rFonts w:ascii="宋体" w:hAnsi="宋体" w:cs="宋体"/>
                <w:color w:val="000000"/>
                <w:kern w:val="0"/>
                <w:sz w:val="20"/>
                <w:szCs w:val="20"/>
              </w:rPr>
              <w:t>LO33</w:t>
            </w:r>
            <w:r>
              <w:rPr>
                <w:rFonts w:hint="eastAsia" w:ascii="宋体" w:hAnsi="宋体" w:cs="宋体"/>
                <w:color w:val="000000"/>
                <w:kern w:val="0"/>
                <w:sz w:val="18"/>
                <w:szCs w:val="18"/>
              </w:rPr>
              <w:t>专业实践能力：能制定和执行护理计划，对内、外、妇、儿等科常见病与多发病病人实施整体护理，对常见急危重症及时发现、初步处理和配合抢救</w:t>
            </w:r>
          </w:p>
        </w:tc>
        <w:tc>
          <w:tcPr>
            <w:tcW w:w="674" w:type="dxa"/>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7755" w:type="dxa"/>
            <w:gridSpan w:val="2"/>
            <w:vAlign w:val="center"/>
          </w:tcPr>
          <w:p>
            <w:pPr>
              <w:widowControl/>
              <w:rPr>
                <w:rFonts w:ascii="宋体" w:cs="宋体"/>
                <w:color w:val="000000"/>
                <w:kern w:val="0"/>
                <w:sz w:val="20"/>
                <w:szCs w:val="20"/>
              </w:rPr>
            </w:pPr>
            <w:r>
              <w:rPr>
                <w:rFonts w:ascii="宋体" w:hAnsi="宋体" w:cs="宋体"/>
                <w:color w:val="000000"/>
                <w:kern w:val="0"/>
                <w:sz w:val="20"/>
                <w:szCs w:val="20"/>
              </w:rPr>
              <w:t>LO34</w:t>
            </w:r>
            <w:r>
              <w:rPr>
                <w:rFonts w:hint="eastAsia" w:ascii="宋体" w:hAnsi="宋体" w:cs="宋体"/>
                <w:color w:val="000000"/>
                <w:kern w:val="0"/>
                <w:sz w:val="18"/>
                <w:szCs w:val="18"/>
              </w:rPr>
              <w:t>评判性思维能力：能用实践经验及理论知识做出有依据和经过良好判断的临床决策，并能评判他人所提出的理论；在临床紧急情况下，能分析和确定出首要危机。</w:t>
            </w:r>
          </w:p>
        </w:tc>
        <w:tc>
          <w:tcPr>
            <w:tcW w:w="674"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trPr>
        <w:tc>
          <w:tcPr>
            <w:tcW w:w="7755" w:type="dxa"/>
            <w:gridSpan w:val="2"/>
            <w:vAlign w:val="center"/>
          </w:tcPr>
          <w:p>
            <w:pPr>
              <w:widowControl/>
              <w:rPr>
                <w:rFonts w:ascii="宋体" w:cs="宋体"/>
                <w:color w:val="000000"/>
                <w:kern w:val="0"/>
                <w:sz w:val="20"/>
                <w:szCs w:val="20"/>
              </w:rPr>
            </w:pPr>
            <w:r>
              <w:rPr>
                <w:rFonts w:ascii="宋体" w:hAnsi="宋体" w:cs="宋体"/>
                <w:color w:val="000000"/>
                <w:kern w:val="0"/>
                <w:sz w:val="20"/>
                <w:szCs w:val="20"/>
              </w:rPr>
              <w:t xml:space="preserve">LO35 </w:t>
            </w:r>
            <w:r>
              <w:rPr>
                <w:rFonts w:hint="eastAsia" w:ascii="宋体" w:hAnsi="宋体" w:cs="宋体"/>
                <w:color w:val="000000"/>
                <w:kern w:val="0"/>
                <w:sz w:val="18"/>
                <w:szCs w:val="18"/>
              </w:rPr>
              <w:t>健康教育能力：能确定病人、家属的健康需求，并采用合适的健康教育策略。</w:t>
            </w:r>
          </w:p>
        </w:tc>
        <w:tc>
          <w:tcPr>
            <w:tcW w:w="674"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7755" w:type="dxa"/>
            <w:gridSpan w:val="2"/>
            <w:vAlign w:val="center"/>
          </w:tcPr>
          <w:p>
            <w:pPr>
              <w:widowControl/>
              <w:rPr>
                <w:rFonts w:ascii="宋体" w:cs="宋体"/>
                <w:color w:val="000000"/>
                <w:kern w:val="0"/>
                <w:sz w:val="20"/>
                <w:szCs w:val="20"/>
              </w:rPr>
            </w:pPr>
            <w:r>
              <w:rPr>
                <w:rFonts w:ascii="宋体" w:hAnsi="宋体" w:cs="宋体"/>
                <w:color w:val="000000"/>
                <w:kern w:val="0"/>
                <w:sz w:val="20"/>
                <w:szCs w:val="20"/>
              </w:rPr>
              <w:t xml:space="preserve">LO36 </w:t>
            </w:r>
            <w:r>
              <w:rPr>
                <w:rFonts w:hint="eastAsia" w:ascii="宋体" w:hAnsi="宋体" w:cs="宋体"/>
                <w:color w:val="000000"/>
                <w:kern w:val="0"/>
                <w:sz w:val="18"/>
                <w:szCs w:val="18"/>
              </w:rPr>
              <w:t>协调管理能力：能协调护理工作中的各种人际关系</w:t>
            </w:r>
            <w:r>
              <w:rPr>
                <w:rFonts w:ascii="宋体" w:cs="宋体"/>
                <w:color w:val="000000"/>
                <w:kern w:val="0"/>
                <w:sz w:val="18"/>
                <w:szCs w:val="18"/>
              </w:rPr>
              <w:t>,</w:t>
            </w:r>
            <w:r>
              <w:rPr>
                <w:rFonts w:hint="eastAsia" w:ascii="宋体" w:hAnsi="宋体" w:cs="宋体"/>
                <w:color w:val="000000"/>
                <w:kern w:val="0"/>
                <w:sz w:val="18"/>
                <w:szCs w:val="18"/>
              </w:rPr>
              <w:t>能负责护理人员、护理物资和各种活动的安排与管理。</w:t>
            </w:r>
          </w:p>
        </w:tc>
        <w:tc>
          <w:tcPr>
            <w:tcW w:w="674"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1455" w:type="dxa"/>
            <w:vMerge w:val="restart"/>
            <w:vAlign w:val="center"/>
          </w:tcPr>
          <w:p>
            <w:pPr>
              <w:widowControl/>
              <w:jc w:val="center"/>
              <w:rPr>
                <w:rFonts w:ascii="宋体" w:cs="宋体"/>
                <w:color w:val="000000"/>
                <w:kern w:val="0"/>
                <w:sz w:val="20"/>
                <w:szCs w:val="20"/>
              </w:rPr>
            </w:pPr>
            <w:r>
              <w:rPr>
                <w:rFonts w:ascii="宋体" w:hAnsi="宋体" w:cs="宋体"/>
                <w:color w:val="000000"/>
                <w:kern w:val="0"/>
                <w:sz w:val="20"/>
                <w:szCs w:val="20"/>
              </w:rPr>
              <w:t>LO41</w:t>
            </w:r>
            <w:r>
              <w:rPr>
                <w:rFonts w:hint="eastAsia" w:ascii="宋体" w:hAnsi="宋体" w:cs="宋体"/>
                <w:color w:val="000000"/>
                <w:kern w:val="0"/>
                <w:sz w:val="20"/>
                <w:szCs w:val="20"/>
              </w:rPr>
              <w:t>尽责抗压</w:t>
            </w: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L0411 </w:t>
            </w:r>
            <w:r>
              <w:rPr>
                <w:rFonts w:hint="eastAsia" w:ascii="宋体" w:hAnsi="宋体" w:cs="宋体"/>
                <w:color w:val="000000"/>
                <w:kern w:val="0"/>
                <w:sz w:val="18"/>
                <w:szCs w:val="18"/>
              </w:rPr>
              <w:t>遵纪守法：遵守校纪校规，具备法律意识。</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L0412 </w:t>
            </w:r>
            <w:r>
              <w:rPr>
                <w:rFonts w:hint="eastAsia" w:ascii="宋体" w:hAnsi="宋体" w:cs="宋体"/>
                <w:color w:val="000000"/>
                <w:kern w:val="0"/>
                <w:sz w:val="18"/>
                <w:szCs w:val="18"/>
              </w:rPr>
              <w:t>诚实守信：为人诚实，信守承诺，尽职尽责。（诚实守信）</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LO413 </w:t>
            </w:r>
            <w:r>
              <w:rPr>
                <w:rFonts w:hint="eastAsia" w:ascii="宋体" w:hAnsi="宋体" w:cs="宋体"/>
                <w:color w:val="000000"/>
                <w:kern w:val="0"/>
                <w:sz w:val="18"/>
                <w:szCs w:val="18"/>
              </w:rPr>
              <w:t>爱岗敬业：了解与专业相关的法律法规，在学习和社会实践中遵守职业规范，具备职业道德操守。</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LO414 </w:t>
            </w:r>
            <w:r>
              <w:rPr>
                <w:rFonts w:hint="eastAsia" w:ascii="宋体" w:hAnsi="宋体" w:cs="宋体"/>
                <w:color w:val="000000"/>
                <w:kern w:val="0"/>
                <w:sz w:val="18"/>
                <w:szCs w:val="18"/>
              </w:rPr>
              <w:t>心理健康，能承受学习和生活中的压力。</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trPr>
        <w:tc>
          <w:tcPr>
            <w:tcW w:w="1455" w:type="dxa"/>
            <w:vMerge w:val="restart"/>
            <w:vAlign w:val="center"/>
          </w:tcPr>
          <w:p>
            <w:pPr>
              <w:widowControl/>
              <w:jc w:val="center"/>
              <w:rPr>
                <w:rFonts w:ascii="宋体" w:cs="宋体"/>
                <w:color w:val="000000"/>
                <w:kern w:val="0"/>
                <w:sz w:val="20"/>
                <w:szCs w:val="20"/>
              </w:rPr>
            </w:pPr>
            <w:r>
              <w:rPr>
                <w:rFonts w:ascii="宋体" w:hAnsi="宋体" w:cs="宋体"/>
                <w:color w:val="000000"/>
                <w:kern w:val="0"/>
                <w:sz w:val="20"/>
                <w:szCs w:val="20"/>
              </w:rPr>
              <w:t>LO51</w:t>
            </w:r>
            <w:r>
              <w:rPr>
                <w:rFonts w:hint="eastAsia" w:ascii="宋体" w:hAnsi="宋体" w:cs="宋体"/>
                <w:color w:val="000000"/>
                <w:kern w:val="0"/>
                <w:sz w:val="20"/>
                <w:szCs w:val="20"/>
              </w:rPr>
              <w:t>协同创新</w:t>
            </w: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L0511 </w:t>
            </w:r>
            <w:r>
              <w:rPr>
                <w:rFonts w:hint="eastAsia" w:ascii="宋体" w:hAnsi="宋体" w:cs="宋体"/>
                <w:color w:val="000000"/>
                <w:kern w:val="0"/>
                <w:sz w:val="18"/>
                <w:szCs w:val="18"/>
              </w:rPr>
              <w:t>在集体活动中能主动担任自己的角色，与其他成员密切合作，共同完成任务。</w:t>
            </w:r>
          </w:p>
        </w:tc>
        <w:tc>
          <w:tcPr>
            <w:tcW w:w="67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L0512 </w:t>
            </w:r>
            <w:r>
              <w:rPr>
                <w:rFonts w:hint="eastAsia" w:ascii="宋体" w:hAnsi="宋体" w:cs="宋体"/>
                <w:color w:val="000000"/>
                <w:kern w:val="0"/>
                <w:sz w:val="18"/>
                <w:szCs w:val="18"/>
              </w:rPr>
              <w:t>有质疑精神，能有逻辑的分析与批判。</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L0513 </w:t>
            </w:r>
            <w:r>
              <w:rPr>
                <w:rFonts w:hint="eastAsia" w:ascii="宋体" w:hAnsi="宋体" w:cs="宋体"/>
                <w:color w:val="000000"/>
                <w:kern w:val="0"/>
                <w:sz w:val="18"/>
                <w:szCs w:val="18"/>
              </w:rPr>
              <w:t>能用创新的方法或者多种方法解决复杂问题或真实问题。</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L0514 </w:t>
            </w:r>
            <w:r>
              <w:rPr>
                <w:rFonts w:hint="eastAsia" w:ascii="宋体" w:hAnsi="宋体" w:cs="宋体"/>
                <w:color w:val="000000"/>
                <w:kern w:val="0"/>
                <w:sz w:val="18"/>
                <w:szCs w:val="18"/>
              </w:rPr>
              <w:t>了解行业前沿知识技术。</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widowControl/>
              <w:jc w:val="center"/>
              <w:rPr>
                <w:rFonts w:ascii="宋体" w:cs="宋体"/>
                <w:color w:val="000000"/>
                <w:kern w:val="0"/>
                <w:sz w:val="20"/>
                <w:szCs w:val="20"/>
              </w:rPr>
            </w:pPr>
            <w:r>
              <w:rPr>
                <w:rFonts w:ascii="宋体" w:hAnsi="宋体" w:cs="宋体"/>
                <w:color w:val="000000"/>
                <w:kern w:val="0"/>
                <w:sz w:val="20"/>
                <w:szCs w:val="20"/>
              </w:rPr>
              <w:t>LO61</w:t>
            </w:r>
            <w:r>
              <w:rPr>
                <w:rFonts w:hint="eastAsia" w:ascii="宋体" w:hAnsi="宋体" w:cs="宋体"/>
                <w:color w:val="000000"/>
                <w:kern w:val="0"/>
                <w:sz w:val="20"/>
                <w:szCs w:val="20"/>
              </w:rPr>
              <w:t>信息应用</w:t>
            </w: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LO61 </w:t>
            </w:r>
            <w:r>
              <w:rPr>
                <w:rFonts w:hint="eastAsia" w:ascii="宋体" w:hAnsi="宋体" w:cs="宋体"/>
                <w:color w:val="000000"/>
                <w:kern w:val="0"/>
                <w:sz w:val="18"/>
                <w:szCs w:val="18"/>
              </w:rPr>
              <w:t>能够根据需要进行专业文献检索。</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LO612 </w:t>
            </w:r>
            <w:r>
              <w:rPr>
                <w:rFonts w:hint="eastAsia" w:ascii="宋体" w:hAnsi="宋体" w:cs="宋体"/>
                <w:color w:val="000000"/>
                <w:kern w:val="0"/>
                <w:sz w:val="18"/>
                <w:szCs w:val="18"/>
              </w:rPr>
              <w:t>能够使用适合的工具来搜集信息，并对信息加以分析、鉴别、判断与整合。</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LO613 </w:t>
            </w:r>
            <w:r>
              <w:rPr>
                <w:rFonts w:hint="eastAsia" w:ascii="宋体" w:hAnsi="宋体" w:cs="宋体"/>
                <w:color w:val="000000"/>
                <w:kern w:val="0"/>
                <w:sz w:val="18"/>
                <w:szCs w:val="18"/>
              </w:rPr>
              <w:t>熟练使用计算机，掌握常用办公软件。</w:t>
            </w:r>
          </w:p>
        </w:tc>
        <w:tc>
          <w:tcPr>
            <w:tcW w:w="674" w:type="dxa"/>
            <w:vAlign w:val="center"/>
          </w:tcPr>
          <w:p>
            <w:pPr>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widowControl/>
              <w:jc w:val="center"/>
              <w:rPr>
                <w:rFonts w:ascii="宋体" w:cs="宋体"/>
                <w:color w:val="000000"/>
                <w:kern w:val="0"/>
                <w:sz w:val="20"/>
                <w:szCs w:val="20"/>
              </w:rPr>
            </w:pPr>
            <w:r>
              <w:rPr>
                <w:rFonts w:ascii="宋体" w:hAnsi="宋体" w:cs="宋体"/>
                <w:color w:val="000000"/>
                <w:kern w:val="0"/>
                <w:sz w:val="20"/>
                <w:szCs w:val="20"/>
              </w:rPr>
              <w:t>LO71</w:t>
            </w:r>
            <w:r>
              <w:rPr>
                <w:rFonts w:hint="eastAsia" w:ascii="宋体" w:hAnsi="宋体" w:cs="宋体"/>
                <w:color w:val="000000"/>
                <w:kern w:val="0"/>
                <w:sz w:val="20"/>
                <w:szCs w:val="20"/>
              </w:rPr>
              <w:t>服务关爱</w:t>
            </w: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LO711 </w:t>
            </w:r>
            <w:r>
              <w:rPr>
                <w:rFonts w:hint="eastAsia" w:ascii="宋体" w:hAnsi="宋体" w:cs="宋体"/>
                <w:color w:val="000000"/>
                <w:kern w:val="0"/>
                <w:sz w:val="18"/>
                <w:szCs w:val="18"/>
              </w:rPr>
              <w:t>爱党爱国：了解祖国的优秀传统文化和革命历史，构建爱党爱国的理想信念。</w:t>
            </w:r>
          </w:p>
        </w:tc>
        <w:tc>
          <w:tcPr>
            <w:tcW w:w="674" w:type="dxa"/>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LO712 </w:t>
            </w:r>
            <w:r>
              <w:rPr>
                <w:rFonts w:hint="eastAsia" w:ascii="宋体" w:hAnsi="宋体" w:cs="宋体"/>
                <w:color w:val="000000"/>
                <w:kern w:val="0"/>
                <w:sz w:val="18"/>
                <w:szCs w:val="18"/>
              </w:rPr>
              <w:t>助人为乐：富于爱心，懂得感恩，具备助人为乐的品质。</w:t>
            </w:r>
          </w:p>
        </w:tc>
        <w:tc>
          <w:tcPr>
            <w:tcW w:w="674" w:type="dxa"/>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LO713 </w:t>
            </w:r>
            <w:r>
              <w:rPr>
                <w:rFonts w:hint="eastAsia" w:ascii="宋体" w:hAnsi="宋体" w:cs="宋体"/>
                <w:color w:val="000000"/>
                <w:kern w:val="0"/>
                <w:sz w:val="18"/>
                <w:szCs w:val="18"/>
              </w:rPr>
              <w:t>奉献社会：具有服务企业、服务社会的意愿和行为能力。</w:t>
            </w:r>
          </w:p>
        </w:tc>
        <w:tc>
          <w:tcPr>
            <w:tcW w:w="674" w:type="dxa"/>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LO714 </w:t>
            </w:r>
            <w:r>
              <w:rPr>
                <w:rFonts w:hint="eastAsia" w:ascii="宋体" w:hAnsi="宋体" w:cs="宋体"/>
                <w:color w:val="000000"/>
                <w:kern w:val="0"/>
                <w:sz w:val="18"/>
                <w:szCs w:val="18"/>
              </w:rPr>
              <w:t>爱护环境：具有爱护环境的意识和与自然和谐相处的环保理念。</w:t>
            </w:r>
          </w:p>
        </w:tc>
        <w:tc>
          <w:tcPr>
            <w:tcW w:w="674" w:type="dxa"/>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455" w:type="dxa"/>
            <w:vMerge w:val="restart"/>
            <w:vAlign w:val="center"/>
          </w:tcPr>
          <w:p>
            <w:pPr>
              <w:widowControl/>
              <w:jc w:val="center"/>
              <w:rPr>
                <w:rFonts w:ascii="宋体" w:cs="宋体"/>
                <w:color w:val="000000"/>
                <w:kern w:val="0"/>
                <w:sz w:val="20"/>
                <w:szCs w:val="20"/>
              </w:rPr>
            </w:pPr>
            <w:r>
              <w:rPr>
                <w:rFonts w:ascii="宋体" w:hAnsi="宋体" w:cs="宋体"/>
                <w:color w:val="000000"/>
                <w:kern w:val="0"/>
                <w:sz w:val="20"/>
                <w:szCs w:val="20"/>
              </w:rPr>
              <w:t xml:space="preserve">LO81   </w:t>
            </w:r>
            <w:r>
              <w:rPr>
                <w:rFonts w:hint="eastAsia" w:ascii="宋体" w:hAnsi="宋体" w:cs="宋体"/>
                <w:color w:val="000000"/>
                <w:kern w:val="0"/>
                <w:sz w:val="20"/>
                <w:szCs w:val="20"/>
              </w:rPr>
              <w:t>国际视野</w:t>
            </w: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LO811 </w:t>
            </w:r>
            <w:r>
              <w:rPr>
                <w:rFonts w:hint="eastAsia" w:ascii="宋体" w:hAnsi="宋体" w:cs="宋体"/>
                <w:color w:val="000000"/>
                <w:kern w:val="0"/>
                <w:sz w:val="18"/>
                <w:szCs w:val="18"/>
              </w:rPr>
              <w:t>具备外语表达沟通能力，达到本专业的要求。</w:t>
            </w:r>
          </w:p>
        </w:tc>
        <w:tc>
          <w:tcPr>
            <w:tcW w:w="674" w:type="dxa"/>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LO812 </w:t>
            </w:r>
            <w:r>
              <w:rPr>
                <w:rFonts w:hint="eastAsia" w:ascii="宋体" w:hAnsi="宋体" w:cs="宋体"/>
                <w:color w:val="000000"/>
                <w:kern w:val="0"/>
                <w:sz w:val="18"/>
                <w:szCs w:val="18"/>
              </w:rPr>
              <w:t>理解其他国家历史文化，有跨文化交流能力。</w:t>
            </w:r>
          </w:p>
        </w:tc>
        <w:tc>
          <w:tcPr>
            <w:tcW w:w="674" w:type="dxa"/>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widowControl/>
              <w:jc w:val="center"/>
              <w:rPr>
                <w:rFonts w:ascii="宋体" w:cs="宋体"/>
                <w:color w:val="000000"/>
                <w:kern w:val="0"/>
                <w:sz w:val="20"/>
                <w:szCs w:val="20"/>
              </w:rPr>
            </w:pPr>
          </w:p>
        </w:tc>
        <w:tc>
          <w:tcPr>
            <w:tcW w:w="6300" w:type="dxa"/>
            <w:vAlign w:val="center"/>
          </w:tcPr>
          <w:p>
            <w:pPr>
              <w:rPr>
                <w:rFonts w:ascii="宋体" w:cs="宋体"/>
                <w:color w:val="000000"/>
                <w:kern w:val="0"/>
                <w:sz w:val="18"/>
                <w:szCs w:val="18"/>
              </w:rPr>
            </w:pPr>
            <w:r>
              <w:rPr>
                <w:rFonts w:ascii="宋体" w:hAnsi="宋体" w:cs="宋体"/>
                <w:color w:val="000000"/>
                <w:kern w:val="0"/>
                <w:sz w:val="18"/>
                <w:szCs w:val="18"/>
              </w:rPr>
              <w:t xml:space="preserve">LO813 </w:t>
            </w:r>
            <w:r>
              <w:rPr>
                <w:rFonts w:hint="eastAsia" w:ascii="宋体" w:hAnsi="宋体" w:cs="宋体"/>
                <w:color w:val="000000"/>
                <w:kern w:val="0"/>
                <w:sz w:val="18"/>
                <w:szCs w:val="18"/>
              </w:rPr>
              <w:t>有国际竞争与合作意识。</w:t>
            </w:r>
          </w:p>
        </w:tc>
        <w:tc>
          <w:tcPr>
            <w:tcW w:w="674" w:type="dxa"/>
            <w:vAlign w:val="center"/>
          </w:tcPr>
          <w:p>
            <w:pPr>
              <w:widowControl/>
              <w:jc w:val="center"/>
              <w:rPr>
                <w:rFonts w:ascii="宋体" w:cs="宋体"/>
                <w:color w:val="000000"/>
                <w:kern w:val="0"/>
                <w:sz w:val="18"/>
                <w:szCs w:val="18"/>
              </w:rPr>
            </w:pPr>
          </w:p>
        </w:tc>
      </w:tr>
    </w:tbl>
    <w:p>
      <w:pPr>
        <w:ind w:firstLine="420" w:firstLineChars="200"/>
      </w:pPr>
      <w:r>
        <w:rPr>
          <w:rFonts w:hint="eastAsia"/>
        </w:rPr>
        <w:t>备注：</w:t>
      </w:r>
      <w:r>
        <w:t>LO=learning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tbl>
      <w:tblPr>
        <w:tblStyle w:val="9"/>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3298"/>
        <w:gridCol w:w="1276"/>
        <w:gridCol w:w="1173"/>
      </w:tblGrid>
      <w:tr>
        <w:trPr>
          <w:cantSplit/>
          <w:trHeight w:val="633" w:hRule="atLeast"/>
        </w:trPr>
        <w:tc>
          <w:tcPr>
            <w:tcW w:w="648"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260"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298" w:type="dxa"/>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1276"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173"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rPr>
          <w:cantSplit/>
          <w:trHeight w:val="690" w:hRule="atLeast"/>
        </w:trPr>
        <w:tc>
          <w:tcPr>
            <w:tcW w:w="648" w:type="dxa"/>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1</w:t>
            </w:r>
          </w:p>
        </w:tc>
        <w:tc>
          <w:tcPr>
            <w:tcW w:w="1260" w:type="dxa"/>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L0102</w:t>
            </w:r>
          </w:p>
        </w:tc>
        <w:tc>
          <w:tcPr>
            <w:tcW w:w="3298" w:type="dxa"/>
          </w:tcPr>
          <w:p>
            <w:pPr>
              <w:rPr>
                <w:rFonts w:ascii="宋体"/>
                <w:color w:val="000000"/>
                <w:sz w:val="20"/>
                <w:szCs w:val="20"/>
              </w:rPr>
            </w:pPr>
            <w:r>
              <w:rPr>
                <w:rFonts w:hint="eastAsia" w:ascii="宋体" w:hAnsi="宋体"/>
                <w:color w:val="000000"/>
                <w:sz w:val="20"/>
                <w:szCs w:val="20"/>
              </w:rPr>
              <w:t>能运用健康教育与健康促进的理论和方法，开展社区健康教育及健康促进活动。采用书面的形式对社区全体居民进行健康指导。</w:t>
            </w:r>
          </w:p>
        </w:tc>
        <w:tc>
          <w:tcPr>
            <w:tcW w:w="127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教师理论讲授；教师案例分析</w:t>
            </w:r>
            <w:r>
              <w:rPr>
                <w:rFonts w:ascii="宋体" w:hAnsi="宋体"/>
                <w:color w:val="000000"/>
                <w:sz w:val="20"/>
                <w:szCs w:val="20"/>
              </w:rPr>
              <w:t xml:space="preserve"> </w:t>
            </w:r>
          </w:p>
        </w:tc>
        <w:tc>
          <w:tcPr>
            <w:tcW w:w="1173"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纸笔测试</w:t>
            </w:r>
          </w:p>
        </w:tc>
      </w:tr>
      <w:tr>
        <w:trPr>
          <w:cantSplit/>
          <w:trHeight w:val="1291" w:hRule="atLeast"/>
        </w:trPr>
        <w:tc>
          <w:tcPr>
            <w:tcW w:w="648" w:type="dxa"/>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2</w:t>
            </w:r>
          </w:p>
        </w:tc>
        <w:tc>
          <w:tcPr>
            <w:tcW w:w="1260" w:type="dxa"/>
            <w:vAlign w:val="center"/>
          </w:tcPr>
          <w:p>
            <w:pPr>
              <w:jc w:val="center"/>
              <w:rPr>
                <w:rFonts w:ascii="Times New Roman" w:hAnsi="Times New Roman"/>
                <w:bCs/>
                <w:color w:val="000000"/>
                <w:sz w:val="20"/>
                <w:szCs w:val="20"/>
              </w:rPr>
            </w:pPr>
            <w:r>
              <w:rPr>
                <w:rFonts w:ascii="仿宋" w:hAnsi="仿宋" w:eastAsia="仿宋" w:cs="宋体"/>
                <w:color w:val="000000"/>
                <w:kern w:val="0"/>
                <w:sz w:val="24"/>
                <w:szCs w:val="24"/>
              </w:rPr>
              <w:t>LO32</w:t>
            </w:r>
          </w:p>
        </w:tc>
        <w:tc>
          <w:tcPr>
            <w:tcW w:w="3298" w:type="dxa"/>
          </w:tcPr>
          <w:p>
            <w:pPr>
              <w:rPr>
                <w:rFonts w:ascii="宋体"/>
                <w:color w:val="000000"/>
                <w:sz w:val="20"/>
                <w:szCs w:val="20"/>
              </w:rPr>
            </w:pPr>
            <w:r>
              <w:rPr>
                <w:rFonts w:hint="eastAsia" w:ascii="宋体" w:hAnsi="宋体"/>
                <w:color w:val="000000"/>
                <w:sz w:val="20"/>
                <w:szCs w:val="20"/>
              </w:rPr>
              <w:t>能正确运用护理程序的工作方法及健康危险因素的评价方法对社区群体和个体进行健康评估并建立社区居民健康档案。</w:t>
            </w:r>
          </w:p>
        </w:tc>
        <w:tc>
          <w:tcPr>
            <w:tcW w:w="1276" w:type="dxa"/>
          </w:tcPr>
          <w:p>
            <w:pPr>
              <w:snapToGrid w:val="0"/>
              <w:spacing w:line="288" w:lineRule="auto"/>
              <w:jc w:val="left"/>
              <w:rPr>
                <w:rFonts w:ascii="宋体"/>
                <w:color w:val="000000"/>
                <w:sz w:val="20"/>
                <w:szCs w:val="20"/>
              </w:rPr>
            </w:pPr>
            <w:r>
              <w:rPr>
                <w:rFonts w:hint="eastAsia" w:ascii="宋体" w:hAnsi="宋体"/>
                <w:color w:val="000000"/>
                <w:sz w:val="20"/>
                <w:szCs w:val="20"/>
              </w:rPr>
              <w:t>教师理论讲授；教师案例分析；学生实践、教师辅导</w:t>
            </w:r>
          </w:p>
        </w:tc>
        <w:tc>
          <w:tcPr>
            <w:tcW w:w="1173"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纸笔测试</w:t>
            </w:r>
            <w:r>
              <w:rPr>
                <w:rFonts w:hint="eastAsia" w:ascii="宋体" w:hAnsi="宋体"/>
                <w:sz w:val="20"/>
                <w:szCs w:val="20"/>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4" w:hRule="atLeast"/>
        </w:trPr>
        <w:tc>
          <w:tcPr>
            <w:tcW w:w="648" w:type="dxa"/>
            <w:vMerge w:val="restart"/>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3</w:t>
            </w:r>
          </w:p>
        </w:tc>
        <w:tc>
          <w:tcPr>
            <w:tcW w:w="1260" w:type="dxa"/>
            <w:vMerge w:val="restart"/>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L034</w:t>
            </w:r>
          </w:p>
        </w:tc>
        <w:tc>
          <w:tcPr>
            <w:tcW w:w="3298" w:type="dxa"/>
          </w:tcPr>
          <w:p>
            <w:pPr>
              <w:snapToGrid w:val="0"/>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能根据资料的性质和研究分析目的，选择并制作正确的统计图、统计表。</w:t>
            </w:r>
          </w:p>
        </w:tc>
        <w:tc>
          <w:tcPr>
            <w:tcW w:w="1276" w:type="dxa"/>
          </w:tcPr>
          <w:p>
            <w:pPr>
              <w:snapToGrid w:val="0"/>
              <w:spacing w:line="288" w:lineRule="auto"/>
              <w:jc w:val="left"/>
              <w:rPr>
                <w:rFonts w:ascii="宋体"/>
                <w:color w:val="000000"/>
                <w:sz w:val="20"/>
                <w:szCs w:val="20"/>
              </w:rPr>
            </w:pPr>
            <w:r>
              <w:rPr>
                <w:rFonts w:hint="eastAsia" w:ascii="宋体" w:hAnsi="宋体"/>
                <w:color w:val="000000"/>
                <w:sz w:val="20"/>
                <w:szCs w:val="20"/>
              </w:rPr>
              <w:t>教师理论讲授；教师案例分析；学生实践、教师辅导</w:t>
            </w:r>
          </w:p>
        </w:tc>
        <w:tc>
          <w:tcPr>
            <w:tcW w:w="1173" w:type="dxa"/>
            <w:vAlign w:val="center"/>
          </w:tcPr>
          <w:p>
            <w:pPr>
              <w:snapToGrid w:val="0"/>
              <w:spacing w:line="288" w:lineRule="auto"/>
              <w:jc w:val="center"/>
              <w:rPr>
                <w:rFonts w:ascii="宋体"/>
                <w:sz w:val="20"/>
                <w:szCs w:val="20"/>
              </w:rPr>
            </w:pPr>
            <w:r>
              <w:rPr>
                <w:rFonts w:hint="eastAsia" w:ascii="宋体" w:hAnsi="宋体"/>
                <w:sz w:val="20"/>
                <w:szCs w:val="20"/>
              </w:rPr>
              <w:t>实训报告</w:t>
            </w:r>
          </w:p>
          <w:p>
            <w:pPr>
              <w:snapToGrid w:val="0"/>
              <w:spacing w:line="288" w:lineRule="auto"/>
              <w:jc w:val="center"/>
              <w:rPr>
                <w:rFonts w:ascii="宋体"/>
                <w:sz w:val="20"/>
                <w:szCs w:val="20"/>
              </w:rPr>
            </w:pPr>
            <w:r>
              <w:rPr>
                <w:rFonts w:hint="eastAsia" w:ascii="宋体" w:hAnsi="宋体"/>
                <w:color w:val="000000"/>
                <w:sz w:val="20"/>
                <w:szCs w:val="20"/>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5" w:hRule="atLeast"/>
        </w:trPr>
        <w:tc>
          <w:tcPr>
            <w:tcW w:w="648" w:type="dxa"/>
            <w:vMerge w:val="continue"/>
            <w:vAlign w:val="center"/>
          </w:tcPr>
          <w:p>
            <w:pPr>
              <w:jc w:val="center"/>
              <w:rPr>
                <w:rFonts w:ascii="仿宋" w:hAnsi="仿宋" w:eastAsia="仿宋" w:cs="宋体"/>
                <w:color w:val="000000"/>
                <w:kern w:val="0"/>
                <w:sz w:val="24"/>
                <w:szCs w:val="24"/>
              </w:rPr>
            </w:pPr>
          </w:p>
        </w:tc>
        <w:tc>
          <w:tcPr>
            <w:tcW w:w="1260" w:type="dxa"/>
            <w:vMerge w:val="continue"/>
            <w:vAlign w:val="center"/>
          </w:tcPr>
          <w:p>
            <w:pPr>
              <w:jc w:val="center"/>
              <w:rPr>
                <w:rFonts w:ascii="仿宋" w:hAnsi="仿宋" w:eastAsia="仿宋" w:cs="宋体"/>
                <w:color w:val="000000"/>
                <w:kern w:val="0"/>
                <w:sz w:val="24"/>
                <w:szCs w:val="24"/>
              </w:rPr>
            </w:pPr>
          </w:p>
        </w:tc>
        <w:tc>
          <w:tcPr>
            <w:tcW w:w="3298" w:type="dxa"/>
          </w:tcPr>
          <w:p>
            <w:pPr>
              <w:snapToGrid w:val="0"/>
              <w:spacing w:line="288" w:lineRule="auto"/>
              <w:jc w:val="left"/>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．知道疾病的三级预防和突发公共卫生事件报告和处理；运用护理学理论及操作技术根据社区救护程序和原则开展救护工作。</w:t>
            </w:r>
          </w:p>
        </w:tc>
        <w:tc>
          <w:tcPr>
            <w:tcW w:w="1276" w:type="dxa"/>
          </w:tcPr>
          <w:p>
            <w:pPr>
              <w:snapToGrid w:val="0"/>
              <w:spacing w:line="288" w:lineRule="auto"/>
              <w:jc w:val="left"/>
              <w:rPr>
                <w:rFonts w:ascii="宋体"/>
                <w:color w:val="000000"/>
                <w:sz w:val="20"/>
                <w:szCs w:val="20"/>
              </w:rPr>
            </w:pPr>
            <w:r>
              <w:rPr>
                <w:rFonts w:hint="eastAsia" w:ascii="宋体" w:hAnsi="宋体"/>
                <w:color w:val="000000"/>
                <w:sz w:val="20"/>
                <w:szCs w:val="20"/>
              </w:rPr>
              <w:t>教师理论讲授；教师案例分析</w:t>
            </w:r>
          </w:p>
        </w:tc>
        <w:tc>
          <w:tcPr>
            <w:tcW w:w="1173" w:type="dxa"/>
            <w:vAlign w:val="center"/>
          </w:tcPr>
          <w:p>
            <w:pPr>
              <w:snapToGrid w:val="0"/>
              <w:spacing w:line="288" w:lineRule="auto"/>
              <w:jc w:val="center"/>
              <w:rPr>
                <w:rFonts w:ascii="宋体"/>
                <w:sz w:val="20"/>
                <w:szCs w:val="20"/>
              </w:rPr>
            </w:pPr>
            <w:r>
              <w:rPr>
                <w:rFonts w:hint="eastAsia" w:ascii="宋体" w:hAnsi="宋体"/>
                <w:color w:val="000000"/>
                <w:sz w:val="20"/>
                <w:szCs w:val="20"/>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0" w:hRule="atLeast"/>
        </w:trPr>
        <w:tc>
          <w:tcPr>
            <w:tcW w:w="648" w:type="dxa"/>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260" w:type="dxa"/>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L035</w:t>
            </w:r>
          </w:p>
        </w:tc>
        <w:tc>
          <w:tcPr>
            <w:tcW w:w="3298" w:type="dxa"/>
          </w:tcPr>
          <w:p>
            <w:pPr>
              <w:pStyle w:val="6"/>
              <w:spacing w:beforeAutospacing="0" w:afterAutospacing="0"/>
              <w:jc w:val="both"/>
              <w:rPr>
                <w:kern w:val="2"/>
                <w:sz w:val="20"/>
                <w:szCs w:val="20"/>
              </w:rPr>
            </w:pPr>
            <w:r>
              <w:rPr>
                <w:rFonts w:hint="eastAsia"/>
                <w:kern w:val="2"/>
                <w:sz w:val="20"/>
                <w:szCs w:val="20"/>
              </w:rPr>
              <w:t>将健康教育的理论及护理知识技能应用于实践，根据案例对社区人群进行评估，确定其健康问题并制定健康教育计划并实施。</w:t>
            </w:r>
          </w:p>
        </w:tc>
        <w:tc>
          <w:tcPr>
            <w:tcW w:w="1276" w:type="dxa"/>
          </w:tcPr>
          <w:p>
            <w:pPr>
              <w:snapToGrid w:val="0"/>
              <w:spacing w:line="288" w:lineRule="auto"/>
              <w:jc w:val="left"/>
              <w:rPr>
                <w:rFonts w:ascii="宋体"/>
                <w:color w:val="000000"/>
                <w:sz w:val="20"/>
                <w:szCs w:val="20"/>
              </w:rPr>
            </w:pPr>
            <w:r>
              <w:rPr>
                <w:rFonts w:hint="eastAsia" w:ascii="宋体" w:hAnsi="宋体"/>
                <w:color w:val="000000"/>
                <w:sz w:val="20"/>
                <w:szCs w:val="20"/>
              </w:rPr>
              <w:t>教师理论讲授；教师案例分析，学生实践、教师辅导</w:t>
            </w:r>
          </w:p>
        </w:tc>
        <w:tc>
          <w:tcPr>
            <w:tcW w:w="1173" w:type="dxa"/>
            <w:vAlign w:val="center"/>
          </w:tcPr>
          <w:p>
            <w:pPr>
              <w:snapToGrid w:val="0"/>
              <w:spacing w:line="288" w:lineRule="auto"/>
              <w:jc w:val="center"/>
              <w:rPr>
                <w:rFonts w:ascii="宋体"/>
                <w:sz w:val="20"/>
                <w:szCs w:val="20"/>
              </w:rPr>
            </w:pPr>
            <w:r>
              <w:rPr>
                <w:rFonts w:hint="eastAsia" w:ascii="宋体" w:hAnsi="宋体"/>
                <w:color w:val="000000"/>
                <w:sz w:val="20"/>
                <w:szCs w:val="20"/>
              </w:rPr>
              <w:t>纸笔测试实训报告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2" w:hRule="atLeast"/>
        </w:trPr>
        <w:tc>
          <w:tcPr>
            <w:tcW w:w="648" w:type="dxa"/>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1260" w:type="dxa"/>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L036</w:t>
            </w:r>
          </w:p>
        </w:tc>
        <w:tc>
          <w:tcPr>
            <w:tcW w:w="3298" w:type="dxa"/>
          </w:tcPr>
          <w:p>
            <w:pPr>
              <w:pStyle w:val="2"/>
              <w:spacing w:line="240" w:lineRule="auto"/>
              <w:ind w:firstLine="0"/>
              <w:rPr>
                <w:rFonts w:ascii="宋体"/>
                <w:color w:val="000000"/>
                <w:sz w:val="20"/>
              </w:rPr>
            </w:pPr>
            <w:r>
              <w:rPr>
                <w:rFonts w:hint="eastAsia" w:ascii="宋体" w:hAnsi="宋体"/>
                <w:color w:val="000000"/>
                <w:sz w:val="20"/>
              </w:rPr>
              <w:t>能配合社区卫生服务人员与社区相关部门，充分利用社区的资源，运用社区康复护理常用技术，为社区残疾人提供康复服务，同时培养团队协作精神及沟通协调能力。</w:t>
            </w:r>
          </w:p>
        </w:tc>
        <w:tc>
          <w:tcPr>
            <w:tcW w:w="1276" w:type="dxa"/>
          </w:tcPr>
          <w:p>
            <w:pPr>
              <w:snapToGrid w:val="0"/>
              <w:spacing w:line="288" w:lineRule="auto"/>
              <w:jc w:val="left"/>
              <w:rPr>
                <w:rFonts w:ascii="宋体"/>
                <w:color w:val="000000"/>
                <w:sz w:val="20"/>
                <w:szCs w:val="20"/>
              </w:rPr>
            </w:pPr>
            <w:r>
              <w:rPr>
                <w:rFonts w:hint="eastAsia" w:ascii="宋体" w:hAnsi="宋体"/>
                <w:color w:val="000000"/>
                <w:sz w:val="20"/>
                <w:szCs w:val="20"/>
              </w:rPr>
              <w:t>教师理论讲授；教师案例分析</w:t>
            </w:r>
          </w:p>
        </w:tc>
        <w:tc>
          <w:tcPr>
            <w:tcW w:w="1173" w:type="dxa"/>
            <w:vAlign w:val="center"/>
          </w:tcPr>
          <w:p>
            <w:pPr>
              <w:snapToGrid w:val="0"/>
              <w:spacing w:line="288" w:lineRule="auto"/>
              <w:jc w:val="center"/>
              <w:rPr>
                <w:rFonts w:ascii="宋体"/>
                <w:sz w:val="20"/>
                <w:szCs w:val="20"/>
              </w:rPr>
            </w:pPr>
            <w:r>
              <w:rPr>
                <w:rFonts w:hint="eastAsia" w:ascii="宋体" w:hAnsi="宋体"/>
                <w:color w:val="000000"/>
                <w:sz w:val="20"/>
                <w:szCs w:val="20"/>
              </w:rPr>
              <w:t>纸笔测试</w:t>
            </w:r>
          </w:p>
        </w:tc>
      </w:tr>
      <w:tr>
        <w:trPr>
          <w:cantSplit/>
          <w:trHeight w:val="1178" w:hRule="atLeast"/>
        </w:trPr>
        <w:tc>
          <w:tcPr>
            <w:tcW w:w="648" w:type="dxa"/>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6</w:t>
            </w:r>
          </w:p>
        </w:tc>
        <w:tc>
          <w:tcPr>
            <w:tcW w:w="1260" w:type="dxa"/>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LO511</w:t>
            </w:r>
          </w:p>
        </w:tc>
        <w:tc>
          <w:tcPr>
            <w:tcW w:w="3298" w:type="dxa"/>
          </w:tcPr>
          <w:p>
            <w:pPr>
              <w:widowControl/>
              <w:jc w:val="left"/>
              <w:rPr>
                <w:rFonts w:ascii="宋体"/>
                <w:color w:val="000000"/>
                <w:sz w:val="20"/>
                <w:szCs w:val="20"/>
              </w:rPr>
            </w:pPr>
            <w:r>
              <w:rPr>
                <w:rFonts w:hint="eastAsia" w:ascii="宋体" w:hAnsi="宋体"/>
                <w:color w:val="000000"/>
                <w:sz w:val="20"/>
                <w:szCs w:val="20"/>
              </w:rPr>
              <w:t>能正确运用所学护理知识和技能，模拟预防接种的实施，在护理操作中能主动担任自己的角色，与其他成员密切合作，共同完成预防接种任务。</w:t>
            </w:r>
          </w:p>
        </w:tc>
        <w:tc>
          <w:tcPr>
            <w:tcW w:w="1276" w:type="dxa"/>
          </w:tcPr>
          <w:p>
            <w:pPr>
              <w:snapToGrid w:val="0"/>
              <w:spacing w:line="288" w:lineRule="auto"/>
              <w:jc w:val="left"/>
              <w:rPr>
                <w:rFonts w:ascii="宋体"/>
                <w:color w:val="000000"/>
                <w:sz w:val="20"/>
                <w:szCs w:val="20"/>
              </w:rPr>
            </w:pPr>
            <w:r>
              <w:rPr>
                <w:rFonts w:hint="eastAsia" w:ascii="宋体" w:hAnsi="宋体"/>
                <w:color w:val="000000"/>
                <w:sz w:val="20"/>
                <w:szCs w:val="20"/>
              </w:rPr>
              <w:t>教师理论讲授；教师案例分析；学生实践、教师辅导</w:t>
            </w:r>
          </w:p>
        </w:tc>
        <w:tc>
          <w:tcPr>
            <w:tcW w:w="1173" w:type="dxa"/>
            <w:vAlign w:val="center"/>
          </w:tcPr>
          <w:p>
            <w:pPr>
              <w:snapToGrid w:val="0"/>
              <w:spacing w:line="288" w:lineRule="auto"/>
              <w:jc w:val="center"/>
              <w:rPr>
                <w:rFonts w:ascii="宋体"/>
                <w:sz w:val="20"/>
                <w:szCs w:val="20"/>
              </w:rPr>
            </w:pPr>
            <w:r>
              <w:rPr>
                <w:rFonts w:hint="eastAsia" w:ascii="宋体" w:hAnsi="宋体"/>
                <w:color w:val="000000"/>
                <w:sz w:val="20"/>
                <w:szCs w:val="20"/>
              </w:rPr>
              <w:t>纸笔测试</w:t>
            </w:r>
            <w:r>
              <w:rPr>
                <w:rFonts w:hint="eastAsia" w:ascii="宋体" w:hAnsi="宋体"/>
                <w:sz w:val="20"/>
                <w:szCs w:val="20"/>
              </w:rPr>
              <w:t>实训报告</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rPr>
        <w:t>本课程总学时为</w:t>
      </w:r>
      <w:r>
        <w:rPr>
          <w:rFonts w:ascii="黑体" w:hAnsi="宋体" w:eastAsia="黑体"/>
          <w:sz w:val="24"/>
        </w:rPr>
        <w:t>32</w:t>
      </w:r>
      <w:r>
        <w:rPr>
          <w:rFonts w:hint="eastAsia" w:ascii="黑体" w:hAnsi="宋体" w:eastAsia="黑体"/>
          <w:sz w:val="24"/>
        </w:rPr>
        <w:t>学时，其中教师课堂理论授课学时为</w:t>
      </w:r>
      <w:r>
        <w:rPr>
          <w:rFonts w:ascii="黑体" w:hAnsi="宋体" w:eastAsia="黑体"/>
          <w:sz w:val="24"/>
        </w:rPr>
        <w:t>24</w:t>
      </w:r>
      <w:r>
        <w:rPr>
          <w:rFonts w:hint="eastAsia" w:ascii="黑体" w:hAnsi="宋体" w:eastAsia="黑体"/>
          <w:sz w:val="24"/>
        </w:rPr>
        <w:t>学时；学生课内实践环节学时为</w:t>
      </w:r>
      <w:r>
        <w:rPr>
          <w:rFonts w:ascii="黑体" w:hAnsi="宋体" w:eastAsia="黑体"/>
          <w:sz w:val="24"/>
        </w:rPr>
        <w:t>8</w:t>
      </w:r>
      <w:r>
        <w:rPr>
          <w:rFonts w:hint="eastAsia" w:ascii="黑体" w:hAnsi="宋体" w:eastAsia="黑体"/>
          <w:sz w:val="24"/>
        </w:rPr>
        <w:t>学时；课外练习，查阅文献及作业等时间不计在内。</w:t>
      </w:r>
    </w:p>
    <w:tbl>
      <w:tblPr>
        <w:tblStyle w:val="9"/>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720"/>
        <w:gridCol w:w="2160"/>
        <w:gridCol w:w="2160"/>
        <w:gridCol w:w="153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2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rPr>
          <w:trHeight w:val="503" w:hRule="atLeast"/>
          <w:jc w:val="center"/>
        </w:trPr>
        <w:tc>
          <w:tcPr>
            <w:tcW w:w="360" w:type="dxa"/>
            <w:vAlign w:val="center"/>
          </w:tcPr>
          <w:p>
            <w:pPr>
              <w:snapToGrid w:val="0"/>
              <w:spacing w:line="288" w:lineRule="auto"/>
              <w:rPr>
                <w:rFonts w:ascii="宋体"/>
                <w:color w:val="000000"/>
                <w:sz w:val="20"/>
                <w:szCs w:val="20"/>
              </w:rPr>
            </w:pPr>
            <w:r>
              <w:rPr>
                <w:rFonts w:ascii="宋体" w:hAnsi="宋体"/>
                <w:color w:val="000000"/>
                <w:sz w:val="20"/>
                <w:szCs w:val="20"/>
              </w:rPr>
              <w:t>1</w:t>
            </w:r>
          </w:p>
        </w:tc>
        <w:tc>
          <w:tcPr>
            <w:tcW w:w="72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社区卫生服务与社区护理</w:t>
            </w:r>
          </w:p>
        </w:tc>
        <w:tc>
          <w:tcPr>
            <w:tcW w:w="2160" w:type="dxa"/>
          </w:tcPr>
          <w:p>
            <w:pPr>
              <w:spacing w:line="300" w:lineRule="auto"/>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掌握社区、社区护理、社区卫生服务的概念，社区卫生服务、社区护理的特点。</w:t>
            </w:r>
          </w:p>
          <w:p>
            <w:pPr>
              <w:spacing w:line="300" w:lineRule="auto"/>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熟悉社区卫生服务的概念和功能，社区护理的工作对象和内容，社区护理常用的方法与技术。</w:t>
            </w:r>
          </w:p>
          <w:p>
            <w:pPr>
              <w:spacing w:line="300" w:lineRule="auto"/>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了解社区的分类、特点和功能，社区卫生服务的组织机构和功能，社区护士应具备的能力和素质，社区护理发展的历史和趋势。</w:t>
            </w:r>
          </w:p>
        </w:tc>
        <w:tc>
          <w:tcPr>
            <w:tcW w:w="216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能说出社区及社区卫生服务、社区护理概念；社区要素与社区功能；社区护理特点。</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能概括社区卫生服务范围与特点；社区护理工作内容；社区护士任职条件。</w:t>
            </w:r>
          </w:p>
          <w:p>
            <w:pPr>
              <w:snapToGrid w:val="0"/>
              <w:spacing w:line="288" w:lineRule="auto"/>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能简述社区卫生服务方式与服务机构；社区护士应承担的角色及能力；国内外社区护理发展。</w:t>
            </w:r>
          </w:p>
          <w:p>
            <w:pPr>
              <w:snapToGrid w:val="0"/>
              <w:spacing w:line="288" w:lineRule="auto"/>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能正确运用所学知识和技能开展社区护理工作，积极参与社区卫生服务活动。</w:t>
            </w:r>
          </w:p>
        </w:tc>
        <w:tc>
          <w:tcPr>
            <w:tcW w:w="153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视每一位社区居民为自己的亲人，耐心回答患者提出的每一个问题。</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能正确运用语言和非语言行为与社区居民进行有效的沟通。</w:t>
            </w:r>
          </w:p>
          <w:p>
            <w:pPr>
              <w:snapToGrid w:val="0"/>
              <w:spacing w:line="288" w:lineRule="auto"/>
              <w:rPr>
                <w:rFonts w:ascii="宋体" w:hAnsi="宋体"/>
                <w:color w:val="000000"/>
                <w:sz w:val="20"/>
                <w:szCs w:val="20"/>
              </w:rPr>
            </w:pPr>
          </w:p>
        </w:tc>
        <w:tc>
          <w:tcPr>
            <w:tcW w:w="1506" w:type="dxa"/>
          </w:tcPr>
          <w:p>
            <w:pPr>
              <w:snapToGrid w:val="0"/>
              <w:spacing w:line="288" w:lineRule="auto"/>
              <w:rPr>
                <w:rFonts w:ascii="宋体" w:hAnsi="宋体"/>
                <w:color w:val="000000"/>
                <w:sz w:val="20"/>
                <w:szCs w:val="20"/>
              </w:rPr>
            </w:pPr>
            <w:r>
              <w:rPr>
                <w:rFonts w:ascii="宋体" w:hAnsi="宋体"/>
                <w:color w:val="000000"/>
                <w:sz w:val="20"/>
                <w:szCs w:val="20"/>
              </w:rPr>
              <w:t>1．社区卫生服务中的常用护理技术和方法</w:t>
            </w:r>
          </w:p>
          <w:p>
            <w:pPr>
              <w:snapToGrid w:val="0"/>
              <w:spacing w:line="288" w:lineRule="auto"/>
              <w:rPr>
                <w:rFonts w:ascii="宋体" w:hAnsi="宋体"/>
                <w:color w:val="000000"/>
                <w:sz w:val="20"/>
                <w:szCs w:val="20"/>
              </w:rPr>
            </w:pPr>
            <w:r>
              <w:rPr>
                <w:rFonts w:ascii="宋体" w:hAnsi="宋体"/>
                <w:color w:val="000000"/>
                <w:sz w:val="20"/>
                <w:szCs w:val="20"/>
              </w:rPr>
              <w:t>2．护理工作思维理念的转变</w:t>
            </w:r>
          </w:p>
          <w:p>
            <w:pPr>
              <w:snapToGrid w:val="0"/>
              <w:spacing w:line="288" w:lineRule="auto"/>
              <w:rPr>
                <w:rFonts w:ascii="宋体" w:hAnsi="宋体"/>
                <w:color w:val="000000"/>
                <w:sz w:val="20"/>
                <w:szCs w:val="20"/>
              </w:rPr>
            </w:pPr>
            <w:r>
              <w:rPr>
                <w:rFonts w:ascii="宋体" w:hAnsi="宋体"/>
                <w:color w:val="000000"/>
                <w:sz w:val="20"/>
                <w:szCs w:val="20"/>
              </w:rPr>
              <w:t xml:space="preserve"> </w:t>
            </w:r>
          </w:p>
        </w:tc>
        <w:tc>
          <w:tcPr>
            <w:tcW w:w="420" w:type="dxa"/>
          </w:tcPr>
          <w:p>
            <w:pPr>
              <w:snapToGrid w:val="0"/>
              <w:spacing w:line="288" w:lineRule="auto"/>
              <w:rPr>
                <w:rFonts w:ascii="宋体" w:hAnsi="宋体"/>
                <w:color w:val="000000"/>
                <w:sz w:val="20"/>
                <w:szCs w:val="20"/>
              </w:rPr>
            </w:pPr>
            <w:r>
              <w:rPr>
                <w:rFonts w:ascii="宋体" w:hAnsi="宋体"/>
                <w:color w:val="000000"/>
                <w:sz w:val="20"/>
                <w:szCs w:val="20"/>
              </w:rPr>
              <w:t>2</w:t>
            </w:r>
          </w:p>
        </w:tc>
        <w:tc>
          <w:tcPr>
            <w:tcW w:w="420" w:type="dxa"/>
          </w:tcPr>
          <w:p>
            <w:pPr>
              <w:snapToGrid w:val="0"/>
              <w:spacing w:line="288" w:lineRule="auto"/>
              <w:rPr>
                <w:rFonts w:ascii="宋体"/>
                <w:color w:val="000000"/>
                <w:sz w:val="20"/>
                <w:szCs w:val="20"/>
              </w:rPr>
            </w:pPr>
            <w:r>
              <w:rPr>
                <w:rFonts w:ascii="宋体"/>
                <w:color w:val="000000"/>
                <w:sz w:val="20"/>
                <w:szCs w:val="20"/>
              </w:rPr>
              <w:t>0</w:t>
            </w:r>
          </w:p>
        </w:tc>
        <w:tc>
          <w:tcPr>
            <w:tcW w:w="421" w:type="dxa"/>
          </w:tcPr>
          <w:p>
            <w:pPr>
              <w:snapToGrid w:val="0"/>
              <w:spacing w:line="288" w:lineRule="auto"/>
              <w:rPr>
                <w:rFonts w:asci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72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社区护理模式及程序</w:t>
            </w:r>
          </w:p>
        </w:tc>
        <w:tc>
          <w:tcPr>
            <w:tcW w:w="2160" w:type="dxa"/>
          </w:tcPr>
          <w:p>
            <w:pPr>
              <w:spacing w:line="300" w:lineRule="auto"/>
              <w:rPr>
                <w:rFonts w:ascii="宋体" w:hAnsi="宋体"/>
                <w:color w:val="000000"/>
                <w:sz w:val="20"/>
                <w:szCs w:val="20"/>
              </w:rPr>
            </w:pPr>
            <w:r>
              <w:rPr>
                <w:rFonts w:ascii="宋体" w:hAnsi="宋体"/>
                <w:color w:val="000000"/>
                <w:sz w:val="20"/>
                <w:szCs w:val="20"/>
              </w:rPr>
              <w:t>1.掌握社区护理的基本模式，社区护理评估资料的内容及方法，确定社区护理诊断优先顺序的原则.</w:t>
            </w:r>
          </w:p>
          <w:p>
            <w:pPr>
              <w:spacing w:line="300" w:lineRule="auto"/>
              <w:rPr>
                <w:rFonts w:ascii="宋体" w:hAnsi="宋体"/>
                <w:color w:val="000000"/>
                <w:sz w:val="20"/>
                <w:szCs w:val="20"/>
              </w:rPr>
            </w:pPr>
            <w:r>
              <w:rPr>
                <w:rFonts w:ascii="宋体" w:hAnsi="宋体"/>
                <w:color w:val="000000"/>
                <w:sz w:val="20"/>
                <w:szCs w:val="20"/>
              </w:rPr>
              <w:t>2.熟悉社区资料的分析和社区护理诊断形成的过程，社区三级预防的内涵及措施。</w:t>
            </w:r>
          </w:p>
          <w:p>
            <w:pPr>
              <w:spacing w:line="300" w:lineRule="auto"/>
              <w:rPr>
                <w:rFonts w:ascii="宋体" w:hAnsi="宋体"/>
                <w:color w:val="000000"/>
                <w:sz w:val="20"/>
                <w:szCs w:val="20"/>
              </w:rPr>
            </w:pPr>
            <w:r>
              <w:rPr>
                <w:rFonts w:ascii="宋体" w:hAnsi="宋体"/>
                <w:color w:val="000000"/>
                <w:sz w:val="20"/>
                <w:szCs w:val="20"/>
              </w:rPr>
              <w:t xml:space="preserve">3.了解社区护理评估和临床护理评估的区别 </w:t>
            </w:r>
          </w:p>
        </w:tc>
        <w:tc>
          <w:tcPr>
            <w:tcW w:w="2160" w:type="dxa"/>
          </w:tcPr>
          <w:p>
            <w:pPr>
              <w:spacing w:line="300" w:lineRule="auto"/>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 xml:space="preserve">运用护理程序对社区进行评估，提出护理诊断，拟定护理计划。 </w:t>
            </w:r>
          </w:p>
          <w:p>
            <w:pPr>
              <w:snapToGrid w:val="0"/>
              <w:spacing w:line="288" w:lineRule="auto"/>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能运用护理程序在开展社区护理。</w:t>
            </w:r>
          </w:p>
          <w:p>
            <w:pPr>
              <w:snapToGrid w:val="0"/>
              <w:spacing w:line="288" w:lineRule="auto"/>
              <w:rPr>
                <w:rFonts w:ascii="宋体" w:hAnsi="宋体"/>
                <w:color w:val="000000"/>
                <w:sz w:val="20"/>
                <w:szCs w:val="20"/>
              </w:rPr>
            </w:pPr>
          </w:p>
        </w:tc>
        <w:tc>
          <w:tcPr>
            <w:tcW w:w="153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具有尊重服务对象，并保护其隐私的意识。</w:t>
            </w:r>
          </w:p>
          <w:p>
            <w:pPr>
              <w:pStyle w:val="6"/>
              <w:spacing w:beforeAutospacing="0" w:afterAutospacing="0" w:line="288" w:lineRule="auto"/>
              <w:jc w:val="both"/>
              <w:rPr>
                <w:kern w:val="2"/>
                <w:sz w:val="20"/>
                <w:szCs w:val="20"/>
              </w:rPr>
            </w:pPr>
            <w:r>
              <w:rPr>
                <w:kern w:val="2"/>
                <w:sz w:val="20"/>
                <w:szCs w:val="20"/>
              </w:rPr>
              <w:t>2.</w:t>
            </w:r>
            <w:r>
              <w:rPr>
                <w:rFonts w:hint="eastAsia"/>
                <w:kern w:val="2"/>
                <w:sz w:val="20"/>
                <w:szCs w:val="20"/>
              </w:rPr>
              <w:t>具有关注社区整体健康的观念和严谨求实的工作作风</w:t>
            </w:r>
          </w:p>
          <w:p>
            <w:pPr>
              <w:snapToGrid w:val="0"/>
              <w:spacing w:line="288" w:lineRule="auto"/>
              <w:rPr>
                <w:rFonts w:ascii="宋体" w:hAnsi="宋体"/>
                <w:color w:val="000000"/>
                <w:sz w:val="20"/>
                <w:szCs w:val="20"/>
              </w:rPr>
            </w:pPr>
          </w:p>
        </w:tc>
        <w:tc>
          <w:tcPr>
            <w:tcW w:w="1506" w:type="dxa"/>
          </w:tcPr>
          <w:p>
            <w:pPr>
              <w:spacing w:line="300" w:lineRule="auto"/>
              <w:rPr>
                <w:rFonts w:ascii="宋体" w:hAnsi="宋体"/>
                <w:color w:val="000000"/>
                <w:sz w:val="20"/>
                <w:szCs w:val="20"/>
              </w:rPr>
            </w:pPr>
            <w:r>
              <w:rPr>
                <w:rFonts w:ascii="宋体" w:hAnsi="宋体"/>
                <w:color w:val="000000"/>
                <w:sz w:val="20"/>
                <w:szCs w:val="20"/>
              </w:rPr>
              <w:t xml:space="preserve">1．社区评估资料收集内容和主要方法，护理诊断优先顺序的原则 </w:t>
            </w:r>
          </w:p>
          <w:p>
            <w:pPr>
              <w:spacing w:line="300" w:lineRule="auto"/>
              <w:rPr>
                <w:rFonts w:ascii="宋体" w:hAnsi="宋体"/>
                <w:color w:val="000000"/>
                <w:sz w:val="20"/>
                <w:szCs w:val="20"/>
              </w:rPr>
            </w:pPr>
            <w:r>
              <w:rPr>
                <w:rFonts w:ascii="宋体" w:hAnsi="宋体"/>
                <w:color w:val="000000"/>
                <w:sz w:val="20"/>
                <w:szCs w:val="20"/>
              </w:rPr>
              <w:t xml:space="preserve">2．社区各种类型健康档案建立的相关内容和方法 </w:t>
            </w:r>
          </w:p>
          <w:p>
            <w:pPr>
              <w:spacing w:line="300" w:lineRule="auto"/>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．优先顺序的原则的确定</w:t>
            </w:r>
          </w:p>
          <w:p>
            <w:pPr>
              <w:spacing w:line="300" w:lineRule="auto"/>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．Omaha社区护理诊断系统</w:t>
            </w:r>
          </w:p>
        </w:tc>
        <w:tc>
          <w:tcPr>
            <w:tcW w:w="420" w:type="dxa"/>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420" w:type="dxa"/>
          </w:tcPr>
          <w:p>
            <w:pPr>
              <w:snapToGrid w:val="0"/>
              <w:spacing w:line="288" w:lineRule="auto"/>
              <w:rPr>
                <w:rFonts w:ascii="宋体"/>
                <w:color w:val="000000"/>
                <w:sz w:val="20"/>
                <w:szCs w:val="20"/>
              </w:rPr>
            </w:pPr>
            <w:r>
              <w:rPr>
                <w:rFonts w:hint="eastAsia" w:ascii="宋体"/>
                <w:color w:val="000000"/>
                <w:sz w:val="20"/>
                <w:szCs w:val="20"/>
              </w:rPr>
              <w:t>2</w:t>
            </w:r>
          </w:p>
        </w:tc>
        <w:tc>
          <w:tcPr>
            <w:tcW w:w="421" w:type="dxa"/>
          </w:tcPr>
          <w:p>
            <w:pPr>
              <w:snapToGrid w:val="0"/>
              <w:spacing w:line="288" w:lineRule="auto"/>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3</w:t>
            </w:r>
          </w:p>
        </w:tc>
        <w:tc>
          <w:tcPr>
            <w:tcW w:w="72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社区健康教育与健康促进</w:t>
            </w:r>
          </w:p>
        </w:tc>
        <w:tc>
          <w:tcPr>
            <w:tcW w:w="2160"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理解社区健康教育和健康促进概念；社区不同人群的健康教育主要内容与健康促进的策略。</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知道社区健康教育程序；健康促进的规划设计。</w:t>
            </w:r>
          </w:p>
          <w:p>
            <w:pPr>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知道促进健康及危害健康的相关行为；健康促进的基本内容和组织管理。</w:t>
            </w:r>
          </w:p>
          <w:p>
            <w:pPr>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知道健康教育计划制定和实施方法；社区健康促进的实施方法。</w:t>
            </w:r>
          </w:p>
          <w:p>
            <w:pPr>
              <w:rPr>
                <w:rFonts w:ascii="宋体" w:hAnsi="宋体"/>
                <w:color w:val="000000"/>
                <w:sz w:val="20"/>
                <w:szCs w:val="20"/>
              </w:rPr>
            </w:pPr>
          </w:p>
        </w:tc>
        <w:tc>
          <w:tcPr>
            <w:tcW w:w="2160"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能说出社区健康教育和健康促进概念；社区不同人群的健康教育主要内容与健康促进的策略。</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能概括促进健康及危害健康的相关行为；健康促进的基本内容和组织管理。</w:t>
            </w:r>
          </w:p>
          <w:p>
            <w:pPr>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能进行社区特定人群健康教育计划制定和实施。</w:t>
            </w:r>
          </w:p>
          <w:p>
            <w:pPr>
              <w:snapToGrid w:val="0"/>
              <w:spacing w:line="288" w:lineRule="auto"/>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能运用健康教育与健康促进的理论和方法，配合社区卫生服务人员与社区相关部门，开展社区健康教育及健康促进活动。</w:t>
            </w:r>
          </w:p>
        </w:tc>
        <w:tc>
          <w:tcPr>
            <w:tcW w:w="1530"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具有团队协作精神及人际沟通能力。</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在社区健康教育工作中具有组织协调能力。</w:t>
            </w:r>
          </w:p>
          <w:p>
            <w:pPr>
              <w:snapToGrid w:val="0"/>
              <w:spacing w:line="288" w:lineRule="auto"/>
              <w:rPr>
                <w:rFonts w:ascii="宋体" w:hAnsi="宋体"/>
                <w:color w:val="000000"/>
                <w:sz w:val="20"/>
                <w:szCs w:val="20"/>
              </w:rPr>
            </w:pPr>
          </w:p>
        </w:tc>
        <w:tc>
          <w:tcPr>
            <w:tcW w:w="1506"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社区不同人群的健康教育主要内容与健康促进的策略。</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促进健康及危害健康的相关行为。</w:t>
            </w:r>
          </w:p>
          <w:p>
            <w:pPr>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健康教育计划制定和实施方法。</w:t>
            </w:r>
          </w:p>
          <w:p>
            <w:pPr>
              <w:snapToGrid w:val="0"/>
              <w:spacing w:line="288" w:lineRule="auto"/>
              <w:rPr>
                <w:rFonts w:ascii="宋体" w:hAnsi="宋体"/>
                <w:color w:val="000000"/>
                <w:sz w:val="20"/>
                <w:szCs w:val="20"/>
              </w:rPr>
            </w:pPr>
          </w:p>
        </w:tc>
        <w:tc>
          <w:tcPr>
            <w:tcW w:w="420" w:type="dxa"/>
          </w:tcPr>
          <w:p>
            <w:pPr>
              <w:rPr>
                <w:rFonts w:ascii="宋体" w:hAnsi="宋体"/>
                <w:color w:val="000000"/>
                <w:sz w:val="20"/>
                <w:szCs w:val="20"/>
              </w:rPr>
            </w:pPr>
            <w:r>
              <w:rPr>
                <w:rFonts w:ascii="宋体" w:hAnsi="宋体"/>
                <w:color w:val="000000"/>
                <w:sz w:val="20"/>
                <w:szCs w:val="20"/>
              </w:rPr>
              <w:t>2</w:t>
            </w:r>
          </w:p>
        </w:tc>
        <w:tc>
          <w:tcPr>
            <w:tcW w:w="420" w:type="dxa"/>
          </w:tcPr>
          <w:p>
            <w:pPr>
              <w:rPr>
                <w:rFonts w:ascii="宋体"/>
                <w:color w:val="000000"/>
                <w:sz w:val="20"/>
                <w:szCs w:val="20"/>
              </w:rPr>
            </w:pPr>
            <w:r>
              <w:rPr>
                <w:rFonts w:ascii="宋体"/>
                <w:color w:val="000000"/>
                <w:sz w:val="20"/>
                <w:szCs w:val="20"/>
              </w:rPr>
              <w:t>0</w:t>
            </w:r>
          </w:p>
        </w:tc>
        <w:tc>
          <w:tcPr>
            <w:tcW w:w="421" w:type="dxa"/>
          </w:tcPr>
          <w:p>
            <w:pPr>
              <w:rPr>
                <w:rFonts w:asci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rPr>
                <w:rFonts w:ascii="宋体"/>
                <w:color w:val="000000"/>
                <w:sz w:val="20"/>
                <w:szCs w:val="20"/>
              </w:rPr>
            </w:pPr>
            <w:r>
              <w:rPr>
                <w:rFonts w:hint="eastAsia" w:ascii="宋体" w:hAnsi="宋体"/>
                <w:color w:val="000000"/>
                <w:sz w:val="20"/>
                <w:szCs w:val="20"/>
              </w:rPr>
              <w:t>4</w:t>
            </w:r>
          </w:p>
        </w:tc>
        <w:tc>
          <w:tcPr>
            <w:tcW w:w="72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社区流行病学与传染病学管理</w:t>
            </w:r>
          </w:p>
        </w:tc>
        <w:tc>
          <w:tcPr>
            <w:tcW w:w="2160" w:type="dxa"/>
          </w:tcPr>
          <w:p>
            <w:pPr>
              <w:spacing w:line="300" w:lineRule="auto"/>
              <w:rPr>
                <w:rFonts w:ascii="宋体" w:hAnsi="宋体"/>
                <w:color w:val="000000"/>
                <w:sz w:val="20"/>
                <w:szCs w:val="20"/>
              </w:rPr>
            </w:pPr>
            <w:r>
              <w:rPr>
                <w:rFonts w:ascii="宋体" w:hAnsi="宋体"/>
                <w:color w:val="000000"/>
                <w:sz w:val="20"/>
                <w:szCs w:val="20"/>
              </w:rPr>
              <w:t>1.掌握社区常用的流行病学调查方法及其特点，流行病学在社区护理中的应用。</w:t>
            </w:r>
          </w:p>
          <w:p>
            <w:pPr>
              <w:spacing w:line="300" w:lineRule="auto"/>
              <w:rPr>
                <w:rFonts w:ascii="宋体" w:hAnsi="宋体"/>
                <w:color w:val="000000"/>
                <w:sz w:val="20"/>
                <w:szCs w:val="20"/>
              </w:rPr>
            </w:pPr>
            <w:r>
              <w:rPr>
                <w:rFonts w:ascii="宋体" w:hAnsi="宋体"/>
                <w:color w:val="000000"/>
                <w:sz w:val="20"/>
                <w:szCs w:val="20"/>
              </w:rPr>
              <w:t>2.熟悉社区流行病学的基本调查程序，社区流行病学中常用的统计指标 。</w:t>
            </w:r>
          </w:p>
          <w:p>
            <w:pPr>
              <w:spacing w:line="300" w:lineRule="auto"/>
              <w:rPr>
                <w:rFonts w:ascii="宋体" w:hAnsi="宋体"/>
                <w:color w:val="000000"/>
                <w:sz w:val="20"/>
                <w:szCs w:val="20"/>
              </w:rPr>
            </w:pPr>
            <w:r>
              <w:rPr>
                <w:rFonts w:ascii="宋体" w:hAnsi="宋体"/>
                <w:color w:val="000000"/>
                <w:sz w:val="20"/>
                <w:szCs w:val="20"/>
              </w:rPr>
              <w:t xml:space="preserve">3.了解流行病学的基本知识。 </w:t>
            </w:r>
          </w:p>
          <w:p>
            <w:pPr>
              <w:snapToGrid w:val="0"/>
              <w:spacing w:line="288" w:lineRule="auto"/>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w:t>
            </w:r>
            <w:r>
              <w:rPr>
                <w:rFonts w:hint="eastAsia" w:ascii="宋体" w:hAnsi="宋体"/>
                <w:color w:val="000000"/>
                <w:sz w:val="20"/>
                <w:szCs w:val="20"/>
              </w:rPr>
              <w:t>理解统计表的结构、种类和制表要求；绘制统计图的基本要求，常用统计图的适用条件与绘制方法。</w:t>
            </w:r>
          </w:p>
        </w:tc>
        <w:tc>
          <w:tcPr>
            <w:tcW w:w="2160" w:type="dxa"/>
          </w:tcPr>
          <w:p>
            <w:pPr>
              <w:snapToGrid w:val="0"/>
              <w:spacing w:line="288" w:lineRule="auto"/>
              <w:rPr>
                <w:rFonts w:ascii="宋体" w:hAnsi="宋体"/>
                <w:color w:val="000000"/>
                <w:sz w:val="20"/>
                <w:szCs w:val="20"/>
              </w:rPr>
            </w:pPr>
            <w:r>
              <w:rPr>
                <w:rFonts w:ascii="宋体" w:hAnsi="宋体"/>
                <w:color w:val="000000"/>
                <w:sz w:val="20"/>
                <w:szCs w:val="20"/>
              </w:rPr>
              <w:t>1. 运用所学知识开展社区流行病学调查。</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能在社区护理中运用常用的流行病学的研究方法和流行病学统计指标。</w:t>
            </w:r>
          </w:p>
          <w:p>
            <w:pPr>
              <w:snapToGrid w:val="0"/>
              <w:spacing w:line="288" w:lineRule="auto"/>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能根据资料的性质和研究分析目的，选择并制作正确的统计图、统计表。</w:t>
            </w:r>
          </w:p>
        </w:tc>
        <w:tc>
          <w:tcPr>
            <w:tcW w:w="153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具有尊重服务对象，并保护其隐私的意识。</w:t>
            </w:r>
          </w:p>
          <w:p>
            <w:pPr>
              <w:pStyle w:val="6"/>
              <w:spacing w:beforeAutospacing="0" w:afterAutospacing="0" w:line="288" w:lineRule="auto"/>
              <w:jc w:val="both"/>
              <w:rPr>
                <w:kern w:val="2"/>
                <w:sz w:val="20"/>
                <w:szCs w:val="20"/>
              </w:rPr>
            </w:pPr>
            <w:r>
              <w:rPr>
                <w:kern w:val="2"/>
                <w:sz w:val="20"/>
                <w:szCs w:val="20"/>
              </w:rPr>
              <w:t>2.</w:t>
            </w:r>
            <w:r>
              <w:rPr>
                <w:rFonts w:hint="eastAsia"/>
                <w:kern w:val="2"/>
                <w:sz w:val="20"/>
                <w:szCs w:val="20"/>
              </w:rPr>
              <w:t>具有关注社区整体健康的观念和严谨求实的工作作风</w:t>
            </w:r>
          </w:p>
          <w:p>
            <w:pPr>
              <w:snapToGrid w:val="0"/>
              <w:spacing w:line="288" w:lineRule="auto"/>
              <w:rPr>
                <w:rFonts w:ascii="宋体" w:hAnsi="宋体"/>
                <w:color w:val="000000"/>
                <w:sz w:val="20"/>
                <w:szCs w:val="20"/>
              </w:rPr>
            </w:pPr>
          </w:p>
        </w:tc>
        <w:tc>
          <w:tcPr>
            <w:tcW w:w="1506" w:type="dxa"/>
          </w:tcPr>
          <w:p>
            <w:pPr>
              <w:spacing w:line="300" w:lineRule="auto"/>
              <w:rPr>
                <w:rFonts w:ascii="宋体" w:hAnsi="宋体"/>
                <w:color w:val="000000"/>
                <w:sz w:val="20"/>
                <w:szCs w:val="20"/>
              </w:rPr>
            </w:pPr>
            <w:r>
              <w:rPr>
                <w:rFonts w:ascii="宋体" w:hAnsi="宋体"/>
                <w:color w:val="000000"/>
                <w:sz w:val="20"/>
                <w:szCs w:val="20"/>
              </w:rPr>
              <w:t>1.流行病学的流行特点</w:t>
            </w:r>
          </w:p>
          <w:p>
            <w:pPr>
              <w:spacing w:line="300" w:lineRule="auto"/>
              <w:rPr>
                <w:rFonts w:ascii="宋体" w:hAnsi="宋体"/>
                <w:color w:val="000000"/>
                <w:sz w:val="20"/>
                <w:szCs w:val="20"/>
              </w:rPr>
            </w:pPr>
            <w:r>
              <w:rPr>
                <w:rFonts w:ascii="宋体" w:hAnsi="宋体"/>
                <w:color w:val="000000"/>
                <w:sz w:val="20"/>
                <w:szCs w:val="20"/>
              </w:rPr>
              <w:t xml:space="preserve">2.社区护理中常用的流行病学方法  </w:t>
            </w:r>
          </w:p>
          <w:p>
            <w:pPr>
              <w:spacing w:line="300" w:lineRule="auto"/>
              <w:rPr>
                <w:rFonts w:ascii="宋体" w:hAnsi="宋体"/>
                <w:color w:val="000000"/>
                <w:sz w:val="20"/>
                <w:szCs w:val="20"/>
              </w:rPr>
            </w:pPr>
            <w:r>
              <w:rPr>
                <w:rFonts w:ascii="宋体" w:hAnsi="宋体"/>
                <w:color w:val="000000"/>
                <w:sz w:val="20"/>
                <w:szCs w:val="20"/>
              </w:rPr>
              <w:t>3.流行病学方法在社区护理中的应用。</w:t>
            </w:r>
          </w:p>
          <w:p>
            <w:pPr>
              <w:spacing w:line="300" w:lineRule="auto"/>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.社区流行病学中常用统计指标。</w:t>
            </w:r>
          </w:p>
          <w:p>
            <w:pPr>
              <w:spacing w:line="300" w:lineRule="auto"/>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.社区常用的流行病学调查方法。</w:t>
            </w:r>
          </w:p>
        </w:tc>
        <w:tc>
          <w:tcPr>
            <w:tcW w:w="420" w:type="dxa"/>
          </w:tcPr>
          <w:p>
            <w:pPr>
              <w:snapToGrid w:val="0"/>
              <w:spacing w:line="288" w:lineRule="auto"/>
              <w:rPr>
                <w:rFonts w:ascii="宋体" w:hAnsi="宋体"/>
                <w:color w:val="000000"/>
                <w:sz w:val="20"/>
                <w:szCs w:val="20"/>
              </w:rPr>
            </w:pPr>
            <w:r>
              <w:rPr>
                <w:rFonts w:ascii="宋体" w:hAnsi="宋体"/>
                <w:color w:val="000000"/>
                <w:sz w:val="20"/>
                <w:szCs w:val="20"/>
              </w:rPr>
              <w:t>2</w:t>
            </w:r>
          </w:p>
        </w:tc>
        <w:tc>
          <w:tcPr>
            <w:tcW w:w="420" w:type="dxa"/>
          </w:tcPr>
          <w:p>
            <w:pPr>
              <w:snapToGrid w:val="0"/>
              <w:spacing w:line="288" w:lineRule="auto"/>
              <w:rPr>
                <w:rFonts w:ascii="宋体"/>
                <w:color w:val="000000"/>
                <w:sz w:val="20"/>
                <w:szCs w:val="20"/>
              </w:rPr>
            </w:pPr>
            <w:r>
              <w:rPr>
                <w:rFonts w:ascii="宋体" w:hAnsi="宋体"/>
                <w:color w:val="000000"/>
                <w:sz w:val="20"/>
                <w:szCs w:val="20"/>
              </w:rPr>
              <w:t>2</w:t>
            </w:r>
          </w:p>
        </w:tc>
        <w:tc>
          <w:tcPr>
            <w:tcW w:w="421" w:type="dxa"/>
          </w:tcPr>
          <w:p>
            <w:pPr>
              <w:snapToGrid w:val="0"/>
              <w:spacing w:line="288" w:lineRule="auto"/>
              <w:rPr>
                <w:rFonts w:ascii="宋体"/>
                <w:color w:val="000000"/>
                <w:sz w:val="20"/>
                <w:szCs w:val="20"/>
              </w:rPr>
            </w:pPr>
            <w:r>
              <w:rPr>
                <w:rFonts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rPr>
                <w:rFonts w:ascii="宋体"/>
                <w:color w:val="000000"/>
                <w:sz w:val="20"/>
                <w:szCs w:val="20"/>
              </w:rPr>
            </w:pPr>
            <w:r>
              <w:rPr>
                <w:rFonts w:hint="eastAsia" w:ascii="宋体" w:hAnsi="宋体"/>
                <w:color w:val="000000"/>
                <w:sz w:val="20"/>
                <w:szCs w:val="20"/>
              </w:rPr>
              <w:t>5</w:t>
            </w:r>
          </w:p>
        </w:tc>
        <w:tc>
          <w:tcPr>
            <w:tcW w:w="72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社区家庭护 理</w:t>
            </w:r>
          </w:p>
        </w:tc>
        <w:tc>
          <w:tcPr>
            <w:tcW w:w="216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理解家庭的概念、结构和功能；家庭护理、家庭访视的概念；家庭访视的类型和步骤。</w:t>
            </w:r>
            <w:r>
              <w:rPr>
                <w:rFonts w:ascii="宋体" w:hAnsi="宋体"/>
                <w:color w:val="000000"/>
                <w:sz w:val="20"/>
                <w:szCs w:val="20"/>
              </w:rPr>
              <w:t xml:space="preserve"> </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知道家庭生活周期与发展任务；家庭护理工作内容和家庭护理程序。</w:t>
            </w:r>
          </w:p>
          <w:p>
            <w:pPr>
              <w:snapToGrid w:val="0"/>
              <w:spacing w:line="288" w:lineRule="auto"/>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知道家庭护理评估常用工具及其含义；家庭资源、家庭访视的技巧和安全管理。</w:t>
            </w:r>
          </w:p>
        </w:tc>
        <w:tc>
          <w:tcPr>
            <w:tcW w:w="216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能说出家庭的概念、结构和功能；家庭护理、家庭访视的概念；家庭访视的类型和步骤。</w:t>
            </w:r>
            <w:r>
              <w:rPr>
                <w:rFonts w:ascii="宋体" w:hAnsi="宋体"/>
                <w:color w:val="000000"/>
                <w:sz w:val="20"/>
                <w:szCs w:val="20"/>
              </w:rPr>
              <w:t xml:space="preserve"> </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能简述家庭生活周期与发展任务；家庭护理工作内容和家庭护理程序。</w:t>
            </w:r>
          </w:p>
          <w:p>
            <w:pPr>
              <w:snapToGrid w:val="0"/>
              <w:spacing w:line="288" w:lineRule="auto"/>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能运用家庭护理评估常用工具</w:t>
            </w:r>
          </w:p>
          <w:p>
            <w:pPr>
              <w:snapToGrid w:val="0"/>
              <w:spacing w:line="288" w:lineRule="auto"/>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能正确运用护理程序，结合案例，对家庭进行健康评估，诊断及计划，并对问题家庭进行健康指导。</w:t>
            </w:r>
          </w:p>
        </w:tc>
        <w:tc>
          <w:tcPr>
            <w:tcW w:w="153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具有以家庭为中心的护理理念、团队合作精神及有效的沟通能力。</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具有评判性思维与独立解决问题的能力。</w:t>
            </w:r>
          </w:p>
        </w:tc>
        <w:tc>
          <w:tcPr>
            <w:tcW w:w="1506"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家庭的结构和功能；家庭生活周期与发展任务；家庭护理程序。</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家庭访视的类型和步骤。</w:t>
            </w:r>
            <w:r>
              <w:rPr>
                <w:rFonts w:ascii="宋体" w:hAnsi="宋体"/>
                <w:color w:val="000000"/>
                <w:sz w:val="20"/>
                <w:szCs w:val="20"/>
              </w:rPr>
              <w:t xml:space="preserve"> </w:t>
            </w:r>
          </w:p>
          <w:p>
            <w:pPr>
              <w:snapToGrid w:val="0"/>
              <w:spacing w:line="288" w:lineRule="auto"/>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家庭护理评估常用工具及其含义。</w:t>
            </w:r>
          </w:p>
        </w:tc>
        <w:tc>
          <w:tcPr>
            <w:tcW w:w="420" w:type="dxa"/>
          </w:tcPr>
          <w:p>
            <w:pPr>
              <w:snapToGrid w:val="0"/>
              <w:spacing w:line="288" w:lineRule="auto"/>
              <w:rPr>
                <w:rFonts w:ascii="宋体" w:hAnsi="宋体"/>
                <w:color w:val="000000"/>
                <w:sz w:val="20"/>
                <w:szCs w:val="20"/>
              </w:rPr>
            </w:pPr>
            <w:r>
              <w:rPr>
                <w:rFonts w:ascii="宋体" w:hAnsi="宋体"/>
                <w:color w:val="000000"/>
                <w:sz w:val="20"/>
                <w:szCs w:val="20"/>
              </w:rPr>
              <w:t>2</w:t>
            </w:r>
          </w:p>
        </w:tc>
        <w:tc>
          <w:tcPr>
            <w:tcW w:w="420" w:type="dxa"/>
          </w:tcPr>
          <w:p>
            <w:pPr>
              <w:snapToGrid w:val="0"/>
              <w:spacing w:line="288" w:lineRule="auto"/>
              <w:rPr>
                <w:rFonts w:ascii="宋体"/>
                <w:color w:val="000000"/>
                <w:sz w:val="20"/>
                <w:szCs w:val="20"/>
              </w:rPr>
            </w:pPr>
            <w:r>
              <w:rPr>
                <w:rFonts w:ascii="宋体"/>
                <w:color w:val="000000"/>
                <w:sz w:val="20"/>
                <w:szCs w:val="20"/>
              </w:rPr>
              <w:t>0</w:t>
            </w:r>
          </w:p>
        </w:tc>
        <w:tc>
          <w:tcPr>
            <w:tcW w:w="421" w:type="dxa"/>
          </w:tcPr>
          <w:p>
            <w:pPr>
              <w:snapToGrid w:val="0"/>
              <w:spacing w:line="288" w:lineRule="auto"/>
              <w:rPr>
                <w:rFonts w:asci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rPr>
                <w:rFonts w:ascii="宋体"/>
                <w:color w:val="000000"/>
                <w:sz w:val="20"/>
                <w:szCs w:val="20"/>
              </w:rPr>
            </w:pPr>
            <w:r>
              <w:rPr>
                <w:rFonts w:hint="eastAsia" w:ascii="宋体" w:hAnsi="宋体"/>
                <w:color w:val="000000"/>
                <w:sz w:val="20"/>
                <w:szCs w:val="20"/>
              </w:rPr>
              <w:t>6</w:t>
            </w:r>
          </w:p>
        </w:tc>
        <w:tc>
          <w:tcPr>
            <w:tcW w:w="72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社区特殊人群健康保健与护理</w:t>
            </w:r>
          </w:p>
        </w:tc>
        <w:tc>
          <w:tcPr>
            <w:tcW w:w="216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理解社区各年龄阶段少儿的保健重点和保健策略。</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理解老年人与老龄化的概念。</w:t>
            </w:r>
          </w:p>
          <w:p>
            <w:pPr>
              <w:snapToGrid w:val="0"/>
              <w:spacing w:line="288" w:lineRule="auto"/>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知道老年人的生理及心理特点。</w:t>
            </w:r>
          </w:p>
          <w:p>
            <w:pPr>
              <w:snapToGrid w:val="0"/>
              <w:spacing w:line="288" w:lineRule="auto"/>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知道社区妇女、老年人保健要点及主要措施。</w:t>
            </w:r>
          </w:p>
        </w:tc>
        <w:tc>
          <w:tcPr>
            <w:tcW w:w="216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能说出社区各年龄阶段少儿的保健重点和保健策略。</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能说出老年人与老龄化的概念。</w:t>
            </w:r>
          </w:p>
          <w:p>
            <w:pPr>
              <w:snapToGrid w:val="0"/>
              <w:spacing w:line="288" w:lineRule="auto"/>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能概括老年人的生理及心理特点。</w:t>
            </w:r>
          </w:p>
          <w:p>
            <w:pPr>
              <w:snapToGrid w:val="0"/>
              <w:spacing w:line="288" w:lineRule="auto"/>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能简述社区妇女、老年人保健要点及主要措施。</w:t>
            </w:r>
          </w:p>
          <w:p>
            <w:pPr>
              <w:snapToGrid w:val="0"/>
              <w:spacing w:line="288" w:lineRule="auto"/>
              <w:rPr>
                <w:rFonts w:ascii="宋体" w:hAnsi="宋体"/>
                <w:color w:val="000000"/>
                <w:sz w:val="20"/>
                <w:szCs w:val="20"/>
              </w:rPr>
            </w:pPr>
            <w:r>
              <w:rPr>
                <w:rFonts w:ascii="宋体" w:hAnsi="宋体"/>
                <w:color w:val="000000"/>
                <w:sz w:val="20"/>
                <w:szCs w:val="20"/>
              </w:rPr>
              <w:t>5.</w:t>
            </w:r>
            <w:r>
              <w:rPr>
                <w:rFonts w:hint="eastAsia" w:ascii="宋体" w:hAnsi="宋体"/>
                <w:color w:val="000000"/>
                <w:sz w:val="20"/>
                <w:szCs w:val="20"/>
              </w:rPr>
              <w:t>运用已学知识对少儿期各阶段、孕期、产褥期及老年期进行全面保健指导。</w:t>
            </w:r>
          </w:p>
        </w:tc>
        <w:tc>
          <w:tcPr>
            <w:tcW w:w="153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具有尊老爱幼的观念及高度的职业责任感。</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具有理解儿童的爱心、耐心，良好的沟通能力以及预防儿童问题发生的敏锐观察力</w:t>
            </w:r>
          </w:p>
          <w:p>
            <w:pPr>
              <w:snapToGrid w:val="0"/>
              <w:spacing w:line="288" w:lineRule="auto"/>
              <w:rPr>
                <w:rFonts w:ascii="宋体" w:hAnsi="宋体"/>
                <w:color w:val="000000"/>
                <w:sz w:val="20"/>
                <w:szCs w:val="20"/>
              </w:rPr>
            </w:pPr>
          </w:p>
        </w:tc>
        <w:tc>
          <w:tcPr>
            <w:tcW w:w="1506"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社区各年龄阶段少儿的保健重点和保健策略。</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老年人的生理及心理特点。</w:t>
            </w:r>
          </w:p>
          <w:p>
            <w:pPr>
              <w:snapToGrid w:val="0"/>
              <w:spacing w:line="288" w:lineRule="auto"/>
              <w:rPr>
                <w:rFonts w:ascii="宋体" w:hAnsi="宋体"/>
                <w:color w:val="000000"/>
                <w:sz w:val="20"/>
                <w:szCs w:val="20"/>
              </w:rPr>
            </w:pPr>
          </w:p>
        </w:tc>
        <w:tc>
          <w:tcPr>
            <w:tcW w:w="420" w:type="dxa"/>
          </w:tcPr>
          <w:p>
            <w:pPr>
              <w:snapToGrid w:val="0"/>
              <w:spacing w:line="288" w:lineRule="auto"/>
              <w:rPr>
                <w:rFonts w:ascii="宋体" w:hAnsi="宋体"/>
                <w:color w:val="000000"/>
                <w:sz w:val="20"/>
                <w:szCs w:val="20"/>
              </w:rPr>
            </w:pPr>
            <w:r>
              <w:rPr>
                <w:rFonts w:hint="eastAsia" w:ascii="宋体" w:hAnsi="宋体"/>
                <w:color w:val="000000"/>
                <w:sz w:val="20"/>
                <w:szCs w:val="20"/>
              </w:rPr>
              <w:t>6</w:t>
            </w:r>
          </w:p>
        </w:tc>
        <w:tc>
          <w:tcPr>
            <w:tcW w:w="420" w:type="dxa"/>
          </w:tcPr>
          <w:p>
            <w:pPr>
              <w:snapToGrid w:val="0"/>
              <w:spacing w:line="288" w:lineRule="auto"/>
              <w:rPr>
                <w:rFonts w:ascii="宋体"/>
                <w:color w:val="000000"/>
                <w:sz w:val="20"/>
                <w:szCs w:val="20"/>
              </w:rPr>
            </w:pPr>
            <w:r>
              <w:rPr>
                <w:rFonts w:hint="eastAsia" w:ascii="宋体"/>
                <w:color w:val="000000"/>
                <w:sz w:val="20"/>
                <w:szCs w:val="20"/>
              </w:rPr>
              <w:t>2</w:t>
            </w:r>
          </w:p>
        </w:tc>
        <w:tc>
          <w:tcPr>
            <w:tcW w:w="421" w:type="dxa"/>
          </w:tcPr>
          <w:p>
            <w:pPr>
              <w:snapToGrid w:val="0"/>
              <w:spacing w:line="288" w:lineRule="auto"/>
              <w:rPr>
                <w:rFonts w:ascii="宋体"/>
                <w:color w:val="000000"/>
                <w:sz w:val="20"/>
                <w:szCs w:val="20"/>
              </w:rPr>
            </w:pPr>
            <w:r>
              <w:rPr>
                <w:rFonts w:hint="eastAsia" w:ascii="宋体" w:hAnsi="宋体"/>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7</w:t>
            </w:r>
          </w:p>
        </w:tc>
        <w:tc>
          <w:tcPr>
            <w:tcW w:w="72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社区慢性病患者的保健与护理</w:t>
            </w:r>
          </w:p>
        </w:tc>
        <w:tc>
          <w:tcPr>
            <w:tcW w:w="216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理解慢性病的家庭护理要点。</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知道慢性病的危险因素。</w:t>
            </w:r>
          </w:p>
          <w:p>
            <w:pPr>
              <w:snapToGrid w:val="0"/>
              <w:spacing w:line="288" w:lineRule="auto"/>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知道社区慢性病的管理及随访流程。</w:t>
            </w:r>
          </w:p>
          <w:p>
            <w:pPr>
              <w:snapToGrid w:val="0"/>
              <w:spacing w:line="288" w:lineRule="auto"/>
              <w:rPr>
                <w:rFonts w:ascii="宋体" w:hAnsi="宋体"/>
                <w:color w:val="000000"/>
                <w:sz w:val="20"/>
                <w:szCs w:val="20"/>
              </w:rPr>
            </w:pPr>
          </w:p>
        </w:tc>
        <w:tc>
          <w:tcPr>
            <w:tcW w:w="216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能说出慢性病的家庭护理要点。</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能概括慢性病的危险因素。</w:t>
            </w:r>
          </w:p>
          <w:p>
            <w:pPr>
              <w:snapToGrid w:val="0"/>
              <w:spacing w:line="288" w:lineRule="auto"/>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能简述社区慢性病的管理及随访流程。</w:t>
            </w:r>
          </w:p>
          <w:p>
            <w:pPr>
              <w:snapToGrid w:val="0"/>
              <w:spacing w:line="288" w:lineRule="auto"/>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能为社区居民提供健康教育并对慢性病进行有效干预。</w:t>
            </w:r>
          </w:p>
          <w:p>
            <w:pPr>
              <w:snapToGrid w:val="0"/>
              <w:spacing w:line="288" w:lineRule="auto"/>
              <w:rPr>
                <w:rFonts w:ascii="宋体" w:hAnsi="宋体"/>
                <w:color w:val="000000"/>
                <w:sz w:val="20"/>
                <w:szCs w:val="20"/>
              </w:rPr>
            </w:pPr>
            <w:r>
              <w:rPr>
                <w:rFonts w:ascii="宋体" w:hAnsi="宋体"/>
                <w:color w:val="000000"/>
                <w:sz w:val="20"/>
                <w:szCs w:val="20"/>
              </w:rPr>
              <w:t>5.</w:t>
            </w:r>
            <w:r>
              <w:rPr>
                <w:rFonts w:hint="eastAsia" w:ascii="宋体" w:hAnsi="宋体"/>
                <w:color w:val="000000"/>
                <w:sz w:val="20"/>
                <w:szCs w:val="20"/>
              </w:rPr>
              <w:t>能与社区居民进行沟通、有效交流。</w:t>
            </w:r>
          </w:p>
        </w:tc>
        <w:tc>
          <w:tcPr>
            <w:tcW w:w="1530"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具有发现和解决健康问题的能力。</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对慢性病具有以预防为主的职业意识</w:t>
            </w:r>
          </w:p>
          <w:p>
            <w:pPr>
              <w:snapToGrid w:val="0"/>
              <w:spacing w:line="288" w:lineRule="auto"/>
              <w:rPr>
                <w:rFonts w:ascii="宋体" w:hAnsi="宋体"/>
                <w:color w:val="000000"/>
                <w:sz w:val="20"/>
                <w:szCs w:val="20"/>
              </w:rPr>
            </w:pPr>
          </w:p>
        </w:tc>
        <w:tc>
          <w:tcPr>
            <w:tcW w:w="1506" w:type="dxa"/>
          </w:tcPr>
          <w:p>
            <w:pPr>
              <w:snapToGrid w:val="0"/>
              <w:spacing w:line="288" w:lineRule="auto"/>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慢性病的家庭护理要点。</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慢性病的危险因素。</w:t>
            </w:r>
          </w:p>
          <w:p>
            <w:pPr>
              <w:snapToGrid w:val="0"/>
              <w:spacing w:line="288" w:lineRule="auto"/>
              <w:rPr>
                <w:rFonts w:ascii="宋体" w:hAnsi="宋体"/>
                <w:color w:val="000000"/>
                <w:sz w:val="20"/>
                <w:szCs w:val="20"/>
              </w:rPr>
            </w:pPr>
          </w:p>
        </w:tc>
        <w:tc>
          <w:tcPr>
            <w:tcW w:w="420" w:type="dxa"/>
          </w:tcPr>
          <w:p>
            <w:pPr>
              <w:rPr>
                <w:rFonts w:ascii="宋体" w:hAnsi="宋体"/>
                <w:color w:val="000000"/>
                <w:sz w:val="20"/>
                <w:szCs w:val="20"/>
              </w:rPr>
            </w:pPr>
            <w:r>
              <w:rPr>
                <w:rFonts w:hint="eastAsia" w:ascii="宋体" w:hAnsi="宋体"/>
                <w:color w:val="000000"/>
                <w:sz w:val="20"/>
                <w:szCs w:val="20"/>
              </w:rPr>
              <w:t>2</w:t>
            </w:r>
          </w:p>
        </w:tc>
        <w:tc>
          <w:tcPr>
            <w:tcW w:w="420" w:type="dxa"/>
          </w:tcPr>
          <w:p>
            <w:pPr>
              <w:rPr>
                <w:rFonts w:ascii="宋体"/>
                <w:color w:val="000000"/>
                <w:sz w:val="20"/>
                <w:szCs w:val="20"/>
              </w:rPr>
            </w:pPr>
            <w:r>
              <w:rPr>
                <w:rFonts w:ascii="宋体" w:hAnsi="宋体"/>
                <w:color w:val="000000"/>
                <w:sz w:val="20"/>
                <w:szCs w:val="20"/>
              </w:rPr>
              <w:t>2</w:t>
            </w:r>
          </w:p>
        </w:tc>
        <w:tc>
          <w:tcPr>
            <w:tcW w:w="421" w:type="dxa"/>
          </w:tcPr>
          <w:p>
            <w:pPr>
              <w:rPr>
                <w:rFonts w:asci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8</w:t>
            </w:r>
          </w:p>
        </w:tc>
        <w:tc>
          <w:tcPr>
            <w:tcW w:w="72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社区康复护 理</w:t>
            </w:r>
          </w:p>
        </w:tc>
        <w:tc>
          <w:tcPr>
            <w:tcW w:w="2160"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理解社区康复的基本概念、原则。</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知道社区康复护理的对象、任务；社区残疾人康复护理的程序。</w:t>
            </w:r>
          </w:p>
          <w:p>
            <w:pPr>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知道残疾的定义、分类及残疾的原因。</w:t>
            </w:r>
          </w:p>
          <w:p>
            <w:pPr>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社区康复护理常用技术。</w:t>
            </w:r>
          </w:p>
        </w:tc>
        <w:tc>
          <w:tcPr>
            <w:tcW w:w="2160"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能说出社区康复的基本概念、原则。</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能简述社区康复护理的对象、任务；社区残疾人康复护理的程序。</w:t>
            </w:r>
          </w:p>
          <w:p>
            <w:pPr>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能说出残疾的定义、分类及残疾的原因。</w:t>
            </w:r>
          </w:p>
          <w:p>
            <w:pPr>
              <w:snapToGrid w:val="0"/>
              <w:spacing w:line="288" w:lineRule="auto"/>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能正确运用社区康复护理常用技术为社区残疾人提供康复服务。</w:t>
            </w:r>
          </w:p>
        </w:tc>
        <w:tc>
          <w:tcPr>
            <w:tcW w:w="1530"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具有尊重患者、保护患者安全的意识。</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具有关爱残疾人良好的职业道德和为残疾人提供康复服务的意识和能力。</w:t>
            </w:r>
          </w:p>
          <w:p>
            <w:pPr>
              <w:snapToGrid w:val="0"/>
              <w:spacing w:line="288" w:lineRule="auto"/>
              <w:rPr>
                <w:rFonts w:ascii="宋体" w:hAnsi="宋体"/>
                <w:color w:val="000000"/>
                <w:sz w:val="20"/>
                <w:szCs w:val="20"/>
              </w:rPr>
            </w:pPr>
          </w:p>
        </w:tc>
        <w:tc>
          <w:tcPr>
            <w:tcW w:w="1506" w:type="dxa"/>
          </w:tcPr>
          <w:p>
            <w:pPr>
              <w:rPr>
                <w:rFonts w:ascii="宋体" w:hAnsi="宋体"/>
                <w:color w:val="000000"/>
                <w:sz w:val="20"/>
                <w:szCs w:val="20"/>
              </w:rPr>
            </w:pPr>
            <w:r>
              <w:rPr>
                <w:rFonts w:ascii="宋体" w:hAnsi="宋体"/>
                <w:color w:val="000000"/>
                <w:sz w:val="20"/>
                <w:szCs w:val="20"/>
              </w:rPr>
              <w:t xml:space="preserve"> 1.</w:t>
            </w:r>
            <w:r>
              <w:rPr>
                <w:rFonts w:hint="eastAsia" w:ascii="宋体" w:hAnsi="宋体"/>
                <w:color w:val="000000"/>
                <w:sz w:val="20"/>
                <w:szCs w:val="20"/>
              </w:rPr>
              <w:t>社区康复的基本概念、原则。</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残疾的定义、分类及残疾的原因。</w:t>
            </w:r>
          </w:p>
          <w:p>
            <w:pPr>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社区康复护理常用技术。</w:t>
            </w:r>
          </w:p>
          <w:p>
            <w:pPr>
              <w:snapToGrid w:val="0"/>
              <w:spacing w:line="288" w:lineRule="auto"/>
              <w:rPr>
                <w:rFonts w:ascii="宋体" w:hAnsi="宋体"/>
                <w:color w:val="000000"/>
                <w:sz w:val="20"/>
                <w:szCs w:val="20"/>
              </w:rPr>
            </w:pPr>
          </w:p>
        </w:tc>
        <w:tc>
          <w:tcPr>
            <w:tcW w:w="420" w:type="dxa"/>
          </w:tcPr>
          <w:p>
            <w:pPr>
              <w:rPr>
                <w:rFonts w:ascii="宋体" w:hAnsi="宋体"/>
                <w:color w:val="000000"/>
                <w:sz w:val="20"/>
                <w:szCs w:val="20"/>
              </w:rPr>
            </w:pPr>
            <w:r>
              <w:rPr>
                <w:rFonts w:ascii="宋体" w:hAnsi="宋体"/>
                <w:color w:val="000000"/>
                <w:sz w:val="20"/>
                <w:szCs w:val="20"/>
              </w:rPr>
              <w:t>2</w:t>
            </w:r>
          </w:p>
        </w:tc>
        <w:tc>
          <w:tcPr>
            <w:tcW w:w="420" w:type="dxa"/>
          </w:tcPr>
          <w:p>
            <w:pPr>
              <w:rPr>
                <w:rFonts w:ascii="宋体"/>
                <w:color w:val="000000"/>
                <w:sz w:val="20"/>
                <w:szCs w:val="20"/>
              </w:rPr>
            </w:pPr>
            <w:r>
              <w:rPr>
                <w:rFonts w:ascii="宋体"/>
                <w:color w:val="000000"/>
                <w:sz w:val="20"/>
                <w:szCs w:val="20"/>
              </w:rPr>
              <w:t>0</w:t>
            </w:r>
          </w:p>
        </w:tc>
        <w:tc>
          <w:tcPr>
            <w:tcW w:w="421" w:type="dxa"/>
          </w:tcPr>
          <w:p>
            <w:pPr>
              <w:rPr>
                <w:rFonts w:asci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rPr>
                <w:rFonts w:ascii="宋体"/>
                <w:color w:val="000000"/>
                <w:sz w:val="20"/>
                <w:szCs w:val="20"/>
              </w:rPr>
            </w:pPr>
            <w:r>
              <w:rPr>
                <w:rFonts w:hint="eastAsia" w:ascii="宋体" w:hAnsi="宋体"/>
                <w:color w:val="000000"/>
                <w:sz w:val="20"/>
                <w:szCs w:val="20"/>
              </w:rPr>
              <w:t>9</w:t>
            </w:r>
          </w:p>
        </w:tc>
        <w:tc>
          <w:tcPr>
            <w:tcW w:w="72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社区康复护 理</w:t>
            </w:r>
          </w:p>
        </w:tc>
        <w:tc>
          <w:tcPr>
            <w:tcW w:w="2160"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理解社区康复的基本概念、原则。</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知道社区康复护理的对象、任务；社区残疾人康复护理的程序。</w:t>
            </w:r>
          </w:p>
          <w:p>
            <w:pPr>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知道残疾的定义、分类及残疾的原因。</w:t>
            </w:r>
          </w:p>
          <w:p>
            <w:pPr>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社区康复护理常用技术。</w:t>
            </w:r>
          </w:p>
        </w:tc>
        <w:tc>
          <w:tcPr>
            <w:tcW w:w="2160"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能说出社区康复的基本概念、原则。</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能简述社区康复护理的对象、任务；社区残疾人康复护理的程序。</w:t>
            </w:r>
          </w:p>
          <w:p>
            <w:pPr>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能说出残疾的定义、分类及残疾的原因。</w:t>
            </w:r>
          </w:p>
          <w:p>
            <w:pPr>
              <w:snapToGrid w:val="0"/>
              <w:spacing w:line="288" w:lineRule="auto"/>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能正确运用社区康复护理常用技术为社区残疾人提供康复服务。</w:t>
            </w:r>
          </w:p>
        </w:tc>
        <w:tc>
          <w:tcPr>
            <w:tcW w:w="1530"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具有尊重患者、保护患者安全的意识。</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具有关爱残疾人良好的职业道德和为残疾人提供康复服务的意识和能力。</w:t>
            </w:r>
          </w:p>
          <w:p>
            <w:pPr>
              <w:snapToGrid w:val="0"/>
              <w:spacing w:line="288" w:lineRule="auto"/>
              <w:rPr>
                <w:rFonts w:ascii="宋体" w:hAnsi="宋体"/>
                <w:color w:val="000000"/>
                <w:sz w:val="20"/>
                <w:szCs w:val="20"/>
              </w:rPr>
            </w:pPr>
          </w:p>
        </w:tc>
        <w:tc>
          <w:tcPr>
            <w:tcW w:w="1506" w:type="dxa"/>
          </w:tcPr>
          <w:p>
            <w:pPr>
              <w:rPr>
                <w:rFonts w:ascii="宋体" w:hAnsi="宋体"/>
                <w:color w:val="000000"/>
                <w:sz w:val="20"/>
                <w:szCs w:val="20"/>
              </w:rPr>
            </w:pPr>
            <w:r>
              <w:rPr>
                <w:rFonts w:ascii="宋体" w:hAnsi="宋体"/>
                <w:color w:val="000000"/>
                <w:sz w:val="20"/>
                <w:szCs w:val="20"/>
              </w:rPr>
              <w:t xml:space="preserve"> 1.</w:t>
            </w:r>
            <w:r>
              <w:rPr>
                <w:rFonts w:hint="eastAsia" w:ascii="宋体" w:hAnsi="宋体"/>
                <w:color w:val="000000"/>
                <w:sz w:val="20"/>
                <w:szCs w:val="20"/>
              </w:rPr>
              <w:t>社区康复的基本概念、原则。</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残疾的定义、分类及残疾的原因。</w:t>
            </w:r>
          </w:p>
          <w:p>
            <w:pPr>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社区康复护理常用技术。</w:t>
            </w:r>
          </w:p>
          <w:p>
            <w:pPr>
              <w:snapToGrid w:val="0"/>
              <w:spacing w:line="288" w:lineRule="auto"/>
              <w:rPr>
                <w:rFonts w:ascii="宋体" w:hAnsi="宋体"/>
                <w:color w:val="000000"/>
                <w:sz w:val="20"/>
                <w:szCs w:val="20"/>
              </w:rPr>
            </w:pPr>
          </w:p>
        </w:tc>
        <w:tc>
          <w:tcPr>
            <w:tcW w:w="420" w:type="dxa"/>
          </w:tcPr>
          <w:p>
            <w:pPr>
              <w:rPr>
                <w:rFonts w:ascii="宋体" w:hAnsi="宋体"/>
                <w:color w:val="000000"/>
                <w:sz w:val="20"/>
                <w:szCs w:val="20"/>
              </w:rPr>
            </w:pPr>
            <w:r>
              <w:rPr>
                <w:rFonts w:ascii="宋体" w:hAnsi="宋体"/>
                <w:color w:val="000000"/>
                <w:sz w:val="20"/>
                <w:szCs w:val="20"/>
              </w:rPr>
              <w:t>2</w:t>
            </w:r>
          </w:p>
        </w:tc>
        <w:tc>
          <w:tcPr>
            <w:tcW w:w="420" w:type="dxa"/>
          </w:tcPr>
          <w:p>
            <w:pPr>
              <w:rPr>
                <w:rFonts w:ascii="宋体"/>
                <w:color w:val="000000"/>
                <w:sz w:val="20"/>
                <w:szCs w:val="20"/>
              </w:rPr>
            </w:pPr>
            <w:r>
              <w:rPr>
                <w:rFonts w:ascii="宋体"/>
                <w:color w:val="000000"/>
                <w:sz w:val="20"/>
                <w:szCs w:val="20"/>
              </w:rPr>
              <w:t>0</w:t>
            </w:r>
          </w:p>
        </w:tc>
        <w:tc>
          <w:tcPr>
            <w:tcW w:w="421" w:type="dxa"/>
          </w:tcPr>
          <w:p>
            <w:pPr>
              <w:rPr>
                <w:rFonts w:asci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rPr>
                <w:rFonts w:ascii="宋体"/>
                <w:color w:val="000000"/>
                <w:sz w:val="20"/>
                <w:szCs w:val="20"/>
              </w:rPr>
            </w:pPr>
            <w:r>
              <w:rPr>
                <w:rFonts w:hint="eastAsia" w:ascii="宋体" w:hAnsi="宋体"/>
                <w:color w:val="000000"/>
                <w:sz w:val="20"/>
                <w:szCs w:val="20"/>
              </w:rPr>
              <w:t>10</w:t>
            </w:r>
          </w:p>
        </w:tc>
        <w:tc>
          <w:tcPr>
            <w:tcW w:w="72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社区灾害与紧急救护</w:t>
            </w:r>
          </w:p>
        </w:tc>
        <w:tc>
          <w:tcPr>
            <w:tcW w:w="2160" w:type="dxa"/>
          </w:tcPr>
          <w:p>
            <w:pPr>
              <w:tabs>
                <w:tab w:val="left" w:pos="602"/>
              </w:tabs>
              <w:spacing w:line="300" w:lineRule="auto"/>
              <w:rPr>
                <w:rFonts w:ascii="宋体" w:hAnsi="宋体"/>
                <w:color w:val="000000"/>
                <w:sz w:val="20"/>
                <w:szCs w:val="20"/>
              </w:rPr>
            </w:pPr>
            <w:r>
              <w:rPr>
                <w:rFonts w:ascii="宋体" w:hAnsi="宋体"/>
                <w:color w:val="000000"/>
                <w:sz w:val="20"/>
                <w:szCs w:val="20"/>
              </w:rPr>
              <w:t xml:space="preserve">1. 识记灾害、社区灾害、灾害护理以及急救压力综合征、START预检分诊、RPM预检分诊的概念； </w:t>
            </w:r>
          </w:p>
          <w:p>
            <w:pPr>
              <w:tabs>
                <w:tab w:val="left" w:pos="602"/>
              </w:tabs>
              <w:spacing w:line="300" w:lineRule="auto"/>
              <w:rPr>
                <w:rFonts w:ascii="宋体" w:hAnsi="宋体"/>
                <w:color w:val="000000"/>
                <w:sz w:val="20"/>
                <w:szCs w:val="20"/>
              </w:rPr>
            </w:pPr>
            <w:r>
              <w:rPr>
                <w:rFonts w:ascii="宋体" w:hAnsi="宋体"/>
                <w:color w:val="000000"/>
                <w:sz w:val="20"/>
                <w:szCs w:val="20"/>
              </w:rPr>
              <w:t xml:space="preserve">2. 识记社区护士在灾害预防工作中的职责； </w:t>
            </w:r>
          </w:p>
          <w:p>
            <w:pPr>
              <w:tabs>
                <w:tab w:val="left" w:pos="602"/>
              </w:tabs>
              <w:spacing w:line="300" w:lineRule="auto"/>
              <w:rPr>
                <w:rFonts w:ascii="宋体" w:hAnsi="宋体"/>
                <w:color w:val="000000"/>
                <w:sz w:val="20"/>
                <w:szCs w:val="20"/>
              </w:rPr>
            </w:pPr>
            <w:r>
              <w:rPr>
                <w:rFonts w:ascii="宋体" w:hAnsi="宋体"/>
                <w:color w:val="000000"/>
                <w:sz w:val="20"/>
                <w:szCs w:val="20"/>
              </w:rPr>
              <w:t xml:space="preserve">3. 理解伤病员的预检分诊的原则和方法；  </w:t>
            </w:r>
          </w:p>
          <w:p>
            <w:pPr>
              <w:tabs>
                <w:tab w:val="left" w:pos="602"/>
              </w:tabs>
              <w:spacing w:line="300" w:lineRule="auto"/>
              <w:rPr>
                <w:rFonts w:ascii="宋体" w:hAnsi="宋体"/>
                <w:color w:val="000000"/>
                <w:sz w:val="20"/>
                <w:szCs w:val="20"/>
              </w:rPr>
            </w:pPr>
            <w:r>
              <w:rPr>
                <w:rFonts w:ascii="宋体" w:hAnsi="宋体"/>
                <w:color w:val="000000"/>
                <w:sz w:val="20"/>
                <w:szCs w:val="20"/>
              </w:rPr>
              <w:t>4. 理解心理问题预检分诊的方法及受灾者常见的生理、心理方面的健康问题与护理；理解灾害重建居民的健康管理内容与方法。</w:t>
            </w:r>
          </w:p>
        </w:tc>
        <w:tc>
          <w:tcPr>
            <w:tcW w:w="2160" w:type="dxa"/>
          </w:tcPr>
          <w:p>
            <w:pPr>
              <w:snapToGrid w:val="0"/>
              <w:spacing w:line="288" w:lineRule="auto"/>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运用伤病员的现场救护的原则和技术对灾害中的伤病员实施预检分诊、现场救护与转运。</w:t>
            </w:r>
          </w:p>
        </w:tc>
        <w:tc>
          <w:tcPr>
            <w:tcW w:w="1530" w:type="dxa"/>
          </w:tcPr>
          <w:p>
            <w:pPr>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具有尊重患者、保护患者安全的意识。</w:t>
            </w:r>
          </w:p>
          <w:p>
            <w:pPr>
              <w:snapToGrid w:val="0"/>
              <w:spacing w:line="288" w:lineRule="auto"/>
              <w:rPr>
                <w:rFonts w:ascii="宋体" w:hAnsi="宋体"/>
                <w:color w:val="000000"/>
                <w:sz w:val="20"/>
                <w:szCs w:val="20"/>
              </w:rPr>
            </w:pPr>
            <w:r>
              <w:rPr>
                <w:rFonts w:hint="eastAsia" w:ascii="宋体" w:hAnsi="宋体"/>
                <w:color w:val="000000"/>
                <w:sz w:val="20"/>
                <w:szCs w:val="20"/>
              </w:rPr>
              <w:t>2.做好灾害工作的同时，关注受灾群体的心理健康，做好安抚工作。</w:t>
            </w:r>
          </w:p>
        </w:tc>
        <w:tc>
          <w:tcPr>
            <w:tcW w:w="1506" w:type="dxa"/>
          </w:tcPr>
          <w:p>
            <w:pPr>
              <w:numPr>
                <w:ilvl w:val="0"/>
                <w:numId w:val="1"/>
              </w:numPr>
              <w:spacing w:line="300" w:lineRule="auto"/>
              <w:rPr>
                <w:rFonts w:ascii="宋体" w:hAnsi="宋体"/>
                <w:color w:val="000000"/>
                <w:sz w:val="20"/>
                <w:szCs w:val="20"/>
              </w:rPr>
            </w:pPr>
            <w:r>
              <w:rPr>
                <w:rFonts w:ascii="宋体" w:hAnsi="宋体"/>
                <w:color w:val="000000"/>
                <w:sz w:val="20"/>
                <w:szCs w:val="20"/>
              </w:rPr>
              <w:t>预检分诊及现场急救处。</w:t>
            </w:r>
          </w:p>
          <w:p>
            <w:pPr>
              <w:numPr>
                <w:ilvl w:val="0"/>
                <w:numId w:val="1"/>
              </w:numPr>
              <w:spacing w:line="300" w:lineRule="auto"/>
              <w:rPr>
                <w:rFonts w:ascii="宋体" w:hAnsi="宋体"/>
                <w:color w:val="000000"/>
                <w:sz w:val="20"/>
                <w:szCs w:val="20"/>
              </w:rPr>
            </w:pPr>
            <w:r>
              <w:rPr>
                <w:rFonts w:ascii="宋体" w:hAnsi="宋体"/>
                <w:color w:val="000000"/>
                <w:sz w:val="20"/>
                <w:szCs w:val="20"/>
              </w:rPr>
              <w:t>灾害重建期居民的健康管理。</w:t>
            </w:r>
          </w:p>
          <w:p>
            <w:pPr>
              <w:spacing w:line="300" w:lineRule="auto"/>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.预检分诊的方法。</w:t>
            </w:r>
          </w:p>
          <w:p>
            <w:pPr>
              <w:tabs>
                <w:tab w:val="left" w:pos="602"/>
              </w:tabs>
              <w:spacing w:line="300" w:lineRule="auto"/>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.灾害重建期居民的心理护理。</w:t>
            </w:r>
          </w:p>
          <w:p>
            <w:pPr>
              <w:snapToGrid w:val="0"/>
              <w:spacing w:line="288" w:lineRule="auto"/>
              <w:rPr>
                <w:rFonts w:ascii="宋体" w:hAnsi="宋体"/>
                <w:color w:val="000000"/>
                <w:sz w:val="20"/>
                <w:szCs w:val="20"/>
              </w:rPr>
            </w:pPr>
          </w:p>
        </w:tc>
        <w:tc>
          <w:tcPr>
            <w:tcW w:w="420" w:type="dxa"/>
          </w:tcPr>
          <w:p>
            <w:pPr>
              <w:snapToGrid w:val="0"/>
              <w:spacing w:line="288" w:lineRule="auto"/>
              <w:rPr>
                <w:rFonts w:ascii="宋体" w:hAnsi="宋体"/>
                <w:color w:val="000000"/>
                <w:sz w:val="20"/>
                <w:szCs w:val="20"/>
              </w:rPr>
            </w:pPr>
            <w:r>
              <w:rPr>
                <w:rFonts w:ascii="宋体" w:hAnsi="宋体"/>
                <w:color w:val="000000"/>
                <w:sz w:val="20"/>
                <w:szCs w:val="20"/>
              </w:rPr>
              <w:t>2</w:t>
            </w:r>
          </w:p>
        </w:tc>
        <w:tc>
          <w:tcPr>
            <w:tcW w:w="420" w:type="dxa"/>
          </w:tcPr>
          <w:p>
            <w:pPr>
              <w:snapToGrid w:val="0"/>
              <w:spacing w:line="288" w:lineRule="auto"/>
              <w:rPr>
                <w:rFonts w:ascii="宋体"/>
                <w:color w:val="000000"/>
                <w:sz w:val="20"/>
                <w:szCs w:val="20"/>
              </w:rPr>
            </w:pPr>
            <w:r>
              <w:rPr>
                <w:rFonts w:ascii="宋体"/>
                <w:color w:val="000000"/>
                <w:sz w:val="20"/>
                <w:szCs w:val="20"/>
              </w:rPr>
              <w:t>0</w:t>
            </w:r>
          </w:p>
        </w:tc>
        <w:tc>
          <w:tcPr>
            <w:tcW w:w="421" w:type="dxa"/>
          </w:tcPr>
          <w:p>
            <w:pPr>
              <w:snapToGrid w:val="0"/>
              <w:spacing w:line="288" w:lineRule="auto"/>
              <w:rPr>
                <w:rFonts w:ascii="宋体"/>
                <w:color w:val="000000"/>
                <w:sz w:val="20"/>
                <w:szCs w:val="20"/>
              </w:rPr>
            </w:pPr>
            <w:r>
              <w:rPr>
                <w:rFonts w:ascii="宋体" w:hAnsi="宋体"/>
                <w:color w:val="000000"/>
                <w:sz w:val="20"/>
                <w:szCs w:val="20"/>
              </w:rPr>
              <w:t>2</w:t>
            </w:r>
          </w:p>
        </w:tc>
      </w:tr>
    </w:tbl>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334"/>
        <w:gridCol w:w="3246"/>
        <w:gridCol w:w="720"/>
        <w:gridCol w:w="10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648" w:type="dxa"/>
            <w:vAlign w:val="center"/>
          </w:tcPr>
          <w:p>
            <w:pPr>
              <w:snapToGrid w:val="0"/>
              <w:jc w:val="center"/>
              <w:rPr>
                <w:rFonts w:ascii="宋体"/>
                <w:sz w:val="20"/>
                <w:szCs w:val="20"/>
              </w:rPr>
            </w:pPr>
            <w:r>
              <w:rPr>
                <w:rFonts w:hint="eastAsia" w:ascii="宋体" w:hAnsi="宋体"/>
                <w:sz w:val="20"/>
                <w:szCs w:val="20"/>
              </w:rPr>
              <w:t>序号</w:t>
            </w:r>
          </w:p>
        </w:tc>
        <w:tc>
          <w:tcPr>
            <w:tcW w:w="2334" w:type="dxa"/>
            <w:vAlign w:val="center"/>
          </w:tcPr>
          <w:p>
            <w:pPr>
              <w:snapToGrid w:val="0"/>
              <w:jc w:val="center"/>
              <w:rPr>
                <w:rFonts w:ascii="宋体"/>
                <w:sz w:val="20"/>
                <w:szCs w:val="20"/>
              </w:rPr>
            </w:pPr>
            <w:r>
              <w:rPr>
                <w:rFonts w:hint="eastAsia" w:ascii="宋体" w:hAnsi="宋体"/>
                <w:sz w:val="20"/>
                <w:szCs w:val="20"/>
              </w:rPr>
              <w:t>实验名称</w:t>
            </w:r>
          </w:p>
        </w:tc>
        <w:tc>
          <w:tcPr>
            <w:tcW w:w="3246" w:type="dxa"/>
            <w:vAlign w:val="center"/>
          </w:tcPr>
          <w:p>
            <w:pPr>
              <w:snapToGrid w:val="0"/>
              <w:jc w:val="center"/>
              <w:rPr>
                <w:rFonts w:ascii="宋体"/>
                <w:sz w:val="20"/>
                <w:szCs w:val="20"/>
              </w:rPr>
            </w:pPr>
            <w:r>
              <w:rPr>
                <w:rFonts w:hint="eastAsia" w:ascii="宋体" w:hAnsi="宋体"/>
                <w:sz w:val="20"/>
                <w:szCs w:val="20"/>
              </w:rPr>
              <w:t>主要内容</w:t>
            </w:r>
          </w:p>
        </w:tc>
        <w:tc>
          <w:tcPr>
            <w:tcW w:w="720" w:type="dxa"/>
            <w:vAlign w:val="center"/>
          </w:tcPr>
          <w:p>
            <w:pPr>
              <w:snapToGrid w:val="0"/>
              <w:jc w:val="center"/>
              <w:rPr>
                <w:rFonts w:ascii="宋体"/>
                <w:sz w:val="20"/>
                <w:szCs w:val="20"/>
              </w:rPr>
            </w:pPr>
            <w:r>
              <w:rPr>
                <w:rFonts w:hint="eastAsia" w:ascii="宋体" w:hAnsi="宋体"/>
                <w:sz w:val="20"/>
                <w:szCs w:val="20"/>
              </w:rPr>
              <w:t>实验时数</w:t>
            </w:r>
          </w:p>
        </w:tc>
        <w:tc>
          <w:tcPr>
            <w:tcW w:w="1080" w:type="dxa"/>
            <w:vAlign w:val="center"/>
          </w:tcPr>
          <w:p>
            <w:pPr>
              <w:snapToGrid w:val="0"/>
              <w:jc w:val="center"/>
              <w:rPr>
                <w:rFonts w:ascii="宋体"/>
                <w:sz w:val="20"/>
                <w:szCs w:val="20"/>
              </w:rPr>
            </w:pPr>
            <w:r>
              <w:rPr>
                <w:rFonts w:hint="eastAsia" w:ascii="宋体"/>
                <w:sz w:val="20"/>
                <w:szCs w:val="20"/>
              </w:rPr>
              <w:t>实验类型</w:t>
            </w:r>
          </w:p>
        </w:tc>
        <w:tc>
          <w:tcPr>
            <w:tcW w:w="720" w:type="dxa"/>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exact"/>
        </w:trPr>
        <w:tc>
          <w:tcPr>
            <w:tcW w:w="648" w:type="dxa"/>
            <w:vAlign w:val="center"/>
          </w:tcPr>
          <w:p>
            <w:pPr>
              <w:pStyle w:val="2"/>
              <w:spacing w:line="288" w:lineRule="auto"/>
              <w:ind w:firstLine="0"/>
              <w:jc w:val="center"/>
              <w:rPr>
                <w:rFonts w:ascii="宋体"/>
                <w:bCs/>
                <w:sz w:val="20"/>
              </w:rPr>
            </w:pPr>
            <w:r>
              <w:rPr>
                <w:rFonts w:ascii="宋体" w:hAnsi="宋体"/>
                <w:bCs/>
                <w:sz w:val="20"/>
              </w:rPr>
              <w:t>1</w:t>
            </w:r>
          </w:p>
        </w:tc>
        <w:tc>
          <w:tcPr>
            <w:tcW w:w="2334" w:type="dxa"/>
          </w:tcPr>
          <w:p>
            <w:pPr>
              <w:pStyle w:val="2"/>
              <w:spacing w:line="288" w:lineRule="auto"/>
              <w:ind w:firstLine="0"/>
              <w:rPr>
                <w:rFonts w:ascii="宋体"/>
                <w:bCs/>
                <w:sz w:val="20"/>
              </w:rPr>
            </w:pPr>
            <w:r>
              <w:rPr>
                <w:rFonts w:hint="eastAsia" w:ascii="宋体" w:hAnsi="宋体"/>
                <w:bCs/>
                <w:sz w:val="20"/>
              </w:rPr>
              <w:t>社区健康档案建立</w:t>
            </w:r>
          </w:p>
        </w:tc>
        <w:tc>
          <w:tcPr>
            <w:tcW w:w="3246" w:type="dxa"/>
          </w:tcPr>
          <w:p>
            <w:pPr>
              <w:pStyle w:val="2"/>
              <w:spacing w:line="288" w:lineRule="auto"/>
              <w:ind w:firstLine="0"/>
              <w:rPr>
                <w:rFonts w:ascii="宋体"/>
                <w:bCs/>
                <w:sz w:val="20"/>
              </w:rPr>
            </w:pPr>
            <w:r>
              <w:rPr>
                <w:rFonts w:hint="eastAsia" w:ascii="宋体" w:hAnsi="宋体"/>
                <w:bCs/>
                <w:sz w:val="20"/>
              </w:rPr>
              <w:t>建立社区居民健康档案</w:t>
            </w:r>
          </w:p>
        </w:tc>
        <w:tc>
          <w:tcPr>
            <w:tcW w:w="720" w:type="dxa"/>
            <w:vAlign w:val="center"/>
          </w:tcPr>
          <w:p>
            <w:pPr>
              <w:pStyle w:val="2"/>
              <w:spacing w:line="288" w:lineRule="auto"/>
              <w:ind w:firstLine="0"/>
              <w:jc w:val="center"/>
              <w:rPr>
                <w:rFonts w:ascii="宋体"/>
                <w:bCs/>
                <w:sz w:val="20"/>
              </w:rPr>
            </w:pPr>
            <w:r>
              <w:rPr>
                <w:rFonts w:ascii="宋体" w:hAnsi="宋体"/>
                <w:bCs/>
                <w:sz w:val="20"/>
              </w:rPr>
              <w:t>2</w:t>
            </w:r>
          </w:p>
        </w:tc>
        <w:tc>
          <w:tcPr>
            <w:tcW w:w="1080" w:type="dxa"/>
            <w:vAlign w:val="center"/>
          </w:tcPr>
          <w:p>
            <w:pPr>
              <w:jc w:val="center"/>
            </w:pPr>
            <w:r>
              <w:rPr>
                <w:rFonts w:hint="eastAsia" w:ascii="宋体" w:hAnsi="宋体"/>
                <w:bCs/>
                <w:sz w:val="20"/>
              </w:rPr>
              <w:t>综合型</w:t>
            </w:r>
          </w:p>
        </w:tc>
        <w:tc>
          <w:tcPr>
            <w:tcW w:w="720" w:type="dxa"/>
          </w:tcPr>
          <w:p>
            <w:pPr>
              <w:pStyle w:val="2"/>
              <w:spacing w:line="288" w:lineRule="auto"/>
              <w:ind w:firstLine="0"/>
              <w:rPr>
                <w:rFonts w:asci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exact"/>
        </w:trPr>
        <w:tc>
          <w:tcPr>
            <w:tcW w:w="648" w:type="dxa"/>
            <w:vAlign w:val="center"/>
          </w:tcPr>
          <w:p>
            <w:pPr>
              <w:pStyle w:val="2"/>
              <w:spacing w:line="288" w:lineRule="auto"/>
              <w:ind w:firstLine="0"/>
              <w:jc w:val="center"/>
              <w:rPr>
                <w:rFonts w:ascii="宋体" w:hAnsi="宋体"/>
                <w:bCs/>
                <w:sz w:val="20"/>
              </w:rPr>
            </w:pPr>
            <w:r>
              <w:rPr>
                <w:rFonts w:hint="eastAsia" w:ascii="宋体" w:hAnsi="宋体"/>
                <w:bCs/>
                <w:sz w:val="20"/>
              </w:rPr>
              <w:t>2</w:t>
            </w:r>
          </w:p>
        </w:tc>
        <w:tc>
          <w:tcPr>
            <w:tcW w:w="2334" w:type="dxa"/>
            <w:vAlign w:val="center"/>
          </w:tcPr>
          <w:p>
            <w:pPr>
              <w:pStyle w:val="2"/>
              <w:spacing w:line="288" w:lineRule="auto"/>
              <w:ind w:firstLine="0"/>
              <w:rPr>
                <w:rFonts w:ascii="宋体"/>
                <w:bCs/>
                <w:sz w:val="20"/>
              </w:rPr>
            </w:pPr>
            <w:r>
              <w:rPr>
                <w:rFonts w:hint="eastAsia" w:ascii="宋体" w:hAnsi="宋体"/>
                <w:bCs/>
                <w:sz w:val="20"/>
              </w:rPr>
              <w:t>编制与修订统计图表</w:t>
            </w:r>
          </w:p>
        </w:tc>
        <w:tc>
          <w:tcPr>
            <w:tcW w:w="3246" w:type="dxa"/>
          </w:tcPr>
          <w:p>
            <w:pPr>
              <w:snapToGrid w:val="0"/>
              <w:spacing w:line="288" w:lineRule="auto"/>
              <w:jc w:val="left"/>
              <w:rPr>
                <w:rFonts w:ascii="宋体"/>
                <w:color w:val="000000"/>
                <w:sz w:val="20"/>
                <w:szCs w:val="20"/>
              </w:rPr>
            </w:pPr>
            <w:r>
              <w:rPr>
                <w:rFonts w:hint="eastAsia" w:ascii="宋体" w:hAnsi="宋体"/>
                <w:color w:val="000000"/>
                <w:sz w:val="20"/>
                <w:szCs w:val="20"/>
              </w:rPr>
              <w:t>根据资料的性质和研究分析目的，选择并制作正确的统计图、统计表。</w:t>
            </w:r>
          </w:p>
          <w:p>
            <w:pPr>
              <w:pStyle w:val="2"/>
              <w:spacing w:line="288" w:lineRule="auto"/>
              <w:ind w:firstLine="0"/>
              <w:rPr>
                <w:rFonts w:ascii="宋体"/>
                <w:bCs/>
                <w:sz w:val="20"/>
              </w:rPr>
            </w:pPr>
          </w:p>
        </w:tc>
        <w:tc>
          <w:tcPr>
            <w:tcW w:w="720" w:type="dxa"/>
            <w:vAlign w:val="center"/>
          </w:tcPr>
          <w:p>
            <w:pPr>
              <w:pStyle w:val="2"/>
              <w:spacing w:line="288" w:lineRule="auto"/>
              <w:ind w:firstLine="0"/>
              <w:jc w:val="center"/>
              <w:rPr>
                <w:rFonts w:ascii="宋体"/>
                <w:bCs/>
                <w:sz w:val="20"/>
              </w:rPr>
            </w:pPr>
            <w:r>
              <w:rPr>
                <w:rFonts w:ascii="宋体" w:hAnsi="宋体"/>
                <w:bCs/>
                <w:sz w:val="20"/>
              </w:rPr>
              <w:t>2</w:t>
            </w:r>
          </w:p>
        </w:tc>
        <w:tc>
          <w:tcPr>
            <w:tcW w:w="1080" w:type="dxa"/>
            <w:vAlign w:val="center"/>
          </w:tcPr>
          <w:p>
            <w:pPr>
              <w:pStyle w:val="2"/>
              <w:spacing w:line="288" w:lineRule="auto"/>
              <w:ind w:firstLine="0"/>
              <w:jc w:val="center"/>
              <w:rPr>
                <w:rFonts w:ascii="宋体"/>
                <w:bCs/>
                <w:sz w:val="20"/>
              </w:rPr>
            </w:pPr>
            <w:r>
              <w:rPr>
                <w:rFonts w:hint="eastAsia" w:ascii="宋体" w:hAnsi="宋体"/>
                <w:bCs/>
                <w:sz w:val="20"/>
              </w:rPr>
              <w:t>综合型</w:t>
            </w:r>
          </w:p>
        </w:tc>
        <w:tc>
          <w:tcPr>
            <w:tcW w:w="720" w:type="dxa"/>
          </w:tcPr>
          <w:p>
            <w:pPr>
              <w:pStyle w:val="2"/>
              <w:spacing w:line="288" w:lineRule="auto"/>
              <w:ind w:firstLine="0"/>
              <w:rPr>
                <w:rFonts w:asci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rPr>
        <w:tc>
          <w:tcPr>
            <w:tcW w:w="648" w:type="dxa"/>
            <w:vAlign w:val="center"/>
          </w:tcPr>
          <w:p>
            <w:pPr>
              <w:pStyle w:val="2"/>
              <w:spacing w:line="288" w:lineRule="auto"/>
              <w:ind w:firstLine="0"/>
              <w:jc w:val="center"/>
              <w:rPr>
                <w:rFonts w:ascii="宋体"/>
                <w:bCs/>
                <w:sz w:val="20"/>
              </w:rPr>
            </w:pPr>
            <w:r>
              <w:rPr>
                <w:rFonts w:ascii="宋体" w:hAnsi="宋体"/>
                <w:bCs/>
                <w:sz w:val="20"/>
              </w:rPr>
              <w:t>3</w:t>
            </w:r>
          </w:p>
        </w:tc>
        <w:tc>
          <w:tcPr>
            <w:tcW w:w="2334" w:type="dxa"/>
          </w:tcPr>
          <w:p>
            <w:pPr>
              <w:pStyle w:val="2"/>
              <w:spacing w:line="288" w:lineRule="auto"/>
              <w:ind w:firstLine="0"/>
              <w:rPr>
                <w:rFonts w:ascii="宋体"/>
                <w:bCs/>
                <w:sz w:val="20"/>
              </w:rPr>
            </w:pPr>
            <w:r>
              <w:rPr>
                <w:rFonts w:hint="eastAsia" w:ascii="宋体" w:hAnsi="宋体"/>
                <w:bCs/>
                <w:sz w:val="20"/>
              </w:rPr>
              <w:t>预防接种</w:t>
            </w:r>
          </w:p>
        </w:tc>
        <w:tc>
          <w:tcPr>
            <w:tcW w:w="3246" w:type="dxa"/>
          </w:tcPr>
          <w:p>
            <w:pPr>
              <w:pStyle w:val="2"/>
              <w:spacing w:line="288" w:lineRule="auto"/>
              <w:ind w:firstLine="0"/>
              <w:rPr>
                <w:rFonts w:ascii="宋体"/>
                <w:bCs/>
                <w:sz w:val="20"/>
              </w:rPr>
            </w:pPr>
            <w:r>
              <w:rPr>
                <w:rFonts w:hint="eastAsia" w:ascii="宋体" w:hAnsi="宋体"/>
                <w:bCs/>
                <w:sz w:val="20"/>
              </w:rPr>
              <w:t>预防接种实施流程及基本操作技术</w:t>
            </w:r>
          </w:p>
        </w:tc>
        <w:tc>
          <w:tcPr>
            <w:tcW w:w="720" w:type="dxa"/>
            <w:vAlign w:val="center"/>
          </w:tcPr>
          <w:p>
            <w:pPr>
              <w:pStyle w:val="2"/>
              <w:spacing w:line="288" w:lineRule="auto"/>
              <w:ind w:firstLine="0"/>
              <w:jc w:val="center"/>
              <w:rPr>
                <w:rFonts w:ascii="宋体"/>
                <w:bCs/>
                <w:sz w:val="20"/>
              </w:rPr>
            </w:pPr>
            <w:r>
              <w:rPr>
                <w:rFonts w:ascii="宋体" w:hAnsi="宋体"/>
                <w:bCs/>
                <w:sz w:val="20"/>
              </w:rPr>
              <w:t>2</w:t>
            </w:r>
          </w:p>
        </w:tc>
        <w:tc>
          <w:tcPr>
            <w:tcW w:w="1080" w:type="dxa"/>
            <w:vAlign w:val="center"/>
          </w:tcPr>
          <w:p>
            <w:pPr>
              <w:jc w:val="center"/>
            </w:pPr>
            <w:r>
              <w:rPr>
                <w:rFonts w:hint="eastAsia" w:ascii="宋体" w:hAnsi="宋体"/>
                <w:bCs/>
                <w:sz w:val="20"/>
              </w:rPr>
              <w:t>综合型</w:t>
            </w:r>
          </w:p>
        </w:tc>
        <w:tc>
          <w:tcPr>
            <w:tcW w:w="720" w:type="dxa"/>
          </w:tcPr>
          <w:p>
            <w:pPr>
              <w:pStyle w:val="2"/>
              <w:spacing w:line="288" w:lineRule="auto"/>
              <w:ind w:firstLine="0"/>
              <w:rPr>
                <w:rFonts w:asci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exact"/>
        </w:trPr>
        <w:tc>
          <w:tcPr>
            <w:tcW w:w="648" w:type="dxa"/>
            <w:vAlign w:val="center"/>
          </w:tcPr>
          <w:p>
            <w:pPr>
              <w:pStyle w:val="2"/>
              <w:spacing w:line="288" w:lineRule="auto"/>
              <w:ind w:firstLine="0"/>
              <w:jc w:val="center"/>
              <w:rPr>
                <w:rFonts w:ascii="宋体"/>
                <w:bCs/>
                <w:sz w:val="20"/>
              </w:rPr>
            </w:pPr>
            <w:r>
              <w:rPr>
                <w:rFonts w:ascii="宋体" w:hAnsi="宋体"/>
                <w:bCs/>
                <w:sz w:val="20"/>
              </w:rPr>
              <w:t>4</w:t>
            </w:r>
          </w:p>
        </w:tc>
        <w:tc>
          <w:tcPr>
            <w:tcW w:w="2334" w:type="dxa"/>
          </w:tcPr>
          <w:p>
            <w:pPr>
              <w:pStyle w:val="2"/>
              <w:spacing w:line="288" w:lineRule="auto"/>
              <w:ind w:firstLine="0"/>
              <w:rPr>
                <w:rFonts w:ascii="宋体"/>
                <w:bCs/>
                <w:sz w:val="20"/>
              </w:rPr>
            </w:pPr>
            <w:r>
              <w:rPr>
                <w:rFonts w:hint="eastAsia" w:ascii="宋体"/>
                <w:bCs/>
                <w:sz w:val="20"/>
              </w:rPr>
              <w:t>慢性病患者的社区管理与护理</w:t>
            </w:r>
          </w:p>
        </w:tc>
        <w:tc>
          <w:tcPr>
            <w:tcW w:w="3246" w:type="dxa"/>
          </w:tcPr>
          <w:p>
            <w:pPr>
              <w:pStyle w:val="2"/>
              <w:spacing w:line="288" w:lineRule="auto"/>
              <w:ind w:firstLine="0"/>
              <w:rPr>
                <w:rFonts w:ascii="宋体"/>
                <w:bCs/>
                <w:sz w:val="20"/>
              </w:rPr>
            </w:pPr>
            <w:r>
              <w:rPr>
                <w:rFonts w:hint="eastAsia" w:ascii="宋体" w:hAnsi="宋体"/>
                <w:bCs/>
                <w:sz w:val="20"/>
              </w:rPr>
              <w:t>根据案例制定慢性病健康教育计划</w:t>
            </w:r>
          </w:p>
        </w:tc>
        <w:tc>
          <w:tcPr>
            <w:tcW w:w="720" w:type="dxa"/>
            <w:vAlign w:val="center"/>
          </w:tcPr>
          <w:p>
            <w:pPr>
              <w:pStyle w:val="2"/>
              <w:spacing w:line="288" w:lineRule="auto"/>
              <w:ind w:firstLine="0"/>
              <w:jc w:val="center"/>
              <w:rPr>
                <w:rFonts w:ascii="宋体"/>
                <w:bCs/>
                <w:sz w:val="20"/>
              </w:rPr>
            </w:pPr>
            <w:r>
              <w:rPr>
                <w:rFonts w:ascii="宋体" w:hAnsi="宋体"/>
                <w:bCs/>
                <w:sz w:val="20"/>
              </w:rPr>
              <w:t>2</w:t>
            </w:r>
          </w:p>
        </w:tc>
        <w:tc>
          <w:tcPr>
            <w:tcW w:w="1080" w:type="dxa"/>
            <w:vAlign w:val="center"/>
          </w:tcPr>
          <w:p>
            <w:pPr>
              <w:jc w:val="center"/>
            </w:pPr>
            <w:r>
              <w:rPr>
                <w:rFonts w:hint="eastAsia" w:ascii="宋体" w:hAnsi="宋体"/>
                <w:bCs/>
                <w:sz w:val="20"/>
              </w:rPr>
              <w:t>综合型</w:t>
            </w:r>
          </w:p>
        </w:tc>
        <w:tc>
          <w:tcPr>
            <w:tcW w:w="720" w:type="dxa"/>
          </w:tcPr>
          <w:p>
            <w:pPr>
              <w:pStyle w:val="2"/>
              <w:spacing w:line="288" w:lineRule="auto"/>
              <w:ind w:firstLine="0"/>
              <w:rPr>
                <w:rFonts w:ascii="宋体"/>
                <w:bCs/>
                <w:sz w:val="20"/>
              </w:rPr>
            </w:pPr>
          </w:p>
        </w:tc>
      </w:tr>
    </w:tbl>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9"/>
        <w:tblpPr w:leftFromText="180" w:rightFromText="180" w:vertAnchor="text" w:horzAnchor="margin" w:tblpY="95"/>
        <w:tblOverlap w:val="never"/>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Lines="50" w:afterLines="50"/>
              <w:rPr>
                <w:rFonts w:ascii="宋体"/>
                <w:bCs/>
                <w:color w:val="000000"/>
                <w:szCs w:val="20"/>
              </w:rPr>
            </w:pPr>
            <w:r>
              <w:rPr>
                <w:rFonts w:hint="eastAsia" w:ascii="宋体" w:hAnsi="宋体"/>
                <w:bCs/>
                <w:color w:val="000000"/>
                <w:szCs w:val="20"/>
              </w:rPr>
              <w:t>总评构成（</w:t>
            </w:r>
            <w:r>
              <w:rPr>
                <w:rFonts w:ascii="宋体" w:hAnsi="宋体"/>
                <w:bCs/>
                <w:color w:val="000000"/>
                <w:szCs w:val="20"/>
              </w:rPr>
              <w:t>1+X</w:t>
            </w:r>
            <w:r>
              <w:rPr>
                <w:rFonts w:hint="eastAsia" w:ascii="宋体" w:hAnsi="宋体"/>
                <w:bCs/>
                <w:color w:val="000000"/>
                <w:szCs w:val="20"/>
              </w:rPr>
              <w:t>）</w:t>
            </w:r>
          </w:p>
        </w:tc>
        <w:tc>
          <w:tcPr>
            <w:tcW w:w="5103" w:type="dxa"/>
          </w:tcPr>
          <w:p>
            <w:pPr>
              <w:snapToGrid w:val="0"/>
              <w:spacing w:beforeLines="50" w:afterLines="50"/>
              <w:jc w:val="center"/>
              <w:rPr>
                <w:rFonts w:ascii="宋体"/>
                <w:bCs/>
                <w:color w:val="000000"/>
                <w:szCs w:val="20"/>
              </w:rPr>
            </w:pPr>
            <w:r>
              <w:rPr>
                <w:rFonts w:hint="eastAsia" w:ascii="宋体" w:hAnsi="宋体"/>
                <w:bCs/>
                <w:color w:val="000000"/>
                <w:szCs w:val="20"/>
              </w:rPr>
              <w:t>评价方式</w:t>
            </w:r>
          </w:p>
        </w:tc>
        <w:tc>
          <w:tcPr>
            <w:tcW w:w="1476" w:type="dxa"/>
          </w:tcPr>
          <w:p>
            <w:pPr>
              <w:snapToGrid w:val="0"/>
              <w:spacing w:beforeLines="50" w:afterLines="50"/>
              <w:jc w:val="center"/>
              <w:rPr>
                <w:rFonts w:asci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809" w:type="dxa"/>
          </w:tcPr>
          <w:p>
            <w:pPr>
              <w:snapToGrid w:val="0"/>
              <w:spacing w:beforeLines="50" w:afterLines="50"/>
              <w:jc w:val="center"/>
              <w:rPr>
                <w:rFonts w:ascii="宋体"/>
                <w:bCs/>
                <w:color w:val="000000"/>
                <w:szCs w:val="20"/>
              </w:rPr>
            </w:pPr>
            <w:r>
              <w:rPr>
                <w:rFonts w:ascii="宋体" w:hAnsi="宋体"/>
                <w:bCs/>
                <w:color w:val="000000"/>
                <w:szCs w:val="20"/>
              </w:rPr>
              <w:t>1</w:t>
            </w:r>
          </w:p>
        </w:tc>
        <w:tc>
          <w:tcPr>
            <w:tcW w:w="5103" w:type="dxa"/>
            <w:vAlign w:val="center"/>
          </w:tcPr>
          <w:p>
            <w:pPr>
              <w:snapToGrid w:val="0"/>
              <w:spacing w:beforeLines="50" w:afterLines="50"/>
              <w:jc w:val="center"/>
              <w:rPr>
                <w:rFonts w:ascii="宋体"/>
                <w:bCs/>
                <w:color w:val="000000"/>
                <w:sz w:val="18"/>
                <w:szCs w:val="18"/>
              </w:rPr>
            </w:pPr>
            <w:r>
              <w:rPr>
                <w:rFonts w:hint="eastAsia" w:ascii="宋体" w:hAnsi="宋体"/>
                <w:sz w:val="18"/>
                <w:szCs w:val="18"/>
              </w:rPr>
              <w:t>期末闭卷考试</w:t>
            </w:r>
          </w:p>
        </w:tc>
        <w:tc>
          <w:tcPr>
            <w:tcW w:w="1476" w:type="dxa"/>
          </w:tcPr>
          <w:p>
            <w:pPr>
              <w:snapToGrid w:val="0"/>
              <w:spacing w:beforeLines="50" w:afterLines="50"/>
              <w:jc w:val="center"/>
              <w:rPr>
                <w:rFonts w:ascii="宋体" w:hAnsi="宋体"/>
                <w:color w:val="000000"/>
                <w:sz w:val="18"/>
                <w:szCs w:val="18"/>
              </w:rPr>
            </w:pPr>
            <w:r>
              <w:rPr>
                <w:rFonts w:ascii="宋体" w:hAnsi="宋体"/>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Lines="50" w:afterLines="50"/>
              <w:jc w:val="center"/>
              <w:rPr>
                <w:rFonts w:ascii="宋体"/>
                <w:bCs/>
                <w:color w:val="000000"/>
                <w:szCs w:val="20"/>
              </w:rPr>
            </w:pPr>
            <w:r>
              <w:rPr>
                <w:rFonts w:ascii="宋体" w:hAnsi="宋体"/>
                <w:bCs/>
                <w:color w:val="000000"/>
                <w:szCs w:val="20"/>
              </w:rPr>
              <w:t>X1</w:t>
            </w:r>
          </w:p>
        </w:tc>
        <w:tc>
          <w:tcPr>
            <w:tcW w:w="5103" w:type="dxa"/>
          </w:tcPr>
          <w:p>
            <w:pPr>
              <w:snapToGrid w:val="0"/>
              <w:spacing w:beforeLines="50" w:afterLines="50"/>
              <w:jc w:val="center"/>
              <w:rPr>
                <w:rFonts w:ascii="宋体"/>
                <w:bCs/>
                <w:color w:val="000000"/>
                <w:sz w:val="18"/>
                <w:szCs w:val="18"/>
              </w:rPr>
            </w:pPr>
            <w:r>
              <w:rPr>
                <w:rFonts w:ascii="宋体"/>
                <w:bCs/>
                <w:color w:val="000000"/>
                <w:sz w:val="18"/>
                <w:szCs w:val="18"/>
              </w:rPr>
              <w:t>阶段汇报</w:t>
            </w:r>
          </w:p>
        </w:tc>
        <w:tc>
          <w:tcPr>
            <w:tcW w:w="1476" w:type="dxa"/>
          </w:tcPr>
          <w:p>
            <w:pPr>
              <w:snapToGrid w:val="0"/>
              <w:spacing w:beforeLines="50" w:afterLines="50"/>
              <w:jc w:val="center"/>
              <w:rPr>
                <w:rFonts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Lines="50" w:afterLines="50"/>
              <w:jc w:val="center"/>
              <w:rPr>
                <w:rFonts w:ascii="宋体"/>
                <w:bCs/>
                <w:color w:val="000000"/>
                <w:szCs w:val="20"/>
              </w:rPr>
            </w:pPr>
            <w:r>
              <w:rPr>
                <w:rFonts w:ascii="宋体" w:hAnsi="宋体"/>
                <w:bCs/>
                <w:color w:val="000000"/>
                <w:szCs w:val="20"/>
              </w:rPr>
              <w:t>X2</w:t>
            </w:r>
          </w:p>
        </w:tc>
        <w:tc>
          <w:tcPr>
            <w:tcW w:w="5103" w:type="dxa"/>
          </w:tcPr>
          <w:p>
            <w:pPr>
              <w:snapToGrid w:val="0"/>
              <w:spacing w:beforeLines="50" w:afterLines="50"/>
              <w:jc w:val="center"/>
              <w:rPr>
                <w:rFonts w:ascii="宋体"/>
                <w:bCs/>
                <w:color w:val="000000"/>
                <w:sz w:val="18"/>
                <w:szCs w:val="18"/>
              </w:rPr>
            </w:pPr>
            <w:r>
              <w:rPr>
                <w:rFonts w:hint="eastAsia" w:ascii="宋体"/>
                <w:color w:val="000000"/>
                <w:sz w:val="18"/>
                <w:szCs w:val="18"/>
              </w:rPr>
              <w:t>评估报告</w:t>
            </w:r>
          </w:p>
        </w:tc>
        <w:tc>
          <w:tcPr>
            <w:tcW w:w="1476" w:type="dxa"/>
          </w:tcPr>
          <w:p>
            <w:pPr>
              <w:snapToGrid w:val="0"/>
              <w:spacing w:beforeLines="50" w:afterLines="50"/>
              <w:jc w:val="center"/>
              <w:rPr>
                <w:rFonts w:ascii="宋体" w:hAnsi="宋体"/>
                <w:color w:val="000000"/>
                <w:sz w:val="18"/>
                <w:szCs w:val="18"/>
              </w:rPr>
            </w:pPr>
            <w:r>
              <w:rPr>
                <w:rFonts w:ascii="宋体" w:hAnsi="宋体"/>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809" w:type="dxa"/>
          </w:tcPr>
          <w:p>
            <w:pPr>
              <w:snapToGrid w:val="0"/>
              <w:spacing w:beforeLines="50" w:afterLines="50"/>
              <w:jc w:val="center"/>
              <w:rPr>
                <w:rFonts w:ascii="宋体"/>
                <w:bCs/>
                <w:color w:val="000000"/>
                <w:szCs w:val="20"/>
              </w:rPr>
            </w:pPr>
            <w:r>
              <w:rPr>
                <w:rFonts w:ascii="宋体" w:hAnsi="宋体"/>
                <w:bCs/>
                <w:color w:val="000000"/>
                <w:szCs w:val="20"/>
              </w:rPr>
              <w:t>X3</w:t>
            </w:r>
          </w:p>
        </w:tc>
        <w:tc>
          <w:tcPr>
            <w:tcW w:w="5103" w:type="dxa"/>
          </w:tcPr>
          <w:p>
            <w:pPr>
              <w:snapToGrid w:val="0"/>
              <w:spacing w:beforeLines="50" w:afterLines="50"/>
              <w:jc w:val="center"/>
              <w:rPr>
                <w:rFonts w:ascii="宋体"/>
                <w:color w:val="000000"/>
                <w:sz w:val="18"/>
                <w:szCs w:val="18"/>
              </w:rPr>
            </w:pPr>
            <w:r>
              <w:rPr>
                <w:rFonts w:hint="eastAsia" w:ascii="宋体" w:hAnsi="宋体"/>
                <w:color w:val="000000"/>
                <w:sz w:val="18"/>
                <w:szCs w:val="18"/>
              </w:rPr>
              <w:t>课堂表现</w:t>
            </w:r>
          </w:p>
        </w:tc>
        <w:tc>
          <w:tcPr>
            <w:tcW w:w="1476" w:type="dxa"/>
          </w:tcPr>
          <w:p>
            <w:pPr>
              <w:snapToGrid w:val="0"/>
              <w:spacing w:beforeLines="50" w:afterLines="50"/>
              <w:jc w:val="center"/>
              <w:rPr>
                <w:rFonts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0%</w:t>
            </w:r>
          </w:p>
        </w:tc>
      </w:tr>
    </w:tbl>
    <w:p>
      <w:pPr>
        <w:snapToGrid w:val="0"/>
        <w:spacing w:line="288" w:lineRule="auto"/>
        <w:ind w:firstLine="840" w:firstLineChars="300"/>
        <w:rPr>
          <w:sz w:val="28"/>
          <w:szCs w:val="28"/>
        </w:rPr>
      </w:pPr>
      <w:r>
        <w:rPr>
          <w:rFonts w:hint="eastAsia"/>
          <w:sz w:val="28"/>
          <w:szCs w:val="28"/>
        </w:rPr>
        <w:t xml:space="preserve"> </w:t>
      </w:r>
    </w:p>
    <w:p>
      <w:pPr>
        <w:snapToGrid w:val="0"/>
        <w:spacing w:line="288" w:lineRule="auto"/>
        <w:ind w:firstLine="840" w:firstLineChars="300"/>
        <w:rPr>
          <w:sz w:val="28"/>
          <w:szCs w:val="28"/>
        </w:rPr>
      </w:pPr>
      <w:r>
        <w:rPr>
          <w:sz w:val="28"/>
          <w:szCs w:val="28"/>
        </w:rPr>
        <w:drawing>
          <wp:anchor distT="0" distB="0" distL="114300" distR="114300" simplePos="0" relativeHeight="251658240" behindDoc="0" locked="0" layoutInCell="1" allowOverlap="1">
            <wp:simplePos x="0" y="0"/>
            <wp:positionH relativeFrom="column">
              <wp:posOffset>1495425</wp:posOffset>
            </wp:positionH>
            <wp:positionV relativeFrom="paragraph">
              <wp:posOffset>17145</wp:posOffset>
            </wp:positionV>
            <wp:extent cx="529590" cy="333375"/>
            <wp:effectExtent l="19050" t="0" r="3810" b="0"/>
            <wp:wrapSquare wrapText="bothSides"/>
            <wp:docPr id="6" name="图片 6" descr="自己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自己签名"/>
                    <pic:cNvPicPr>
                      <a:picLocks noChangeAspect="1" noChangeArrowheads="1"/>
                    </pic:cNvPicPr>
                  </pic:nvPicPr>
                  <pic:blipFill>
                    <a:blip r:embed="rId4"/>
                    <a:srcRect/>
                    <a:stretch>
                      <a:fillRect/>
                    </a:stretch>
                  </pic:blipFill>
                  <pic:spPr>
                    <a:xfrm>
                      <a:off x="0" y="0"/>
                      <a:ext cx="529590" cy="333375"/>
                    </a:xfrm>
                    <a:prstGeom prst="rect">
                      <a:avLst/>
                    </a:prstGeom>
                    <a:noFill/>
                  </pic:spPr>
                </pic:pic>
              </a:graphicData>
            </a:graphic>
          </wp:anchor>
        </w:drawing>
      </w:r>
      <w:r>
        <w:rPr>
          <w:rFonts w:hint="eastAsia"/>
          <w:sz w:val="28"/>
          <w:szCs w:val="28"/>
        </w:rPr>
        <w:t>撰写人：</w:t>
      </w:r>
      <w:r>
        <w:rPr>
          <w:sz w:val="28"/>
          <w:szCs w:val="28"/>
        </w:rPr>
        <w:t xml:space="preserve">             </w:t>
      </w:r>
      <w:r>
        <w:rPr>
          <w:rFonts w:hint="eastAsia"/>
          <w:sz w:val="28"/>
          <w:szCs w:val="28"/>
        </w:rPr>
        <w:t>系主任审核签名：</w:t>
      </w:r>
      <w:r>
        <w:rPr>
          <w:sz w:val="28"/>
          <w:szCs w:val="28"/>
        </w:rPr>
        <w:drawing>
          <wp:inline distT="0" distB="0" distL="114300" distR="114300">
            <wp:extent cx="718185" cy="309245"/>
            <wp:effectExtent l="0" t="0" r="18415" b="20955"/>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海英"/>
                    <pic:cNvPicPr>
                      <a:picLocks noChangeAspect="1"/>
                    </pic:cNvPicPr>
                  </pic:nvPicPr>
                  <pic:blipFill>
                    <a:blip r:embed="rId5"/>
                    <a:stretch>
                      <a:fillRect/>
                    </a:stretch>
                  </pic:blipFill>
                  <pic:spPr>
                    <a:xfrm>
                      <a:off x="0" y="0"/>
                      <a:ext cx="718185" cy="309245"/>
                    </a:xfrm>
                    <a:prstGeom prst="rect">
                      <a:avLst/>
                    </a:prstGeom>
                  </pic:spPr>
                </pic:pic>
              </a:graphicData>
            </a:graphic>
          </wp:inline>
        </w:drawing>
      </w:r>
    </w:p>
    <w:p>
      <w:pPr>
        <w:snapToGrid w:val="0"/>
        <w:spacing w:line="288" w:lineRule="auto"/>
        <w:ind w:firstLine="840" w:firstLineChars="300"/>
      </w:pPr>
      <w:bookmarkStart w:id="2" w:name="_GoBack"/>
      <w:bookmarkEnd w:id="2"/>
      <w:r>
        <w:rPr>
          <w:rFonts w:hint="eastAsia"/>
          <w:sz w:val="28"/>
          <w:szCs w:val="28"/>
        </w:rPr>
        <w:t>审核时间：</w:t>
      </w:r>
      <w:r>
        <w:rPr>
          <w:rFonts w:ascii="宋体" w:hAnsi="宋体"/>
          <w:sz w:val="28"/>
          <w:szCs w:val="28"/>
        </w:rPr>
        <w:t>20</w:t>
      </w:r>
      <w:r>
        <w:rPr>
          <w:rFonts w:hint="eastAsia" w:ascii="宋体" w:hAnsi="宋体"/>
          <w:sz w:val="28"/>
          <w:szCs w:val="28"/>
        </w:rPr>
        <w:t>22年</w:t>
      </w:r>
      <w:r>
        <w:rPr>
          <w:rFonts w:ascii="宋体" w:hAnsi="宋体"/>
          <w:sz w:val="28"/>
          <w:szCs w:val="28"/>
        </w:rPr>
        <w:t xml:space="preserve"> </w:t>
      </w:r>
      <w:r>
        <w:rPr>
          <w:rFonts w:hint="eastAsia" w:ascii="宋体" w:hAnsi="宋体"/>
          <w:sz w:val="28"/>
          <w:szCs w:val="28"/>
        </w:rPr>
        <w:t>9月</w:t>
      </w:r>
      <w:r>
        <w:rPr>
          <w:rFonts w:hint="default" w:ascii="宋体" w:hAnsi="宋体"/>
          <w:sz w:val="28"/>
          <w:szCs w:val="28"/>
        </w:rPr>
        <w:t>16</w:t>
      </w:r>
      <w:r>
        <w:rPr>
          <w:rFonts w:hint="eastAsia" w:ascii="宋体" w:hAnsi="宋体"/>
          <w:sz w:val="28"/>
          <w:szCs w:val="28"/>
        </w:rPr>
        <w:t>日</w:t>
      </w:r>
      <w:r>
        <w:rPr>
          <w:rFonts w:ascii="宋体" w:hAnsi="宋体"/>
          <w:sz w:val="28"/>
          <w:szCs w:val="28"/>
        </w:rPr>
        <w:t xml:space="preserve"> </w:t>
      </w:r>
      <w:r>
        <w:rPr>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方正小标宋简体">
    <w:altName w:val="汉仪书宋二KW"/>
    <w:panose1 w:val="00000000000000000000"/>
    <w:charset w:val="86"/>
    <w:family w:val="script"/>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Yu Gothic UI Semibold">
    <w:altName w:val="Hiragino Sans"/>
    <w:panose1 w:val="020B0700000000000000"/>
    <w:charset w:val="80"/>
    <w:family w:val="auto"/>
    <w:pitch w:val="default"/>
    <w:sig w:usb0="00000000" w:usb1="00000000" w:usb2="00000016" w:usb3="00000000" w:csb0="2002009F"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903458"/>
    <w:multiLevelType w:val="singleLevel"/>
    <w:tmpl w:val="B49034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30C0"/>
    <w:rsid w:val="00007D50"/>
    <w:rsid w:val="00021B87"/>
    <w:rsid w:val="00023D83"/>
    <w:rsid w:val="000544B6"/>
    <w:rsid w:val="00063EB1"/>
    <w:rsid w:val="000657E9"/>
    <w:rsid w:val="00071FBF"/>
    <w:rsid w:val="000772F5"/>
    <w:rsid w:val="000A10C3"/>
    <w:rsid w:val="000B2A82"/>
    <w:rsid w:val="000B2E37"/>
    <w:rsid w:val="000C042C"/>
    <w:rsid w:val="000C23E6"/>
    <w:rsid w:val="000D0D09"/>
    <w:rsid w:val="000D2F72"/>
    <w:rsid w:val="000E1DA6"/>
    <w:rsid w:val="00101855"/>
    <w:rsid w:val="001072BC"/>
    <w:rsid w:val="00136AE9"/>
    <w:rsid w:val="0014265A"/>
    <w:rsid w:val="001468F2"/>
    <w:rsid w:val="001472ED"/>
    <w:rsid w:val="00150602"/>
    <w:rsid w:val="001506D7"/>
    <w:rsid w:val="001551F8"/>
    <w:rsid w:val="00155A49"/>
    <w:rsid w:val="00167254"/>
    <w:rsid w:val="00170C7A"/>
    <w:rsid w:val="00171F02"/>
    <w:rsid w:val="001760DF"/>
    <w:rsid w:val="001768BA"/>
    <w:rsid w:val="00180AAE"/>
    <w:rsid w:val="001906E3"/>
    <w:rsid w:val="001908ED"/>
    <w:rsid w:val="001B3316"/>
    <w:rsid w:val="001C4B02"/>
    <w:rsid w:val="002140B5"/>
    <w:rsid w:val="00217DBD"/>
    <w:rsid w:val="00226752"/>
    <w:rsid w:val="002401A4"/>
    <w:rsid w:val="002434FF"/>
    <w:rsid w:val="00243E20"/>
    <w:rsid w:val="00256683"/>
    <w:rsid w:val="00256B39"/>
    <w:rsid w:val="0026033C"/>
    <w:rsid w:val="002756CF"/>
    <w:rsid w:val="002827BD"/>
    <w:rsid w:val="00291F66"/>
    <w:rsid w:val="002942BF"/>
    <w:rsid w:val="002A7158"/>
    <w:rsid w:val="002C198E"/>
    <w:rsid w:val="002C31AD"/>
    <w:rsid w:val="002D5AAC"/>
    <w:rsid w:val="002E01FA"/>
    <w:rsid w:val="002E3721"/>
    <w:rsid w:val="002E4B44"/>
    <w:rsid w:val="002F0050"/>
    <w:rsid w:val="002F223A"/>
    <w:rsid w:val="0030391C"/>
    <w:rsid w:val="00313BBA"/>
    <w:rsid w:val="0032602E"/>
    <w:rsid w:val="00327EC9"/>
    <w:rsid w:val="003367AE"/>
    <w:rsid w:val="00343B60"/>
    <w:rsid w:val="0035317C"/>
    <w:rsid w:val="00375F03"/>
    <w:rsid w:val="00393337"/>
    <w:rsid w:val="003B1258"/>
    <w:rsid w:val="003B587B"/>
    <w:rsid w:val="003C1324"/>
    <w:rsid w:val="003D7C2D"/>
    <w:rsid w:val="003E0D14"/>
    <w:rsid w:val="004100B0"/>
    <w:rsid w:val="00420E48"/>
    <w:rsid w:val="004301D8"/>
    <w:rsid w:val="00445A2E"/>
    <w:rsid w:val="0046252F"/>
    <w:rsid w:val="00466EC5"/>
    <w:rsid w:val="004932A5"/>
    <w:rsid w:val="004A1D9F"/>
    <w:rsid w:val="004A338A"/>
    <w:rsid w:val="004C0E13"/>
    <w:rsid w:val="004E7E06"/>
    <w:rsid w:val="00527ABE"/>
    <w:rsid w:val="00540F38"/>
    <w:rsid w:val="005467DC"/>
    <w:rsid w:val="00553D03"/>
    <w:rsid w:val="00554F1F"/>
    <w:rsid w:val="00564797"/>
    <w:rsid w:val="00574431"/>
    <w:rsid w:val="0059069F"/>
    <w:rsid w:val="00594D95"/>
    <w:rsid w:val="005A59D8"/>
    <w:rsid w:val="005B2B6D"/>
    <w:rsid w:val="005B4B4E"/>
    <w:rsid w:val="005B5E38"/>
    <w:rsid w:val="005E7C38"/>
    <w:rsid w:val="005F0E10"/>
    <w:rsid w:val="005F715C"/>
    <w:rsid w:val="00607F83"/>
    <w:rsid w:val="00611079"/>
    <w:rsid w:val="00612CE0"/>
    <w:rsid w:val="00624385"/>
    <w:rsid w:val="00624FE1"/>
    <w:rsid w:val="00632055"/>
    <w:rsid w:val="00634086"/>
    <w:rsid w:val="00645C21"/>
    <w:rsid w:val="006609A0"/>
    <w:rsid w:val="006641D4"/>
    <w:rsid w:val="0066442D"/>
    <w:rsid w:val="006644B0"/>
    <w:rsid w:val="0067316B"/>
    <w:rsid w:val="00676C04"/>
    <w:rsid w:val="006C7058"/>
    <w:rsid w:val="006D08C2"/>
    <w:rsid w:val="006D335E"/>
    <w:rsid w:val="006E4A16"/>
    <w:rsid w:val="00703FE7"/>
    <w:rsid w:val="007066B8"/>
    <w:rsid w:val="007208D6"/>
    <w:rsid w:val="00725866"/>
    <w:rsid w:val="007520C2"/>
    <w:rsid w:val="00772B18"/>
    <w:rsid w:val="00774B02"/>
    <w:rsid w:val="00786817"/>
    <w:rsid w:val="007871D9"/>
    <w:rsid w:val="007875B7"/>
    <w:rsid w:val="0079664D"/>
    <w:rsid w:val="007A3CFA"/>
    <w:rsid w:val="007A5FD5"/>
    <w:rsid w:val="007B78EC"/>
    <w:rsid w:val="007D1B36"/>
    <w:rsid w:val="007E3A7C"/>
    <w:rsid w:val="007F0690"/>
    <w:rsid w:val="00802AB6"/>
    <w:rsid w:val="00803F15"/>
    <w:rsid w:val="00816A40"/>
    <w:rsid w:val="00824F09"/>
    <w:rsid w:val="00833794"/>
    <w:rsid w:val="00857C9B"/>
    <w:rsid w:val="008709B0"/>
    <w:rsid w:val="00884503"/>
    <w:rsid w:val="00894349"/>
    <w:rsid w:val="008A671F"/>
    <w:rsid w:val="008B2CE9"/>
    <w:rsid w:val="008B397C"/>
    <w:rsid w:val="008B3D17"/>
    <w:rsid w:val="008B47F4"/>
    <w:rsid w:val="008D2A68"/>
    <w:rsid w:val="008D445F"/>
    <w:rsid w:val="008E24F8"/>
    <w:rsid w:val="008E4249"/>
    <w:rsid w:val="00900019"/>
    <w:rsid w:val="00902281"/>
    <w:rsid w:val="00916BB7"/>
    <w:rsid w:val="00917E0C"/>
    <w:rsid w:val="00920C79"/>
    <w:rsid w:val="00935FB2"/>
    <w:rsid w:val="0094505C"/>
    <w:rsid w:val="009550DB"/>
    <w:rsid w:val="00982B20"/>
    <w:rsid w:val="0099063E"/>
    <w:rsid w:val="009C74ED"/>
    <w:rsid w:val="009F0349"/>
    <w:rsid w:val="00A04FEF"/>
    <w:rsid w:val="00A12BF6"/>
    <w:rsid w:val="00A15083"/>
    <w:rsid w:val="00A23189"/>
    <w:rsid w:val="00A2623F"/>
    <w:rsid w:val="00A42142"/>
    <w:rsid w:val="00A5455F"/>
    <w:rsid w:val="00A6363B"/>
    <w:rsid w:val="00A64F32"/>
    <w:rsid w:val="00A769B1"/>
    <w:rsid w:val="00A837D5"/>
    <w:rsid w:val="00AB3FDC"/>
    <w:rsid w:val="00AC0222"/>
    <w:rsid w:val="00AC0525"/>
    <w:rsid w:val="00AC2884"/>
    <w:rsid w:val="00AC37AF"/>
    <w:rsid w:val="00AC4C45"/>
    <w:rsid w:val="00AC7A5C"/>
    <w:rsid w:val="00AD6FDF"/>
    <w:rsid w:val="00AE6A51"/>
    <w:rsid w:val="00AE7A4D"/>
    <w:rsid w:val="00AF0253"/>
    <w:rsid w:val="00B04B90"/>
    <w:rsid w:val="00B07155"/>
    <w:rsid w:val="00B1397B"/>
    <w:rsid w:val="00B13B79"/>
    <w:rsid w:val="00B16B3C"/>
    <w:rsid w:val="00B203A4"/>
    <w:rsid w:val="00B225FB"/>
    <w:rsid w:val="00B32BF9"/>
    <w:rsid w:val="00B37970"/>
    <w:rsid w:val="00B46F21"/>
    <w:rsid w:val="00B511A5"/>
    <w:rsid w:val="00B52474"/>
    <w:rsid w:val="00B57AC5"/>
    <w:rsid w:val="00B675C4"/>
    <w:rsid w:val="00B722F5"/>
    <w:rsid w:val="00B736A7"/>
    <w:rsid w:val="00B74D61"/>
    <w:rsid w:val="00B7651F"/>
    <w:rsid w:val="00B840DC"/>
    <w:rsid w:val="00B90863"/>
    <w:rsid w:val="00B94C4A"/>
    <w:rsid w:val="00B973E6"/>
    <w:rsid w:val="00BC5FA5"/>
    <w:rsid w:val="00BD7C97"/>
    <w:rsid w:val="00BE6B5E"/>
    <w:rsid w:val="00BF39C6"/>
    <w:rsid w:val="00C02ACA"/>
    <w:rsid w:val="00C034FC"/>
    <w:rsid w:val="00C10A42"/>
    <w:rsid w:val="00C55DBF"/>
    <w:rsid w:val="00C56E09"/>
    <w:rsid w:val="00C82A97"/>
    <w:rsid w:val="00C82C61"/>
    <w:rsid w:val="00CD2F16"/>
    <w:rsid w:val="00CF03DF"/>
    <w:rsid w:val="00CF096B"/>
    <w:rsid w:val="00CF4A0A"/>
    <w:rsid w:val="00D05016"/>
    <w:rsid w:val="00D304AC"/>
    <w:rsid w:val="00D33EA7"/>
    <w:rsid w:val="00D444C7"/>
    <w:rsid w:val="00D44DD6"/>
    <w:rsid w:val="00D73712"/>
    <w:rsid w:val="00D77B21"/>
    <w:rsid w:val="00D823A9"/>
    <w:rsid w:val="00D8713F"/>
    <w:rsid w:val="00D95FB1"/>
    <w:rsid w:val="00D97E96"/>
    <w:rsid w:val="00DA3D67"/>
    <w:rsid w:val="00DA7EEB"/>
    <w:rsid w:val="00DB3CA1"/>
    <w:rsid w:val="00DC1974"/>
    <w:rsid w:val="00DF350E"/>
    <w:rsid w:val="00E16D30"/>
    <w:rsid w:val="00E33169"/>
    <w:rsid w:val="00E42AF2"/>
    <w:rsid w:val="00E42DD8"/>
    <w:rsid w:val="00E545A0"/>
    <w:rsid w:val="00E563C3"/>
    <w:rsid w:val="00E70904"/>
    <w:rsid w:val="00E8642B"/>
    <w:rsid w:val="00E86E6B"/>
    <w:rsid w:val="00E91125"/>
    <w:rsid w:val="00E929EF"/>
    <w:rsid w:val="00E96A87"/>
    <w:rsid w:val="00E97E5E"/>
    <w:rsid w:val="00EB0A1B"/>
    <w:rsid w:val="00EB0D82"/>
    <w:rsid w:val="00EB4CEF"/>
    <w:rsid w:val="00EF44B1"/>
    <w:rsid w:val="00F12FBE"/>
    <w:rsid w:val="00F22491"/>
    <w:rsid w:val="00F27EFA"/>
    <w:rsid w:val="00F3510F"/>
    <w:rsid w:val="00F35AA0"/>
    <w:rsid w:val="00F45CC5"/>
    <w:rsid w:val="00F653DF"/>
    <w:rsid w:val="00F86486"/>
    <w:rsid w:val="00F974BA"/>
    <w:rsid w:val="00FC66CA"/>
    <w:rsid w:val="00FD6CB1"/>
    <w:rsid w:val="00FD7C19"/>
    <w:rsid w:val="00FE4DF3"/>
    <w:rsid w:val="016E63C2"/>
    <w:rsid w:val="024B0C39"/>
    <w:rsid w:val="059E47FF"/>
    <w:rsid w:val="097A6F19"/>
    <w:rsid w:val="0A8128A6"/>
    <w:rsid w:val="0BF32A1B"/>
    <w:rsid w:val="10BD2C22"/>
    <w:rsid w:val="16CC7E2B"/>
    <w:rsid w:val="19A327C0"/>
    <w:rsid w:val="1D821BE2"/>
    <w:rsid w:val="1F8BFC39"/>
    <w:rsid w:val="22987C80"/>
    <w:rsid w:val="24192CCC"/>
    <w:rsid w:val="25D92F88"/>
    <w:rsid w:val="39A66CD4"/>
    <w:rsid w:val="3BBD33AE"/>
    <w:rsid w:val="3CD52CE1"/>
    <w:rsid w:val="410F2E6A"/>
    <w:rsid w:val="4430136C"/>
    <w:rsid w:val="4AB0382B"/>
    <w:rsid w:val="569868B5"/>
    <w:rsid w:val="611F6817"/>
    <w:rsid w:val="629603C8"/>
    <w:rsid w:val="66CA1754"/>
    <w:rsid w:val="6F1E65D4"/>
    <w:rsid w:val="6F266C86"/>
    <w:rsid w:val="6F5042C2"/>
    <w:rsid w:val="74316312"/>
    <w:rsid w:val="749F0551"/>
    <w:rsid w:val="769E6B40"/>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spacing w:line="480" w:lineRule="exact"/>
      <w:ind w:firstLine="425"/>
    </w:pPr>
    <w:rPr>
      <w:szCs w:val="20"/>
    </w:rPr>
  </w:style>
  <w:style w:type="paragraph" w:styleId="3">
    <w:name w:val="Balloon Text"/>
    <w:basedOn w:val="1"/>
    <w:link w:val="14"/>
    <w:semiHidden/>
    <w:qFormat/>
    <w:uiPriority w:val="99"/>
    <w:rPr>
      <w:kern w:val="0"/>
      <w:sz w:val="2"/>
      <w:szCs w:val="20"/>
    </w:rPr>
  </w:style>
  <w:style w:type="paragraph" w:styleId="4">
    <w:name w:val="footer"/>
    <w:basedOn w:val="1"/>
    <w:link w:val="11"/>
    <w:qFormat/>
    <w:uiPriority w:val="99"/>
    <w:pPr>
      <w:tabs>
        <w:tab w:val="center" w:pos="4153"/>
        <w:tab w:val="right" w:pos="8306"/>
      </w:tabs>
      <w:snapToGrid w:val="0"/>
      <w:jc w:val="left"/>
    </w:pPr>
    <w:rPr>
      <w:kern w:val="0"/>
      <w:sz w:val="18"/>
      <w:szCs w:val="20"/>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Normal (Web)"/>
    <w:basedOn w:val="1"/>
    <w:qFormat/>
    <w:uiPriority w:val="99"/>
    <w:pPr>
      <w:widowControl/>
      <w:spacing w:beforeAutospacing="1" w:afterAutospacing="1"/>
      <w:jc w:val="left"/>
    </w:pPr>
    <w:rPr>
      <w:rFonts w:ascii="宋体" w:hAnsi="宋体"/>
      <w:color w:val="000000"/>
      <w:kern w:val="0"/>
      <w:sz w:val="24"/>
      <w:szCs w:val="24"/>
    </w:rPr>
  </w:style>
  <w:style w:type="character" w:styleId="8">
    <w:name w:val="Hyperlink"/>
    <w:basedOn w:val="7"/>
    <w:unhideWhenUsed/>
    <w:qFormat/>
    <w:uiPriority w:val="99"/>
    <w:rPr>
      <w:color w:val="0000FF"/>
      <w:u w:val="single"/>
    </w:rPr>
  </w:style>
  <w:style w:type="table" w:styleId="10">
    <w:name w:val="Table Grid"/>
    <w:basedOn w:val="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link w:val="4"/>
    <w:semiHidden/>
    <w:qFormat/>
    <w:locked/>
    <w:uiPriority w:val="99"/>
    <w:rPr>
      <w:rFonts w:cs="Times New Roman"/>
      <w:sz w:val="18"/>
    </w:rPr>
  </w:style>
  <w:style w:type="character" w:customStyle="1" w:styleId="12">
    <w:name w:val="页眉 Char"/>
    <w:link w:val="5"/>
    <w:semiHidden/>
    <w:qFormat/>
    <w:locked/>
    <w:uiPriority w:val="99"/>
    <w:rPr>
      <w:rFonts w:cs="Times New Roman"/>
      <w:sz w:val="18"/>
    </w:rPr>
  </w:style>
  <w:style w:type="character" w:customStyle="1" w:styleId="13">
    <w:name w:val="正文文本缩进 Char"/>
    <w:link w:val="2"/>
    <w:qFormat/>
    <w:locked/>
    <w:uiPriority w:val="99"/>
    <w:rPr>
      <w:rFonts w:ascii="Calibri" w:hAnsi="Calibri" w:eastAsia="宋体" w:cs="Times New Roman"/>
      <w:kern w:val="2"/>
      <w:sz w:val="21"/>
    </w:rPr>
  </w:style>
  <w:style w:type="character" w:customStyle="1" w:styleId="14">
    <w:name w:val="批注框文本 Char"/>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1020</Words>
  <Characters>5820</Characters>
  <Lines>48</Lines>
  <Paragraphs>13</Paragraphs>
  <ScaleCrop>false</ScaleCrop>
  <LinksUpToDate>false</LinksUpToDate>
  <CharactersWithSpaces>6827</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2022-09-19T00:49:00Z</dcterms:created>
  <dc:creator>juvg</dc:creator>
  <cp:lastModifiedBy>apple</cp:lastModifiedBy>
  <cp:lastPrinted>2019-03-18T21:09:00Z</cp:lastPrinted>
  <dcterms:modified xsi:type="dcterms:W3CDTF">2022-10-08T20:34:17Z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