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/>
          <w:kern w:val="0"/>
          <w:sz w:val="44"/>
          <w:szCs w:val="44"/>
        </w:rPr>
        <w:t>专业课课程教学大纲</w:t>
      </w:r>
    </w:p>
    <w:p>
      <w:pPr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【护理学基础2】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Fundamentals of Nursing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课程代码：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00</w:t>
      </w:r>
      <w:r>
        <w:rPr>
          <w:rFonts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00</w:t>
      </w:r>
      <w:r>
        <w:rPr>
          <w:rFonts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课程学分：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4.0</w:t>
      </w:r>
      <w:r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【护理】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【系级必修课◎】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健康管理学院护理系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Theme="majorEastAsia" w:hAnsiTheme="majorEastAsia" w:eastAsiaTheme="majorEastAsia"/>
          <w:color w:val="000000"/>
          <w:sz w:val="20"/>
          <w:szCs w:val="20"/>
        </w:rPr>
        <w:t>张连辉，邓翠珍</w:t>
      </w:r>
      <w:r>
        <w:rPr>
          <w:rFonts w:asciiTheme="majorEastAsia" w:hAnsiTheme="majorEastAsia" w:eastAsiaTheme="majorEastAsia"/>
          <w:color w:val="000000"/>
          <w:sz w:val="20"/>
          <w:szCs w:val="20"/>
        </w:rPr>
        <w:t>.</w:t>
      </w:r>
      <w:r>
        <w:rPr>
          <w:rFonts w:hint="eastAsia" w:asciiTheme="majorEastAsia" w:hAnsiTheme="majorEastAsia" w:eastAsiaTheme="majorEastAsia"/>
          <w:color w:val="000000"/>
          <w:sz w:val="20"/>
          <w:szCs w:val="20"/>
        </w:rPr>
        <w:t>基础护理学(第4版).</w:t>
      </w:r>
      <w:r>
        <w:rPr>
          <w:rFonts w:hint="eastAsia" w:ascii="宋体" w:hAnsi="宋体"/>
          <w:color w:val="000000"/>
          <w:sz w:val="20"/>
          <w:szCs w:val="20"/>
        </w:rPr>
        <w:t xml:space="preserve"> 北京：</w:t>
      </w:r>
      <w:r>
        <w:rPr>
          <w:rFonts w:hint="eastAsia" w:asciiTheme="majorEastAsia" w:hAnsiTheme="majorEastAsia" w:eastAsiaTheme="majorEastAsia"/>
          <w:color w:val="000000"/>
          <w:sz w:val="20"/>
          <w:szCs w:val="20"/>
        </w:rPr>
        <w:t>人民卫生出版社,</w:t>
      </w:r>
      <w:r>
        <w:rPr>
          <w:rFonts w:asciiTheme="majorEastAsia" w:hAnsiTheme="majorEastAsia" w:eastAsiaTheme="majorEastAsia"/>
          <w:color w:val="000000"/>
          <w:sz w:val="20"/>
          <w:szCs w:val="20"/>
        </w:rPr>
        <w:t>2019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left="718" w:leftChars="342" w:firstLine="100" w:firstLineChars="50"/>
        <w:rPr>
          <w:rFonts w:asci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1.</w:t>
      </w:r>
      <w:r>
        <w:rPr>
          <w:rFonts w:hint="eastAsia" w:ascii="宋体" w:hAnsi="宋体"/>
          <w:color w:val="000000"/>
          <w:sz w:val="20"/>
          <w:szCs w:val="20"/>
        </w:rPr>
        <w:t>周春美，张连辉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基础护理学（第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hint="eastAsia" w:ascii="宋体" w:hAnsi="宋体"/>
          <w:color w:val="000000"/>
          <w:sz w:val="20"/>
          <w:szCs w:val="20"/>
        </w:rPr>
        <w:t>版）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北京：人民卫生出版社，</w:t>
      </w:r>
      <w:r>
        <w:rPr>
          <w:rFonts w:ascii="宋体" w:hAnsi="宋体"/>
          <w:color w:val="000000"/>
          <w:sz w:val="20"/>
          <w:szCs w:val="20"/>
        </w:rPr>
        <w:t>2013.</w:t>
      </w:r>
    </w:p>
    <w:p>
      <w:pPr>
        <w:snapToGrid w:val="0"/>
        <w:spacing w:line="288" w:lineRule="auto"/>
        <w:ind w:left="718" w:firstLine="300" w:firstLineChars="15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2.</w:t>
      </w:r>
      <w:r>
        <w:rPr>
          <w:rFonts w:hint="eastAsia" w:ascii="宋体" w:hAnsi="宋体"/>
          <w:color w:val="000000"/>
          <w:sz w:val="20"/>
          <w:szCs w:val="20"/>
        </w:rPr>
        <w:t>张美琴，刑爱红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护理综合实训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北京</w:t>
      </w:r>
      <w:r>
        <w:rPr>
          <w:rFonts w:ascii="宋体" w:hAnsi="宋体"/>
          <w:color w:val="000000"/>
          <w:sz w:val="20"/>
          <w:szCs w:val="20"/>
        </w:rPr>
        <w:t>: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>,2014.</w:t>
      </w:r>
    </w:p>
    <w:p>
      <w:pPr>
        <w:snapToGrid w:val="0"/>
        <w:spacing w:line="288" w:lineRule="auto"/>
        <w:ind w:left="718" w:firstLine="300" w:firstLineChars="15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3.</w:t>
      </w:r>
      <w:r>
        <w:rPr>
          <w:rFonts w:hint="eastAsia" w:ascii="宋体" w:hAnsi="宋体"/>
          <w:color w:val="000000"/>
          <w:sz w:val="20"/>
          <w:szCs w:val="20"/>
        </w:rPr>
        <w:t>全国护士执业资格考试用书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北京</w:t>
      </w:r>
      <w:r>
        <w:rPr>
          <w:rFonts w:ascii="宋体" w:hAnsi="宋体"/>
          <w:color w:val="000000"/>
          <w:sz w:val="20"/>
          <w:szCs w:val="20"/>
        </w:rPr>
        <w:t>: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>,201</w:t>
      </w:r>
      <w:r>
        <w:rPr>
          <w:rFonts w:hint="eastAsia" w:ascii="宋体" w:hAnsi="宋体"/>
          <w:color w:val="000000"/>
          <w:sz w:val="20"/>
          <w:szCs w:val="20"/>
        </w:rPr>
        <w:t>7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暂无】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 xml:space="preserve"> </w:t>
      </w:r>
    </w:p>
    <w:p>
      <w:pPr>
        <w:adjustRightInd w:val="0"/>
        <w:snapToGrid w:val="0"/>
        <w:spacing w:line="288" w:lineRule="auto"/>
        <w:ind w:left="210" w:leftChars="100" w:firstLine="592" w:firstLineChars="2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【护理导论0070033（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）、护理学基础</w:t>
      </w:r>
      <w:r>
        <w:rPr>
          <w:color w:val="000000"/>
          <w:sz w:val="20"/>
          <w:szCs w:val="20"/>
        </w:rPr>
        <w:t>1 0070012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）、正常人体学基础</w:t>
      </w:r>
      <w:r>
        <w:rPr>
          <w:color w:val="000000"/>
          <w:sz w:val="20"/>
          <w:szCs w:val="20"/>
        </w:rPr>
        <w:t>1 0070038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）、正常人体学基础</w:t>
      </w:r>
      <w:r>
        <w:rPr>
          <w:color w:val="000000"/>
          <w:sz w:val="20"/>
          <w:szCs w:val="20"/>
        </w:rPr>
        <w:t>20070039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通过本课程的学习，学生们能系统地掌握护理专业的基本知识、基本理论和基本技能，培养高尚的职业道德修养，为继续学习其他护理专业课程和促进专业发展奠定坚实的基础。本课程紧紧围绕高职高专护理类专业培养具有人道、博爱、奉献精神的良好职业道德、创新精神的高端技能型护理人才的目标，结合护理岗位和全国护士执业资格考试要求，力求做到科学性、先进性、启发性、创新性和适用性相结合，在内容上体现了“必需、够用”，从临床的需要出发，运用护理程序的工作方法，把“以人为中心</w:t>
      </w:r>
      <w:r>
        <w:rPr>
          <w:rFonts w:hint="eastAsia" w:ascii="宋体"/>
          <w:color w:val="000000"/>
          <w:sz w:val="20"/>
          <w:szCs w:val="20"/>
        </w:rPr>
        <w:t>”</w:t>
      </w:r>
      <w:r>
        <w:rPr>
          <w:rFonts w:hint="eastAsia" w:ascii="宋体" w:hAnsi="宋体"/>
          <w:color w:val="000000"/>
          <w:sz w:val="20"/>
          <w:szCs w:val="20"/>
        </w:rPr>
        <w:t>的现代护理理念有机地贯穿于教学内容中，注重培养职业素养。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adjustRightInd w:val="0"/>
        <w:snapToGrid w:val="0"/>
        <w:spacing w:line="288" w:lineRule="auto"/>
        <w:ind w:firstLine="400" w:firstLineChars="200"/>
        <w:rPr>
          <w:rFonts w:ascii="宋体"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本课程适用于护理类专业，以</w:t>
      </w:r>
      <w:r>
        <w:rPr>
          <w:rFonts w:hint="eastAsia"/>
          <w:color w:val="000000"/>
          <w:sz w:val="20"/>
          <w:szCs w:val="20"/>
        </w:rPr>
        <w:t>正常人体学基础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（人体结构学）、正常人体学基础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（人体功能学）、疾病学基础、药理学基础</w:t>
      </w:r>
      <w:r>
        <w:rPr>
          <w:rFonts w:hint="eastAsia"/>
          <w:bCs/>
          <w:color w:val="000000"/>
          <w:sz w:val="20"/>
          <w:szCs w:val="20"/>
        </w:rPr>
        <w:t>等医学基础课程和护理导论、健康评估等护理专业课程为基础，后续学习的课程有成人护理、母婴护理、儿童护理、老年人护理、急救护理、社区护理等护理专科课程。因此，本课程是衔接护理类基础课程和专科课程的桥梁。本课程在专业培养计划中分割为两部分，分别是</w:t>
      </w:r>
      <w:r>
        <w:rPr>
          <w:rFonts w:hint="eastAsia" w:ascii="宋体" w:hAnsi="宋体"/>
          <w:color w:val="000000"/>
          <w:sz w:val="20"/>
          <w:szCs w:val="20"/>
        </w:rPr>
        <w:t>护理学基础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hint="eastAsia" w:ascii="宋体" w:hAnsi="宋体"/>
          <w:color w:val="000000"/>
          <w:sz w:val="20"/>
          <w:szCs w:val="20"/>
        </w:rPr>
        <w:t>、护理学基础</w:t>
      </w:r>
      <w:r>
        <w:rPr>
          <w:rFonts w:ascii="宋体" w:hAnsi="宋体"/>
          <w:color w:val="000000"/>
          <w:sz w:val="20"/>
          <w:szCs w:val="20"/>
        </w:rPr>
        <w:t>2</w:t>
      </w:r>
      <w:r>
        <w:rPr>
          <w:rFonts w:hint="eastAsia" w:ascii="宋体" w:hAnsi="宋体"/>
          <w:color w:val="000000"/>
          <w:sz w:val="20"/>
          <w:szCs w:val="20"/>
        </w:rPr>
        <w:t>。本部分为护理学基础2，安排在第二学期。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Spec="center" w:tblpY="242"/>
        <w:tblOverlap w:val="never"/>
        <w:tblW w:w="8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6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636" w:type="dxa"/>
          </w:tcPr>
          <w:p>
            <w:pPr>
              <w:jc w:val="center"/>
              <w:rPr>
                <w:rFonts w:ascii="宋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宋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636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护理评估能力：能全面评估护理服务对象的身、心、社会及精神方面的健康状态。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Wingdings 2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专业实践能力：能制定和执行护理计划，对内、外、妇、儿等科常见病与多发病病人实施整体护理，对常见急危重症能及时发现、初步处理和配合抢救。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Wingdings 2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健康教育能力：能确定病人、家属的健康需求，并采用合适的健康教育策略。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LO36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协调管理能力：能协调护理工作中的各种人际关系</w:t>
            </w:r>
            <w:r>
              <w:rPr>
                <w:rFonts w:ascii="宋体"/>
                <w:color w:val="00000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能负责护理人员、护理物资和各种活动的安排与管理。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尽责抗压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Wingdings 2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Wingdings 2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信息应用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53"/>
        <w:gridCol w:w="3960"/>
        <w:gridCol w:w="144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9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396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能正确评估病人的排泄情况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案例教学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能正确评估病人的用药情况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396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能为病人实施协助排尿和排便的护理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能规范熟练进行各种给药的护理操作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能正确进行病情观察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能评估危重病人的生理和心理状态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能评估临终病人的生理和心理需要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3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能规范熟练进行静脉输液和静脉输血的操作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能为病人实施冷疗法和热疗法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能规范熟练进行各种抢救技术的操作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能规范熟练进行死亡后护理操作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了解与护理专业相关的法律法规，在学习和岗位实践中遵守职业规范，具备职业道德操守。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操作演练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能在本课程的小组项目中主动积极承担自己的角色和任务，并与其他成员密切合作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小组合作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小组项目汇报和展示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4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48"/>
        <w:gridCol w:w="2142"/>
        <w:gridCol w:w="2137"/>
        <w:gridCol w:w="1134"/>
        <w:gridCol w:w="694"/>
        <w:gridCol w:w="619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69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61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排泄护理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知道排尿活动的评估，知道排尿活动异常的护理，知道协助排尿的护理技术的目的、操作方法和注意事项；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知道排便活动的评估，知道排便活动异常的护理，知道协助排便的护理技术的目的、操作方法和注意事项。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能简述排尿活动的评估、排尿活动异常的护理，能进行协助排尿的护理操作；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能简述排便活动的评估、排便活动异常的护理，能进行协助排便的护理操作。</w:t>
            </w:r>
          </w:p>
        </w:tc>
        <w:tc>
          <w:tcPr>
            <w:tcW w:w="1134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协助排尿的护理操作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协助排便的护理操作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药物疗法与过敏试验法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知道给药的基本知识；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知道常用的给药方法（口服给药法、雾化吸入法、注射给药法、局部给药法）的目的、操作方法和注意事项；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知道药物过敏试验法的操作方法和要点。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能简述给药的基本知识；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能说出常用的给药方法；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能进行各种给药方法的操作；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能进行药物过敏试验的操作。</w:t>
            </w:r>
          </w:p>
        </w:tc>
        <w:tc>
          <w:tcPr>
            <w:tcW w:w="1134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常用给药方法的操作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药物过敏试验法的操作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静脉输液和输血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知道静脉输液的概念，理解静脉输液的原理，知道静脉输液的目的和常用溶液，知道常用的输液部位，知道输液速度的调节方法，知道常见输液故障与排除法，知道常见输液反应及防护；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知道静脉输血的概念与原则，知道静脉输血的目的和血液制品的种类，知道输血前的准备工作，知道静脉输血的方法，知道常见输血反应及防护。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能说出静脉输液的概念与原理，能简述静脉输液的目的和常用溶液，能指出常用的输液部位，能进行静脉输液的操作、输液速度的调节和常</w:t>
            </w:r>
            <w:r>
              <w:rPr>
                <w:rFonts w:hint="eastAsia" w:ascii="宋体" w:hAnsi="宋体"/>
                <w:sz w:val="20"/>
                <w:szCs w:val="20"/>
              </w:rPr>
              <w:t>见输液故障的排除，能简述常见输液反应及防护措施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能说出静脉输血的概念，能简述输血原则、目的和血液制品的种类，能进行输血前的准备，</w:t>
            </w:r>
            <w:r>
              <w:rPr>
                <w:rFonts w:hint="eastAsia" w:ascii="宋体"/>
                <w:sz w:val="20"/>
                <w:szCs w:val="20"/>
              </w:rPr>
              <w:t>能简述</w:t>
            </w:r>
            <w:r>
              <w:rPr>
                <w:rFonts w:hint="eastAsia" w:ascii="宋体" w:hAnsi="宋体"/>
                <w:sz w:val="20"/>
                <w:szCs w:val="20"/>
              </w:rPr>
              <w:t>静脉输血的方法，能进行静脉输血的操作，能简述常见输血反应及防护</w:t>
            </w:r>
          </w:p>
        </w:tc>
        <w:tc>
          <w:tcPr>
            <w:tcW w:w="1134" w:type="dxa"/>
          </w:tcPr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静脉输液的操作、</w:t>
            </w:r>
            <w:r>
              <w:rPr>
                <w:rFonts w:hint="eastAsia" w:ascii="宋体" w:hAnsi="宋体"/>
                <w:sz w:val="20"/>
                <w:szCs w:val="20"/>
              </w:rPr>
              <w:t>常见输液反应及防护措施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输血前的准备、常见输血反应及防护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冷热疗法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知道冷热疗法的目的，知道并理解冷热疗法的禁忌，知道影响冷热疗法效果的因素；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知道常用冷疗法和热疗法的目的、操作方法与注意事项。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能说出冷热疗法的目的，能简述冷热疗法的禁忌和影响冷热疗法效果的因素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能为病人实施冷疗法和热疗法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冷热疗法的禁忌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常用的冷疗法和热疗法的操作方法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标本采集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知道标本采集的意义，知道并理解标本采集的原则；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知道常用标本（血液标本、尿液标本、粪便标本、痰液标本、咽拭子标本、呕吐物标本）的种类、采集方法和注意事项。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能简述标本采集的意义和原则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能进行各种常用标本的采集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标本采集的原则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常用标本采集的注意事项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病情观察和危重病人的护理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知道病情观察的内容和方法；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知道危重病人的支持性护理措施；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知道抢救工作的组织管理与抢救设备的管理；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知道常用抢救技术（氧气吸入法、吸痰法、洗胃法）的目的、操作方法和注意事项。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能简述病情观察的内容和方法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能简述危重病人的支持性护理措施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能简述抢救工作的组织管理与抢救设备的管理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能进行常用抢救技术的操作</w:t>
            </w:r>
          </w:p>
        </w:tc>
        <w:tc>
          <w:tcPr>
            <w:tcW w:w="1134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危重病人的支持性护理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常用抢救技术的操作方法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临终病人的护理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知道临终的相关定义和死亡过程的分期；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知道临终病人与家属的护理；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知道死亡后护理的目的、操作方法与注意事项。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能说出临终的相关定义和死亡过程的分期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能简述临终病人与家属的护理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能进行死亡后护理的操作</w:t>
            </w:r>
          </w:p>
        </w:tc>
        <w:tc>
          <w:tcPr>
            <w:tcW w:w="1134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临终病人的护理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死亡后护理的操作方法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医疗和护理文件的书写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知道医疗和护理文件记录的意义、要求和管理方法；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知道各种医疗和护理文件（体温单、医嘱单、出入液量记录单、特别护理记录单、病区交班报告）的记录方法。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能简述医疗和护理文件记录的意义、要求和管理方法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能进行各种医疗和护理文件的记录</w:t>
            </w:r>
          </w:p>
        </w:tc>
        <w:tc>
          <w:tcPr>
            <w:tcW w:w="1134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医疗和护理文件的管理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体温单和医嘱单的记录方法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pPr w:leftFromText="180" w:rightFromText="180" w:vertAnchor="text" w:horzAnchor="margin" w:tblpXSpec="center" w:tblpY="150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066"/>
        <w:gridCol w:w="3217"/>
        <w:gridCol w:w="946"/>
        <w:gridCol w:w="888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217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类型</w:t>
            </w:r>
          </w:p>
        </w:tc>
        <w:tc>
          <w:tcPr>
            <w:tcW w:w="65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773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排泄护理</w:t>
            </w:r>
          </w:p>
        </w:tc>
        <w:tc>
          <w:tcPr>
            <w:tcW w:w="3217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 xml:space="preserve">导尿术 </w:t>
            </w:r>
            <w:r>
              <w:rPr>
                <w:rFonts w:ascii="宋体"/>
                <w:color w:val="000000"/>
                <w:sz w:val="20"/>
                <w:szCs w:val="20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 xml:space="preserve">灌肠法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  <w:jc w:val="center"/>
        </w:trPr>
        <w:tc>
          <w:tcPr>
            <w:tcW w:w="773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药物治疗的护理</w:t>
            </w:r>
          </w:p>
        </w:tc>
        <w:tc>
          <w:tcPr>
            <w:tcW w:w="3217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药液抽吸法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皮下注射法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肌内注射法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静脉注射法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5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青霉素过敏试验法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24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73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静脉输液的护理</w:t>
            </w:r>
          </w:p>
        </w:tc>
        <w:tc>
          <w:tcPr>
            <w:tcW w:w="3217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密闭式周围静脉输液法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2181" w:tblpY="1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506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6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操作考核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理论测验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snapToGrid w:val="0"/>
        <w:spacing w:before="156" w:beforeLines="50" w:line="288" w:lineRule="auto"/>
        <w:rPr>
          <w:sz w:val="28"/>
          <w:szCs w:val="28"/>
        </w:rPr>
      </w:pPr>
    </w:p>
    <w:p>
      <w:pPr>
        <w:snapToGrid w:val="0"/>
        <w:spacing w:before="156" w:beforeLines="50"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drawing>
          <wp:inline distT="0" distB="0" distL="114300" distR="114300">
            <wp:extent cx="1091565" cy="518160"/>
            <wp:effectExtent l="0" t="0" r="13335" b="15240"/>
            <wp:docPr id="4" name="图片 4" descr="7fdcd2cf277ee3f53ac3fc07a61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dcd2cf277ee3f53ac3fc07a6134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系主任审核签名：</w:t>
      </w:r>
      <w:r>
        <w:rPr>
          <w:sz w:val="28"/>
          <w:szCs w:val="28"/>
        </w:rPr>
        <w:drawing>
          <wp:inline distT="0" distB="0" distL="114300" distR="114300">
            <wp:extent cx="906780" cy="391160"/>
            <wp:effectExtent l="0" t="0" r="0" b="2540"/>
            <wp:docPr id="3" name="图片 3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海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462" cy="39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2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19   </w:t>
      </w:r>
      <w:r>
        <w:rPr>
          <w:rFonts w:hint="eastAsia"/>
          <w:sz w:val="28"/>
          <w:szCs w:val="28"/>
        </w:rPr>
        <w:t xml:space="preserve">日        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Fty52bfAQAA0A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FNI9O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BFNI9OVwIA&#10;AJ0EAAAOAAAAAAAAAAEAIAAAACMBAABkcnMvZTJvRG9jLnhtbFBLBQYAAAAABgAGAFkBAADsBQAA&#10;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iNGE1MTY1YjM1ODhmOGRiYTFkMzQ0NzZlY2E5MzIifQ=="/>
  </w:docVars>
  <w:rsids>
    <w:rsidRoot w:val="00B7651F"/>
    <w:rsid w:val="000021D9"/>
    <w:rsid w:val="00064D97"/>
    <w:rsid w:val="00097E54"/>
    <w:rsid w:val="000A2B6F"/>
    <w:rsid w:val="000C5D48"/>
    <w:rsid w:val="000E1481"/>
    <w:rsid w:val="001072BC"/>
    <w:rsid w:val="001230EE"/>
    <w:rsid w:val="00131113"/>
    <w:rsid w:val="001425F4"/>
    <w:rsid w:val="00165C50"/>
    <w:rsid w:val="001B1BFC"/>
    <w:rsid w:val="001C71BD"/>
    <w:rsid w:val="001E2421"/>
    <w:rsid w:val="001E30F2"/>
    <w:rsid w:val="001E3236"/>
    <w:rsid w:val="001E5A80"/>
    <w:rsid w:val="00206171"/>
    <w:rsid w:val="00245EE6"/>
    <w:rsid w:val="002518EF"/>
    <w:rsid w:val="00256B39"/>
    <w:rsid w:val="0026033C"/>
    <w:rsid w:val="002A4105"/>
    <w:rsid w:val="002A4814"/>
    <w:rsid w:val="002C2E33"/>
    <w:rsid w:val="002D637F"/>
    <w:rsid w:val="002E3721"/>
    <w:rsid w:val="002E4D99"/>
    <w:rsid w:val="002E5D46"/>
    <w:rsid w:val="0031135A"/>
    <w:rsid w:val="00313BBA"/>
    <w:rsid w:val="00314F9D"/>
    <w:rsid w:val="0032602E"/>
    <w:rsid w:val="003367AE"/>
    <w:rsid w:val="00344B83"/>
    <w:rsid w:val="003570DF"/>
    <w:rsid w:val="00362F43"/>
    <w:rsid w:val="00364C64"/>
    <w:rsid w:val="003A0DA0"/>
    <w:rsid w:val="003B1258"/>
    <w:rsid w:val="003C3E24"/>
    <w:rsid w:val="003D5829"/>
    <w:rsid w:val="003F66B2"/>
    <w:rsid w:val="004100B0"/>
    <w:rsid w:val="00411398"/>
    <w:rsid w:val="00430AE2"/>
    <w:rsid w:val="0043603E"/>
    <w:rsid w:val="00457935"/>
    <w:rsid w:val="00486097"/>
    <w:rsid w:val="00497044"/>
    <w:rsid w:val="004A56FE"/>
    <w:rsid w:val="004B5B7F"/>
    <w:rsid w:val="00506757"/>
    <w:rsid w:val="005067E0"/>
    <w:rsid w:val="00536A88"/>
    <w:rsid w:val="00542745"/>
    <w:rsid w:val="005467DC"/>
    <w:rsid w:val="00553D03"/>
    <w:rsid w:val="00562651"/>
    <w:rsid w:val="00567F8F"/>
    <w:rsid w:val="00581435"/>
    <w:rsid w:val="005908E0"/>
    <w:rsid w:val="005B2B6D"/>
    <w:rsid w:val="005B4B4E"/>
    <w:rsid w:val="006045C7"/>
    <w:rsid w:val="00624FE1"/>
    <w:rsid w:val="00636298"/>
    <w:rsid w:val="006C0E3D"/>
    <w:rsid w:val="006E1F73"/>
    <w:rsid w:val="007208D6"/>
    <w:rsid w:val="00721935"/>
    <w:rsid w:val="0073393F"/>
    <w:rsid w:val="00743F22"/>
    <w:rsid w:val="00746C32"/>
    <w:rsid w:val="00756F1C"/>
    <w:rsid w:val="00795D6A"/>
    <w:rsid w:val="00812E6B"/>
    <w:rsid w:val="0083497B"/>
    <w:rsid w:val="008376F0"/>
    <w:rsid w:val="00843FAF"/>
    <w:rsid w:val="00846C2D"/>
    <w:rsid w:val="00866C8B"/>
    <w:rsid w:val="00873D62"/>
    <w:rsid w:val="00895006"/>
    <w:rsid w:val="008B397C"/>
    <w:rsid w:val="008B47F4"/>
    <w:rsid w:val="008C073A"/>
    <w:rsid w:val="008C2667"/>
    <w:rsid w:val="00900019"/>
    <w:rsid w:val="009279A7"/>
    <w:rsid w:val="0099063E"/>
    <w:rsid w:val="00994FA2"/>
    <w:rsid w:val="009E26F9"/>
    <w:rsid w:val="009F3D4D"/>
    <w:rsid w:val="009F71E7"/>
    <w:rsid w:val="00A06DF4"/>
    <w:rsid w:val="00A112DE"/>
    <w:rsid w:val="00A40548"/>
    <w:rsid w:val="00A45CA7"/>
    <w:rsid w:val="00A659B3"/>
    <w:rsid w:val="00A769B1"/>
    <w:rsid w:val="00A915AC"/>
    <w:rsid w:val="00AC4C45"/>
    <w:rsid w:val="00AF170D"/>
    <w:rsid w:val="00AF6D11"/>
    <w:rsid w:val="00B271A1"/>
    <w:rsid w:val="00B46F21"/>
    <w:rsid w:val="00B511A5"/>
    <w:rsid w:val="00B6417A"/>
    <w:rsid w:val="00B72902"/>
    <w:rsid w:val="00B736A7"/>
    <w:rsid w:val="00B7651F"/>
    <w:rsid w:val="00B76B95"/>
    <w:rsid w:val="00B90CD2"/>
    <w:rsid w:val="00BA585C"/>
    <w:rsid w:val="00BC0278"/>
    <w:rsid w:val="00BC33A7"/>
    <w:rsid w:val="00BC6310"/>
    <w:rsid w:val="00C039EA"/>
    <w:rsid w:val="00C276C4"/>
    <w:rsid w:val="00C3713B"/>
    <w:rsid w:val="00C56E09"/>
    <w:rsid w:val="00C775EC"/>
    <w:rsid w:val="00C83FEA"/>
    <w:rsid w:val="00C93A72"/>
    <w:rsid w:val="00CA08C4"/>
    <w:rsid w:val="00CA3DA9"/>
    <w:rsid w:val="00CB71D6"/>
    <w:rsid w:val="00CC4AF8"/>
    <w:rsid w:val="00CE7148"/>
    <w:rsid w:val="00CF096B"/>
    <w:rsid w:val="00CF530B"/>
    <w:rsid w:val="00CF79F9"/>
    <w:rsid w:val="00D03E0A"/>
    <w:rsid w:val="00D1653D"/>
    <w:rsid w:val="00D306B4"/>
    <w:rsid w:val="00D51FD2"/>
    <w:rsid w:val="00D5656A"/>
    <w:rsid w:val="00D57546"/>
    <w:rsid w:val="00E064C5"/>
    <w:rsid w:val="00E06B51"/>
    <w:rsid w:val="00E12422"/>
    <w:rsid w:val="00E1614A"/>
    <w:rsid w:val="00E16D30"/>
    <w:rsid w:val="00E3034D"/>
    <w:rsid w:val="00E33169"/>
    <w:rsid w:val="00E70904"/>
    <w:rsid w:val="00E74B4B"/>
    <w:rsid w:val="00EF44B1"/>
    <w:rsid w:val="00F03144"/>
    <w:rsid w:val="00F234B7"/>
    <w:rsid w:val="00F313CC"/>
    <w:rsid w:val="00F35AA0"/>
    <w:rsid w:val="00F47B69"/>
    <w:rsid w:val="00F55815"/>
    <w:rsid w:val="00F65B88"/>
    <w:rsid w:val="00F8653D"/>
    <w:rsid w:val="00F9111E"/>
    <w:rsid w:val="00F95FC6"/>
    <w:rsid w:val="00FB59B9"/>
    <w:rsid w:val="00FC133D"/>
    <w:rsid w:val="00FE16F9"/>
    <w:rsid w:val="01E05A7E"/>
    <w:rsid w:val="024B0C39"/>
    <w:rsid w:val="024F3326"/>
    <w:rsid w:val="035C3AB5"/>
    <w:rsid w:val="03641A97"/>
    <w:rsid w:val="03816923"/>
    <w:rsid w:val="03FC0A93"/>
    <w:rsid w:val="049935CF"/>
    <w:rsid w:val="04BF746D"/>
    <w:rsid w:val="05325A9B"/>
    <w:rsid w:val="058B366F"/>
    <w:rsid w:val="058C3071"/>
    <w:rsid w:val="06D6423D"/>
    <w:rsid w:val="06EC533F"/>
    <w:rsid w:val="07CA79C9"/>
    <w:rsid w:val="08407B89"/>
    <w:rsid w:val="091F339F"/>
    <w:rsid w:val="09812262"/>
    <w:rsid w:val="0A8128A6"/>
    <w:rsid w:val="0AE61E2E"/>
    <w:rsid w:val="0AF508CA"/>
    <w:rsid w:val="0AFA6263"/>
    <w:rsid w:val="0B0958A8"/>
    <w:rsid w:val="0B464F3D"/>
    <w:rsid w:val="0BF32A1B"/>
    <w:rsid w:val="0CAB135A"/>
    <w:rsid w:val="0CEC756C"/>
    <w:rsid w:val="0D382131"/>
    <w:rsid w:val="0EA664EE"/>
    <w:rsid w:val="0F045191"/>
    <w:rsid w:val="10BD2C22"/>
    <w:rsid w:val="11BE27BA"/>
    <w:rsid w:val="128B57B2"/>
    <w:rsid w:val="13BE0FD1"/>
    <w:rsid w:val="149D7A11"/>
    <w:rsid w:val="15EF56D3"/>
    <w:rsid w:val="16A33623"/>
    <w:rsid w:val="17841534"/>
    <w:rsid w:val="18065996"/>
    <w:rsid w:val="181710F3"/>
    <w:rsid w:val="1A1C6B73"/>
    <w:rsid w:val="1A605F76"/>
    <w:rsid w:val="1A80502F"/>
    <w:rsid w:val="1AF4787D"/>
    <w:rsid w:val="1BC42C62"/>
    <w:rsid w:val="1BC95D35"/>
    <w:rsid w:val="1E002A67"/>
    <w:rsid w:val="1E7343B6"/>
    <w:rsid w:val="1ECF155A"/>
    <w:rsid w:val="1F4D1B2E"/>
    <w:rsid w:val="201B4297"/>
    <w:rsid w:val="206115CB"/>
    <w:rsid w:val="21954F7F"/>
    <w:rsid w:val="21D033EE"/>
    <w:rsid w:val="22987C80"/>
    <w:rsid w:val="2305630E"/>
    <w:rsid w:val="237B0C83"/>
    <w:rsid w:val="23A10775"/>
    <w:rsid w:val="23EE3E0C"/>
    <w:rsid w:val="24192CCC"/>
    <w:rsid w:val="24471ED4"/>
    <w:rsid w:val="251F483E"/>
    <w:rsid w:val="25256A68"/>
    <w:rsid w:val="2622035C"/>
    <w:rsid w:val="28645B4C"/>
    <w:rsid w:val="288B7F34"/>
    <w:rsid w:val="29861B32"/>
    <w:rsid w:val="298A70F1"/>
    <w:rsid w:val="29FA0AC3"/>
    <w:rsid w:val="2AEB01CD"/>
    <w:rsid w:val="2B925BB4"/>
    <w:rsid w:val="2B9270AB"/>
    <w:rsid w:val="2D9D3BC7"/>
    <w:rsid w:val="2F154622"/>
    <w:rsid w:val="2F6C7B55"/>
    <w:rsid w:val="313F328A"/>
    <w:rsid w:val="327A36F9"/>
    <w:rsid w:val="327F3CAA"/>
    <w:rsid w:val="32B815EE"/>
    <w:rsid w:val="330A7726"/>
    <w:rsid w:val="331F11B6"/>
    <w:rsid w:val="34A31251"/>
    <w:rsid w:val="35C15D76"/>
    <w:rsid w:val="35E17F20"/>
    <w:rsid w:val="36C704AB"/>
    <w:rsid w:val="38567778"/>
    <w:rsid w:val="39897A4F"/>
    <w:rsid w:val="39A66CD4"/>
    <w:rsid w:val="3A7E0089"/>
    <w:rsid w:val="3B2A5E02"/>
    <w:rsid w:val="3B800296"/>
    <w:rsid w:val="3B8D5CAA"/>
    <w:rsid w:val="3CD36A06"/>
    <w:rsid w:val="3CD52CE1"/>
    <w:rsid w:val="3D3B5664"/>
    <w:rsid w:val="3D4E47E3"/>
    <w:rsid w:val="3E867D1A"/>
    <w:rsid w:val="3FAB667E"/>
    <w:rsid w:val="3FBF3370"/>
    <w:rsid w:val="40AA6670"/>
    <w:rsid w:val="410F2E6A"/>
    <w:rsid w:val="41766F30"/>
    <w:rsid w:val="41AA269B"/>
    <w:rsid w:val="4430136C"/>
    <w:rsid w:val="458618AE"/>
    <w:rsid w:val="460A4CC9"/>
    <w:rsid w:val="488D6DAA"/>
    <w:rsid w:val="4928047F"/>
    <w:rsid w:val="4A561AD5"/>
    <w:rsid w:val="4A596CE2"/>
    <w:rsid w:val="4AB0382B"/>
    <w:rsid w:val="4D2B5C4C"/>
    <w:rsid w:val="4D5B1323"/>
    <w:rsid w:val="4DC75DEC"/>
    <w:rsid w:val="4F290FA8"/>
    <w:rsid w:val="502A350F"/>
    <w:rsid w:val="50C23F46"/>
    <w:rsid w:val="50F34457"/>
    <w:rsid w:val="519220B1"/>
    <w:rsid w:val="521E3701"/>
    <w:rsid w:val="530256A6"/>
    <w:rsid w:val="532E5FE9"/>
    <w:rsid w:val="537C56E5"/>
    <w:rsid w:val="54C41576"/>
    <w:rsid w:val="557558A2"/>
    <w:rsid w:val="55B073CF"/>
    <w:rsid w:val="55CD2797"/>
    <w:rsid w:val="568355CA"/>
    <w:rsid w:val="569868B5"/>
    <w:rsid w:val="56BF21A0"/>
    <w:rsid w:val="57D723AA"/>
    <w:rsid w:val="58AA7448"/>
    <w:rsid w:val="58B15B02"/>
    <w:rsid w:val="58B629F2"/>
    <w:rsid w:val="599F752C"/>
    <w:rsid w:val="5A5C199A"/>
    <w:rsid w:val="5A896000"/>
    <w:rsid w:val="5C0343A6"/>
    <w:rsid w:val="5C2034FE"/>
    <w:rsid w:val="5D4530E4"/>
    <w:rsid w:val="5EA7398F"/>
    <w:rsid w:val="5F564CFB"/>
    <w:rsid w:val="60552E85"/>
    <w:rsid w:val="611F6817"/>
    <w:rsid w:val="62B723F7"/>
    <w:rsid w:val="64305F26"/>
    <w:rsid w:val="6557286A"/>
    <w:rsid w:val="66923653"/>
    <w:rsid w:val="66CA1754"/>
    <w:rsid w:val="67451EE7"/>
    <w:rsid w:val="67F8674D"/>
    <w:rsid w:val="68A671BB"/>
    <w:rsid w:val="69450290"/>
    <w:rsid w:val="6953176D"/>
    <w:rsid w:val="699F61AE"/>
    <w:rsid w:val="6A6A6E02"/>
    <w:rsid w:val="6AFC355C"/>
    <w:rsid w:val="6CB64A93"/>
    <w:rsid w:val="6CF029AE"/>
    <w:rsid w:val="6E205AD4"/>
    <w:rsid w:val="6F1E65D4"/>
    <w:rsid w:val="6F266C86"/>
    <w:rsid w:val="6F5042C2"/>
    <w:rsid w:val="70953CC2"/>
    <w:rsid w:val="70C364EC"/>
    <w:rsid w:val="7166322A"/>
    <w:rsid w:val="72513FF4"/>
    <w:rsid w:val="73170C89"/>
    <w:rsid w:val="73676470"/>
    <w:rsid w:val="74316312"/>
    <w:rsid w:val="751F2C8D"/>
    <w:rsid w:val="757C6AA2"/>
    <w:rsid w:val="75A0758F"/>
    <w:rsid w:val="780F13C8"/>
    <w:rsid w:val="789C4F5C"/>
    <w:rsid w:val="79211495"/>
    <w:rsid w:val="79566E7B"/>
    <w:rsid w:val="79CF2103"/>
    <w:rsid w:val="7AD05523"/>
    <w:rsid w:val="7ADA41C6"/>
    <w:rsid w:val="7B4B6B77"/>
    <w:rsid w:val="7BAF0FAD"/>
    <w:rsid w:val="7BAF7AA1"/>
    <w:rsid w:val="7BD47C24"/>
    <w:rsid w:val="7C385448"/>
    <w:rsid w:val="7D1D35AB"/>
    <w:rsid w:val="7D3F55E8"/>
    <w:rsid w:val="7DD0537C"/>
    <w:rsid w:val="7E2114AC"/>
    <w:rsid w:val="7F424676"/>
    <w:rsid w:val="7F4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B0C84B-E38B-4C53-A799-0A7116B4ED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User</Company>
  <Pages>6</Pages>
  <Words>3304</Words>
  <Characters>3555</Characters>
  <Lines>28</Lines>
  <Paragraphs>7</Paragraphs>
  <TotalTime>9</TotalTime>
  <ScaleCrop>false</ScaleCrop>
  <LinksUpToDate>false</LinksUpToDate>
  <CharactersWithSpaces>3632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2023-05-30T13:06:00Z</dcterms:created>
  <dc:creator>juvg</dc:creator>
  <cp:lastModifiedBy>大小满妈妈</cp:lastModifiedBy>
  <cp:lastPrinted>2018-03-05T08:04:00Z</cp:lastPrinted>
  <dcterms:modified xsi:type="dcterms:W3CDTF">2023-05-31T02:53:50Z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F60B67E670574CBD855F3FE55EE089ED_12</vt:lpwstr>
  </property>
</Properties>
</file>