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Cs w:val="21"/>
        </w:rPr>
      </w:pPr>
      <w:bookmarkStart w:id="0" w:name="_Hlk52728303"/>
      <w:r>
        <mc:AlternateContent>
          <mc:Choice Requires="wps">
            <w:drawing>
              <wp:anchor distT="0" distB="0" distL="114300" distR="114300" simplePos="0" relativeHeight="251662336" behindDoc="0" locked="0" layoutInCell="1" allowOverlap="1">
                <wp:simplePos x="0" y="0"/>
                <wp:positionH relativeFrom="page">
                  <wp:posOffset>228600</wp:posOffset>
                </wp:positionH>
                <wp:positionV relativeFrom="page">
                  <wp:posOffset>190500</wp:posOffset>
                </wp:positionV>
                <wp:extent cx="2635250" cy="347345"/>
                <wp:effectExtent l="0" t="0" r="6350" b="0"/>
                <wp:wrapNone/>
                <wp:docPr id="1985239121" name="文本框 1"/>
                <wp:cNvGraphicFramePr/>
                <a:graphic xmlns:a="http://schemas.openxmlformats.org/drawingml/2006/main">
                  <a:graphicData uri="http://schemas.microsoft.com/office/word/2010/wordprocessingShape">
                    <wps:wsp>
                      <wps:cNvSpPr txBox="1"/>
                      <wps:spPr bwMode="auto">
                        <a:xfrm>
                          <a:off x="0" y="0"/>
                          <a:ext cx="2635250" cy="347345"/>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18pt;margin-top:15pt;height:27.35pt;width:207.5pt;mso-position-horizontal-relative:page;mso-position-vertical-relative:page;z-index:251662336;mso-width-relative:page;mso-height-relative:page;" fillcolor="#FFFFFF" filled="t" stroked="f" coordsize="21600,21600" o:gfxdata="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11ZpXtYAAAAIAQAADwAAAAAAAAABACAAAAA4AAAAZHJzL2Rvd25yZXYueG1sUEsBAhQA&#10;FAAAAAgAh07iQNrAX3QXAgAAFwQAAA4AAAAAAAAAAQAgAAAAOwEAAGRycy9lMm9Eb2MueG1sUEsF&#10;BgAAAAAGAAYAWQEAAMQFA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fldChar w:fldCharType="begin"/>
      </w:r>
      <w:r>
        <w:instrText xml:space="preserve"> INCLUDEPICTURE "/private/var/folders/c4/5jthvxn93rg0k397lkfq2y0r0000gn/T/com.kingsoft.wpsoffice.mac/wps-wangxinmiao/ksohtml/wps1.png" \* MERGEFORMATINET </w:instrText>
      </w:r>
      <w:r>
        <w:fldChar w:fldCharType="separate"/>
      </w:r>
      <w:r>
        <mc:AlternateContent>
          <mc:Choice Requires="wps">
            <w:drawing>
              <wp:inline distT="0" distB="0" distL="0" distR="0">
                <wp:extent cx="5285740" cy="713740"/>
                <wp:effectExtent l="0" t="0" r="0" b="0"/>
                <wp:docPr id="146413357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5740" cy="7137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矩形 1" o:spid="_x0000_s1026" o:spt="1" style="height:56.2pt;width:416.2pt;" filled="f" stroked="f" coordsize="21600,21600" o:gfxdata="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FjwUHVAAAABQEAAA8AAAAAAAAAAQAgAAAAOAAAAGRycy9kb3ducmV2LnhtbFBLAQIUABQAAAAI&#10;AIdO4kA2aPv8EwIAABkEAAAOAAAAAAAAAAEAIAAAADoBAABkcnMvZTJvRG9jLnhtbFBLBQYAAAAA&#10;BgAGAFkBAAC/BQAAAAA=&#10;">
                <v:fill on="f" focussize="0,0"/>
                <v:stroke on="f"/>
                <v:imagedata o:title=""/>
                <o:lock v:ext="edit" aspectratio="t"/>
                <w10:wrap type="none"/>
                <w10:anchorlock/>
              </v:rect>
            </w:pict>
          </mc:Fallback>
        </mc:AlternateContent>
      </w:r>
      <w:r>
        <w:fldChar w:fldCharType="end"/>
      </w:r>
    </w:p>
    <w:p>
      <w:pPr>
        <w:spacing w:line="288" w:lineRule="auto"/>
        <w:jc w:val="center"/>
        <w:rPr>
          <w:rFonts w:ascii="宋体" w:hAnsi="宋体"/>
          <w:b/>
          <w:sz w:val="28"/>
          <w:szCs w:val="28"/>
        </w:rPr>
      </w:pPr>
      <w:r>
        <w:rPr>
          <w:rFonts w:hint="eastAsia" w:ascii="宋体" w:hAnsi="宋体"/>
          <w:b/>
          <w:sz w:val="28"/>
          <w:szCs w:val="28"/>
        </w:rPr>
        <w:t>【健康服务与管理技能】</w:t>
      </w:r>
    </w:p>
    <w:p>
      <w:pPr>
        <w:spacing w:line="288" w:lineRule="auto"/>
        <w:jc w:val="center"/>
        <w:rPr>
          <w:rFonts w:ascii="宋体" w:hAnsi="宋体" w:cs="Arial"/>
          <w:kern w:val="0"/>
          <w:sz w:val="28"/>
          <w:szCs w:val="28"/>
        </w:rPr>
      </w:pPr>
      <w:r>
        <w:rPr>
          <w:rFonts w:hint="eastAsia" w:ascii="宋体" w:hAnsi="宋体"/>
          <w:b/>
          <w:sz w:val="28"/>
          <w:szCs w:val="28"/>
        </w:rPr>
        <w:t>【</w:t>
      </w:r>
      <w:r>
        <w:rPr>
          <w:rFonts w:hint="eastAsia" w:ascii="宋体" w:hAnsi="宋体" w:cs="宋体"/>
          <w:b/>
          <w:sz w:val="28"/>
          <w:szCs w:val="28"/>
        </w:rPr>
        <w:t>Health Service and Management Skills</w:t>
      </w:r>
      <w:r>
        <w:rPr>
          <w:rFonts w:hint="eastAsia" w:ascii="宋体" w:hAnsi="宋体"/>
          <w:b/>
          <w:sz w:val="28"/>
          <w:szCs w:val="28"/>
        </w:rPr>
        <w:t>】</w:t>
      </w:r>
      <w:bookmarkStart w:id="1" w:name="a2"/>
      <w:bookmarkEnd w:id="1"/>
    </w:p>
    <w:bookmarkEnd w:id="0"/>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0" w:firstLineChars="200"/>
        <w:rPr>
          <w:rFonts w:ascii="宋体" w:hAnsi="宋体"/>
          <w:sz w:val="20"/>
          <w:szCs w:val="20"/>
        </w:rPr>
      </w:pPr>
      <w:r>
        <w:rPr>
          <w:rFonts w:ascii="宋体" w:hAnsi="宋体"/>
          <w:b/>
          <w:bCs/>
          <w:sz w:val="20"/>
          <w:szCs w:val="20"/>
        </w:rPr>
        <w:t>课程代码：</w:t>
      </w:r>
      <w:r>
        <w:rPr>
          <w:rFonts w:hint="eastAsia" w:ascii="宋体" w:hAnsi="宋体"/>
          <w:bCs/>
          <w:sz w:val="20"/>
          <w:szCs w:val="20"/>
        </w:rPr>
        <w:t>【2170038】</w:t>
      </w:r>
    </w:p>
    <w:p>
      <w:pPr>
        <w:spacing w:line="288" w:lineRule="auto"/>
        <w:ind w:firstLine="400" w:firstLineChars="200"/>
        <w:rPr>
          <w:rFonts w:ascii="宋体" w:hAnsi="宋体"/>
          <w:sz w:val="20"/>
          <w:szCs w:val="20"/>
        </w:rPr>
      </w:pPr>
      <w:r>
        <w:rPr>
          <w:rFonts w:ascii="宋体" w:hAnsi="宋体"/>
          <w:b/>
          <w:bCs/>
          <w:sz w:val="20"/>
          <w:szCs w:val="20"/>
        </w:rPr>
        <w:t>课程学分：</w:t>
      </w:r>
      <w:r>
        <w:rPr>
          <w:rFonts w:hint="eastAsia" w:ascii="宋体" w:hAnsi="宋体"/>
          <w:sz w:val="20"/>
          <w:szCs w:val="20"/>
        </w:rPr>
        <w:t>【 3</w:t>
      </w:r>
      <w:r>
        <w:rPr>
          <w:rFonts w:ascii="宋体" w:hAnsi="宋体"/>
          <w:sz w:val="20"/>
          <w:szCs w:val="20"/>
        </w:rPr>
        <w:t xml:space="preserve"> </w:t>
      </w:r>
      <w:r>
        <w:rPr>
          <w:rFonts w:hint="eastAsia" w:ascii="宋体" w:hAnsi="宋体"/>
          <w:sz w:val="20"/>
          <w:szCs w:val="20"/>
        </w:rPr>
        <w:t>】</w:t>
      </w:r>
    </w:p>
    <w:p>
      <w:pPr>
        <w:spacing w:line="288" w:lineRule="auto"/>
        <w:ind w:firstLine="400" w:firstLineChars="200"/>
        <w:rPr>
          <w:rFonts w:ascii="宋体" w:hAnsi="宋体"/>
          <w:sz w:val="20"/>
          <w:szCs w:val="20"/>
        </w:rPr>
      </w:pPr>
      <w:r>
        <w:rPr>
          <w:rFonts w:ascii="宋体" w:hAnsi="宋体"/>
          <w:b/>
          <w:bCs/>
          <w:sz w:val="20"/>
          <w:szCs w:val="20"/>
        </w:rPr>
        <w:t>面向专业：</w:t>
      </w:r>
      <w:r>
        <w:rPr>
          <w:rFonts w:hint="eastAsia" w:ascii="宋体" w:hAnsi="宋体"/>
          <w:b/>
          <w:bCs/>
          <w:sz w:val="20"/>
          <w:szCs w:val="20"/>
        </w:rPr>
        <w:t>【</w:t>
      </w:r>
      <w:r>
        <w:rPr>
          <w:rFonts w:hint="eastAsia" w:ascii="宋体" w:hAnsi="宋体"/>
          <w:sz w:val="20"/>
          <w:szCs w:val="20"/>
        </w:rPr>
        <w:t>健康服务与管理】</w:t>
      </w:r>
    </w:p>
    <w:p>
      <w:pPr>
        <w:spacing w:line="288" w:lineRule="auto"/>
        <w:ind w:firstLine="400" w:firstLineChars="200"/>
        <w:rPr>
          <w:rFonts w:ascii="宋体" w:hAnsi="宋体"/>
          <w:sz w:val="20"/>
          <w:szCs w:val="20"/>
        </w:rPr>
      </w:pPr>
      <w:r>
        <w:rPr>
          <w:rFonts w:ascii="宋体" w:hAnsi="宋体"/>
          <w:b/>
          <w:bCs/>
          <w:sz w:val="20"/>
          <w:szCs w:val="20"/>
        </w:rPr>
        <w:t>课程性质：</w:t>
      </w:r>
      <w:r>
        <w:rPr>
          <w:rFonts w:hint="eastAsia" w:ascii="宋体" w:hAnsi="宋体"/>
          <w:b/>
          <w:bCs/>
          <w:sz w:val="20"/>
          <w:szCs w:val="20"/>
        </w:rPr>
        <w:t>【系</w:t>
      </w:r>
      <w:r>
        <w:rPr>
          <w:rFonts w:hint="eastAsia" w:ascii="宋体" w:hAnsi="宋体"/>
          <w:sz w:val="20"/>
          <w:szCs w:val="20"/>
        </w:rPr>
        <w:t>级专业必修课程】</w:t>
      </w:r>
    </w:p>
    <w:p>
      <w:pPr>
        <w:spacing w:line="288" w:lineRule="auto"/>
        <w:ind w:firstLine="400" w:firstLineChars="200"/>
        <w:rPr>
          <w:rFonts w:ascii="宋体" w:hAnsi="宋体"/>
          <w:sz w:val="20"/>
          <w:szCs w:val="20"/>
        </w:rPr>
      </w:pPr>
      <w:r>
        <w:rPr>
          <w:rFonts w:ascii="宋体" w:hAnsi="宋体"/>
          <w:b/>
          <w:bCs/>
          <w:sz w:val="20"/>
          <w:szCs w:val="20"/>
        </w:rPr>
        <w:t>开课院系：</w:t>
      </w:r>
      <w:r>
        <w:rPr>
          <w:rFonts w:hint="eastAsia" w:ascii="宋体" w:hAnsi="宋体"/>
          <w:b/>
          <w:bCs/>
          <w:sz w:val="20"/>
          <w:szCs w:val="20"/>
        </w:rPr>
        <w:t>【</w:t>
      </w:r>
      <w:r>
        <w:rPr>
          <w:rFonts w:hint="eastAsia" w:ascii="宋体" w:hAnsi="宋体"/>
          <w:sz w:val="20"/>
          <w:szCs w:val="20"/>
        </w:rPr>
        <w:t>健康管理学院健康服务与管理系】</w:t>
      </w:r>
    </w:p>
    <w:p>
      <w:pPr>
        <w:spacing w:line="288" w:lineRule="auto"/>
        <w:ind w:firstLine="400"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健康服务与管理技能》，许亮文、关向东，人民卫生出版社，2020第1版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sz w:val="20"/>
          <w:szCs w:val="20"/>
        </w:rPr>
        <w:t>【</w:t>
      </w:r>
      <w:r>
        <w:rPr>
          <w:rFonts w:hint="eastAsia" w:ascii="宋体" w:hAnsi="宋体"/>
          <w:sz w:val="20"/>
          <w:szCs w:val="20"/>
        </w:rPr>
        <w:t>1.《健康服务与管理导论》，郭清，人民卫生出版社，2020年第1版；2.《健康管理学》，郭姣，人民卫生出版社，2020年第1版；3.《实用健康管理学》，张庆军、祝淑珍、李俊琳，科学出版社，2020年第1版】</w:t>
      </w:r>
    </w:p>
    <w:p>
      <w:pPr>
        <w:spacing w:line="312" w:lineRule="auto"/>
        <w:ind w:firstLine="400" w:firstLineChars="200"/>
        <w:rPr>
          <w:rFonts w:ascii="宋体" w:hAnsi="宋体"/>
          <w:b/>
          <w:bCs/>
          <w:sz w:val="20"/>
          <w:szCs w:val="20"/>
        </w:rPr>
      </w:pPr>
      <w:r>
        <w:rPr>
          <w:rFonts w:hint="eastAsia" w:ascii="宋体" w:hAnsi="宋体"/>
          <w:b/>
          <w:bCs/>
          <w:sz w:val="20"/>
          <w:szCs w:val="20"/>
        </w:rPr>
        <w:t>课程网站网址：</w:t>
      </w:r>
      <w:r>
        <w:rPr>
          <w:rFonts w:hint="eastAsia" w:ascii="宋体" w:hAnsi="宋体"/>
          <w:sz w:val="20"/>
          <w:szCs w:val="20"/>
        </w:rPr>
        <w:t>无</w:t>
      </w:r>
    </w:p>
    <w:p>
      <w:pPr>
        <w:spacing w:line="312" w:lineRule="auto"/>
        <w:ind w:left="412" w:leftChars="196"/>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正常人体功能学2170002（3） 疾病学基础2170003（4）</w:t>
      </w:r>
    </w:p>
    <w:p>
      <w:pPr>
        <w:spacing w:line="312" w:lineRule="auto"/>
        <w:ind w:left="412" w:leftChars="196"/>
        <w:rPr>
          <w:rFonts w:ascii="宋体" w:hAnsi="宋体"/>
          <w:sz w:val="20"/>
          <w:szCs w:val="20"/>
        </w:rPr>
      </w:pPr>
      <w:r>
        <w:rPr>
          <w:rFonts w:hint="eastAsia" w:ascii="宋体" w:hAnsi="宋体"/>
          <w:sz w:val="20"/>
          <w:szCs w:val="20"/>
        </w:rPr>
        <w:t>临床医学概论2170006（4）中医学基础2170009（3） 医学伦理学2170013（2）</w:t>
      </w:r>
    </w:p>
    <w:p>
      <w:pPr>
        <w:spacing w:line="312" w:lineRule="auto"/>
        <w:ind w:left="412" w:leftChars="196"/>
        <w:rPr>
          <w:rFonts w:ascii="宋体" w:hAnsi="宋体"/>
          <w:sz w:val="20"/>
          <w:szCs w:val="20"/>
        </w:rPr>
      </w:pPr>
      <w:r>
        <w:rPr>
          <w:rFonts w:hint="eastAsia" w:ascii="宋体" w:hAnsi="宋体"/>
          <w:sz w:val="20"/>
          <w:szCs w:val="20"/>
        </w:rPr>
        <w:t>公共卫生概论2170017（2）健康状况与风险评估2170021（3）健康心理学2170023（2）】</w:t>
      </w:r>
    </w:p>
    <w:p>
      <w:pPr>
        <w:adjustRightInd w:val="0"/>
        <w:snapToGrid w:val="0"/>
        <w:spacing w:before="156" w:beforeLines="50" w:after="156" w:afterLines="50" w:line="288" w:lineRule="auto"/>
        <w:ind w:firstLine="360" w:firstLineChars="150"/>
        <w:jc w:val="left"/>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健康服务与管理技能课程是一门专注于培养健康服务与管理实践能力的学科，本课程致力于培养具备专业知识和技能的健康服务与管理人才，以满足人们对高质量健康服务的需求。</w:t>
      </w:r>
    </w:p>
    <w:p>
      <w:pPr>
        <w:spacing w:line="312"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课程以健康监测、健康风险评估、健康维护与干预为主线，要求学生掌握健康服务行业常用技术。此外，本课程还对家庭健康服务与管理技能、健康管理服务的相关宏观政策制订、健康服务中的沟通技能、健康服务与管理常用文案写作技能等。通过该课程的学习，学生能够在健康管理服务中，针对常见亚健康问题和慢性病，高效收集健康信息，科学实施慢性病风险评估，系统制定群体或个体健康干预计划和方案，严格执行干预内容，客观合理地进行健康管理效果评价。</w:t>
      </w:r>
    </w:p>
    <w:p>
      <w:pPr>
        <w:spacing w:line="312" w:lineRule="auto"/>
        <w:ind w:firstLine="400" w:firstLineChars="200"/>
        <w:rPr>
          <w:rFonts w:ascii="宋体" w:hAnsi="宋体"/>
          <w:sz w:val="20"/>
          <w:szCs w:val="20"/>
        </w:rPr>
      </w:pPr>
      <w:r>
        <w:rPr>
          <w:rFonts w:hint="eastAsia" w:ascii="宋体" w:hAnsi="宋体"/>
          <w:sz w:val="20"/>
          <w:szCs w:val="20"/>
        </w:rPr>
        <w:t>本课程教学总时数48学时，其中理论教学32学时、实践教学16学时。</w:t>
      </w:r>
    </w:p>
    <w:p>
      <w:pPr>
        <w:adjustRightInd w:val="0"/>
        <w:snapToGrid w:val="0"/>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本课程适合</w:t>
      </w:r>
      <w:r>
        <w:rPr>
          <w:rFonts w:hint="eastAsia" w:ascii="宋体" w:hAnsi="宋体"/>
          <w:color w:val="000000" w:themeColor="text1"/>
          <w14:textFill>
            <w14:solidFill>
              <w14:schemeClr w14:val="tx1"/>
            </w14:solidFill>
          </w14:textFill>
        </w:rPr>
        <w:t>健康服务与管理专业三</w:t>
      </w:r>
      <w:r>
        <w:rPr>
          <w:rFonts w:ascii="宋体" w:hAnsi="宋体"/>
          <w:color w:val="000000" w:themeColor="text1"/>
          <w14:textFill>
            <w14:solidFill>
              <w14:schemeClr w14:val="tx1"/>
            </w14:solidFill>
          </w14:textFill>
        </w:rPr>
        <w:t>年级本科生授课，要求学生具有</w:t>
      </w:r>
      <w:r>
        <w:rPr>
          <w:rFonts w:hint="eastAsia" w:ascii="宋体" w:hAnsi="宋体"/>
          <w:color w:val="000000" w:themeColor="text1"/>
          <w14:textFill>
            <w14:solidFill>
              <w14:schemeClr w14:val="tx1"/>
            </w14:solidFill>
          </w14:textFill>
        </w:rPr>
        <w:t>疾病学、心理学、健康评估、健康教育等学科基本概念，能够对不同人群进行基本健康指导，可健康管理学同时学习。</w:t>
      </w:r>
    </w:p>
    <w:p>
      <w:pPr>
        <w:ind w:firstLine="420" w:firstLineChars="200"/>
        <w:jc w:val="left"/>
        <w:rPr>
          <w:rFonts w:ascii="宋体" w:hAnsi="宋体"/>
          <w:color w:val="000000" w:themeColor="text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rPr>
          <w:trHeight w:val="146" w:hRule="atLeast"/>
        </w:trPr>
        <w:tc>
          <w:tcPr>
            <w:tcW w:w="77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专业毕业要求</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0"/>
                <w:szCs w:val="20"/>
              </w:rPr>
            </w:pPr>
            <w:r>
              <w:rPr>
                <w:rFonts w:hint="eastAsia" w:ascii="黑体" w:hAnsi="黑体" w:eastAsia="黑体"/>
                <w:kern w:val="0"/>
                <w:sz w:val="20"/>
                <w:szCs w:val="20"/>
              </w:rPr>
              <w:t>关联</w:t>
            </w:r>
          </w:p>
        </w:tc>
      </w:tr>
      <w:tr>
        <w:trPr>
          <w:trHeight w:val="29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L01</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品德修养</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LO11 爱党爱国，坚决拥护党的领导，热爱祖国的大好河山、悠久历史、灿烂文化，自觉维护民族利益和国家尊严。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LO12 遵纪守法，增强法律意识，培养法律思维，自觉遵守法律法规、校纪校规。</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29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LO13 奉献社会，富有爱心，懂得感恩，自觉传承和弘扬雷锋精神，具有服务社会的意愿和行动，积极参加志愿者服务。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LO14 诚信尽责，为人诚实，信守承诺，勤奋努力，精益求精，勇于担责。</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LO15 爱岗敬业，热爱所学专业，勤学多练，锤炼技能。熟悉本专业相关的法律法规，在实习实践中自觉遵守职业规范，具备职业道德操守。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专业能力</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LO21 具有专业所需的人文科学素养。</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LO22 健康评估能力：能全面评估老年人的身心、社会及精神方面的健康状态，具有健康监测、健康风险评估能力。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asciiTheme="minorEastAsia" w:hAnsiTheme="minorEastAsia" w:eastAsiaTheme="minorEastAsia"/>
                <w:color w:val="000000"/>
                <w:kern w:val="0"/>
                <w:sz w:val="20"/>
                <w:szCs w:val="20"/>
              </w:rPr>
              <w:t>˜</w:t>
            </w: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LO23 养老服务能力：能应用政策法规管理老年事务，以社会工作专业视角及运用专业知识为老年人服务。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LO24 批判性思维能力：有质疑精神，具有初步运用辩证思维和决策的能力，能进行逻辑的分析与批判，以保证安全有效的专业实践。</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LO25 健康教育能力：能确定老年人的健康需求，并采用合适的健康教育策略。</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rPr>
          <w:trHeight w:val="10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LO26 调管理能力：能协调工作中的各种人际关系,进行老年活动策划、组织老年事务管理。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stheme="minorEastAsia"/>
                <w:color w:val="000000"/>
                <w:kern w:val="0"/>
                <w:sz w:val="20"/>
                <w:szCs w:val="20"/>
              </w:rPr>
              <w:sym w:font="Wingdings 2" w:char="F098"/>
            </w:r>
          </w:p>
        </w:tc>
      </w:tr>
      <w:tr>
        <w:trPr>
          <w:trHeight w:val="5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表达沟通</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LO31倾听他人意见、尊重他人观点、分析他人需求。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14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LO32应用书面或口头形式，阐释自己的观点，有效沟通。</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319"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 xml:space="preserve">自主学习 </w:t>
            </w:r>
            <w:r>
              <w:rPr>
                <w:rFonts w:hint="eastAsia" w:asciiTheme="minorEastAsia" w:hAnsiTheme="minorEastAsia" w:eastAsiaTheme="minorEastAsia"/>
                <w:color w:val="000000"/>
                <w:sz w:val="20"/>
                <w:szCs w:val="20"/>
              </w:rPr>
              <w:t xml:space="preserve"> </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L041 能根据需要确定学习目标，并设计学习计划。</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1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L042 能搜集、获取达到目标所需要的学习资源，实施学习计划、反思学习计划、持续改进，达到学习目标。</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133"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健康发展</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LO51身体健康，具有良好的卫生习惯，积极参加体育活动。</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LO52心理健康，学习和参与心理调适各项活动，耐挫折，能承受学习和生活中的压力。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LO53 懂得审美，有发现美、感受美、鉴赏美、评价美、创造美的能力。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LO54 热爱劳动，具有正确的劳动观念和态度，热爱劳动和劳动人民，养成劳动习惯。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LO55 持续发展，具有爱护环境的意识，与自然和谐相处的环保理念与行动；具备终生学习的意识和能力。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协同创新</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LO61在集体活动中能主动担任自己的角色，与其他成员密切合作，善于自我管理和团队管理，共同完成任务。</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LO62有质疑精神，能有逻辑的分析与批判。</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LO63 能用创新的方法或者多种方法解决复杂问题或真实问题。</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LO64 了解行业前沿知识技术。</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550"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信息应用</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LO71 能够根据需要进行专业文献检索。</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LO72 能够使用适合的工具来搜集信息，并对信息加以分析、鉴别、判断与整合。</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1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LO73 熟练使用计算机，掌握常用办公软件。</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255" w:hRule="atLeast"/>
        </w:trPr>
        <w:tc>
          <w:tcPr>
            <w:tcW w:w="111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4" w:lineRule="auto"/>
              <w:outlineLvl w:val="1"/>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p>
          <w:p>
            <w:pPr>
              <w:adjustRightInd w:val="0"/>
              <w:snapToGrid w:val="0"/>
              <w:spacing w:line="264" w:lineRule="auto"/>
              <w:outlineLvl w:val="1"/>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kern w:val="0"/>
                <w:sz w:val="20"/>
                <w:szCs w:val="20"/>
              </w:rPr>
              <w:t>国际视野</w:t>
            </w: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LO81 具备外语表达沟通能力，达到本专业的要求。</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LO82 理解其他国家历史文化，有跨文化交流能力。</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r>
        <w:trPr>
          <w:trHeight w:val="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000000"/>
                <w:sz w:val="20"/>
                <w:szCs w:val="20"/>
              </w:rPr>
            </w:pPr>
          </w:p>
        </w:tc>
        <w:tc>
          <w:tcPr>
            <w:tcW w:w="6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LO83 有国际竞争与合作意识。</w:t>
            </w:r>
          </w:p>
        </w:tc>
        <w:tc>
          <w:tcPr>
            <w:tcW w:w="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4" w:lineRule="auto"/>
              <w:outlineLvl w:val="1"/>
              <w:rPr>
                <w:rFonts w:asciiTheme="minorEastAsia" w:hAnsiTheme="minorEastAsia" w:eastAsiaTheme="minorEastAsia"/>
                <w:color w:val="000000"/>
                <w:sz w:val="20"/>
                <w:szCs w:val="20"/>
              </w:rPr>
            </w:pPr>
          </w:p>
        </w:tc>
      </w:tr>
    </w:tbl>
    <w:p>
      <w:pPr>
        <w:widowControl/>
        <w:spacing w:line="288" w:lineRule="auto"/>
        <w:ind w:firstLine="420" w:firstLineChars="200"/>
      </w:pPr>
    </w:p>
    <w:p>
      <w:pPr>
        <w:widowControl/>
        <w:spacing w:line="288" w:lineRule="auto"/>
        <w:ind w:firstLine="420" w:firstLineChars="200"/>
        <w:rPr>
          <w:rFonts w:ascii="黑体" w:hAnsi="宋体" w:eastAsia="黑体"/>
          <w:sz w:val="24"/>
        </w:rPr>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91"/>
        <w:gridCol w:w="3240"/>
        <w:gridCol w:w="1542"/>
        <w:gridCol w:w="1177"/>
      </w:tblGrid>
      <w:tr>
        <w:trPr>
          <w:trHeight w:val="656" w:hRule="atLeast"/>
          <w:jc w:val="center"/>
        </w:trPr>
        <w:tc>
          <w:tcPr>
            <w:tcW w:w="505" w:type="dxa"/>
            <w:vAlign w:val="center"/>
          </w:tcPr>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序号</w:t>
            </w:r>
          </w:p>
        </w:tc>
        <w:tc>
          <w:tcPr>
            <w:tcW w:w="1191" w:type="dxa"/>
            <w:vAlign w:val="center"/>
          </w:tcPr>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课程预期</w:t>
            </w:r>
          </w:p>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学习成果</w:t>
            </w:r>
          </w:p>
        </w:tc>
        <w:tc>
          <w:tcPr>
            <w:tcW w:w="3240" w:type="dxa"/>
            <w:vAlign w:val="center"/>
          </w:tcPr>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课程目标</w:t>
            </w:r>
          </w:p>
        </w:tc>
        <w:tc>
          <w:tcPr>
            <w:tcW w:w="1542" w:type="dxa"/>
            <w:vAlign w:val="center"/>
          </w:tcPr>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教与学方式</w:t>
            </w:r>
          </w:p>
        </w:tc>
        <w:tc>
          <w:tcPr>
            <w:tcW w:w="1177" w:type="dxa"/>
            <w:vAlign w:val="center"/>
          </w:tcPr>
          <w:p>
            <w:pPr>
              <w:snapToGrid w:val="0"/>
              <w:spacing w:line="288" w:lineRule="auto"/>
              <w:jc w:val="center"/>
              <w:rPr>
                <w:rFonts w:asciiTheme="minorEastAsia" w:hAnsiTheme="minorEastAsia" w:eastAsiaTheme="minorEastAsia" w:cstheme="minorEastAsia"/>
                <w:b/>
                <w:sz w:val="20"/>
                <w:szCs w:val="20"/>
              </w:rPr>
            </w:pPr>
            <w:r>
              <w:rPr>
                <w:rFonts w:hint="eastAsia" w:asciiTheme="minorEastAsia" w:hAnsiTheme="minorEastAsia" w:eastAsiaTheme="minorEastAsia" w:cstheme="minorEastAsia"/>
                <w:b/>
                <w:sz w:val="20"/>
                <w:szCs w:val="20"/>
              </w:rPr>
              <w:t>评价方式</w:t>
            </w:r>
          </w:p>
        </w:tc>
      </w:tr>
      <w:tr>
        <w:trPr>
          <w:trHeight w:val="202" w:hRule="atLeast"/>
          <w:jc w:val="center"/>
        </w:trPr>
        <w:tc>
          <w:tcPr>
            <w:tcW w:w="505"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1191"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LO15</w:t>
            </w: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1.了解并遵守健康伦理及法律，关注隐私保护，尊重个体选择权。</w:t>
            </w:r>
          </w:p>
        </w:tc>
        <w:tc>
          <w:tcPr>
            <w:tcW w:w="1542"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翻转课堂</w:t>
            </w:r>
          </w:p>
        </w:tc>
        <w:tc>
          <w:tcPr>
            <w:tcW w:w="1177"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实训报告</w:t>
            </w:r>
          </w:p>
        </w:tc>
      </w:tr>
      <w:tr>
        <w:trPr>
          <w:trHeight w:val="202" w:hRule="atLeast"/>
          <w:jc w:val="center"/>
        </w:trPr>
        <w:tc>
          <w:tcPr>
            <w:tcW w:w="505" w:type="dxa"/>
            <w:vMerge w:val="continue"/>
            <w:vAlign w:val="center"/>
          </w:tcPr>
          <w:p>
            <w:pPr>
              <w:widowControl/>
              <w:jc w:val="center"/>
              <w:rPr>
                <w:rFonts w:asciiTheme="minorEastAsia" w:hAnsiTheme="minorEastAsia" w:eastAsiaTheme="minorEastAsia" w:cstheme="minorEastAsia"/>
                <w:kern w:val="0"/>
                <w:sz w:val="20"/>
                <w:szCs w:val="20"/>
              </w:rPr>
            </w:pPr>
          </w:p>
        </w:tc>
        <w:tc>
          <w:tcPr>
            <w:tcW w:w="1191" w:type="dxa"/>
            <w:vMerge w:val="continue"/>
            <w:vAlign w:val="center"/>
          </w:tcPr>
          <w:p>
            <w:pPr>
              <w:widowControl/>
              <w:jc w:val="center"/>
              <w:rPr>
                <w:rFonts w:asciiTheme="minorEastAsia" w:hAnsiTheme="minorEastAsia" w:eastAsiaTheme="minorEastAsia" w:cstheme="minorEastAsia"/>
                <w:kern w:val="0"/>
                <w:sz w:val="20"/>
                <w:szCs w:val="20"/>
              </w:rPr>
            </w:pP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2.理解自己在健康管理团队中的角色和责任，始终以服务对象为中心</w:t>
            </w:r>
          </w:p>
        </w:tc>
        <w:tc>
          <w:tcPr>
            <w:tcW w:w="1542" w:type="dxa"/>
            <w:vMerge w:val="continue"/>
            <w:vAlign w:val="center"/>
          </w:tcPr>
          <w:p>
            <w:pPr>
              <w:widowControl/>
              <w:jc w:val="center"/>
              <w:rPr>
                <w:rFonts w:asciiTheme="minorEastAsia" w:hAnsiTheme="minorEastAsia" w:eastAsiaTheme="minorEastAsia" w:cstheme="minorEastAsia"/>
                <w:kern w:val="0"/>
                <w:sz w:val="20"/>
                <w:szCs w:val="20"/>
              </w:rPr>
            </w:pPr>
          </w:p>
        </w:tc>
        <w:tc>
          <w:tcPr>
            <w:tcW w:w="1177" w:type="dxa"/>
            <w:vMerge w:val="continue"/>
            <w:vAlign w:val="center"/>
          </w:tcPr>
          <w:p>
            <w:pPr>
              <w:widowControl/>
              <w:jc w:val="center"/>
              <w:rPr>
                <w:rFonts w:asciiTheme="minorEastAsia" w:hAnsiTheme="minorEastAsia" w:eastAsiaTheme="minorEastAsia" w:cstheme="minorEastAsia"/>
                <w:kern w:val="0"/>
                <w:sz w:val="20"/>
                <w:szCs w:val="20"/>
              </w:rPr>
            </w:pPr>
          </w:p>
        </w:tc>
      </w:tr>
      <w:tr>
        <w:trPr>
          <w:trHeight w:val="2033" w:hRule="atLeast"/>
          <w:jc w:val="center"/>
        </w:trPr>
        <w:tc>
          <w:tcPr>
            <w:tcW w:w="505"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1191"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LO23</w:t>
            </w: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能根据服务对象情况确定其健康需求，并给予合适的干预，熟练掌握包括制</w:t>
            </w:r>
            <w:r>
              <w:rPr>
                <w:rFonts w:hint="eastAsia" w:asciiTheme="minorEastAsia" w:hAnsiTheme="minorEastAsia" w:eastAsiaTheme="minorEastAsia" w:cstheme="minorEastAsia"/>
                <w:color w:val="000000" w:themeColor="text1"/>
                <w:sz w:val="20"/>
                <w:szCs w:val="20"/>
                <w14:textFill>
                  <w14:solidFill>
                    <w14:schemeClr w14:val="tx1"/>
                  </w14:solidFill>
                </w14:textFill>
              </w:rPr>
              <w:t>健康监测、健康风险评估、健康维护与干预</w:t>
            </w:r>
            <w:r>
              <w:rPr>
                <w:rFonts w:hint="eastAsia" w:asciiTheme="minorEastAsia" w:hAnsiTheme="minorEastAsia" w:eastAsiaTheme="minorEastAsia" w:cstheme="minorEastAsia"/>
                <w:sz w:val="20"/>
                <w:szCs w:val="20"/>
              </w:rPr>
              <w:t>等技能。</w:t>
            </w:r>
          </w:p>
        </w:tc>
        <w:tc>
          <w:tcPr>
            <w:tcW w:w="1542"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布置学习任务</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课外拓展阅读</w:t>
            </w:r>
          </w:p>
        </w:tc>
        <w:tc>
          <w:tcPr>
            <w:tcW w:w="1177"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tc>
      </w:tr>
      <w:tr>
        <w:trPr>
          <w:trHeight w:val="204" w:hRule="atLeast"/>
          <w:jc w:val="center"/>
        </w:trPr>
        <w:tc>
          <w:tcPr>
            <w:tcW w:w="505"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w:t>
            </w:r>
          </w:p>
        </w:tc>
        <w:tc>
          <w:tcPr>
            <w:tcW w:w="1191"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LO25</w:t>
            </w: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1.熟知健康管理方法，熟悉各种的健康管理和促进策略，包括预防性措施、生活方式调整、营养干预、健康教育等，学习最新健康知识</w:t>
            </w:r>
          </w:p>
        </w:tc>
        <w:tc>
          <w:tcPr>
            <w:tcW w:w="1542"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综合实践</w:t>
            </w:r>
          </w:p>
        </w:tc>
        <w:tc>
          <w:tcPr>
            <w:tcW w:w="1177"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理论考试实训报告</w:t>
            </w:r>
          </w:p>
        </w:tc>
      </w:tr>
      <w:tr>
        <w:trPr>
          <w:trHeight w:val="204" w:hRule="atLeast"/>
          <w:jc w:val="center"/>
        </w:trPr>
        <w:tc>
          <w:tcPr>
            <w:tcW w:w="505" w:type="dxa"/>
            <w:vMerge w:val="continue"/>
            <w:vAlign w:val="center"/>
          </w:tcPr>
          <w:p>
            <w:pPr>
              <w:widowControl/>
              <w:jc w:val="center"/>
              <w:rPr>
                <w:rFonts w:asciiTheme="minorEastAsia" w:hAnsiTheme="minorEastAsia" w:eastAsiaTheme="minorEastAsia" w:cstheme="minorEastAsia"/>
                <w:sz w:val="20"/>
                <w:szCs w:val="20"/>
              </w:rPr>
            </w:pPr>
          </w:p>
        </w:tc>
        <w:tc>
          <w:tcPr>
            <w:tcW w:w="1191" w:type="dxa"/>
            <w:vMerge w:val="continue"/>
            <w:vAlign w:val="center"/>
          </w:tcPr>
          <w:p>
            <w:pPr>
              <w:widowControl/>
              <w:jc w:val="center"/>
              <w:rPr>
                <w:rFonts w:asciiTheme="minorEastAsia" w:hAnsiTheme="minorEastAsia" w:eastAsiaTheme="minorEastAsia" w:cstheme="minorEastAsia"/>
                <w:sz w:val="20"/>
                <w:szCs w:val="20"/>
              </w:rPr>
            </w:pPr>
          </w:p>
        </w:tc>
        <w:tc>
          <w:tcPr>
            <w:tcW w:w="3240" w:type="dxa"/>
            <w:vAlign w:val="center"/>
          </w:tcPr>
          <w:p>
            <w:pPr>
              <w:widowControl/>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2.通过学习医学基础知识、预防医学知识和临床医学知识等，全面了解健康服务的基本原理和技能。</w:t>
            </w:r>
          </w:p>
        </w:tc>
        <w:tc>
          <w:tcPr>
            <w:tcW w:w="1542" w:type="dxa"/>
            <w:vMerge w:val="continue"/>
            <w:vAlign w:val="center"/>
          </w:tcPr>
          <w:p>
            <w:pPr>
              <w:widowControl/>
              <w:jc w:val="center"/>
              <w:rPr>
                <w:rFonts w:asciiTheme="minorEastAsia" w:hAnsiTheme="minorEastAsia" w:eastAsiaTheme="minorEastAsia" w:cstheme="minorEastAsia"/>
                <w:sz w:val="20"/>
                <w:szCs w:val="20"/>
              </w:rPr>
            </w:pPr>
          </w:p>
        </w:tc>
        <w:tc>
          <w:tcPr>
            <w:tcW w:w="1177" w:type="dxa"/>
            <w:vMerge w:val="continue"/>
            <w:vAlign w:val="center"/>
          </w:tcPr>
          <w:p>
            <w:pPr>
              <w:widowControl/>
              <w:jc w:val="center"/>
              <w:rPr>
                <w:rFonts w:asciiTheme="minorEastAsia" w:hAnsiTheme="minorEastAsia" w:eastAsiaTheme="minorEastAsia" w:cstheme="minorEastAsia"/>
                <w:sz w:val="20"/>
                <w:szCs w:val="20"/>
              </w:rPr>
            </w:pPr>
          </w:p>
        </w:tc>
      </w:tr>
      <w:tr>
        <w:trPr>
          <w:trHeight w:val="204" w:hRule="atLeast"/>
          <w:jc w:val="center"/>
        </w:trPr>
        <w:tc>
          <w:tcPr>
            <w:tcW w:w="505" w:type="dxa"/>
            <w:vMerge w:val="continue"/>
            <w:vAlign w:val="center"/>
          </w:tcPr>
          <w:p>
            <w:pPr>
              <w:widowControl/>
              <w:jc w:val="center"/>
              <w:rPr>
                <w:rFonts w:asciiTheme="minorEastAsia" w:hAnsiTheme="minorEastAsia" w:eastAsiaTheme="minorEastAsia" w:cstheme="minorEastAsia"/>
                <w:sz w:val="20"/>
                <w:szCs w:val="20"/>
              </w:rPr>
            </w:pPr>
          </w:p>
        </w:tc>
        <w:tc>
          <w:tcPr>
            <w:tcW w:w="1191" w:type="dxa"/>
            <w:vMerge w:val="continue"/>
            <w:vAlign w:val="center"/>
          </w:tcPr>
          <w:p>
            <w:pPr>
              <w:widowControl/>
              <w:jc w:val="center"/>
              <w:rPr>
                <w:rFonts w:asciiTheme="minorEastAsia" w:hAnsiTheme="minorEastAsia" w:eastAsiaTheme="minorEastAsia" w:cstheme="minorEastAsia"/>
                <w:sz w:val="20"/>
                <w:szCs w:val="20"/>
              </w:rPr>
            </w:pPr>
          </w:p>
        </w:tc>
        <w:tc>
          <w:tcPr>
            <w:tcW w:w="3240" w:type="dxa"/>
            <w:vAlign w:val="center"/>
          </w:tcPr>
          <w:p>
            <w:pPr>
              <w:widowControl/>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3.能根据服务对象情况确定其健康需求，并给予合适的干预，熟练掌握包括制</w:t>
            </w:r>
            <w:r>
              <w:rPr>
                <w:rFonts w:hint="eastAsia" w:asciiTheme="minorEastAsia" w:hAnsiTheme="minorEastAsia" w:eastAsiaTheme="minorEastAsia" w:cstheme="minorEastAsia"/>
                <w:color w:val="000000" w:themeColor="text1"/>
                <w:sz w:val="20"/>
                <w:szCs w:val="20"/>
                <w14:textFill>
                  <w14:solidFill>
                    <w14:schemeClr w14:val="tx1"/>
                  </w14:solidFill>
                </w14:textFill>
              </w:rPr>
              <w:t>健康监测、健康风险评估、健康维护与干预</w:t>
            </w:r>
            <w:r>
              <w:rPr>
                <w:rFonts w:hint="eastAsia" w:asciiTheme="minorEastAsia" w:hAnsiTheme="minorEastAsia" w:eastAsiaTheme="minorEastAsia" w:cstheme="minorEastAsia"/>
                <w:sz w:val="20"/>
                <w:szCs w:val="20"/>
              </w:rPr>
              <w:t>等技能。</w:t>
            </w:r>
          </w:p>
        </w:tc>
        <w:tc>
          <w:tcPr>
            <w:tcW w:w="1542" w:type="dxa"/>
            <w:vMerge w:val="continue"/>
            <w:vAlign w:val="center"/>
          </w:tcPr>
          <w:p>
            <w:pPr>
              <w:widowControl/>
              <w:jc w:val="center"/>
              <w:rPr>
                <w:rFonts w:asciiTheme="minorEastAsia" w:hAnsiTheme="minorEastAsia" w:eastAsiaTheme="minorEastAsia" w:cstheme="minorEastAsia"/>
                <w:sz w:val="20"/>
                <w:szCs w:val="20"/>
              </w:rPr>
            </w:pPr>
          </w:p>
        </w:tc>
        <w:tc>
          <w:tcPr>
            <w:tcW w:w="1177" w:type="dxa"/>
            <w:vMerge w:val="continue"/>
            <w:vAlign w:val="center"/>
          </w:tcPr>
          <w:p>
            <w:pPr>
              <w:widowControl/>
              <w:jc w:val="center"/>
              <w:rPr>
                <w:rFonts w:asciiTheme="minorEastAsia" w:hAnsiTheme="minorEastAsia" w:eastAsiaTheme="minorEastAsia" w:cstheme="minorEastAsia"/>
                <w:sz w:val="20"/>
                <w:szCs w:val="20"/>
              </w:rPr>
            </w:pPr>
          </w:p>
        </w:tc>
      </w:tr>
      <w:tr>
        <w:trPr>
          <w:trHeight w:val="775" w:hRule="atLeast"/>
          <w:jc w:val="center"/>
        </w:trPr>
        <w:tc>
          <w:tcPr>
            <w:tcW w:w="505" w:type="dxa"/>
            <w:vMerge w:val="continue"/>
            <w:vAlign w:val="center"/>
          </w:tcPr>
          <w:p>
            <w:pPr>
              <w:widowControl/>
              <w:jc w:val="center"/>
              <w:rPr>
                <w:rFonts w:asciiTheme="minorEastAsia" w:hAnsiTheme="minorEastAsia" w:eastAsiaTheme="minorEastAsia" w:cstheme="minorEastAsia"/>
                <w:sz w:val="20"/>
                <w:szCs w:val="20"/>
              </w:rPr>
            </w:pPr>
          </w:p>
        </w:tc>
        <w:tc>
          <w:tcPr>
            <w:tcW w:w="1191" w:type="dxa"/>
            <w:vMerge w:val="continue"/>
            <w:vAlign w:val="center"/>
          </w:tcPr>
          <w:p>
            <w:pPr>
              <w:widowControl/>
              <w:jc w:val="center"/>
              <w:rPr>
                <w:rFonts w:asciiTheme="minorEastAsia" w:hAnsiTheme="minorEastAsia" w:eastAsiaTheme="minorEastAsia" w:cstheme="minorEastAsia"/>
                <w:sz w:val="20"/>
                <w:szCs w:val="20"/>
              </w:rPr>
            </w:pP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2．能运用现代信息技术，开展健康评估和健康改善活动。</w:t>
            </w:r>
          </w:p>
        </w:tc>
        <w:tc>
          <w:tcPr>
            <w:tcW w:w="1542" w:type="dxa"/>
            <w:vMerge w:val="continue"/>
            <w:vAlign w:val="center"/>
          </w:tcPr>
          <w:p>
            <w:pPr>
              <w:widowControl/>
              <w:jc w:val="center"/>
              <w:rPr>
                <w:rFonts w:asciiTheme="minorEastAsia" w:hAnsiTheme="minorEastAsia" w:eastAsiaTheme="minorEastAsia" w:cstheme="minorEastAsia"/>
                <w:kern w:val="0"/>
                <w:sz w:val="20"/>
                <w:szCs w:val="20"/>
              </w:rPr>
            </w:pPr>
          </w:p>
        </w:tc>
        <w:tc>
          <w:tcPr>
            <w:tcW w:w="1177" w:type="dxa"/>
            <w:vMerge w:val="continue"/>
            <w:vAlign w:val="center"/>
          </w:tcPr>
          <w:p>
            <w:pPr>
              <w:widowControl/>
              <w:jc w:val="center"/>
              <w:rPr>
                <w:rFonts w:asciiTheme="minorEastAsia" w:hAnsiTheme="minorEastAsia" w:eastAsiaTheme="minorEastAsia" w:cstheme="minorEastAsia"/>
                <w:kern w:val="0"/>
                <w:sz w:val="20"/>
                <w:szCs w:val="20"/>
              </w:rPr>
            </w:pPr>
          </w:p>
        </w:tc>
      </w:tr>
      <w:tr>
        <w:trPr>
          <w:trHeight w:val="214" w:hRule="atLeast"/>
          <w:jc w:val="center"/>
        </w:trPr>
        <w:tc>
          <w:tcPr>
            <w:tcW w:w="505"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12</w:t>
            </w:r>
          </w:p>
        </w:tc>
        <w:tc>
          <w:tcPr>
            <w:tcW w:w="1191"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LO7</w:t>
            </w: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1．有正确的健康理念及助人为乐的良好品质。</w:t>
            </w:r>
          </w:p>
        </w:tc>
        <w:tc>
          <w:tcPr>
            <w:tcW w:w="1542"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课程思政</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案例分析</w:t>
            </w:r>
          </w:p>
        </w:tc>
        <w:tc>
          <w:tcPr>
            <w:tcW w:w="1177" w:type="dxa"/>
            <w:vMerge w:val="restart"/>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课堂提问平时表现</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理论考试</w:t>
            </w:r>
          </w:p>
        </w:tc>
      </w:tr>
      <w:tr>
        <w:trPr>
          <w:trHeight w:val="214" w:hRule="atLeast"/>
          <w:jc w:val="center"/>
        </w:trPr>
        <w:tc>
          <w:tcPr>
            <w:tcW w:w="505" w:type="dxa"/>
            <w:vMerge w:val="continue"/>
            <w:vAlign w:val="center"/>
          </w:tcPr>
          <w:p>
            <w:pPr>
              <w:widowControl/>
              <w:jc w:val="center"/>
              <w:rPr>
                <w:rFonts w:asciiTheme="minorEastAsia" w:hAnsiTheme="minorEastAsia" w:eastAsiaTheme="minorEastAsia" w:cstheme="minorEastAsia"/>
                <w:kern w:val="0"/>
                <w:sz w:val="20"/>
                <w:szCs w:val="20"/>
              </w:rPr>
            </w:pPr>
          </w:p>
        </w:tc>
        <w:tc>
          <w:tcPr>
            <w:tcW w:w="1191" w:type="dxa"/>
            <w:vMerge w:val="continue"/>
            <w:vAlign w:val="center"/>
          </w:tcPr>
          <w:p>
            <w:pPr>
              <w:widowControl/>
              <w:jc w:val="center"/>
              <w:rPr>
                <w:rFonts w:asciiTheme="minorEastAsia" w:hAnsiTheme="minorEastAsia" w:eastAsiaTheme="minorEastAsia" w:cstheme="minorEastAsia"/>
                <w:kern w:val="0"/>
                <w:sz w:val="20"/>
                <w:szCs w:val="20"/>
              </w:rPr>
            </w:pP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2．善于做健康行为的践行者和传播者。</w:t>
            </w:r>
          </w:p>
        </w:tc>
        <w:tc>
          <w:tcPr>
            <w:tcW w:w="1542" w:type="dxa"/>
            <w:vMerge w:val="continue"/>
            <w:vAlign w:val="center"/>
          </w:tcPr>
          <w:p>
            <w:pPr>
              <w:widowControl/>
              <w:jc w:val="center"/>
              <w:rPr>
                <w:rFonts w:asciiTheme="minorEastAsia" w:hAnsiTheme="minorEastAsia" w:eastAsiaTheme="minorEastAsia" w:cstheme="minorEastAsia"/>
                <w:kern w:val="0"/>
                <w:sz w:val="20"/>
                <w:szCs w:val="20"/>
              </w:rPr>
            </w:pPr>
          </w:p>
        </w:tc>
        <w:tc>
          <w:tcPr>
            <w:tcW w:w="1177" w:type="dxa"/>
            <w:vMerge w:val="continue"/>
            <w:vAlign w:val="center"/>
          </w:tcPr>
          <w:p>
            <w:pPr>
              <w:widowControl/>
              <w:jc w:val="center"/>
              <w:rPr>
                <w:rFonts w:asciiTheme="minorEastAsia" w:hAnsiTheme="minorEastAsia" w:eastAsiaTheme="minorEastAsia" w:cstheme="minorEastAsia"/>
                <w:kern w:val="0"/>
                <w:sz w:val="20"/>
                <w:szCs w:val="20"/>
              </w:rPr>
            </w:pPr>
          </w:p>
        </w:tc>
      </w:tr>
      <w:tr>
        <w:trPr>
          <w:trHeight w:val="218" w:hRule="atLeast"/>
          <w:jc w:val="center"/>
        </w:trPr>
        <w:tc>
          <w:tcPr>
            <w:tcW w:w="505"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13</w:t>
            </w:r>
          </w:p>
        </w:tc>
        <w:tc>
          <w:tcPr>
            <w:tcW w:w="1191"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LO8</w:t>
            </w:r>
          </w:p>
        </w:tc>
        <w:tc>
          <w:tcPr>
            <w:tcW w:w="3240" w:type="dxa"/>
            <w:vAlign w:val="center"/>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了解健康管理发展动态及趋势，有国际竞争与合作意识。</w:t>
            </w:r>
          </w:p>
        </w:tc>
        <w:tc>
          <w:tcPr>
            <w:tcW w:w="1542"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理论讲授</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综合实践</w:t>
            </w:r>
          </w:p>
        </w:tc>
        <w:tc>
          <w:tcPr>
            <w:tcW w:w="1177" w:type="dxa"/>
            <w:vAlign w:val="center"/>
          </w:tcPr>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课堂提问</w:t>
            </w:r>
          </w:p>
          <w:p>
            <w:pPr>
              <w:widowControl/>
              <w:jc w:val="center"/>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实训报告</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pPr w:leftFromText="180" w:rightFromText="180" w:vertAnchor="text" w:horzAnchor="page" w:tblpXSpec="center" w:tblpY="388"/>
        <w:tblOverlap w:val="never"/>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79"/>
        <w:gridCol w:w="2186"/>
        <w:gridCol w:w="2039"/>
        <w:gridCol w:w="1207"/>
        <w:gridCol w:w="437"/>
        <w:gridCol w:w="437"/>
        <w:gridCol w:w="437"/>
      </w:tblGrid>
      <w:tr>
        <w:trPr>
          <w:trHeight w:val="1261" w:hRule="atLeast"/>
          <w:jc w:val="center"/>
        </w:trPr>
        <w:tc>
          <w:tcPr>
            <w:tcW w:w="488"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序号</w:t>
            </w:r>
          </w:p>
        </w:tc>
        <w:tc>
          <w:tcPr>
            <w:tcW w:w="679"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单元名称</w:t>
            </w:r>
          </w:p>
        </w:tc>
        <w:tc>
          <w:tcPr>
            <w:tcW w:w="2186"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知识点</w:t>
            </w:r>
          </w:p>
        </w:tc>
        <w:tc>
          <w:tcPr>
            <w:tcW w:w="2039"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能力目标</w:t>
            </w:r>
          </w:p>
        </w:tc>
        <w:tc>
          <w:tcPr>
            <w:tcW w:w="1207"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教学难点</w:t>
            </w:r>
          </w:p>
        </w:tc>
        <w:tc>
          <w:tcPr>
            <w:tcW w:w="437"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理论时数</w:t>
            </w:r>
          </w:p>
        </w:tc>
        <w:tc>
          <w:tcPr>
            <w:tcW w:w="437"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实践时数</w:t>
            </w:r>
          </w:p>
        </w:tc>
        <w:tc>
          <w:tcPr>
            <w:tcW w:w="437" w:type="dxa"/>
            <w:vAlign w:val="center"/>
          </w:tcPr>
          <w:p>
            <w:pPr>
              <w:snapToGrid w:val="0"/>
              <w:spacing w:line="288" w:lineRule="auto"/>
              <w:jc w:val="center"/>
              <w:rPr>
                <w:rFonts w:asciiTheme="minorEastAsia" w:hAnsiTheme="minorEastAsia" w:eastAsiaTheme="minorEastAsia"/>
                <w:b/>
                <w:sz w:val="20"/>
                <w:szCs w:val="20"/>
              </w:rPr>
            </w:pPr>
            <w:r>
              <w:rPr>
                <w:rFonts w:hint="eastAsia" w:asciiTheme="minorEastAsia" w:hAnsiTheme="minorEastAsia" w:eastAsiaTheme="minorEastAsia"/>
                <w:b/>
                <w:sz w:val="20"/>
                <w:szCs w:val="20"/>
              </w:rPr>
              <w:t>总时数</w:t>
            </w:r>
          </w:p>
        </w:tc>
      </w:tr>
      <w:tr>
        <w:trPr>
          <w:trHeight w:val="2561"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w:t>
            </w:r>
          </w:p>
        </w:tc>
        <w:tc>
          <w:tcPr>
            <w:tcW w:w="679" w:type="dxa"/>
            <w:vAlign w:val="center"/>
          </w:tcPr>
          <w:p>
            <w:pPr>
              <w:snapToGrid w:val="0"/>
              <w:spacing w:line="28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绪论</w:t>
            </w:r>
          </w:p>
        </w:tc>
        <w:tc>
          <w:tcPr>
            <w:tcW w:w="2186" w:type="dxa"/>
          </w:tcPr>
          <w:p>
            <w:pPr>
              <w:spacing w:line="280" w:lineRule="exact"/>
              <w:rPr>
                <w:rFonts w:asciiTheme="minorEastAsia" w:hAnsiTheme="minorEastAsia" w:eastAsiaTheme="minorEastAsia"/>
                <w:kern w:val="0"/>
                <w:sz w:val="20"/>
                <w:szCs w:val="20"/>
              </w:rPr>
            </w:pPr>
            <w:r>
              <w:rPr>
                <w:rFonts w:hint="eastAsia" w:asciiTheme="minorEastAsia" w:hAnsiTheme="minorEastAsia" w:eastAsiaTheme="minorEastAsia"/>
                <w:color w:val="000000" w:themeColor="text1"/>
                <w:kern w:val="0"/>
                <w:sz w:val="20"/>
                <w:szCs w:val="20"/>
                <w14:textFill>
                  <w14:solidFill>
                    <w14:schemeClr w14:val="tx1"/>
                  </w14:solidFill>
                </w14:textFill>
              </w:rPr>
              <w:t>健康服务与管理的内涵、健康服务与管理常用技能、</w:t>
            </w:r>
            <w:r>
              <w:rPr>
                <w:rFonts w:hint="eastAsia" w:asciiTheme="minorEastAsia" w:hAnsiTheme="minorEastAsia" w:eastAsiaTheme="minorEastAsia"/>
                <w:color w:val="000000" w:themeColor="text1"/>
                <w:sz w:val="20"/>
                <w:szCs w:val="20"/>
                <w:shd w:val="clear" w:color="auto" w:fill="FFFFFF"/>
                <w14:textFill>
                  <w14:solidFill>
                    <w14:schemeClr w14:val="tx1"/>
                  </w14:solidFill>
                </w14:textFill>
              </w:rPr>
              <w:t>人群健康服务与管理实施流程、健康服务与管理技能发展趋势</w:t>
            </w:r>
            <w:r>
              <w:rPr>
                <w:rFonts w:hint="eastAsia" w:asciiTheme="minorEastAsia" w:hAnsiTheme="minorEastAsia" w:eastAsiaTheme="minorEastAsia"/>
                <w:kern w:val="0"/>
                <w:sz w:val="20"/>
                <w:szCs w:val="20"/>
              </w:rPr>
              <w:t>。</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健康服务与管理的概念;健康管理与疾病治疗的区别与联系。</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健康服务与管理技能类型、主要内容和实施流程</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健康服务与管理技能未来发展趋势。</w:t>
            </w:r>
          </w:p>
        </w:tc>
        <w:tc>
          <w:tcPr>
            <w:tcW w:w="1207" w:type="dxa"/>
          </w:tcPr>
          <w:p>
            <w:pPr>
              <w:spacing w:line="280" w:lineRule="exact"/>
              <w:ind w:right="-23" w:rightChars="-11"/>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1.健康服务与管理的概念；健康管理与疾病治疗的区别与联系。</w:t>
            </w:r>
          </w:p>
          <w:p>
            <w:pPr>
              <w:spacing w:line="280" w:lineRule="exact"/>
              <w:ind w:right="-23" w:rightChars="-11"/>
              <w:jc w:val="left"/>
              <w:rPr>
                <w:rFonts w:asciiTheme="minorEastAsia" w:hAnsiTheme="minorEastAsia" w:eastAsiaTheme="minorEastAsia"/>
                <w:sz w:val="20"/>
                <w:szCs w:val="20"/>
              </w:rPr>
            </w:pPr>
            <w:r>
              <w:rPr>
                <w:rFonts w:hint="eastAsia" w:asciiTheme="minorEastAsia" w:hAnsiTheme="minorEastAsia" w:eastAsiaTheme="minorEastAsia"/>
                <w:sz w:val="20"/>
                <w:szCs w:val="20"/>
              </w:rPr>
              <w:t>2.健康服务与管理的流程</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2</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0</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2</w:t>
            </w:r>
          </w:p>
        </w:tc>
      </w:tr>
      <w:tr>
        <w:trPr>
          <w:trHeight w:val="558"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2</w:t>
            </w:r>
          </w:p>
        </w:tc>
        <w:tc>
          <w:tcPr>
            <w:tcW w:w="679" w:type="dxa"/>
            <w:vAlign w:val="center"/>
          </w:tcPr>
          <w:p>
            <w:pPr>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健康相关的问卷与量表的编制及评价</w:t>
            </w:r>
          </w:p>
        </w:tc>
        <w:tc>
          <w:tcPr>
            <w:tcW w:w="2186"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shd w:val="clear" w:color="auto" w:fill="FFFFFF"/>
                <w14:textFill>
                  <w14:solidFill>
                    <w14:schemeClr w14:val="tx1"/>
                  </w14:solidFill>
                </w14:textFill>
              </w:rPr>
              <w:t>问卷与量表的设计、问卷与量表的评价、健康相关常见的问卷和量表</w:t>
            </w:r>
          </w:p>
          <w:p>
            <w:pPr>
              <w:spacing w:line="280" w:lineRule="exac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能力要求</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问卷/量表的结构、设计步骤及评价。</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 熟悉</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问卷和量表的差异、设计的原则、设计时常见的错误。</w:t>
            </w:r>
            <w:r>
              <w:rPr>
                <w:rFonts w:hint="eastAsia" w:asciiTheme="minorEastAsia" w:hAnsiTheme="minorEastAsia" w:eastAsiaTheme="minorEastAsia"/>
                <w:color w:val="000000" w:themeColor="text1"/>
                <w:sz w:val="20"/>
                <w:szCs w:val="20"/>
                <w14:textFill>
                  <w14:solidFill>
                    <w14:schemeClr w14:val="tx1"/>
                  </w14:solidFill>
                </w14:textFill>
              </w:rPr>
              <w:tab/>
            </w:r>
          </w:p>
          <w:p>
            <w:pPr>
              <w:spacing w:line="280" w:lineRule="exac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3.了解</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健康相关的常见量表和问卷。</w:t>
            </w:r>
          </w:p>
        </w:tc>
        <w:tc>
          <w:tcPr>
            <w:tcW w:w="1207" w:type="dxa"/>
          </w:tcPr>
          <w:p>
            <w:pPr>
              <w:spacing w:line="280" w:lineRule="exact"/>
              <w:ind w:right="-23" w:rightChars="-11"/>
              <w:jc w:val="lef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问卷的选择与发放</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4</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2</w:t>
            </w:r>
          </w:p>
        </w:tc>
        <w:tc>
          <w:tcPr>
            <w:tcW w:w="437" w:type="dxa"/>
            <w:vAlign w:val="center"/>
          </w:tcPr>
          <w:p>
            <w:pPr>
              <w:jc w:val="center"/>
              <w:rPr>
                <w:rFonts w:asciiTheme="minorEastAsia" w:hAnsiTheme="minorEastAsia" w:eastAsiaTheme="minorEastAsia"/>
                <w:sz w:val="20"/>
                <w:szCs w:val="20"/>
              </w:rPr>
            </w:pPr>
            <w:r>
              <w:rPr>
                <w:rFonts w:hint="eastAsia" w:ascii="Times New Roman" w:hAnsi="Times New Roman"/>
                <w:bCs/>
              </w:rPr>
              <w:t>6</w:t>
            </w:r>
          </w:p>
        </w:tc>
      </w:tr>
      <w:tr>
        <w:trPr>
          <w:trHeight w:val="90" w:hRule="atLeast"/>
          <w:jc w:val="center"/>
        </w:trPr>
        <w:tc>
          <w:tcPr>
            <w:tcW w:w="488" w:type="dxa"/>
            <w:vAlign w:val="center"/>
          </w:tcPr>
          <w:p>
            <w:pPr>
              <w:snapToGrid w:val="0"/>
              <w:spacing w:line="34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3</w:t>
            </w:r>
          </w:p>
        </w:tc>
        <w:tc>
          <w:tcPr>
            <w:tcW w:w="679" w:type="dxa"/>
            <w:vAlign w:val="center"/>
          </w:tcPr>
          <w:p>
            <w:pPr>
              <w:pStyle w:val="5"/>
              <w:spacing w:before="0" w:beforeAutospacing="0" w:after="0" w:afterAutospacing="0" w:line="34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临床检查检测及意义</w:t>
            </w:r>
          </w:p>
        </w:tc>
        <w:tc>
          <w:tcPr>
            <w:tcW w:w="2186" w:type="dxa"/>
          </w:tcPr>
          <w:p>
            <w:pPr>
              <w:spacing w:line="340" w:lineRule="exac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shd w:val="clear" w:color="auto" w:fill="FFFFFF"/>
                <w14:textFill>
                  <w14:solidFill>
                    <w14:schemeClr w14:val="tx1"/>
                  </w14:solidFill>
                </w14:textFill>
              </w:rPr>
              <w:t>基本生理指标检测与评估、医学检测及意义</w:t>
            </w:r>
            <w:r>
              <w:rPr>
                <w:rFonts w:hint="eastAsia" w:asciiTheme="minorEastAsia" w:hAnsiTheme="minorEastAsia" w:eastAsiaTheme="minorEastAsia"/>
                <w:color w:val="000000" w:themeColor="text1"/>
                <w:sz w:val="20"/>
                <w:szCs w:val="20"/>
                <w14:textFill>
                  <w14:solidFill>
                    <w14:schemeClr w14:val="tx1"/>
                  </w14:solidFill>
                </w14:textFill>
              </w:rPr>
              <w:t>、</w:t>
            </w:r>
            <w:r>
              <w:rPr>
                <w:rFonts w:hint="eastAsia" w:asciiTheme="minorEastAsia" w:hAnsiTheme="minorEastAsia" w:eastAsiaTheme="minorEastAsia"/>
                <w:color w:val="000000" w:themeColor="text1"/>
                <w:sz w:val="20"/>
                <w:szCs w:val="20"/>
                <w:shd w:val="clear" w:color="auto" w:fill="FFFFFF"/>
                <w14:textFill>
                  <w14:solidFill>
                    <w14:schemeClr w14:val="tx1"/>
                  </w14:solidFill>
                </w14:textFill>
              </w:rPr>
              <w:t>医学辅助检查与应用</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基本生理指标及医学检测指标的正常值判读。</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医学辅助检查的影响因素及评估。</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睡眠障碍、跌倒风险、脊柱功能检测及评估。</w:t>
            </w:r>
          </w:p>
          <w:p>
            <w:pPr>
              <w:spacing w:line="340" w:lineRule="exact"/>
              <w:rPr>
                <w:rFonts w:asciiTheme="minorEastAsia" w:hAnsiTheme="minorEastAsia" w:eastAsiaTheme="minorEastAsia"/>
                <w:sz w:val="20"/>
                <w:szCs w:val="20"/>
              </w:rPr>
            </w:pPr>
          </w:p>
        </w:tc>
        <w:tc>
          <w:tcPr>
            <w:tcW w:w="1207" w:type="dxa"/>
          </w:tcPr>
          <w:p>
            <w:pPr>
              <w:spacing w:line="340" w:lineRule="exact"/>
              <w:ind w:right="-23" w:rightChars="-11"/>
              <w:jc w:val="lef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生理指标的评估测量</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4</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2</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6</w:t>
            </w:r>
          </w:p>
        </w:tc>
      </w:tr>
      <w:tr>
        <w:trPr>
          <w:trHeight w:val="1968" w:hRule="atLeast"/>
          <w:jc w:val="center"/>
        </w:trPr>
        <w:tc>
          <w:tcPr>
            <w:tcW w:w="488" w:type="dxa"/>
            <w:vAlign w:val="center"/>
          </w:tcPr>
          <w:p>
            <w:pPr>
              <w:pStyle w:val="5"/>
              <w:spacing w:before="0" w:beforeAutospacing="0" w:after="0" w:afterAutospacing="0" w:line="34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4</w:t>
            </w:r>
          </w:p>
        </w:tc>
        <w:tc>
          <w:tcPr>
            <w:tcW w:w="679" w:type="dxa"/>
            <w:vAlign w:val="center"/>
          </w:tcPr>
          <w:p>
            <w:pPr>
              <w:pStyle w:val="5"/>
              <w:spacing w:before="0" w:beforeAutospacing="0" w:after="0" w:afterAutospacing="0" w:line="34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健康监测与评估</w:t>
            </w:r>
          </w:p>
        </w:tc>
        <w:tc>
          <w:tcPr>
            <w:tcW w:w="2186" w:type="dxa"/>
          </w:tcPr>
          <w:p>
            <w:pPr>
              <w:spacing w:line="340" w:lineRule="exac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能量消耗检测与评估、营养状态检测与评估、运动功能监测与评估、生活能力和行为监测与评估</w:t>
            </w:r>
            <w:r>
              <w:rPr>
                <w:rFonts w:hint="eastAsia" w:asciiTheme="minorEastAsia" w:hAnsiTheme="minorEastAsia" w:eastAsiaTheme="minorEastAsia"/>
                <w:sz w:val="20"/>
                <w:szCs w:val="20"/>
              </w:rPr>
              <w:t>。</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能量消耗、营养、运动功能、生活能力与行为的监测与评估。</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健康监测与评估概念和意义。</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不健康行为的监测和评估。</w:t>
            </w:r>
          </w:p>
          <w:p>
            <w:pPr>
              <w:spacing w:line="340" w:lineRule="exact"/>
              <w:rPr>
                <w:rFonts w:asciiTheme="minorEastAsia" w:hAnsiTheme="minorEastAsia" w:eastAsiaTheme="minorEastAsia"/>
                <w:sz w:val="20"/>
                <w:szCs w:val="20"/>
              </w:rPr>
            </w:pPr>
          </w:p>
        </w:tc>
        <w:tc>
          <w:tcPr>
            <w:tcW w:w="1207" w:type="dxa"/>
          </w:tcPr>
          <w:p>
            <w:pPr>
              <w:spacing w:line="340" w:lineRule="exact"/>
              <w:ind w:right="-23" w:rightChars="-11"/>
              <w:jc w:val="left"/>
              <w:rPr>
                <w:rFonts w:asciiTheme="minorEastAsia" w:hAnsiTheme="minorEastAsia" w:eastAsiaTheme="minorEastAsia"/>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人体各功能的测评方法</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4</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2</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6</w:t>
            </w:r>
          </w:p>
        </w:tc>
      </w:tr>
      <w:tr>
        <w:trPr>
          <w:trHeight w:val="2837" w:hRule="atLeast"/>
          <w:jc w:val="center"/>
        </w:trPr>
        <w:tc>
          <w:tcPr>
            <w:tcW w:w="488" w:type="dxa"/>
            <w:vAlign w:val="center"/>
          </w:tcPr>
          <w:p>
            <w:pPr>
              <w:pStyle w:val="5"/>
              <w:spacing w:before="0" w:beforeAutospacing="0" w:after="0" w:afterAutospacing="0" w:line="34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5</w:t>
            </w:r>
          </w:p>
        </w:tc>
        <w:tc>
          <w:tcPr>
            <w:tcW w:w="679" w:type="dxa"/>
            <w:vAlign w:val="center"/>
          </w:tcPr>
          <w:p>
            <w:pPr>
              <w:pStyle w:val="5"/>
              <w:spacing w:before="0" w:beforeAutospacing="0" w:after="0" w:afterAutospacing="0" w:line="34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慢性病风险评估常见方法</w:t>
            </w:r>
          </w:p>
        </w:tc>
        <w:tc>
          <w:tcPr>
            <w:tcW w:w="2186" w:type="dxa"/>
          </w:tcPr>
          <w:p>
            <w:pPr>
              <w:pStyle w:val="5"/>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慢性病风险评估概述、统计学方法在慢性病风险评估中的应用、心血管风险评估方法、糖尿病风险评估方法、癌症风险评估模型、基因检测与疾病风险评估、其他常见疾病风险评估模型介绍</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慢性病风险评估的概念及在疾病预防中的作用。</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常见慢性病的患病风险评估方法、模型和评估流程。</w:t>
            </w:r>
            <w:r>
              <w:rPr>
                <w:rFonts w:hint="eastAsia" w:asciiTheme="minorEastAsia" w:hAnsiTheme="minorEastAsia" w:eastAsiaTheme="minorEastAsia"/>
                <w:color w:val="000000" w:themeColor="text1"/>
                <w:sz w:val="20"/>
                <w:szCs w:val="20"/>
                <w14:textFill>
                  <w14:solidFill>
                    <w14:schemeClr w14:val="tx1"/>
                  </w14:solidFill>
                </w14:textFill>
              </w:rPr>
              <w:tab/>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w:t>
            </w:r>
            <w:r>
              <w:rPr>
                <w:rFonts w:hint="eastAsia" w:asciiTheme="minorEastAsia" w:hAnsiTheme="minorEastAsia" w:eastAsiaTheme="minorEastAsia"/>
                <w:color w:val="000000" w:themeColor="text1"/>
                <w:sz w:val="20"/>
                <w:szCs w:val="20"/>
                <w14:textFill>
                  <w14:solidFill>
                    <w14:schemeClr w14:val="tx1"/>
                  </w14:solidFill>
                </w14:textFill>
              </w:rPr>
              <w:tab/>
            </w:r>
            <w:r>
              <w:rPr>
                <w:rFonts w:hint="eastAsia" w:asciiTheme="minorEastAsia" w:hAnsiTheme="minorEastAsia" w:eastAsiaTheme="minorEastAsia"/>
                <w:color w:val="000000" w:themeColor="text1"/>
                <w:sz w:val="20"/>
                <w:szCs w:val="20"/>
                <w14:textFill>
                  <w14:solidFill>
                    <w14:schemeClr w14:val="tx1"/>
                  </w14:solidFill>
                </w14:textFill>
              </w:rPr>
              <w:t>慢性病患病风险评估模型的原理和构建。</w:t>
            </w:r>
          </w:p>
          <w:p>
            <w:pPr>
              <w:pStyle w:val="5"/>
              <w:spacing w:line="340" w:lineRule="exact"/>
              <w:jc w:val="both"/>
              <w:rPr>
                <w:rFonts w:asciiTheme="minorEastAsia" w:hAnsiTheme="minorEastAsia" w:eastAsiaTheme="minorEastAsia"/>
                <w:color w:val="auto"/>
                <w:kern w:val="2"/>
                <w:sz w:val="20"/>
                <w:szCs w:val="20"/>
              </w:rPr>
            </w:pPr>
          </w:p>
        </w:tc>
        <w:tc>
          <w:tcPr>
            <w:tcW w:w="1207" w:type="dxa"/>
          </w:tcPr>
          <w:p>
            <w:pPr>
              <w:pStyle w:val="5"/>
              <w:spacing w:line="34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常见慢性病的患病风险评估方法、模型和评估流程。</w:t>
            </w:r>
          </w:p>
        </w:tc>
        <w:tc>
          <w:tcPr>
            <w:tcW w:w="437" w:type="dxa"/>
            <w:vAlign w:val="center"/>
          </w:tcPr>
          <w:p>
            <w:pPr>
              <w:pStyle w:val="5"/>
              <w:spacing w:before="0" w:beforeAutospacing="0" w:after="0" w:afterAutospacing="0" w:line="340" w:lineRule="exact"/>
              <w:jc w:val="center"/>
              <w:rPr>
                <w:rFonts w:asciiTheme="minorEastAsia" w:hAnsiTheme="minorEastAsia" w:eastAsiaTheme="minorEastAsia"/>
                <w:color w:val="auto"/>
                <w:kern w:val="2"/>
                <w:sz w:val="20"/>
                <w:szCs w:val="20"/>
              </w:rPr>
            </w:pPr>
            <w:r>
              <w:rPr>
                <w:rFonts w:hint="eastAsia" w:ascii="Times New Roman" w:hAnsi="Times New Roman"/>
                <w:bCs/>
              </w:rPr>
              <w:t>4</w:t>
            </w:r>
          </w:p>
        </w:tc>
        <w:tc>
          <w:tcPr>
            <w:tcW w:w="437" w:type="dxa"/>
            <w:vAlign w:val="center"/>
          </w:tcPr>
          <w:p>
            <w:pPr>
              <w:pStyle w:val="5"/>
              <w:spacing w:before="0" w:beforeAutospacing="0" w:after="0" w:afterAutospacing="0" w:line="340" w:lineRule="exact"/>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spacing w:line="340" w:lineRule="exact"/>
              <w:jc w:val="center"/>
              <w:rPr>
                <w:rFonts w:asciiTheme="minorEastAsia" w:hAnsiTheme="minorEastAsia" w:eastAsiaTheme="minorEastAsia"/>
                <w:sz w:val="20"/>
                <w:szCs w:val="20"/>
              </w:rPr>
            </w:pPr>
            <w:r>
              <w:rPr>
                <w:rFonts w:hint="eastAsia" w:ascii="Times New Roman" w:hAnsi="Times New Roman"/>
                <w:bCs/>
              </w:rPr>
              <w:t>6</w:t>
            </w:r>
          </w:p>
        </w:tc>
      </w:tr>
      <w:tr>
        <w:trPr>
          <w:trHeight w:val="595" w:hRule="atLeast"/>
          <w:jc w:val="center"/>
        </w:trPr>
        <w:tc>
          <w:tcPr>
            <w:tcW w:w="488" w:type="dxa"/>
            <w:vAlign w:val="center"/>
          </w:tcPr>
          <w:p>
            <w:pPr>
              <w:snapToGrid w:val="0"/>
              <w:spacing w:line="34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6</w:t>
            </w:r>
          </w:p>
        </w:tc>
        <w:tc>
          <w:tcPr>
            <w:tcW w:w="679" w:type="dxa"/>
            <w:vAlign w:val="center"/>
          </w:tcPr>
          <w:p>
            <w:pPr>
              <w:snapToGrid w:val="0"/>
              <w:spacing w:line="340" w:lineRule="exact"/>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常见慢性病干预技术</w:t>
            </w:r>
          </w:p>
        </w:tc>
        <w:tc>
          <w:tcPr>
            <w:tcW w:w="2186" w:type="dxa"/>
          </w:tcPr>
          <w:p>
            <w:pPr>
              <w:pStyle w:val="5"/>
              <w:spacing w:line="34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高血压健康干预技能、2型糖尿病健康干预技能、冠状动脉粥样硬化心脏病健康干预技能、脑卒中健康干预技能、慢性阻塞性肺疾病健康干预技能、恶性肿瘤健康干预技能、肥胖症的健康干预技能、常见运动系统疾病的健康干预技能</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 常见慢性病的危险因素;常见慢性病的筛查流程及规范;常见慢性病的健康干预与健康指导。</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 常见慢性病的临床表现及诊断标准;常见慢性病的筛查技术与方法、风险评估;常见恶性肿瘤早期筛查的目的与意义。</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 常见慢性病的流行病学现状;运动系统的组成，常见运动系统疾病的分类，常见运动系统疾病早期筛查的目的和意义。</w:t>
            </w:r>
          </w:p>
          <w:p>
            <w:pPr>
              <w:pStyle w:val="5"/>
              <w:spacing w:line="340" w:lineRule="exact"/>
              <w:jc w:val="both"/>
              <w:rPr>
                <w:rFonts w:asciiTheme="minorEastAsia" w:hAnsiTheme="minorEastAsia" w:eastAsiaTheme="minorEastAsia"/>
                <w:color w:val="auto"/>
                <w:kern w:val="2"/>
                <w:sz w:val="20"/>
                <w:szCs w:val="20"/>
              </w:rPr>
            </w:pPr>
          </w:p>
        </w:tc>
        <w:tc>
          <w:tcPr>
            <w:tcW w:w="1207" w:type="dxa"/>
          </w:tcPr>
          <w:p>
            <w:pPr>
              <w:pStyle w:val="5"/>
              <w:spacing w:line="34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慢病筛查的范围</w:t>
            </w:r>
          </w:p>
        </w:tc>
        <w:tc>
          <w:tcPr>
            <w:tcW w:w="437" w:type="dxa"/>
            <w:vAlign w:val="center"/>
          </w:tcPr>
          <w:p>
            <w:pPr>
              <w:pStyle w:val="5"/>
              <w:spacing w:before="0" w:beforeAutospacing="0" w:after="0" w:afterAutospacing="0" w:line="340" w:lineRule="exact"/>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line="340" w:lineRule="exact"/>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line="340" w:lineRule="exact"/>
              <w:jc w:val="center"/>
              <w:rPr>
                <w:rFonts w:asciiTheme="minorEastAsia" w:hAnsiTheme="minorEastAsia" w:eastAsiaTheme="minorEastAsia"/>
                <w:color w:val="auto"/>
                <w:kern w:val="2"/>
                <w:sz w:val="20"/>
                <w:szCs w:val="20"/>
              </w:rPr>
            </w:pPr>
            <w:r>
              <w:rPr>
                <w:rFonts w:hint="eastAsia" w:ascii="Times New Roman" w:hAnsi="Times New Roman"/>
                <w:bCs/>
              </w:rPr>
              <w:t>4</w:t>
            </w:r>
          </w:p>
        </w:tc>
      </w:tr>
      <w:tr>
        <w:trPr>
          <w:trHeight w:val="6227"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7</w:t>
            </w:r>
          </w:p>
        </w:tc>
        <w:tc>
          <w:tcPr>
            <w:tcW w:w="679" w:type="dxa"/>
            <w:vAlign w:val="center"/>
          </w:tcPr>
          <w:p>
            <w:pPr>
              <w:snapToGrid w:val="0"/>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健康管理常见干预技术</w:t>
            </w:r>
          </w:p>
        </w:tc>
        <w:tc>
          <w:tcPr>
            <w:tcW w:w="2186" w:type="dxa"/>
          </w:tcPr>
          <w:p>
            <w:pPr>
              <w:pStyle w:val="5"/>
              <w:spacing w:line="28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运动干预、营养干预。姿势评估与干预、心理干预、</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 减脂、降糖、降压运动和饮食干预方法;增肌运动、运动风险评估方法;常见不良站姿、坐姿、卧姿、走姿、跑姿的干预方法;心理干预的定义,非器质性睡眠障碍的种类。</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 常见干预方法的基本原理，站姿、坐姿、卧姿、走姿、跑姿的评估方法;抑郁和焦虑障碍的心理干预方法，睡眠健康教育的原则。</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 正常站姿、坐姿、卧姿、走姿、跑姿的概念及基本原理。</w:t>
            </w:r>
          </w:p>
          <w:p>
            <w:pPr>
              <w:pStyle w:val="5"/>
              <w:spacing w:line="280" w:lineRule="exact"/>
              <w:rPr>
                <w:rFonts w:asciiTheme="minorEastAsia" w:hAnsiTheme="minorEastAsia" w:eastAsiaTheme="minorEastAsia"/>
                <w:color w:val="auto"/>
                <w:kern w:val="2"/>
                <w:sz w:val="20"/>
                <w:szCs w:val="20"/>
              </w:rPr>
            </w:pPr>
          </w:p>
        </w:tc>
        <w:tc>
          <w:tcPr>
            <w:tcW w:w="1207" w:type="dxa"/>
          </w:tcPr>
          <w:p>
            <w:pPr>
              <w:pStyle w:val="5"/>
              <w:spacing w:line="28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不正当姿势的辨别</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4</w:t>
            </w:r>
          </w:p>
        </w:tc>
      </w:tr>
      <w:tr>
        <w:trPr>
          <w:trHeight w:val="4409"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8</w:t>
            </w:r>
          </w:p>
        </w:tc>
        <w:tc>
          <w:tcPr>
            <w:tcW w:w="679" w:type="dxa"/>
            <w:vAlign w:val="center"/>
          </w:tcPr>
          <w:p>
            <w:pPr>
              <w:snapToGrid w:val="0"/>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常见功能退化的检测与干预</w:t>
            </w:r>
          </w:p>
        </w:tc>
        <w:tc>
          <w:tcPr>
            <w:tcW w:w="2186" w:type="dxa"/>
          </w:tcPr>
          <w:p>
            <w:pPr>
              <w:pStyle w:val="5"/>
              <w:spacing w:line="28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跌倒风险评估与干预、轻度认知障碍评估与干预、视力障碍评估与干预、老年性耳聋评估与干预、新功能不全评估与干预、呼吸衰竭检测与干预、盆底功能障碍评估与干预、口腔保健技术、皮肤保健与医学美容、常见抗衰老技术</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 跌倒、轻度认知障碍、视力障碍、老年性耳聋、心功能不全、呼吸衰竭、盆底功能训练、口腔保健、皮肤保健、抗衰老等干预方法。</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 跌倒风险、认知障碍、视力障碍、听力障碍、心功能、肺功能、盆底功能、口腔健康的检测与评估，皮肤美容疗法,衰老的检测方法及老年性耳聋的常见障碍。</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 跌倒、轻度认知障碍、视力残疾、常见心功能不全、呼吸衰竭、盆底功能障碍、口腔保健、皮肤保健及衰老的概念。</w:t>
            </w:r>
          </w:p>
          <w:p>
            <w:pPr>
              <w:pStyle w:val="5"/>
              <w:spacing w:line="280" w:lineRule="exact"/>
              <w:jc w:val="both"/>
              <w:rPr>
                <w:rFonts w:asciiTheme="minorEastAsia" w:hAnsiTheme="minorEastAsia" w:eastAsiaTheme="minorEastAsia"/>
                <w:color w:val="auto"/>
                <w:kern w:val="2"/>
                <w:sz w:val="20"/>
                <w:szCs w:val="20"/>
              </w:rPr>
            </w:pPr>
          </w:p>
        </w:tc>
        <w:tc>
          <w:tcPr>
            <w:tcW w:w="1207" w:type="dxa"/>
          </w:tcPr>
          <w:p>
            <w:pPr>
              <w:pStyle w:val="5"/>
              <w:spacing w:line="28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老年人各项功能退化风险检测</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4</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6</w:t>
            </w:r>
          </w:p>
        </w:tc>
      </w:tr>
      <w:tr>
        <w:trPr>
          <w:trHeight w:val="1266"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9</w:t>
            </w:r>
          </w:p>
        </w:tc>
        <w:tc>
          <w:tcPr>
            <w:tcW w:w="679" w:type="dxa"/>
            <w:vAlign w:val="center"/>
          </w:tcPr>
          <w:p>
            <w:pPr>
              <w:snapToGrid w:val="0"/>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常用应急救护技术</w:t>
            </w:r>
          </w:p>
        </w:tc>
        <w:tc>
          <w:tcPr>
            <w:tcW w:w="2186" w:type="dxa"/>
          </w:tcPr>
          <w:p>
            <w:pPr>
              <w:pStyle w:val="5"/>
              <w:spacing w:line="28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应急救护基础生命复苏技术、应急急救医学基本知识、家庭救护、常见的意外救护</w:t>
            </w:r>
          </w:p>
        </w:tc>
        <w:tc>
          <w:tcPr>
            <w:tcW w:w="2039" w:type="dxa"/>
          </w:tcPr>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1.掌握 应急救护、复苏医学的概念;院外救护基础知识及基础生命复苏技术,止血,伤口包扎,搬运的方法。</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2.熟悉 常见病的家庭救护及意外的救护。</w:t>
            </w:r>
          </w:p>
          <w:p>
            <w:pPr>
              <w:pStyle w:val="13"/>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3.了解 家庭救护对于健康服务与管理人群的重要意义。</w:t>
            </w:r>
          </w:p>
          <w:p>
            <w:pPr>
              <w:pStyle w:val="5"/>
              <w:spacing w:line="280" w:lineRule="exact"/>
              <w:jc w:val="both"/>
              <w:rPr>
                <w:rFonts w:asciiTheme="minorEastAsia" w:hAnsiTheme="minorEastAsia" w:eastAsiaTheme="minorEastAsia"/>
                <w:color w:val="auto"/>
                <w:kern w:val="2"/>
                <w:sz w:val="20"/>
                <w:szCs w:val="20"/>
              </w:rPr>
            </w:pPr>
          </w:p>
        </w:tc>
        <w:tc>
          <w:tcPr>
            <w:tcW w:w="1207" w:type="dxa"/>
          </w:tcPr>
          <w:p>
            <w:pPr>
              <w:pStyle w:val="5"/>
              <w:spacing w:line="28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不同情况下救护的方式选择</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0</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r>
      <w:tr>
        <w:trPr>
          <w:trHeight w:val="3109"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10</w:t>
            </w:r>
          </w:p>
        </w:tc>
        <w:tc>
          <w:tcPr>
            <w:tcW w:w="679" w:type="dxa"/>
            <w:vAlign w:val="center"/>
          </w:tcPr>
          <w:p>
            <w:pPr>
              <w:snapToGrid w:val="0"/>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家庭健康服务与管理技能</w:t>
            </w:r>
          </w:p>
          <w:p>
            <w:pPr>
              <w:snapToGrid w:val="0"/>
              <w:spacing w:line="280" w:lineRule="exact"/>
              <w:rPr>
                <w:rFonts w:asciiTheme="minorEastAsia" w:hAnsiTheme="minorEastAsia" w:eastAsiaTheme="minorEastAsia"/>
                <w:sz w:val="20"/>
                <w:szCs w:val="20"/>
              </w:rPr>
            </w:pPr>
          </w:p>
        </w:tc>
        <w:tc>
          <w:tcPr>
            <w:tcW w:w="2186" w:type="dxa"/>
          </w:tcPr>
          <w:p>
            <w:pPr>
              <w:pStyle w:val="5"/>
              <w:spacing w:line="28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 xml:space="preserve">1.知道家庭健康服务的定义、流程及影响家庭健康的因素。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 xml:space="preserve">2.理解家庭健康服务管理内容，包括：膳食与体重、心理与睡眠、遗传与运动、环境卫生与安全。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3.了解</w:t>
            </w:r>
            <w:r>
              <w:rPr>
                <w:rFonts w:asciiTheme="minorEastAsia" w:hAnsiTheme="minorEastAsia" w:eastAsiaTheme="minorEastAsia"/>
                <w:color w:val="auto"/>
                <w:kern w:val="2"/>
                <w:sz w:val="20"/>
                <w:szCs w:val="20"/>
              </w:rPr>
              <w:t>家庭健康</w:t>
            </w:r>
            <w:r>
              <w:rPr>
                <w:rFonts w:hint="eastAsia" w:asciiTheme="minorEastAsia" w:hAnsiTheme="minorEastAsia" w:eastAsiaTheme="minorEastAsia"/>
                <w:color w:val="auto"/>
                <w:kern w:val="2"/>
                <w:sz w:val="20"/>
                <w:szCs w:val="20"/>
              </w:rPr>
              <w:t>服务评估内容与信息化发展。</w:t>
            </w:r>
          </w:p>
        </w:tc>
        <w:tc>
          <w:tcPr>
            <w:tcW w:w="2039" w:type="dxa"/>
          </w:tcPr>
          <w:p>
            <w:pPr>
              <w:pStyle w:val="5"/>
              <w:spacing w:line="28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 xml:space="preserve">1.能阐述家庭健康服务的定义、流程及影响家庭健康的因素。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2.能运用家庭健康服务管理技能。</w:t>
            </w:r>
          </w:p>
        </w:tc>
        <w:tc>
          <w:tcPr>
            <w:tcW w:w="1207" w:type="dxa"/>
          </w:tcPr>
          <w:p>
            <w:pPr>
              <w:pStyle w:val="5"/>
              <w:spacing w:line="28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000000" w:themeColor="text1"/>
                <w:sz w:val="20"/>
                <w:szCs w:val="20"/>
                <w14:textFill>
                  <w14:solidFill>
                    <w14:schemeClr w14:val="tx1"/>
                  </w14:solidFill>
                </w14:textFill>
              </w:rPr>
              <w:t>家庭健康管理服务的服务设计</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0</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r>
      <w:tr>
        <w:trPr>
          <w:trHeight w:val="3271" w:hRule="atLeast"/>
          <w:jc w:val="center"/>
        </w:trPr>
        <w:tc>
          <w:tcPr>
            <w:tcW w:w="488" w:type="dxa"/>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11</w:t>
            </w:r>
          </w:p>
        </w:tc>
        <w:tc>
          <w:tcPr>
            <w:tcW w:w="679" w:type="dxa"/>
            <w:vAlign w:val="center"/>
          </w:tcPr>
          <w:p>
            <w:pPr>
              <w:snapToGrid w:val="0"/>
              <w:spacing w:line="280" w:lineRule="exact"/>
              <w:rPr>
                <w:rFonts w:asciiTheme="minorEastAsia" w:hAnsiTheme="minorEastAsia" w:eastAsiaTheme="minorEastAsia"/>
                <w:sz w:val="20"/>
                <w:szCs w:val="20"/>
              </w:rPr>
            </w:pPr>
            <w:r>
              <w:rPr>
                <w:rFonts w:hint="eastAsia" w:asciiTheme="minorEastAsia" w:hAnsiTheme="minorEastAsia" w:eastAsiaTheme="minorEastAsia"/>
                <w:sz w:val="20"/>
                <w:szCs w:val="20"/>
              </w:rPr>
              <w:t>健康服务与管理其他技能</w:t>
            </w:r>
          </w:p>
        </w:tc>
        <w:tc>
          <w:tcPr>
            <w:tcW w:w="2186" w:type="dxa"/>
          </w:tcPr>
          <w:p>
            <w:pPr>
              <w:pStyle w:val="5"/>
              <w:tabs>
                <w:tab w:val="left" w:pos="312"/>
              </w:tabs>
              <w:spacing w:line="280" w:lineRule="exact"/>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 xml:space="preserve">1.知道健康服务与管理常用文案撰写；与特殊人群的沟通技巧。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 xml:space="preserve">2.理解健康教育常用文案撰写；科普创作常见体裁；基本宏观管理技能。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3.了解健康教育知识分享；科普演讲技巧；健康产品与服务内容；健康产业分布等。</w:t>
            </w:r>
          </w:p>
        </w:tc>
        <w:tc>
          <w:tcPr>
            <w:tcW w:w="2039" w:type="dxa"/>
          </w:tcPr>
          <w:p>
            <w:pPr>
              <w:pStyle w:val="5"/>
              <w:spacing w:line="280" w:lineRule="exact"/>
              <w:jc w:val="both"/>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 xml:space="preserve">1.能撰写健康服务与管理常用文案。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2.能与特殊人群进行良好的沟通。</w:t>
            </w:r>
          </w:p>
        </w:tc>
        <w:tc>
          <w:tcPr>
            <w:tcW w:w="1207" w:type="dxa"/>
          </w:tcPr>
          <w:p>
            <w:pPr>
              <w:pStyle w:val="5"/>
              <w:spacing w:line="280" w:lineRule="exact"/>
              <w:ind w:right="-23" w:rightChars="-11"/>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 xml:space="preserve">1.健康服务与管理常用文案撰写。 </w:t>
            </w:r>
            <w:r>
              <w:rPr>
                <w:rFonts w:asciiTheme="minorEastAsia" w:hAnsiTheme="minorEastAsia" w:eastAsiaTheme="minorEastAsia"/>
                <w:color w:val="auto"/>
                <w:kern w:val="2"/>
                <w:sz w:val="20"/>
                <w:szCs w:val="20"/>
              </w:rPr>
              <w:t xml:space="preserve"> </w:t>
            </w:r>
            <w:r>
              <w:rPr>
                <w:rFonts w:hint="eastAsia" w:asciiTheme="minorEastAsia" w:hAnsiTheme="minorEastAsia" w:eastAsiaTheme="minorEastAsia"/>
                <w:color w:val="auto"/>
                <w:kern w:val="2"/>
                <w:sz w:val="20"/>
                <w:szCs w:val="20"/>
              </w:rPr>
              <w:t>2.与特殊人群的沟通技巧。</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imes New Roman" w:hAnsi="Times New Roman"/>
                <w:bCs/>
              </w:rPr>
              <w:t>4</w:t>
            </w:r>
          </w:p>
        </w:tc>
      </w:tr>
      <w:tr>
        <w:trPr>
          <w:trHeight w:val="558" w:hRule="atLeast"/>
          <w:jc w:val="center"/>
        </w:trPr>
        <w:tc>
          <w:tcPr>
            <w:tcW w:w="6599" w:type="dxa"/>
            <w:gridSpan w:val="5"/>
            <w:vAlign w:val="center"/>
          </w:tcPr>
          <w:p>
            <w:pPr>
              <w:pStyle w:val="5"/>
              <w:jc w:val="center"/>
              <w:rPr>
                <w:rFonts w:asciiTheme="minorEastAsia" w:hAnsiTheme="minorEastAsia" w:eastAsiaTheme="minorEastAsia"/>
                <w:color w:val="auto"/>
                <w:kern w:val="2"/>
                <w:sz w:val="20"/>
                <w:szCs w:val="20"/>
              </w:rPr>
            </w:pPr>
            <w:r>
              <w:rPr>
                <w:rFonts w:hint="eastAsia" w:asciiTheme="minorEastAsia" w:hAnsiTheme="minorEastAsia" w:eastAsiaTheme="minorEastAsia"/>
                <w:color w:val="auto"/>
                <w:sz w:val="20"/>
                <w:szCs w:val="20"/>
              </w:rPr>
              <w:t>合计</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32</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16</w:t>
            </w:r>
          </w:p>
        </w:tc>
        <w:tc>
          <w:tcPr>
            <w:tcW w:w="437" w:type="dxa"/>
            <w:vAlign w:val="center"/>
          </w:tcPr>
          <w:p>
            <w:pPr>
              <w:pStyle w:val="5"/>
              <w:spacing w:before="0" w:beforeAutospacing="0" w:after="0" w:afterAutospacing="0"/>
              <w:jc w:val="center"/>
              <w:rPr>
                <w:rFonts w:asciiTheme="minorEastAsia" w:hAnsiTheme="minorEastAsia" w:eastAsiaTheme="minorEastAsia"/>
                <w:color w:val="auto"/>
                <w:kern w:val="2"/>
                <w:sz w:val="20"/>
                <w:szCs w:val="20"/>
              </w:rPr>
            </w:pPr>
            <w:r>
              <w:rPr>
                <w:rFonts w:hint="eastAsia" w:asciiTheme="minorEastAsia" w:hAnsiTheme="minorEastAsia" w:eastAsiaTheme="minorEastAsia"/>
                <w:color w:val="auto"/>
                <w:kern w:val="2"/>
                <w:sz w:val="20"/>
                <w:szCs w:val="20"/>
              </w:rPr>
              <w:t>48</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623"/>
        <w:gridCol w:w="3239"/>
        <w:gridCol w:w="902"/>
        <w:gridCol w:w="1055"/>
        <w:gridCol w:w="1145"/>
      </w:tblGrid>
      <w:tr>
        <w:trPr>
          <w:trHeight w:val="34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rPr>
          <w:trHeight w:val="887"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sz w:val="24"/>
                <w:szCs w:val="24"/>
              </w:rPr>
            </w:pPr>
            <w:r>
              <w:rPr>
                <w:rFonts w:hint="eastAsia"/>
              </w:rPr>
              <w:t>健康相关问卷和量表的编制及评价</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rPr>
            </w:pPr>
            <w:r>
              <w:rPr>
                <w:rFonts w:hint="eastAsia" w:ascii="Times New Roman" w:hAnsi="Times New Roman"/>
                <w:color w:val="000000"/>
              </w:rPr>
              <w:t>1、掌握问卷和量表的基本概念、编制原则和评价标准，了解常见健康相关问卷和量表的应用范围和局限性。</w:t>
            </w:r>
          </w:p>
          <w:p>
            <w:pPr>
              <w:jc w:val="left"/>
              <w:rPr>
                <w:rFonts w:ascii="仿宋" w:hAnsi="仿宋" w:eastAsia="仿宋"/>
                <w:sz w:val="24"/>
                <w:szCs w:val="24"/>
              </w:rPr>
            </w:pPr>
            <w:r>
              <w:rPr>
                <w:rFonts w:hint="eastAsia" w:ascii="Times New Roman" w:hAnsi="Times New Roman"/>
                <w:color w:val="000000"/>
              </w:rPr>
              <w:t>2、学会设计和编制针对特定健康问题的问卷和量表，能够根据研究目的和对象选择合适的问卷和量表。</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1001"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 w:val="24"/>
                <w:szCs w:val="24"/>
              </w:rPr>
            </w:pPr>
            <w:r>
              <w:rPr>
                <w:rFonts w:hint="eastAsia"/>
              </w:rPr>
              <w:t>临床检查检测及意义</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olor w:val="000000"/>
              </w:rPr>
            </w:pPr>
            <w:r>
              <w:rPr>
                <w:rFonts w:hint="eastAsia" w:ascii="Times New Roman" w:hAnsi="Times New Roman"/>
                <w:color w:val="000000"/>
              </w:rPr>
              <w:t>1、掌握临床检查的基本理论、技术方法和临床意义，了解常见指标的生理和病理变化。</w:t>
            </w:r>
          </w:p>
          <w:p>
            <w:pPr>
              <w:pStyle w:val="5"/>
              <w:rPr>
                <w:rFonts w:ascii="仿宋" w:hAnsi="仿宋" w:eastAsia="仿宋"/>
                <w:color w:val="auto"/>
              </w:rPr>
            </w:pPr>
            <w:r>
              <w:rPr>
                <w:rFonts w:ascii="Times New Roman" w:hAnsi="Times New Roman"/>
              </w:rPr>
              <w:t>2</w:t>
            </w:r>
            <w:r>
              <w:rPr>
                <w:rFonts w:hint="eastAsia" w:ascii="Times New Roman" w:hAnsi="Times New Roman"/>
              </w:rPr>
              <w:t>、学会正确解读临床检查结果，能够根据检查结果对患者的病情进行初步评估。</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884"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3</w:t>
            </w:r>
          </w:p>
        </w:tc>
        <w:tc>
          <w:tcPr>
            <w:tcW w:w="1623" w:type="dxa"/>
            <w:vAlign w:val="center"/>
          </w:tcPr>
          <w:p>
            <w:pPr>
              <w:snapToGrid w:val="0"/>
              <w:spacing w:before="156" w:beforeLines="50" w:after="156" w:afterLines="50" w:line="288" w:lineRule="auto"/>
              <w:jc w:val="left"/>
              <w:rPr>
                <w:rFonts w:ascii="仿宋" w:hAnsi="仿宋" w:eastAsia="仿宋"/>
                <w:sz w:val="24"/>
                <w:szCs w:val="24"/>
              </w:rPr>
            </w:pPr>
            <w:r>
              <w:rPr>
                <w:rFonts w:hint="eastAsia"/>
              </w:rPr>
              <w:t>健康监测与评估</w:t>
            </w:r>
          </w:p>
        </w:tc>
        <w:tc>
          <w:tcPr>
            <w:tcW w:w="3239" w:type="dxa"/>
            <w:vAlign w:val="center"/>
          </w:tcPr>
          <w:p>
            <w:pPr>
              <w:pStyle w:val="13"/>
              <w:jc w:val="both"/>
            </w:pPr>
            <w:r>
              <w:rPr>
                <w:rFonts w:hint="eastAsia"/>
              </w:rPr>
              <w:t>1、掌握健康监测和评估的基本概念、原理和方法，了解健康监测和评估在公共卫生和临床实践中的应用。</w:t>
            </w:r>
          </w:p>
          <w:p>
            <w:pPr>
              <w:jc w:val="left"/>
              <w:rPr>
                <w:rFonts w:ascii="仿宋" w:hAnsi="仿宋" w:eastAsia="仿宋"/>
                <w:sz w:val="24"/>
                <w:szCs w:val="24"/>
              </w:rPr>
            </w:pPr>
            <w:r>
              <w:rPr>
                <w:rFonts w:hint="eastAsia"/>
              </w:rPr>
              <w:t>2、学会收集、整理和分析健康相关数据，能够根据数据评估个体的健康状况和风险，识别潜在的健康问题。</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935"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4</w:t>
            </w:r>
          </w:p>
        </w:tc>
        <w:tc>
          <w:tcPr>
            <w:tcW w:w="1623" w:type="dxa"/>
            <w:vAlign w:val="center"/>
          </w:tcPr>
          <w:p>
            <w:pPr>
              <w:jc w:val="left"/>
              <w:rPr>
                <w:rFonts w:ascii="仿宋" w:hAnsi="仿宋" w:eastAsia="仿宋"/>
                <w:sz w:val="24"/>
                <w:szCs w:val="24"/>
              </w:rPr>
            </w:pPr>
            <w:r>
              <w:rPr>
                <w:rFonts w:hint="eastAsia"/>
              </w:rPr>
              <w:t>慢性病评估常见方法</w:t>
            </w:r>
          </w:p>
        </w:tc>
        <w:tc>
          <w:tcPr>
            <w:tcW w:w="3239" w:type="dxa"/>
            <w:vAlign w:val="center"/>
          </w:tcPr>
          <w:p>
            <w:pPr>
              <w:pStyle w:val="13"/>
              <w:jc w:val="both"/>
            </w:pPr>
            <w:r>
              <w:rPr>
                <w:rFonts w:hint="eastAsia"/>
              </w:rPr>
              <w:t>1、让学生熟悉慢性病的筛查与风险评估方式</w:t>
            </w:r>
          </w:p>
          <w:p>
            <w:pPr>
              <w:pStyle w:val="13"/>
              <w:jc w:val="both"/>
            </w:pPr>
            <w:r>
              <w:rPr>
                <w:rFonts w:hint="eastAsia"/>
              </w:rPr>
              <w:t>2、培养学生独立思考和团队合作的能力，提高学生的临床思维能力。</w:t>
            </w:r>
          </w:p>
          <w:p>
            <w:pPr>
              <w:numPr>
                <w:ilvl w:val="0"/>
                <w:numId w:val="1"/>
              </w:numPr>
              <w:jc w:val="left"/>
              <w:rPr>
                <w:rFonts w:ascii="仿宋" w:hAnsi="仿宋" w:eastAsia="仿宋"/>
                <w:sz w:val="24"/>
                <w:szCs w:val="24"/>
              </w:rPr>
            </w:pPr>
            <w:r>
              <w:rPr>
                <w:rFonts w:hint="eastAsia"/>
              </w:rPr>
              <w:t>3、通过案例分析和实践操作，让学生掌握慢性病评估的实用技能，提高解决实际问题的能力。</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988"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5</w:t>
            </w:r>
          </w:p>
        </w:tc>
        <w:tc>
          <w:tcPr>
            <w:tcW w:w="1623" w:type="dxa"/>
            <w:vAlign w:val="center"/>
          </w:tcPr>
          <w:p>
            <w:pPr>
              <w:jc w:val="left"/>
              <w:rPr>
                <w:rFonts w:ascii="仿宋" w:hAnsi="仿宋" w:eastAsia="仿宋"/>
                <w:sz w:val="24"/>
                <w:szCs w:val="24"/>
              </w:rPr>
            </w:pPr>
            <w:r>
              <w:rPr>
                <w:rFonts w:hint="eastAsia"/>
              </w:rPr>
              <w:t>常见慢性病健康干预技能</w:t>
            </w:r>
          </w:p>
        </w:tc>
        <w:tc>
          <w:tcPr>
            <w:tcW w:w="3239" w:type="dxa"/>
            <w:vAlign w:val="center"/>
          </w:tcPr>
          <w:p>
            <w:pPr>
              <w:jc w:val="left"/>
              <w:rPr>
                <w:rFonts w:ascii="仿宋" w:hAnsi="仿宋" w:eastAsia="仿宋"/>
                <w:sz w:val="24"/>
                <w:szCs w:val="24"/>
              </w:rPr>
            </w:pPr>
            <w:r>
              <w:rPr>
                <w:rFonts w:hint="eastAsia"/>
              </w:rPr>
              <w:t>熟知常见慢性疾病的概念、风险、预防方法等。能够对不同慢性病进行指导、健康监测、康复训练、心理支持、档案管理等工作。</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73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6</w:t>
            </w:r>
          </w:p>
        </w:tc>
        <w:tc>
          <w:tcPr>
            <w:tcW w:w="1623" w:type="dxa"/>
            <w:vAlign w:val="center"/>
          </w:tcPr>
          <w:p>
            <w:pPr>
              <w:jc w:val="left"/>
              <w:rPr>
                <w:rFonts w:ascii="仿宋" w:hAnsi="仿宋" w:eastAsia="仿宋"/>
                <w:sz w:val="24"/>
                <w:szCs w:val="24"/>
              </w:rPr>
            </w:pPr>
            <w:r>
              <w:rPr>
                <w:rFonts w:hint="eastAsia"/>
              </w:rPr>
              <w:t>健康管理常见干预技术</w:t>
            </w:r>
          </w:p>
        </w:tc>
        <w:tc>
          <w:tcPr>
            <w:tcW w:w="3239" w:type="dxa"/>
            <w:vAlign w:val="center"/>
          </w:tcPr>
          <w:p>
            <w:pPr>
              <w:pStyle w:val="13"/>
              <w:jc w:val="both"/>
            </w:pPr>
            <w:r>
              <w:rPr>
                <w:rFonts w:hint="eastAsia"/>
              </w:rPr>
              <w:t>1、掌握科学的运动方式，了解运动对健康的益处，提高自我运动管理的能力。</w:t>
            </w:r>
          </w:p>
          <w:p>
            <w:pPr>
              <w:pStyle w:val="13"/>
              <w:jc w:val="both"/>
            </w:pPr>
            <w:r>
              <w:t>2</w:t>
            </w:r>
            <w:r>
              <w:rPr>
                <w:rFonts w:hint="eastAsia"/>
              </w:rPr>
              <w:t>、学习合理的营养搭配，了解各类营养素的生理作用，培养健康的饮食习惯。</w:t>
            </w:r>
          </w:p>
          <w:p>
            <w:pPr>
              <w:pStyle w:val="13"/>
              <w:jc w:val="both"/>
            </w:pPr>
            <w:r>
              <w:rPr>
                <w:rFonts w:hint="eastAsia"/>
              </w:rPr>
              <w:t>3、掌握正确的姿势，预防因不良姿势导致的身体问题，提高生活质量。</w:t>
            </w:r>
          </w:p>
          <w:p>
            <w:pPr>
              <w:jc w:val="left"/>
              <w:rPr>
                <w:rFonts w:ascii="仿宋" w:hAnsi="仿宋" w:eastAsia="仿宋"/>
                <w:sz w:val="24"/>
                <w:szCs w:val="24"/>
              </w:rPr>
            </w:pPr>
            <w:r>
              <w:t>4</w:t>
            </w:r>
            <w:r>
              <w:rPr>
                <w:rFonts w:hint="eastAsia"/>
              </w:rPr>
              <w:t>、了解心理因素对健康的影响，学习应对压力和不良情绪的方法，提升心理健康水平。</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821"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7</w:t>
            </w:r>
          </w:p>
        </w:tc>
        <w:tc>
          <w:tcPr>
            <w:tcW w:w="1623" w:type="dxa"/>
            <w:vAlign w:val="center"/>
          </w:tcPr>
          <w:p>
            <w:pPr>
              <w:snapToGrid w:val="0"/>
              <w:spacing w:before="156" w:beforeLines="50" w:after="156" w:afterLines="50" w:line="288" w:lineRule="auto"/>
              <w:jc w:val="left"/>
              <w:rPr>
                <w:rFonts w:ascii="仿宋" w:hAnsi="仿宋" w:eastAsia="仿宋"/>
                <w:sz w:val="24"/>
                <w:szCs w:val="24"/>
              </w:rPr>
            </w:pPr>
            <w:r>
              <w:rPr>
                <w:rFonts w:hint="eastAsia"/>
              </w:rPr>
              <w:t>常见功能退化的检测与干预</w:t>
            </w:r>
          </w:p>
        </w:tc>
        <w:tc>
          <w:tcPr>
            <w:tcW w:w="3239" w:type="dxa"/>
            <w:vAlign w:val="center"/>
          </w:tcPr>
          <w:p>
            <w:pPr>
              <w:pStyle w:val="13"/>
              <w:jc w:val="both"/>
            </w:pPr>
            <w:r>
              <w:rPr>
                <w:rFonts w:hint="eastAsia"/>
              </w:rPr>
              <w:t>1、了解功能退化的定义和原因，为干预做准备。</w:t>
            </w:r>
          </w:p>
          <w:p>
            <w:pPr>
              <w:pStyle w:val="13"/>
              <w:jc w:val="both"/>
            </w:pPr>
            <w:r>
              <w:t>2</w:t>
            </w:r>
            <w:r>
              <w:rPr>
                <w:rFonts w:hint="eastAsia"/>
              </w:rPr>
              <w:t>、学习如何进行功能退化的检测，包括各种专业测试和评估方法。</w:t>
            </w:r>
          </w:p>
          <w:p>
            <w:pPr>
              <w:jc w:val="left"/>
              <w:rPr>
                <w:rFonts w:ascii="仿宋" w:hAnsi="仿宋" w:eastAsia="仿宋"/>
                <w:sz w:val="24"/>
                <w:szCs w:val="24"/>
              </w:rPr>
            </w:pPr>
            <w:r>
              <w:t>3</w:t>
            </w:r>
            <w:r>
              <w:rPr>
                <w:rFonts w:hint="eastAsia"/>
              </w:rPr>
              <w:t>、掌握针对不同功能退化问题的干预措施，包括药物治疗、物理治疗、康复训练等。</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879"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8</w:t>
            </w:r>
          </w:p>
        </w:tc>
        <w:tc>
          <w:tcPr>
            <w:tcW w:w="1623" w:type="dxa"/>
            <w:vAlign w:val="center"/>
          </w:tcPr>
          <w:p>
            <w:pPr>
              <w:snapToGrid w:val="0"/>
              <w:spacing w:before="156" w:beforeLines="50" w:after="156" w:afterLines="50" w:line="288" w:lineRule="auto"/>
              <w:jc w:val="left"/>
              <w:rPr>
                <w:rFonts w:ascii="仿宋" w:hAnsi="仿宋" w:eastAsia="仿宋"/>
                <w:sz w:val="24"/>
                <w:szCs w:val="24"/>
              </w:rPr>
            </w:pPr>
            <w:r>
              <w:rPr>
                <w:rFonts w:hint="eastAsia"/>
              </w:rPr>
              <w:t>健康服务与管理相关技能</w:t>
            </w:r>
          </w:p>
        </w:tc>
        <w:tc>
          <w:tcPr>
            <w:tcW w:w="3239" w:type="dxa"/>
            <w:vAlign w:val="center"/>
          </w:tcPr>
          <w:p>
            <w:pPr>
              <w:jc w:val="left"/>
              <w:rPr>
                <w:rFonts w:ascii="仿宋" w:hAnsi="仿宋" w:eastAsia="仿宋"/>
                <w:sz w:val="24"/>
                <w:szCs w:val="24"/>
              </w:rPr>
            </w:pPr>
            <w:r>
              <w:rPr>
                <w:rFonts w:hint="eastAsia"/>
              </w:rPr>
              <w:t>可以通过各种方法针对特殊人群的特殊需求，提供健康指导和建议，帮助他们预防和控制疾病。</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t>2</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r>
        <w:trPr>
          <w:trHeight w:val="581" w:hRule="exact"/>
          <w:jc w:val="center"/>
        </w:trPr>
        <w:tc>
          <w:tcPr>
            <w:tcW w:w="5403" w:type="dxa"/>
            <w:gridSpan w:val="3"/>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sz w:val="24"/>
                <w:szCs w:val="24"/>
              </w:rPr>
            </w:pPr>
            <w:r>
              <w:rPr>
                <w:rFonts w:hint="eastAsia" w:ascii="仿宋" w:hAnsi="仿宋" w:eastAsia="仿宋"/>
                <w:sz w:val="24"/>
                <w:szCs w:val="24"/>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16</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仿宋" w:hAnsi="仿宋" w:eastAsia="仿宋"/>
                <w:sz w:val="24"/>
                <w:szCs w:val="24"/>
              </w:rPr>
            </w:pPr>
          </w:p>
        </w:tc>
      </w:tr>
    </w:tbl>
    <w:p>
      <w:pPr>
        <w:snapToGrid w:val="0"/>
        <w:spacing w:before="156" w:beforeLines="50" w:after="156" w:afterLines="50" w:line="288" w:lineRule="auto"/>
        <w:ind w:firstLine="360" w:firstLineChars="150"/>
        <w:jc w:val="left"/>
        <w:rPr>
          <w:rFonts w:ascii="黑体" w:hAnsi="宋体" w:eastAsia="黑体"/>
          <w:sz w:val="24"/>
        </w:rPr>
      </w:pPr>
    </w:p>
    <w:p>
      <w:pPr>
        <w:snapToGrid w:val="0"/>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5109"/>
        <w:gridCol w:w="1839"/>
      </w:tblGrid>
      <w:tr>
        <w:trPr>
          <w:trHeight w:val="619" w:hRule="atLeast"/>
          <w:jc w:val="center"/>
        </w:trPr>
        <w:tc>
          <w:tcPr>
            <w:tcW w:w="1806" w:type="dxa"/>
            <w:vAlign w:val="center"/>
          </w:tcPr>
          <w:p>
            <w:pPr>
              <w:snapToGrid w:val="0"/>
              <w:spacing w:before="156" w:beforeLines="50" w:after="156" w:afterLines="50"/>
              <w:jc w:val="center"/>
              <w:rPr>
                <w:rFonts w:ascii="仿宋" w:hAnsi="仿宋" w:eastAsia="仿宋"/>
                <w:b/>
                <w:bCs/>
              </w:rPr>
            </w:pPr>
            <w:r>
              <w:rPr>
                <w:rFonts w:hint="eastAsia" w:ascii="仿宋" w:hAnsi="仿宋" w:eastAsia="仿宋"/>
                <w:b/>
                <w:bCs/>
              </w:rPr>
              <w:t>总评构成（</w:t>
            </w:r>
            <w:r>
              <w:rPr>
                <w:rFonts w:ascii="仿宋" w:hAnsi="仿宋" w:eastAsia="仿宋"/>
                <w:b/>
                <w:bCs/>
              </w:rPr>
              <w:t>1+X</w:t>
            </w:r>
            <w:r>
              <w:rPr>
                <w:rFonts w:hint="eastAsia" w:ascii="仿宋" w:hAnsi="仿宋" w:eastAsia="仿宋"/>
                <w:b/>
                <w:bCs/>
              </w:rPr>
              <w:t>）</w:t>
            </w:r>
          </w:p>
        </w:tc>
        <w:tc>
          <w:tcPr>
            <w:tcW w:w="5109" w:type="dxa"/>
            <w:vAlign w:val="center"/>
          </w:tcPr>
          <w:p>
            <w:pPr>
              <w:snapToGrid w:val="0"/>
              <w:spacing w:before="156" w:beforeLines="50" w:after="156" w:afterLines="50"/>
              <w:jc w:val="center"/>
              <w:rPr>
                <w:rFonts w:ascii="仿宋" w:hAnsi="仿宋" w:eastAsia="仿宋"/>
                <w:b/>
                <w:bCs/>
              </w:rPr>
            </w:pPr>
            <w:r>
              <w:rPr>
                <w:rFonts w:hint="eastAsia" w:ascii="仿宋" w:hAnsi="仿宋" w:eastAsia="仿宋"/>
                <w:b/>
                <w:bCs/>
              </w:rPr>
              <w:t>评价方式</w:t>
            </w:r>
          </w:p>
        </w:tc>
        <w:tc>
          <w:tcPr>
            <w:tcW w:w="1839" w:type="dxa"/>
            <w:vAlign w:val="center"/>
          </w:tcPr>
          <w:p>
            <w:pPr>
              <w:snapToGrid w:val="0"/>
              <w:spacing w:before="156" w:beforeLines="50" w:after="156" w:afterLines="50"/>
              <w:jc w:val="center"/>
              <w:rPr>
                <w:rFonts w:ascii="仿宋" w:hAnsi="仿宋" w:eastAsia="仿宋"/>
                <w:b/>
                <w:bCs/>
              </w:rPr>
            </w:pPr>
            <w:r>
              <w:rPr>
                <w:rFonts w:hint="eastAsia" w:ascii="仿宋" w:hAnsi="仿宋" w:eastAsia="仿宋"/>
                <w:b/>
                <w:bCs/>
              </w:rPr>
              <w:t>占比</w:t>
            </w:r>
          </w:p>
        </w:tc>
      </w:tr>
      <w:tr>
        <w:trPr>
          <w:trHeight w:val="634" w:hRule="atLeast"/>
          <w:jc w:val="center"/>
        </w:trPr>
        <w:tc>
          <w:tcPr>
            <w:tcW w:w="1806" w:type="dxa"/>
            <w:vAlign w:val="center"/>
          </w:tcPr>
          <w:p>
            <w:pPr>
              <w:widowControl/>
              <w:spacing w:line="360" w:lineRule="auto"/>
              <w:jc w:val="center"/>
              <w:rPr>
                <w:rFonts w:ascii="仿宋" w:hAnsi="仿宋" w:eastAsia="仿宋"/>
                <w:bCs/>
              </w:rPr>
            </w:pPr>
            <w:r>
              <w:rPr>
                <w:rFonts w:hint="eastAsia" w:ascii="仿宋" w:hAnsi="仿宋" w:eastAsia="仿宋" w:cs="Arial"/>
                <w:kern w:val="0"/>
              </w:rPr>
              <w:t>1</w:t>
            </w:r>
          </w:p>
        </w:tc>
        <w:tc>
          <w:tcPr>
            <w:tcW w:w="5109" w:type="dxa"/>
            <w:vAlign w:val="center"/>
          </w:tcPr>
          <w:p>
            <w:pPr>
              <w:widowControl/>
              <w:spacing w:line="360" w:lineRule="auto"/>
              <w:jc w:val="center"/>
              <w:rPr>
                <w:rFonts w:ascii="仿宋" w:hAnsi="仿宋" w:eastAsia="仿宋"/>
                <w:bCs/>
              </w:rPr>
            </w:pPr>
            <w:r>
              <w:rPr>
                <w:rFonts w:hint="eastAsia"/>
              </w:rPr>
              <w:t>笔试</w:t>
            </w:r>
          </w:p>
        </w:tc>
        <w:tc>
          <w:tcPr>
            <w:tcW w:w="1839" w:type="dxa"/>
            <w:vAlign w:val="center"/>
          </w:tcPr>
          <w:p>
            <w:pPr>
              <w:widowControl/>
              <w:spacing w:line="360" w:lineRule="auto"/>
              <w:jc w:val="center"/>
              <w:rPr>
                <w:rFonts w:ascii="仿宋" w:hAnsi="仿宋" w:eastAsia="仿宋"/>
                <w:bCs/>
              </w:rPr>
            </w:pPr>
            <w:r>
              <w:rPr>
                <w:rFonts w:ascii="仿宋" w:hAnsi="仿宋" w:eastAsia="仿宋" w:cs="Arial"/>
                <w:kern w:val="0"/>
              </w:rPr>
              <w:t>5</w:t>
            </w:r>
            <w:r>
              <w:rPr>
                <w:rFonts w:hint="eastAsia" w:ascii="仿宋" w:hAnsi="仿宋" w:eastAsia="仿宋" w:cs="Arial"/>
                <w:kern w:val="0"/>
              </w:rPr>
              <w:t>0%</w:t>
            </w:r>
          </w:p>
        </w:tc>
      </w:tr>
      <w:tr>
        <w:trPr>
          <w:trHeight w:val="634" w:hRule="atLeast"/>
          <w:jc w:val="center"/>
        </w:trPr>
        <w:tc>
          <w:tcPr>
            <w:tcW w:w="1806" w:type="dxa"/>
            <w:vAlign w:val="center"/>
          </w:tcPr>
          <w:p>
            <w:pPr>
              <w:widowControl/>
              <w:spacing w:line="360" w:lineRule="auto"/>
              <w:jc w:val="center"/>
              <w:rPr>
                <w:rFonts w:ascii="仿宋" w:hAnsi="仿宋" w:eastAsia="仿宋"/>
                <w:bCs/>
              </w:rPr>
            </w:pPr>
            <w:r>
              <w:rPr>
                <w:rFonts w:hint="eastAsia" w:ascii="仿宋" w:hAnsi="仿宋" w:eastAsia="仿宋" w:cs="Arial"/>
                <w:kern w:val="0"/>
              </w:rPr>
              <w:t>X1</w:t>
            </w:r>
          </w:p>
        </w:tc>
        <w:tc>
          <w:tcPr>
            <w:tcW w:w="5109" w:type="dxa"/>
            <w:vAlign w:val="center"/>
          </w:tcPr>
          <w:p>
            <w:pPr>
              <w:widowControl/>
              <w:spacing w:line="360" w:lineRule="auto"/>
              <w:jc w:val="center"/>
              <w:rPr>
                <w:rFonts w:ascii="仿宋" w:hAnsi="仿宋" w:eastAsia="仿宋"/>
                <w:bCs/>
              </w:rPr>
            </w:pPr>
            <w:r>
              <w:rPr>
                <w:rFonts w:hint="eastAsia"/>
              </w:rPr>
              <w:t>课堂作业</w:t>
            </w:r>
          </w:p>
        </w:tc>
        <w:tc>
          <w:tcPr>
            <w:tcW w:w="1839" w:type="dxa"/>
            <w:vAlign w:val="center"/>
          </w:tcPr>
          <w:p>
            <w:pPr>
              <w:widowControl/>
              <w:spacing w:line="360" w:lineRule="auto"/>
              <w:jc w:val="center"/>
              <w:rPr>
                <w:rFonts w:ascii="仿宋" w:hAnsi="仿宋" w:eastAsia="仿宋"/>
                <w:bCs/>
              </w:rPr>
            </w:pPr>
            <w:r>
              <w:rPr>
                <w:rFonts w:hint="default" w:ascii="仿宋" w:hAnsi="仿宋" w:eastAsia="仿宋" w:cs="Arial"/>
                <w:kern w:val="0"/>
              </w:rPr>
              <w:t>3</w:t>
            </w:r>
            <w:r>
              <w:rPr>
                <w:rFonts w:hint="eastAsia" w:ascii="仿宋" w:hAnsi="仿宋" w:eastAsia="仿宋" w:cs="Arial"/>
                <w:kern w:val="0"/>
              </w:rPr>
              <w:t>0%</w:t>
            </w:r>
          </w:p>
        </w:tc>
      </w:tr>
      <w:tr>
        <w:trPr>
          <w:trHeight w:val="634" w:hRule="atLeast"/>
          <w:jc w:val="center"/>
        </w:trPr>
        <w:tc>
          <w:tcPr>
            <w:tcW w:w="1806" w:type="dxa"/>
            <w:vAlign w:val="center"/>
          </w:tcPr>
          <w:p>
            <w:pPr>
              <w:widowControl/>
              <w:spacing w:line="360" w:lineRule="auto"/>
              <w:jc w:val="center"/>
              <w:rPr>
                <w:rFonts w:ascii="仿宋" w:hAnsi="仿宋" w:eastAsia="仿宋" w:cs="Arial"/>
                <w:kern w:val="0"/>
              </w:rPr>
            </w:pPr>
            <w:r>
              <w:rPr>
                <w:rFonts w:hint="eastAsia" w:ascii="仿宋" w:hAnsi="仿宋" w:eastAsia="仿宋" w:cs="Arial"/>
                <w:kern w:val="0"/>
              </w:rPr>
              <w:t>X2</w:t>
            </w:r>
          </w:p>
        </w:tc>
        <w:tc>
          <w:tcPr>
            <w:tcW w:w="5109" w:type="dxa"/>
            <w:vAlign w:val="center"/>
          </w:tcPr>
          <w:p>
            <w:pPr>
              <w:snapToGrid w:val="0"/>
              <w:spacing w:line="288" w:lineRule="auto"/>
              <w:jc w:val="center"/>
              <w:rPr>
                <w:rFonts w:ascii="仿宋" w:hAnsi="仿宋" w:eastAsia="仿宋"/>
              </w:rPr>
            </w:pPr>
            <w:r>
              <w:rPr>
                <w:rFonts w:hint="eastAsia"/>
              </w:rPr>
              <w:t>平时成绩</w:t>
            </w:r>
          </w:p>
        </w:tc>
        <w:tc>
          <w:tcPr>
            <w:tcW w:w="1839" w:type="dxa"/>
            <w:vAlign w:val="center"/>
          </w:tcPr>
          <w:p>
            <w:pPr>
              <w:widowControl/>
              <w:spacing w:line="360" w:lineRule="auto"/>
              <w:jc w:val="center"/>
              <w:rPr>
                <w:rFonts w:ascii="仿宋" w:hAnsi="仿宋" w:eastAsia="仿宋"/>
              </w:rPr>
            </w:pPr>
            <w:r>
              <w:rPr>
                <w:rFonts w:hint="eastAsia" w:ascii="仿宋" w:hAnsi="仿宋" w:eastAsia="仿宋" w:cs="Arial"/>
                <w:kern w:val="0"/>
              </w:rPr>
              <w:t>1</w:t>
            </w:r>
            <w:r>
              <w:rPr>
                <w:rFonts w:ascii="仿宋" w:hAnsi="仿宋" w:eastAsia="仿宋" w:cs="Arial"/>
                <w:kern w:val="0"/>
              </w:rPr>
              <w:t>0</w:t>
            </w:r>
            <w:r>
              <w:rPr>
                <w:rFonts w:hint="eastAsia" w:ascii="仿宋" w:hAnsi="仿宋" w:eastAsia="仿宋" w:cs="Arial"/>
                <w:kern w:val="0"/>
              </w:rPr>
              <w:t>%</w:t>
            </w:r>
          </w:p>
        </w:tc>
      </w:tr>
      <w:tr>
        <w:trPr>
          <w:trHeight w:val="654" w:hRule="atLeast"/>
          <w:jc w:val="center"/>
        </w:trPr>
        <w:tc>
          <w:tcPr>
            <w:tcW w:w="1806" w:type="dxa"/>
            <w:vAlign w:val="center"/>
          </w:tcPr>
          <w:p>
            <w:pPr>
              <w:widowControl/>
              <w:spacing w:line="360" w:lineRule="auto"/>
              <w:jc w:val="center"/>
              <w:rPr>
                <w:rFonts w:ascii="仿宋" w:hAnsi="仿宋" w:eastAsia="仿宋"/>
                <w:bCs/>
              </w:rPr>
            </w:pPr>
            <w:r>
              <w:rPr>
                <w:rFonts w:hint="eastAsia" w:ascii="仿宋" w:hAnsi="仿宋" w:eastAsia="仿宋"/>
                <w:kern w:val="0"/>
              </w:rPr>
              <w:t>X3</w:t>
            </w:r>
          </w:p>
        </w:tc>
        <w:tc>
          <w:tcPr>
            <w:tcW w:w="5109" w:type="dxa"/>
            <w:vAlign w:val="center"/>
          </w:tcPr>
          <w:p>
            <w:pPr>
              <w:widowControl/>
              <w:spacing w:line="360" w:lineRule="auto"/>
              <w:jc w:val="center"/>
              <w:rPr>
                <w:rFonts w:ascii="仿宋" w:hAnsi="仿宋" w:eastAsia="仿宋"/>
                <w:bCs/>
              </w:rPr>
            </w:pPr>
            <w:r>
              <w:rPr>
                <w:rFonts w:hint="eastAsia"/>
              </w:rPr>
              <w:t>课堂实训</w:t>
            </w:r>
          </w:p>
        </w:tc>
        <w:tc>
          <w:tcPr>
            <w:tcW w:w="1839" w:type="dxa"/>
            <w:vAlign w:val="center"/>
          </w:tcPr>
          <w:p>
            <w:pPr>
              <w:widowControl/>
              <w:spacing w:line="360" w:lineRule="auto"/>
              <w:jc w:val="center"/>
              <w:rPr>
                <w:rFonts w:ascii="仿宋" w:hAnsi="仿宋" w:eastAsia="仿宋"/>
                <w:bCs/>
              </w:rPr>
            </w:pPr>
            <w:r>
              <w:rPr>
                <w:rFonts w:hint="default" w:ascii="仿宋" w:hAnsi="仿宋" w:eastAsia="仿宋" w:cs="Arial"/>
                <w:kern w:val="0"/>
              </w:rPr>
              <w:t>1</w:t>
            </w:r>
            <w:bookmarkStart w:id="2" w:name="_GoBack"/>
            <w:bookmarkEnd w:id="2"/>
            <w:r>
              <w:rPr>
                <w:rFonts w:ascii="仿宋" w:hAnsi="仿宋" w:eastAsia="仿宋" w:cs="Arial"/>
                <w:kern w:val="0"/>
              </w:rPr>
              <w:t>0</w:t>
            </w:r>
            <w:r>
              <w:rPr>
                <w:rFonts w:hint="eastAsia" w:ascii="仿宋" w:hAnsi="仿宋" w:eastAsia="仿宋" w:cs="Arial"/>
                <w:kern w:val="0"/>
              </w:rPr>
              <w:t>%</w:t>
            </w:r>
          </w:p>
        </w:tc>
      </w:tr>
    </w:tbl>
    <w:p>
      <w:pPr>
        <w:snapToGrid w:val="0"/>
        <w:spacing w:before="120" w:after="120" w:line="288" w:lineRule="auto"/>
        <w:rPr>
          <w:rFonts w:ascii="宋体" w:hAnsi="宋体"/>
          <w:sz w:val="20"/>
          <w:szCs w:val="20"/>
          <w:highlight w:val="yellow"/>
        </w:rPr>
      </w:pPr>
      <w:r>
        <w:drawing>
          <wp:anchor distT="0" distB="0" distL="114300" distR="114300" simplePos="0" relativeHeight="251660288" behindDoc="0" locked="0" layoutInCell="1" allowOverlap="1">
            <wp:simplePos x="0" y="0"/>
            <wp:positionH relativeFrom="column">
              <wp:posOffset>4291965</wp:posOffset>
            </wp:positionH>
            <wp:positionV relativeFrom="paragraph">
              <wp:posOffset>2300605</wp:posOffset>
            </wp:positionV>
            <wp:extent cx="870585" cy="5137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70585" cy="5137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1004570</wp:posOffset>
            </wp:positionH>
            <wp:positionV relativeFrom="paragraph">
              <wp:posOffset>2419985</wp:posOffset>
            </wp:positionV>
            <wp:extent cx="918210" cy="295275"/>
            <wp:effectExtent l="0" t="0" r="0" b="0"/>
            <wp:wrapNone/>
            <wp:docPr id="785424121" name="图片 1"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424121" name="图片 1" descr="卡通人物&#10;&#10;中度可信度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8210" cy="295275"/>
                    </a:xfrm>
                    <a:prstGeom prst="rect">
                      <a:avLst/>
                    </a:prstGeom>
                  </pic:spPr>
                </pic:pic>
              </a:graphicData>
            </a:graphic>
          </wp:anchor>
        </w:drawing>
      </w:r>
    </w:p>
    <w:p>
      <w:pPr>
        <w:snapToGrid w:val="0"/>
        <w:spacing w:line="288" w:lineRule="auto"/>
        <w:ind w:firstLine="560" w:firstLineChars="200"/>
        <w:rPr>
          <w:rFonts w:ascii="宋体" w:hAnsi="宋体"/>
          <w:sz w:val="28"/>
          <w:szCs w:val="28"/>
        </w:rPr>
      </w:pPr>
      <w:r>
        <w:rPr>
          <w:rFonts w:hint="eastAsia" w:ascii="宋体" w:hAnsi="宋体"/>
          <w:sz w:val="28"/>
          <w:szCs w:val="28"/>
        </w:rPr>
        <w:t xml:space="preserve">撰写人：              </w:t>
      </w:r>
      <w:r>
        <w:rPr>
          <w:rFonts w:ascii="宋体" w:hAnsi="宋体"/>
          <w:sz w:val="28"/>
          <w:szCs w:val="28"/>
        </w:rPr>
        <w:t xml:space="preserve">     </w:t>
      </w:r>
      <w:r>
        <w:rPr>
          <w:rFonts w:hint="eastAsia" w:ascii="宋体" w:hAnsi="宋体"/>
          <w:sz w:val="28"/>
          <w:szCs w:val="28"/>
        </w:rPr>
        <w:t>系主任审核签名：</w:t>
      </w:r>
    </w:p>
    <w:p>
      <w:pPr>
        <w:snapToGrid w:val="0"/>
        <w:spacing w:line="288" w:lineRule="auto"/>
        <w:ind w:firstLine="560" w:firstLineChars="200"/>
        <w:rPr>
          <w:rFonts w:ascii="宋体" w:hAnsi="宋体"/>
          <w:sz w:val="28"/>
          <w:szCs w:val="28"/>
        </w:rPr>
      </w:pPr>
      <w:r>
        <w:rPr>
          <w:rFonts w:hint="eastAsia" w:ascii="宋体" w:hAnsi="宋体"/>
          <w:sz w:val="28"/>
          <w:szCs w:val="28"/>
        </w:rPr>
        <w:t>审核时间：202</w:t>
      </w:r>
      <w:r>
        <w:rPr>
          <w:rFonts w:ascii="宋体" w:hAnsi="宋体"/>
          <w:sz w:val="28"/>
          <w:szCs w:val="28"/>
        </w:rPr>
        <w:t>4</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1</w:t>
      </w:r>
      <w:r>
        <w:rPr>
          <w:rFonts w:hint="eastAsia" w:ascii="宋体" w:hAnsi="宋体"/>
          <w:sz w:val="28"/>
          <w:szCs w:val="28"/>
        </w:rPr>
        <w:t xml:space="preserve">日                     </w:t>
      </w:r>
    </w:p>
    <w:p>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Wingdings 2">
    <w:panose1 w:val="05020102010507070707"/>
    <w:charset w:val="00"/>
    <w:family w:val="decorative"/>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4E386"/>
    <w:multiLevelType w:val="singleLevel"/>
    <w:tmpl w:val="5764E3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02E77"/>
    <w:rsid w:val="00007346"/>
    <w:rsid w:val="0001111E"/>
    <w:rsid w:val="000118D8"/>
    <w:rsid w:val="000159CD"/>
    <w:rsid w:val="00020F68"/>
    <w:rsid w:val="00045286"/>
    <w:rsid w:val="00046267"/>
    <w:rsid w:val="00056C45"/>
    <w:rsid w:val="00062DA4"/>
    <w:rsid w:val="0009428E"/>
    <w:rsid w:val="000B7482"/>
    <w:rsid w:val="000C5F3B"/>
    <w:rsid w:val="000D50B6"/>
    <w:rsid w:val="00101BC7"/>
    <w:rsid w:val="00103668"/>
    <w:rsid w:val="001072BC"/>
    <w:rsid w:val="001624F1"/>
    <w:rsid w:val="00164560"/>
    <w:rsid w:val="00183455"/>
    <w:rsid w:val="001A009F"/>
    <w:rsid w:val="001B0B56"/>
    <w:rsid w:val="001B2163"/>
    <w:rsid w:val="001B4FE3"/>
    <w:rsid w:val="001C4ACB"/>
    <w:rsid w:val="002031BA"/>
    <w:rsid w:val="002040D8"/>
    <w:rsid w:val="00204115"/>
    <w:rsid w:val="0021010A"/>
    <w:rsid w:val="00210713"/>
    <w:rsid w:val="00211223"/>
    <w:rsid w:val="00211D57"/>
    <w:rsid w:val="002223C5"/>
    <w:rsid w:val="002263FC"/>
    <w:rsid w:val="00256B39"/>
    <w:rsid w:val="0026033C"/>
    <w:rsid w:val="002E3721"/>
    <w:rsid w:val="003078C9"/>
    <w:rsid w:val="00313BBA"/>
    <w:rsid w:val="00323314"/>
    <w:rsid w:val="0032602E"/>
    <w:rsid w:val="003367AE"/>
    <w:rsid w:val="00340C7B"/>
    <w:rsid w:val="00345AE6"/>
    <w:rsid w:val="0037487C"/>
    <w:rsid w:val="00376387"/>
    <w:rsid w:val="0039575D"/>
    <w:rsid w:val="003A0AC1"/>
    <w:rsid w:val="003B1258"/>
    <w:rsid w:val="003B4A67"/>
    <w:rsid w:val="003E3D9F"/>
    <w:rsid w:val="003F2780"/>
    <w:rsid w:val="004100B0"/>
    <w:rsid w:val="00414208"/>
    <w:rsid w:val="00441F60"/>
    <w:rsid w:val="00442F90"/>
    <w:rsid w:val="004466C8"/>
    <w:rsid w:val="004503E4"/>
    <w:rsid w:val="004824C0"/>
    <w:rsid w:val="004C4DA4"/>
    <w:rsid w:val="004D6E3C"/>
    <w:rsid w:val="00500796"/>
    <w:rsid w:val="00514B38"/>
    <w:rsid w:val="00516277"/>
    <w:rsid w:val="00516483"/>
    <w:rsid w:val="00521F21"/>
    <w:rsid w:val="005467DC"/>
    <w:rsid w:val="00553D03"/>
    <w:rsid w:val="00562F5A"/>
    <w:rsid w:val="005875FF"/>
    <w:rsid w:val="00592833"/>
    <w:rsid w:val="005A4B2F"/>
    <w:rsid w:val="005B2B6D"/>
    <w:rsid w:val="005B4B4E"/>
    <w:rsid w:val="005B57A2"/>
    <w:rsid w:val="005C5B38"/>
    <w:rsid w:val="005D48EB"/>
    <w:rsid w:val="005F0692"/>
    <w:rsid w:val="005F198F"/>
    <w:rsid w:val="0060347F"/>
    <w:rsid w:val="00610C74"/>
    <w:rsid w:val="006163C9"/>
    <w:rsid w:val="00624FE1"/>
    <w:rsid w:val="00637B75"/>
    <w:rsid w:val="00667414"/>
    <w:rsid w:val="0067292F"/>
    <w:rsid w:val="006738A6"/>
    <w:rsid w:val="0067531C"/>
    <w:rsid w:val="00691868"/>
    <w:rsid w:val="0069289A"/>
    <w:rsid w:val="006972CB"/>
    <w:rsid w:val="006A14E2"/>
    <w:rsid w:val="006D1272"/>
    <w:rsid w:val="00704983"/>
    <w:rsid w:val="0071011C"/>
    <w:rsid w:val="00716DC2"/>
    <w:rsid w:val="007208D6"/>
    <w:rsid w:val="00724FD8"/>
    <w:rsid w:val="00736DD6"/>
    <w:rsid w:val="00747ACC"/>
    <w:rsid w:val="007522AE"/>
    <w:rsid w:val="0077587E"/>
    <w:rsid w:val="00775DC1"/>
    <w:rsid w:val="007A7B82"/>
    <w:rsid w:val="007B5145"/>
    <w:rsid w:val="007D20EE"/>
    <w:rsid w:val="007F1C2B"/>
    <w:rsid w:val="00801190"/>
    <w:rsid w:val="008036CB"/>
    <w:rsid w:val="00804065"/>
    <w:rsid w:val="008243DD"/>
    <w:rsid w:val="008551C8"/>
    <w:rsid w:val="008979CD"/>
    <w:rsid w:val="008B397C"/>
    <w:rsid w:val="008B47F4"/>
    <w:rsid w:val="008B4BDC"/>
    <w:rsid w:val="008B7496"/>
    <w:rsid w:val="008C0EE9"/>
    <w:rsid w:val="00900019"/>
    <w:rsid w:val="009332E7"/>
    <w:rsid w:val="0094237F"/>
    <w:rsid w:val="00943096"/>
    <w:rsid w:val="00944FB7"/>
    <w:rsid w:val="00963DA6"/>
    <w:rsid w:val="009673C6"/>
    <w:rsid w:val="00986CCC"/>
    <w:rsid w:val="0099063E"/>
    <w:rsid w:val="009A050D"/>
    <w:rsid w:val="009B22FA"/>
    <w:rsid w:val="009C6A54"/>
    <w:rsid w:val="009D2ED6"/>
    <w:rsid w:val="009E43C6"/>
    <w:rsid w:val="009E63D9"/>
    <w:rsid w:val="009E6BE1"/>
    <w:rsid w:val="009F03A8"/>
    <w:rsid w:val="00A061DB"/>
    <w:rsid w:val="00A13815"/>
    <w:rsid w:val="00A2211A"/>
    <w:rsid w:val="00A33BDA"/>
    <w:rsid w:val="00A6306C"/>
    <w:rsid w:val="00A769B1"/>
    <w:rsid w:val="00A837D5"/>
    <w:rsid w:val="00A83833"/>
    <w:rsid w:val="00A87771"/>
    <w:rsid w:val="00AA1471"/>
    <w:rsid w:val="00AA73A7"/>
    <w:rsid w:val="00AC4C45"/>
    <w:rsid w:val="00AD0214"/>
    <w:rsid w:val="00B24A5C"/>
    <w:rsid w:val="00B30683"/>
    <w:rsid w:val="00B37329"/>
    <w:rsid w:val="00B46F21"/>
    <w:rsid w:val="00B47486"/>
    <w:rsid w:val="00B511A5"/>
    <w:rsid w:val="00B543A9"/>
    <w:rsid w:val="00B736A7"/>
    <w:rsid w:val="00B7651F"/>
    <w:rsid w:val="00B82F64"/>
    <w:rsid w:val="00B92B48"/>
    <w:rsid w:val="00BA4434"/>
    <w:rsid w:val="00BA6ADF"/>
    <w:rsid w:val="00BB131C"/>
    <w:rsid w:val="00BC646C"/>
    <w:rsid w:val="00C07921"/>
    <w:rsid w:val="00C30DB9"/>
    <w:rsid w:val="00C319AB"/>
    <w:rsid w:val="00C36828"/>
    <w:rsid w:val="00C51EC1"/>
    <w:rsid w:val="00C543A7"/>
    <w:rsid w:val="00C56E09"/>
    <w:rsid w:val="00C61BA7"/>
    <w:rsid w:val="00C97633"/>
    <w:rsid w:val="00CA399E"/>
    <w:rsid w:val="00CD398D"/>
    <w:rsid w:val="00CD4403"/>
    <w:rsid w:val="00CE34A2"/>
    <w:rsid w:val="00CF096B"/>
    <w:rsid w:val="00D01B87"/>
    <w:rsid w:val="00D2156F"/>
    <w:rsid w:val="00D2200E"/>
    <w:rsid w:val="00D24D60"/>
    <w:rsid w:val="00D34BC7"/>
    <w:rsid w:val="00D37FC4"/>
    <w:rsid w:val="00D443E0"/>
    <w:rsid w:val="00D537BB"/>
    <w:rsid w:val="00D55E61"/>
    <w:rsid w:val="00D62364"/>
    <w:rsid w:val="00D627F7"/>
    <w:rsid w:val="00D67625"/>
    <w:rsid w:val="00D744A3"/>
    <w:rsid w:val="00D76476"/>
    <w:rsid w:val="00D95DF6"/>
    <w:rsid w:val="00DB19DD"/>
    <w:rsid w:val="00DC102D"/>
    <w:rsid w:val="00DC72FC"/>
    <w:rsid w:val="00DD5C4E"/>
    <w:rsid w:val="00DE61BC"/>
    <w:rsid w:val="00DE75FE"/>
    <w:rsid w:val="00DF6092"/>
    <w:rsid w:val="00DF7267"/>
    <w:rsid w:val="00E16D30"/>
    <w:rsid w:val="00E31446"/>
    <w:rsid w:val="00E323F2"/>
    <w:rsid w:val="00E32A47"/>
    <w:rsid w:val="00E33169"/>
    <w:rsid w:val="00E40C5F"/>
    <w:rsid w:val="00E6406F"/>
    <w:rsid w:val="00E70904"/>
    <w:rsid w:val="00E72302"/>
    <w:rsid w:val="00EB0763"/>
    <w:rsid w:val="00ED5356"/>
    <w:rsid w:val="00EF1C6D"/>
    <w:rsid w:val="00EF44B1"/>
    <w:rsid w:val="00F00F38"/>
    <w:rsid w:val="00F05047"/>
    <w:rsid w:val="00F06FA9"/>
    <w:rsid w:val="00F1181B"/>
    <w:rsid w:val="00F12DB1"/>
    <w:rsid w:val="00F21AE5"/>
    <w:rsid w:val="00F26830"/>
    <w:rsid w:val="00F35AA0"/>
    <w:rsid w:val="00F410D4"/>
    <w:rsid w:val="00F57D65"/>
    <w:rsid w:val="00F804CC"/>
    <w:rsid w:val="00F90793"/>
    <w:rsid w:val="00FA6CA9"/>
    <w:rsid w:val="00FC5455"/>
    <w:rsid w:val="00FD192F"/>
    <w:rsid w:val="00FF1E89"/>
    <w:rsid w:val="016E63C2"/>
    <w:rsid w:val="024B0C39"/>
    <w:rsid w:val="06F1517B"/>
    <w:rsid w:val="0A8128A6"/>
    <w:rsid w:val="0BF32A1B"/>
    <w:rsid w:val="10BD2C22"/>
    <w:rsid w:val="166C4BA6"/>
    <w:rsid w:val="1A970BDC"/>
    <w:rsid w:val="1F694362"/>
    <w:rsid w:val="20292DD5"/>
    <w:rsid w:val="22987C80"/>
    <w:rsid w:val="24192CCC"/>
    <w:rsid w:val="2AFD6BD7"/>
    <w:rsid w:val="357710DD"/>
    <w:rsid w:val="36241464"/>
    <w:rsid w:val="370E2FCD"/>
    <w:rsid w:val="384F5BC3"/>
    <w:rsid w:val="39A66CD4"/>
    <w:rsid w:val="3CD52CE1"/>
    <w:rsid w:val="410F2E6A"/>
    <w:rsid w:val="4430136C"/>
    <w:rsid w:val="4AB0382B"/>
    <w:rsid w:val="4ED560FD"/>
    <w:rsid w:val="569868B5"/>
    <w:rsid w:val="586C61D3"/>
    <w:rsid w:val="5FB38C7B"/>
    <w:rsid w:val="611F6817"/>
    <w:rsid w:val="66CA1754"/>
    <w:rsid w:val="67543B23"/>
    <w:rsid w:val="6D7FCFC2"/>
    <w:rsid w:val="6F1E65D4"/>
    <w:rsid w:val="6F266C86"/>
    <w:rsid w:val="6F5042C2"/>
    <w:rsid w:val="726B4714"/>
    <w:rsid w:val="74316312"/>
    <w:rsid w:val="780F13C8"/>
    <w:rsid w:val="7C385448"/>
    <w:rsid w:val="7CB3663D"/>
    <w:rsid w:val="FD9F8792"/>
    <w:rsid w:val="FF9E9B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2"/>
    <w:semiHidden/>
    <w:qFormat/>
    <w:uiPriority w:val="99"/>
    <w:rPr>
      <w:rFonts w:ascii="Calibri" w:hAnsi="Calibri" w:eastAsia="宋体" w:cs="Times New Roman"/>
      <w:kern w:val="2"/>
      <w:sz w:val="18"/>
      <w:szCs w:val="18"/>
    </w:rPr>
  </w:style>
  <w:style w:type="paragraph" w:customStyle="1" w:styleId="13">
    <w:name w:val="表格正文DG"/>
    <w:basedOn w:val="1"/>
    <w:qFormat/>
    <w:uiPriority w:val="0"/>
    <w:pPr>
      <w:jc w:val="center"/>
    </w:pPr>
    <w:rPr>
      <w:rFonts w:ascii="Times New Roman" w:hAnsi="Times New Roman"/>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www.gench.edu.cn</Company>
  <Pages>9</Pages>
  <Words>950</Words>
  <Characters>5420</Characters>
  <Lines>45</Lines>
  <Paragraphs>12</Paragraphs>
  <TotalTime>14</TotalTime>
  <ScaleCrop>false</ScaleCrop>
  <LinksUpToDate>false</LinksUpToDate>
  <CharactersWithSpaces>6358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2020-09-29T18:15:00Z</dcterms:created>
  <dc:creator>juvg</dc:creator>
  <cp:lastModifiedBy>。wxm。</cp:lastModifiedBy>
  <dcterms:modified xsi:type="dcterms:W3CDTF">2024-03-03T21:19:40Z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9D36B54D9831E87174EFE1650DBA5B35</vt:lpwstr>
  </property>
</Properties>
</file>