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【正常人体功能学】</w:t>
      </w:r>
    </w:p>
    <w:p>
      <w:pPr>
        <w:shd w:val="clear" w:color="auto" w:fill="F5F5F5"/>
        <w:jc w:val="center"/>
        <w:textAlignment w:val="top"/>
        <w:rPr>
          <w:rFonts w:ascii="Arial" w:hAnsi="Arial" w:cs="Arial"/>
          <w:color w:val="888888"/>
          <w:kern w:val="0"/>
          <w:sz w:val="20"/>
          <w:szCs w:val="20"/>
        </w:rPr>
      </w:pPr>
      <w:r>
        <w:rPr>
          <w:rFonts w:hint="eastAsia"/>
          <w:b/>
          <w:sz w:val="28"/>
          <w:szCs w:val="30"/>
        </w:rPr>
        <w:t>【Physiology</w:t>
      </w:r>
      <w:r>
        <w:rPr>
          <w:b/>
          <w:sz w:val="28"/>
          <w:szCs w:val="30"/>
        </w:rPr>
        <w:t xml:space="preserve"> </w:t>
      </w:r>
      <w:r>
        <w:rPr>
          <w:rFonts w:hint="eastAsia"/>
          <w:b/>
          <w:sz w:val="28"/>
          <w:szCs w:val="30"/>
        </w:rPr>
        <w:t>and</w:t>
      </w:r>
      <w:r>
        <w:rPr>
          <w:b/>
          <w:sz w:val="28"/>
          <w:szCs w:val="30"/>
        </w:rPr>
        <w:t xml:space="preserve"> biochemistry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【2170081】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【3</w:t>
      </w:r>
      <w:r>
        <w:rPr>
          <w:rFonts w:hint="eastAsia"/>
          <w:color w:val="000000"/>
          <w:sz w:val="20"/>
          <w:szCs w:val="20"/>
        </w:rPr>
        <w:t>.0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健康管理学院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【《基础医学概论》主编：刘黎青，中国中医药出版社，201</w:t>
      </w:r>
      <w:r>
        <w:rPr>
          <w:color w:val="000000"/>
          <w:sz w:val="20"/>
          <w:szCs w:val="20"/>
        </w:rPr>
        <w:t>7</w:t>
      </w:r>
      <w:r>
        <w:rPr>
          <w:rFonts w:hint="eastAsia"/>
          <w:color w:val="000000"/>
          <w:sz w:val="20"/>
          <w:szCs w:val="20"/>
        </w:rPr>
        <w:t>】</w:t>
      </w:r>
    </w:p>
    <w:p>
      <w:pPr>
        <w:snapToGrid w:val="0"/>
        <w:spacing w:line="288" w:lineRule="auto"/>
        <w:ind w:firstLine="394" w:firstLineChars="196"/>
        <w:rPr>
          <w:color w:val="000000"/>
          <w:sz w:val="20"/>
          <w:szCs w:val="20"/>
        </w:rPr>
      </w:pPr>
      <w:r>
        <w:rPr>
          <w:b/>
          <w:color w:val="000000"/>
          <w:sz w:val="20"/>
          <w:szCs w:val="20"/>
        </w:rPr>
        <w:t>参考</w:t>
      </w:r>
      <w:r>
        <w:rPr>
          <w:rFonts w:hint="eastAsia"/>
          <w:b/>
          <w:color w:val="000000"/>
          <w:sz w:val="20"/>
          <w:szCs w:val="20"/>
        </w:rPr>
        <w:t>书目</w:t>
      </w:r>
      <w:r>
        <w:rPr>
          <w:rFonts w:hint="eastAsia"/>
          <w:color w:val="000000"/>
          <w:sz w:val="20"/>
          <w:szCs w:val="20"/>
        </w:rPr>
        <w:t>：【《生物化学与分子生物学》第8版，主编：查锡良、药立波，人民卫生出版社；《生理学》第8版，主编：朱大年、王庭槐，人民卫生出版社；《正常人体功能》第3版，主编：彭波，人民卫生出版社；】</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w:t>
      </w:r>
      <w:r>
        <w:rPr>
          <w:rFonts w:hint="eastAsia"/>
          <w:color w:val="000000"/>
          <w:sz w:val="20"/>
          <w:szCs w:val="20"/>
        </w:rPr>
        <w:t xml:space="preserve">https://mooc1.chaoxing.com/course/220271734.html </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正常人体功能学是以人体及组成人体的各个系统、组织器官、细胞和生物大分子为研究对象，主要内容包括人体的物质组成、物质代谢与调节、各种生命活动的规律等。本课程将《生理学》与《生物化学》两门学科内容有机融合在一起，实现了宏观与微观的相互联系，全面揭示人体生理功能与代谢机制，是医学类课程中不可或缺的重要基础课程。</w:t>
      </w:r>
    </w:p>
    <w:p>
      <w:pPr>
        <w:snapToGrid w:val="0"/>
        <w:spacing w:line="288" w:lineRule="auto"/>
        <w:ind w:firstLine="392" w:firstLineChars="196"/>
        <w:rPr>
          <w:color w:val="000000"/>
          <w:sz w:val="20"/>
          <w:szCs w:val="20"/>
        </w:rPr>
      </w:pPr>
      <w:r>
        <w:rPr>
          <w:rFonts w:hint="eastAsia"/>
          <w:color w:val="000000"/>
          <w:sz w:val="20"/>
          <w:szCs w:val="20"/>
        </w:rPr>
        <w:t>健康服务与管理专业要求要求学生掌握现代健康管理和医学基础理论与技术与方法，并具备相应的医学、预防保健及法律知识，从而能够胜任健康评估、健康咨询、健康促进与干预、健康营销、健康教育等健康管理服务工作。学习《正常人体功能学》有助于认识和掌握生命活动的规律，培养科学的思维方法，并为后续医学类专业课程的学习打下坚实的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sz w:val="20"/>
          <w:szCs w:val="20"/>
        </w:rPr>
        <w:t>本课程在健康服务与管理专业培养计划中安排于第一学期开设，总时数为</w:t>
      </w:r>
      <w:r>
        <w:rPr>
          <w:sz w:val="20"/>
          <w:szCs w:val="20"/>
        </w:rPr>
        <w:t>48</w:t>
      </w:r>
      <w:r>
        <w:rPr>
          <w:rFonts w:hint="eastAsia"/>
          <w:sz w:val="20"/>
          <w:szCs w:val="20"/>
        </w:rPr>
        <w:t>学时。其中理论课时</w:t>
      </w:r>
      <w:r>
        <w:rPr>
          <w:sz w:val="20"/>
          <w:szCs w:val="20"/>
        </w:rPr>
        <w:t>32</w:t>
      </w:r>
      <w:r>
        <w:rPr>
          <w:rFonts w:hint="eastAsia"/>
          <w:sz w:val="20"/>
          <w:szCs w:val="20"/>
        </w:rPr>
        <w:t>学时，实验课时</w:t>
      </w:r>
      <w:r>
        <w:rPr>
          <w:sz w:val="20"/>
          <w:szCs w:val="20"/>
        </w:rPr>
        <w:t>16</w:t>
      </w:r>
      <w:r>
        <w:rPr>
          <w:rFonts w:hint="eastAsia"/>
          <w:sz w:val="20"/>
          <w:szCs w:val="20"/>
        </w:rPr>
        <w:t>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LO11</w:t>
            </w:r>
            <w:r>
              <w:rPr>
                <w:rFonts w:hint="eastAsia" w:asciiTheme="minorEastAsia" w:hAnsiTheme="minorEastAsia" w:eastAsiaTheme="minorEastAsia"/>
                <w:color w:val="262626"/>
                <w:szCs w:val="21"/>
              </w:rPr>
              <w:t>：表达沟通</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asciiTheme="minorEastAsia" w:hAnsiTheme="minorEastAsia" w:eastAsiaTheme="minorEastAsia"/>
                <w:color w:val="262626"/>
                <w:szCs w:val="21"/>
              </w:rPr>
              <w:t>LO11</w:t>
            </w:r>
            <w:r>
              <w:rPr>
                <w:rFonts w:hint="eastAsia" w:asciiTheme="minorEastAsia" w:hAnsiTheme="minorEastAsia" w:eastAsiaTheme="minorEastAsia"/>
                <w:color w:val="262626"/>
                <w:szCs w:val="21"/>
              </w:rPr>
              <w:t>1：具有在专业实践中有效沟通的能力。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w:t>
            </w:r>
            <w:r>
              <w:rPr>
                <w:rFonts w:asciiTheme="minorEastAsia" w:hAnsiTheme="minorEastAsia" w:eastAsiaTheme="minorEastAsia"/>
                <w:color w:val="262626"/>
                <w:szCs w:val="21"/>
              </w:rPr>
              <w:t>O112</w:t>
            </w:r>
            <w:r>
              <w:rPr>
                <w:rFonts w:hint="eastAsia" w:asciiTheme="minorEastAsia" w:hAnsiTheme="minorEastAsia" w:eastAsiaTheme="minorEastAsia"/>
                <w:color w:val="262626"/>
                <w:szCs w:val="21"/>
              </w:rPr>
              <w:t>：应用书面或口头形式，阐释自己的观点，有效沟通。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LO21</w:t>
            </w:r>
            <w:r>
              <w:rPr>
                <w:rFonts w:hint="eastAsia" w:asciiTheme="minorEastAsia" w:hAnsiTheme="minorEastAsia" w:eastAsiaTheme="minorEastAsia"/>
                <w:color w:val="262626"/>
                <w:szCs w:val="21"/>
              </w:rPr>
              <w:t>：自主学习</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LO211：具有自主学习的基本能力，能够适应不断变化的社会健康保健需求。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LO212：能搜集、获取达到目标所需要的学习资源，实施学习计划、反思学习计划、持续改进，达到学习目标。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hint="eastAsia" w:asciiTheme="minorEastAsia" w:hAnsiTheme="minorEastAsia" w:eastAsiaTheme="minorEastAsia"/>
                <w:color w:val="262626"/>
                <w:szCs w:val="21"/>
              </w:rPr>
              <w:t>LO3</w:t>
            </w:r>
            <w:r>
              <w:rPr>
                <w:rFonts w:asciiTheme="minorEastAsia" w:hAnsiTheme="minorEastAsia" w:eastAsiaTheme="minorEastAsia"/>
                <w:color w:val="262626"/>
                <w:szCs w:val="21"/>
              </w:rPr>
              <w:t>1</w:t>
            </w:r>
            <w:r>
              <w:rPr>
                <w:rFonts w:hint="eastAsia" w:asciiTheme="minorEastAsia" w:hAnsiTheme="minorEastAsia" w:eastAsiaTheme="minorEastAsia"/>
                <w:color w:val="262626"/>
                <w:szCs w:val="21"/>
              </w:rPr>
              <w:t>：健康评估能力</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能全面评估服务对象的身心、社会及精神方面的健康状态，具有健康监测、健康风险评估能力。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LO32</w:t>
            </w:r>
            <w:r>
              <w:rPr>
                <w:rFonts w:hint="eastAsia" w:asciiTheme="minorEastAsia" w:hAnsiTheme="minorEastAsia" w:eastAsiaTheme="minorEastAsia"/>
                <w:color w:val="262626"/>
                <w:szCs w:val="21"/>
              </w:rPr>
              <w:t>：健康教育能力</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能确定服务对象的健康需求，并采用合适的健康教育策略。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hint="eastAsia" w:asciiTheme="minorEastAsia" w:hAnsiTheme="minorEastAsia" w:eastAsiaTheme="minorEastAsia"/>
                <w:color w:val="262626"/>
                <w:szCs w:val="21"/>
              </w:rPr>
              <w:t>L</w:t>
            </w:r>
            <w:r>
              <w:rPr>
                <w:rFonts w:asciiTheme="minorEastAsia" w:hAnsiTheme="minorEastAsia" w:eastAsiaTheme="minorEastAsia"/>
                <w:color w:val="262626"/>
                <w:szCs w:val="21"/>
              </w:rPr>
              <w:t>O</w:t>
            </w:r>
            <w:r>
              <w:rPr>
                <w:rFonts w:hint="eastAsia" w:asciiTheme="minorEastAsia" w:hAnsiTheme="minorEastAsia" w:eastAsiaTheme="minorEastAsia"/>
                <w:color w:val="262626"/>
                <w:szCs w:val="21"/>
              </w:rPr>
              <w:t>3</w:t>
            </w:r>
            <w:r>
              <w:rPr>
                <w:rFonts w:asciiTheme="minorEastAsia" w:hAnsiTheme="minorEastAsia" w:eastAsiaTheme="minorEastAsia"/>
                <w:color w:val="262626"/>
                <w:szCs w:val="21"/>
              </w:rPr>
              <w:t>3</w:t>
            </w:r>
            <w:r>
              <w:rPr>
                <w:rFonts w:hint="eastAsia" w:asciiTheme="minorEastAsia" w:hAnsiTheme="minorEastAsia" w:eastAsiaTheme="minorEastAsia"/>
                <w:color w:val="262626"/>
                <w:szCs w:val="21"/>
              </w:rPr>
              <w:t>：健康促进能力</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能够协助医生开展慢性病病人管理，实施健康干预方案，开展健康随访。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hint="eastAsia" w:asciiTheme="minorEastAsia" w:hAnsiTheme="minorEastAsia" w:eastAsiaTheme="minorEastAsia"/>
                <w:color w:val="262626"/>
                <w:szCs w:val="21"/>
              </w:rPr>
              <w:t>L</w:t>
            </w:r>
            <w:r>
              <w:rPr>
                <w:rFonts w:asciiTheme="minorEastAsia" w:hAnsiTheme="minorEastAsia" w:eastAsiaTheme="minorEastAsia"/>
                <w:color w:val="262626"/>
                <w:szCs w:val="21"/>
              </w:rPr>
              <w:t>O34:</w:t>
            </w:r>
            <w:r>
              <w:rPr>
                <w:rFonts w:hint="eastAsia" w:asciiTheme="minorEastAsia" w:hAnsiTheme="minorEastAsia" w:eastAsiaTheme="minorEastAsia"/>
                <w:color w:val="262626"/>
                <w:szCs w:val="21"/>
              </w:rPr>
              <w:t>健康信息管理能力</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能够进行健康信息的收集和整理，并进行数据的统计分析。</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LO35</w:t>
            </w:r>
            <w:r>
              <w:rPr>
                <w:rFonts w:hint="eastAsia" w:asciiTheme="minorEastAsia" w:hAnsiTheme="minorEastAsia" w:eastAsiaTheme="minorEastAsia"/>
                <w:color w:val="262626"/>
                <w:szCs w:val="21"/>
              </w:rPr>
              <w:t>：健康咨询能力</w:t>
            </w:r>
          </w:p>
        </w:tc>
        <w:tc>
          <w:tcPr>
            <w:tcW w:w="6300" w:type="dxa"/>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hint="eastAsia" w:asciiTheme="minorEastAsia" w:hAnsiTheme="minorEastAsia" w:eastAsiaTheme="minorEastAsia"/>
                <w:color w:val="262626"/>
                <w:szCs w:val="21"/>
              </w:rPr>
              <w:t>能够利用专业知识对服务对象进行沟通、指导和服务，能够对客户进行健康产品和推广。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LO4</w:t>
            </w:r>
            <w:r>
              <w:rPr>
                <w:rFonts w:hint="eastAsia" w:asciiTheme="minorEastAsia" w:hAnsiTheme="minorEastAsia" w:eastAsiaTheme="minorEastAsia"/>
                <w:color w:val="262626"/>
                <w:szCs w:val="21"/>
              </w:rPr>
              <w:t>1：尽责抗压能力</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L0411：遵纪守法：遵守校纪、校规，具备法律意识。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L0412：诚实守信：为人诚实，信守承诺，尽职尽责（诚实守信）。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LO413：爱岗敬业：了解与专业相关的法律法规，在学习和社会实践中遵守职业规范，具备职业道德操守。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LO414：心理健康，能承受学习和生活中的压力。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hint="eastAsia" w:asciiTheme="minorEastAsia" w:hAnsiTheme="minorEastAsia" w:eastAsiaTheme="minorEastAsia"/>
                <w:color w:val="262626"/>
                <w:szCs w:val="21"/>
              </w:rPr>
              <w:t>L</w:t>
            </w:r>
            <w:r>
              <w:rPr>
                <w:rFonts w:asciiTheme="minorEastAsia" w:hAnsiTheme="minorEastAsia" w:eastAsiaTheme="minorEastAsia"/>
                <w:color w:val="262626"/>
                <w:szCs w:val="21"/>
              </w:rPr>
              <w:t>O51</w:t>
            </w:r>
            <w:r>
              <w:rPr>
                <w:rFonts w:hint="eastAsia" w:asciiTheme="minorEastAsia" w:hAnsiTheme="minorEastAsia" w:eastAsiaTheme="minorEastAsia"/>
                <w:color w:val="262626"/>
                <w:szCs w:val="21"/>
              </w:rPr>
              <w:t>：协同创新能力</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w:t>
            </w:r>
            <w:r>
              <w:rPr>
                <w:rFonts w:asciiTheme="minorEastAsia" w:hAnsiTheme="minorEastAsia" w:eastAsiaTheme="minorEastAsia"/>
                <w:color w:val="262626"/>
                <w:szCs w:val="21"/>
              </w:rPr>
              <w:t>O</w:t>
            </w:r>
            <w:r>
              <w:rPr>
                <w:rFonts w:hint="eastAsia" w:asciiTheme="minorEastAsia" w:hAnsiTheme="minorEastAsia" w:eastAsiaTheme="minorEastAsia"/>
                <w:color w:val="262626"/>
                <w:szCs w:val="21"/>
              </w:rPr>
              <w:t>511：具有在专业实践中有效合作的能力。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L0512：具有创新发展的基本能力，能够适应不断变化的社会健康保健需求。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L0513：尊重同事和其他卫生保健专业人员，具有良好的团队精神和跨学科合作的意识。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L0514：具有创新精神和创业意识，树立终身学习的观念，具有主动获取新知识、不断进行自我完善和推动专业发展的态度。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restart"/>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LO61</w:t>
            </w:r>
            <w:r>
              <w:rPr>
                <w:rFonts w:hint="eastAsia" w:asciiTheme="minorEastAsia" w:hAnsiTheme="minorEastAsia" w:eastAsiaTheme="minorEastAsia"/>
                <w:color w:val="262626"/>
                <w:szCs w:val="21"/>
              </w:rPr>
              <w:t>：信息应用能力</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LO611：掌握文献检索、资料收集的基本方法，具有运用现代信息技术有效获取和利用健康管理专业信息，研究健康问题的基本技能。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LO612：能够使用适合的工具来搜集信息，并对信息加以分析、鉴别、判断与整合。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LO613：熟练使用计算机，掌握常用办公软件。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LO71</w:t>
            </w:r>
            <w:r>
              <w:rPr>
                <w:rFonts w:hint="eastAsia" w:asciiTheme="minorEastAsia" w:hAnsiTheme="minorEastAsia" w:eastAsiaTheme="minorEastAsia"/>
                <w:color w:val="262626"/>
                <w:szCs w:val="21"/>
              </w:rPr>
              <w:t>：服务关爱</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LO711：爱党爱国：了解祖国的优秀传统文化和革命历史，构建爱党爱国的理想信念。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LO712：助人为乐：富于爱心，懂得感恩，具备助人为乐的品质。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LO713：奉献社会：具有服务企业、服务社会的意愿和行为能力。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LO714：爱护环境：具有爱护环境的意识和与自然和谐相处的环保理念。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restart"/>
            <w:vAlign w:val="center"/>
          </w:tcPr>
          <w:p>
            <w:pPr>
              <w:tabs>
                <w:tab w:val="left" w:pos="4200"/>
              </w:tabs>
              <w:adjustRightInd w:val="0"/>
              <w:snapToGrid w:val="0"/>
              <w:spacing w:line="264" w:lineRule="auto"/>
              <w:jc w:val="left"/>
              <w:outlineLvl w:val="1"/>
              <w:rPr>
                <w:rFonts w:asciiTheme="minorEastAsia" w:hAnsiTheme="minorEastAsia" w:eastAsiaTheme="minorEastAsia"/>
                <w:color w:val="262626"/>
                <w:szCs w:val="21"/>
              </w:rPr>
            </w:pPr>
            <w:r>
              <w:rPr>
                <w:rFonts w:asciiTheme="minorEastAsia" w:hAnsiTheme="minorEastAsia" w:eastAsiaTheme="minorEastAsia"/>
                <w:color w:val="262626"/>
                <w:szCs w:val="21"/>
              </w:rPr>
              <w:t>LO81</w:t>
            </w:r>
            <w:r>
              <w:rPr>
                <w:rFonts w:hint="eastAsia" w:asciiTheme="minorEastAsia" w:hAnsiTheme="minorEastAsia" w:eastAsiaTheme="minorEastAsia"/>
                <w:color w:val="262626"/>
                <w:szCs w:val="21"/>
              </w:rPr>
              <w:t>：国际视野</w:t>
            </w: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LO811：具有运用一门外语阅读护理学文献和简单的会话能力。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continue"/>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LO812：理解其他国家历史文化，有跨文化交流能力。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p>
        </w:tc>
        <w:tc>
          <w:tcPr>
            <w:tcW w:w="6300" w:type="dxa"/>
            <w:vAlign w:val="center"/>
          </w:tcPr>
          <w:p>
            <w:pPr>
              <w:tabs>
                <w:tab w:val="left" w:pos="4200"/>
              </w:tabs>
              <w:adjustRightInd w:val="0"/>
              <w:snapToGrid w:val="0"/>
              <w:spacing w:line="264" w:lineRule="auto"/>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262626"/>
                <w:szCs w:val="21"/>
              </w:rPr>
              <w:t>LO813：有国际竞争与合作意识。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1845"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5"/>
        <w:gridCol w:w="2929"/>
        <w:gridCol w:w="174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2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174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7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宋体" w:hAnsi="宋体"/>
                <w:color w:val="262626"/>
                <w:szCs w:val="21"/>
              </w:rPr>
            </w:pPr>
            <w:r>
              <w:rPr>
                <w:rFonts w:hint="eastAsia" w:ascii="宋体" w:hAnsi="宋体"/>
                <w:color w:val="262626"/>
                <w:szCs w:val="21"/>
              </w:rPr>
              <w:t>LO</w:t>
            </w:r>
            <w:r>
              <w:rPr>
                <w:rFonts w:ascii="宋体" w:hAnsi="宋体"/>
                <w:color w:val="262626"/>
                <w:szCs w:val="21"/>
              </w:rPr>
              <w:t>112</w:t>
            </w:r>
          </w:p>
        </w:tc>
        <w:tc>
          <w:tcPr>
            <w:tcW w:w="2929" w:type="dxa"/>
            <w:shd w:val="clear" w:color="auto" w:fill="auto"/>
          </w:tcPr>
          <w:p>
            <w:pPr>
              <w:rPr>
                <w:rFonts w:ascii="宋体" w:hAnsi="宋体" w:cs="宋体"/>
                <w:color w:val="000000"/>
                <w:kern w:val="0"/>
                <w:sz w:val="24"/>
              </w:rPr>
            </w:pPr>
            <w:r>
              <w:rPr>
                <w:rFonts w:hint="eastAsia" w:ascii="宋体" w:hAnsi="宋体"/>
                <w:color w:val="262626"/>
                <w:szCs w:val="21"/>
              </w:rPr>
              <w:t>应用书面或口头形式，阐释自己的观点，有效沟通。</w:t>
            </w:r>
          </w:p>
        </w:tc>
        <w:tc>
          <w:tcPr>
            <w:tcW w:w="1740" w:type="dxa"/>
            <w:shd w:val="clear" w:color="auto" w:fill="auto"/>
            <w:vAlign w:val="center"/>
          </w:tcPr>
          <w:p>
            <w:pPr>
              <w:jc w:val="center"/>
              <w:rPr>
                <w:rFonts w:ascii="宋体" w:hAnsi="宋体" w:cs="宋体"/>
                <w:szCs w:val="21"/>
              </w:rPr>
            </w:pPr>
            <w:r>
              <w:rPr>
                <w:rFonts w:hint="eastAsia" w:ascii="宋体" w:hAnsi="宋体" w:cs="宋体"/>
                <w:szCs w:val="21"/>
              </w:rPr>
              <w:t>课堂互动</w:t>
            </w:r>
          </w:p>
          <w:p>
            <w:pPr>
              <w:jc w:val="center"/>
              <w:rPr>
                <w:rFonts w:ascii="宋体" w:hAnsi="宋体" w:cs="宋体"/>
                <w:szCs w:val="21"/>
              </w:rPr>
            </w:pPr>
            <w:r>
              <w:rPr>
                <w:rFonts w:hint="eastAsia" w:ascii="宋体" w:hAnsi="宋体" w:cs="宋体"/>
                <w:szCs w:val="21"/>
              </w:rPr>
              <w:t>PBL</w:t>
            </w:r>
          </w:p>
        </w:tc>
        <w:tc>
          <w:tcPr>
            <w:tcW w:w="1775" w:type="dxa"/>
            <w:shd w:val="clear" w:color="auto" w:fill="auto"/>
            <w:vAlign w:val="center"/>
          </w:tcPr>
          <w:p>
            <w:pPr>
              <w:jc w:val="center"/>
              <w:rPr>
                <w:rFonts w:ascii="宋体" w:hAnsi="宋体" w:cs="宋体"/>
                <w:kern w:val="0"/>
                <w:szCs w:val="21"/>
              </w:rPr>
            </w:pPr>
            <w:r>
              <w:rPr>
                <w:rFonts w:hint="eastAsia" w:ascii="宋体" w:hAnsi="宋体" w:cs="宋体"/>
                <w:kern w:val="0"/>
                <w:szCs w:val="21"/>
              </w:rPr>
              <w:t>PBL</w:t>
            </w:r>
          </w:p>
          <w:p>
            <w:pPr>
              <w:jc w:val="center"/>
              <w:rPr>
                <w:rFonts w:ascii="宋体" w:hAnsi="宋体" w:cs="宋体"/>
                <w:kern w:val="0"/>
                <w:szCs w:val="21"/>
              </w:rPr>
            </w:pPr>
            <w:r>
              <w:rPr>
                <w:rFonts w:hint="eastAsia" w:ascii="宋体" w:hAnsi="宋体" w:cs="宋体"/>
                <w:kern w:val="0"/>
                <w:szCs w:val="21"/>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2</w:t>
            </w:r>
          </w:p>
        </w:tc>
        <w:tc>
          <w:tcPr>
            <w:tcW w:w="1175" w:type="dxa"/>
            <w:shd w:val="clear" w:color="auto" w:fill="auto"/>
            <w:vAlign w:val="center"/>
          </w:tcPr>
          <w:p>
            <w:pPr>
              <w:rPr>
                <w:rFonts w:ascii="宋体" w:hAnsi="宋体"/>
                <w:color w:val="262626"/>
                <w:szCs w:val="21"/>
              </w:rPr>
            </w:pPr>
            <w:r>
              <w:rPr>
                <w:rFonts w:hint="eastAsia" w:asciiTheme="minorEastAsia" w:hAnsiTheme="minorEastAsia" w:eastAsiaTheme="minorEastAsia"/>
                <w:color w:val="262626"/>
                <w:szCs w:val="21"/>
              </w:rPr>
              <w:t>LO212</w:t>
            </w:r>
          </w:p>
        </w:tc>
        <w:tc>
          <w:tcPr>
            <w:tcW w:w="2929" w:type="dxa"/>
            <w:shd w:val="clear" w:color="auto" w:fill="auto"/>
          </w:tcPr>
          <w:p>
            <w:pPr>
              <w:rPr>
                <w:rFonts w:ascii="宋体" w:hAnsi="宋体"/>
                <w:color w:val="262626"/>
                <w:szCs w:val="21"/>
              </w:rPr>
            </w:pPr>
            <w:r>
              <w:rPr>
                <w:rFonts w:hint="eastAsia" w:asciiTheme="minorEastAsia" w:hAnsiTheme="minorEastAsia" w:eastAsiaTheme="minorEastAsia"/>
                <w:color w:val="262626"/>
                <w:szCs w:val="21"/>
              </w:rPr>
              <w:t>能搜集、获取达到目标所需要的学习资源，实施学习计划、反思学习计划、持续改进，达到学习目标。</w:t>
            </w:r>
          </w:p>
        </w:tc>
        <w:tc>
          <w:tcPr>
            <w:tcW w:w="1740" w:type="dxa"/>
            <w:shd w:val="clear" w:color="auto" w:fill="auto"/>
            <w:vAlign w:val="center"/>
          </w:tcPr>
          <w:p>
            <w:pPr>
              <w:jc w:val="center"/>
              <w:rPr>
                <w:rFonts w:ascii="宋体" w:hAnsi="宋体" w:cs="宋体"/>
                <w:szCs w:val="21"/>
              </w:rPr>
            </w:pPr>
            <w:r>
              <w:rPr>
                <w:rFonts w:hint="eastAsia" w:ascii="宋体" w:hAnsi="宋体" w:cs="宋体"/>
                <w:szCs w:val="21"/>
              </w:rPr>
              <w:t>PBL</w:t>
            </w:r>
          </w:p>
        </w:tc>
        <w:tc>
          <w:tcPr>
            <w:tcW w:w="1775" w:type="dxa"/>
            <w:shd w:val="clear" w:color="auto" w:fill="auto"/>
            <w:vAlign w:val="center"/>
          </w:tcPr>
          <w:p>
            <w:pPr>
              <w:jc w:val="center"/>
              <w:rPr>
                <w:rFonts w:ascii="宋体" w:hAnsi="宋体" w:cs="宋体"/>
                <w:kern w:val="0"/>
                <w:szCs w:val="21"/>
              </w:rPr>
            </w:pPr>
            <w:r>
              <w:rPr>
                <w:rFonts w:hint="eastAsia" w:ascii="宋体" w:hAnsi="宋体" w:cs="宋体"/>
                <w:kern w:val="0"/>
                <w:szCs w:val="21"/>
              </w:rPr>
              <w:t>PBL学习报告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3</w:t>
            </w:r>
          </w:p>
        </w:tc>
        <w:tc>
          <w:tcPr>
            <w:tcW w:w="1175" w:type="dxa"/>
            <w:shd w:val="clear" w:color="auto" w:fill="auto"/>
          </w:tcPr>
          <w:p>
            <w:pPr>
              <w:rPr>
                <w:rFonts w:ascii="宋体" w:hAnsi="宋体"/>
                <w:color w:val="262626"/>
                <w:szCs w:val="21"/>
              </w:rPr>
            </w:pPr>
            <w:r>
              <w:rPr>
                <w:rFonts w:hint="eastAsia" w:ascii="宋体" w:hAnsi="宋体"/>
                <w:color w:val="262626"/>
                <w:szCs w:val="21"/>
              </w:rPr>
              <w:t>L</w:t>
            </w:r>
            <w:r>
              <w:rPr>
                <w:rFonts w:ascii="宋体" w:hAnsi="宋体"/>
                <w:color w:val="262626"/>
                <w:szCs w:val="21"/>
              </w:rPr>
              <w:t>O511</w:t>
            </w:r>
          </w:p>
        </w:tc>
        <w:tc>
          <w:tcPr>
            <w:tcW w:w="2929" w:type="dxa"/>
            <w:shd w:val="clear" w:color="auto" w:fill="auto"/>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Theme="minorEastAsia" w:hAnsiTheme="minorEastAsia" w:eastAsiaTheme="minorEastAsia"/>
                <w:color w:val="262626"/>
                <w:szCs w:val="21"/>
              </w:rPr>
              <w:t>具有在专业实践中有效合作的能力。</w:t>
            </w:r>
          </w:p>
        </w:tc>
        <w:tc>
          <w:tcPr>
            <w:tcW w:w="1740" w:type="dxa"/>
            <w:shd w:val="clear" w:color="auto" w:fill="auto"/>
            <w:vAlign w:val="center"/>
          </w:tcPr>
          <w:p>
            <w:pPr>
              <w:snapToGrid w:val="0"/>
              <w:spacing w:line="288" w:lineRule="auto"/>
              <w:jc w:val="center"/>
              <w:rPr>
                <w:rFonts w:ascii="宋体" w:hAnsi="宋体" w:cs="宋体"/>
                <w:szCs w:val="21"/>
              </w:rPr>
            </w:pPr>
            <w:r>
              <w:rPr>
                <w:rFonts w:hint="eastAsia" w:ascii="宋体" w:hAnsi="宋体" w:cs="宋体"/>
                <w:szCs w:val="21"/>
              </w:rPr>
              <w:t>PBL</w:t>
            </w:r>
          </w:p>
          <w:p>
            <w:pPr>
              <w:snapToGrid w:val="0"/>
              <w:spacing w:line="288" w:lineRule="auto"/>
              <w:jc w:val="center"/>
              <w:rPr>
                <w:rFonts w:hint="eastAsia" w:ascii="黑体" w:hAnsi="宋体" w:eastAsia="黑体"/>
                <w:sz w:val="24"/>
              </w:rPr>
            </w:pPr>
            <w:r>
              <w:rPr>
                <w:rFonts w:hint="eastAsia" w:ascii="宋体" w:hAnsi="宋体" w:cs="宋体"/>
                <w:szCs w:val="21"/>
              </w:rPr>
              <w:t>实验教学</w:t>
            </w:r>
          </w:p>
        </w:tc>
        <w:tc>
          <w:tcPr>
            <w:tcW w:w="1775" w:type="dxa"/>
            <w:shd w:val="clear" w:color="auto" w:fill="auto"/>
            <w:vAlign w:val="center"/>
          </w:tcPr>
          <w:p>
            <w:pPr>
              <w:snapToGrid w:val="0"/>
              <w:spacing w:line="288" w:lineRule="auto"/>
              <w:jc w:val="center"/>
              <w:rPr>
                <w:rFonts w:ascii="宋体" w:hAnsi="宋体" w:cs="宋体"/>
                <w:szCs w:val="21"/>
              </w:rPr>
            </w:pPr>
            <w:r>
              <w:rPr>
                <w:rFonts w:hint="eastAsia" w:ascii="宋体" w:hAnsi="宋体" w:cs="宋体"/>
                <w:szCs w:val="21"/>
              </w:rPr>
              <w:t>PBL学习报告</w:t>
            </w:r>
          </w:p>
          <w:p>
            <w:pPr>
              <w:snapToGrid w:val="0"/>
              <w:spacing w:line="288" w:lineRule="auto"/>
              <w:jc w:val="center"/>
              <w:rPr>
                <w:rFonts w:hint="eastAsia" w:ascii="黑体" w:hAnsi="宋体" w:eastAsia="黑体"/>
                <w:sz w:val="24"/>
              </w:rPr>
            </w:pPr>
            <w:r>
              <w:rPr>
                <w:rFonts w:hint="eastAsia" w:ascii="宋体" w:hAnsi="宋体" w:cs="宋体"/>
                <w:szCs w:val="21"/>
              </w:rPr>
              <w:t>实验报告</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709"/>
        <w:gridCol w:w="2268"/>
        <w:gridCol w:w="1559"/>
        <w:gridCol w:w="1276"/>
        <w:gridCol w:w="1559"/>
        <w:gridCol w:w="425"/>
        <w:gridCol w:w="425"/>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Cs w:val="21"/>
              </w:rPr>
            </w:pPr>
            <w:r>
              <w:rPr>
                <w:rFonts w:hint="eastAsia" w:ascii="宋体" w:hAnsi="宋体" w:cs="宋体"/>
                <w:b/>
                <w:bCs/>
                <w:szCs w:val="21"/>
              </w:rPr>
              <w:t>序号</w:t>
            </w:r>
          </w:p>
        </w:tc>
        <w:tc>
          <w:tcPr>
            <w:tcW w:w="70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单元名称</w:t>
            </w:r>
          </w:p>
        </w:tc>
        <w:tc>
          <w:tcPr>
            <w:tcW w:w="2268"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知识目标</w:t>
            </w:r>
          </w:p>
        </w:tc>
        <w:tc>
          <w:tcPr>
            <w:tcW w:w="155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能力目标</w:t>
            </w:r>
          </w:p>
        </w:tc>
        <w:tc>
          <w:tcPr>
            <w:tcW w:w="1276"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情感目标</w:t>
            </w:r>
          </w:p>
        </w:tc>
        <w:tc>
          <w:tcPr>
            <w:tcW w:w="155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教学重难点</w:t>
            </w:r>
          </w:p>
        </w:tc>
        <w:tc>
          <w:tcPr>
            <w:tcW w:w="42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理论课时</w:t>
            </w:r>
          </w:p>
        </w:tc>
        <w:tc>
          <w:tcPr>
            <w:tcW w:w="425"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实践课时</w:t>
            </w:r>
          </w:p>
        </w:tc>
        <w:tc>
          <w:tcPr>
            <w:tcW w:w="447"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绪论</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知道生理学与生物化学的研究内容与研究方法。</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知道生命活动的基本特征。</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理解人体的内环境与稳态的概念及生理意义。</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知道人体功能的调节方式与特点。</w:t>
            </w:r>
          </w:p>
          <w:p>
            <w:pPr>
              <w:snapToGrid w:val="0"/>
              <w:spacing w:line="288" w:lineRule="auto"/>
              <w:rPr>
                <w:rFonts w:ascii="宋体" w:hAnsi="宋体" w:cs="宋体"/>
                <w:sz w:val="18"/>
                <w:szCs w:val="18"/>
              </w:rPr>
            </w:pPr>
            <w:r>
              <w:rPr>
                <w:rFonts w:ascii="宋体" w:hAnsi="宋体" w:cs="宋体"/>
                <w:sz w:val="18"/>
                <w:szCs w:val="18"/>
              </w:rPr>
              <w:t>5.</w:t>
            </w:r>
            <w:r>
              <w:rPr>
                <w:rFonts w:hint="eastAsia" w:ascii="宋体" w:hAnsi="宋体" w:cs="宋体"/>
                <w:sz w:val="18"/>
                <w:szCs w:val="18"/>
              </w:rPr>
              <w:t>理解人体功能调节的控制系统与负反馈机制。</w:t>
            </w:r>
          </w:p>
        </w:tc>
        <w:tc>
          <w:tcPr>
            <w:tcW w:w="1559" w:type="dxa"/>
          </w:tcPr>
          <w:p>
            <w:pPr>
              <w:rPr>
                <w:rFonts w:ascii="宋体" w:hAnsi="宋体" w:cs="宋体"/>
                <w:sz w:val="18"/>
                <w:szCs w:val="18"/>
              </w:rPr>
            </w:pPr>
            <w:r>
              <w:rPr>
                <w:rFonts w:hint="eastAsia" w:ascii="宋体" w:hAnsi="宋体" w:cs="宋体"/>
                <w:sz w:val="18"/>
                <w:szCs w:val="18"/>
              </w:rPr>
              <w:t>1.能说出人体功能学的研究对象和任务，并简述生命的基本特征。</w:t>
            </w:r>
          </w:p>
          <w:p>
            <w:pPr>
              <w:rPr>
                <w:rFonts w:ascii="宋体" w:hAnsi="宋体" w:cs="宋体"/>
                <w:sz w:val="18"/>
                <w:szCs w:val="18"/>
              </w:rPr>
            </w:pPr>
            <w:r>
              <w:rPr>
                <w:rFonts w:hint="eastAsia" w:ascii="宋体" w:hAnsi="宋体" w:cs="宋体"/>
                <w:sz w:val="18"/>
                <w:szCs w:val="18"/>
              </w:rPr>
              <w:t>2.能运用本章知识，阐述人体如何维持内环境的稳态。</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激发学生对本课程的好奇心，培养学习兴趣。</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新陈代谢、兴奋性</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内环境与稳态</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负反馈</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1.人体功能的调节方式与控制系统的区别，及其与稳态的维持。</w:t>
            </w:r>
          </w:p>
        </w:tc>
        <w:tc>
          <w:tcPr>
            <w:tcW w:w="425"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2</w:t>
            </w:r>
          </w:p>
        </w:tc>
        <w:tc>
          <w:tcPr>
            <w:tcW w:w="709" w:type="dxa"/>
            <w:vAlign w:val="center"/>
          </w:tcPr>
          <w:p>
            <w:pPr>
              <w:widowControl/>
              <w:spacing w:before="156" w:beforeLines="50" w:after="156" w:afterLines="50"/>
              <w:jc w:val="center"/>
              <w:rPr>
                <w:rFonts w:ascii="宋体" w:hAnsi="宋体" w:cs="宋体"/>
                <w:sz w:val="18"/>
                <w:szCs w:val="18"/>
              </w:rPr>
            </w:pPr>
            <w:r>
              <w:rPr>
                <w:rFonts w:hint="eastAsia"/>
                <w:color w:val="000000"/>
                <w:sz w:val="18"/>
                <w:szCs w:val="18"/>
              </w:rPr>
              <w:t>蛋白质的结构与功能</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1.知道蛋白质的分子组成与分子结构。</w:t>
            </w:r>
          </w:p>
          <w:p>
            <w:pPr>
              <w:snapToGrid w:val="0"/>
              <w:spacing w:line="288" w:lineRule="auto"/>
              <w:rPr>
                <w:rFonts w:ascii="宋体" w:hAnsi="宋体" w:cs="宋体"/>
                <w:sz w:val="18"/>
                <w:szCs w:val="18"/>
              </w:rPr>
            </w:pPr>
            <w:r>
              <w:rPr>
                <w:rFonts w:hint="eastAsia" w:ascii="宋体" w:hAnsi="宋体" w:cs="宋体"/>
                <w:sz w:val="18"/>
                <w:szCs w:val="18"/>
              </w:rPr>
              <w:t>2.知道蛋白质结构与功能的关系。</w:t>
            </w:r>
          </w:p>
          <w:p>
            <w:pPr>
              <w:snapToGrid w:val="0"/>
              <w:spacing w:line="288" w:lineRule="auto"/>
              <w:rPr>
                <w:rFonts w:ascii="宋体" w:hAnsi="宋体" w:cs="宋体"/>
                <w:sz w:val="18"/>
                <w:szCs w:val="18"/>
              </w:rPr>
            </w:pPr>
            <w:r>
              <w:rPr>
                <w:rFonts w:hint="eastAsia" w:ascii="宋体" w:hAnsi="宋体" w:cs="宋体"/>
                <w:sz w:val="18"/>
                <w:szCs w:val="18"/>
              </w:rPr>
              <w:t>3.知道蛋白质的理化性质；理解蛋白质变性。</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知道蛋白质的合成过程。</w:t>
            </w:r>
          </w:p>
        </w:tc>
        <w:tc>
          <w:tcPr>
            <w:tcW w:w="1559" w:type="dxa"/>
          </w:tcPr>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能说出蛋白质的基本单位与连接方式。</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能运用所学知识解释豆腐的制作原理；蛋白质变性后失去原有功能的原因。</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使学生认识到生物化学知识与生活联系紧密，从而激发兴趣，能进行主动、积极的学习。</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蛋白质的一级结构</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蛋白质的功能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蛋白质变性</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1.蛋白质结构与功能的关系</w:t>
            </w:r>
          </w:p>
        </w:tc>
        <w:tc>
          <w:tcPr>
            <w:tcW w:w="425"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3</w:t>
            </w:r>
          </w:p>
        </w:tc>
        <w:tc>
          <w:tcPr>
            <w:tcW w:w="709" w:type="dxa"/>
            <w:vAlign w:val="center"/>
          </w:tcPr>
          <w:p>
            <w:pPr>
              <w:widowControl/>
              <w:spacing w:before="156" w:beforeLines="50" w:after="156" w:afterLines="50"/>
              <w:jc w:val="center"/>
              <w:rPr>
                <w:rFonts w:ascii="宋体" w:hAnsi="宋体" w:cs="宋体"/>
                <w:sz w:val="18"/>
                <w:szCs w:val="18"/>
              </w:rPr>
            </w:pPr>
            <w:r>
              <w:rPr>
                <w:rFonts w:hint="eastAsia"/>
                <w:color w:val="000000"/>
                <w:sz w:val="18"/>
                <w:szCs w:val="18"/>
              </w:rPr>
              <w:t>酶与酶促反应</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1.知道酶的化学本质与分子组成，知道同工酶的概念。</w:t>
            </w:r>
          </w:p>
          <w:p>
            <w:pPr>
              <w:snapToGrid w:val="0"/>
              <w:spacing w:line="288" w:lineRule="auto"/>
              <w:rPr>
                <w:rFonts w:ascii="宋体" w:hAnsi="宋体" w:cs="宋体"/>
                <w:sz w:val="18"/>
                <w:szCs w:val="18"/>
              </w:rPr>
            </w:pPr>
            <w:r>
              <w:rPr>
                <w:rFonts w:hint="eastAsia" w:ascii="宋体" w:hAnsi="宋体" w:cs="宋体"/>
                <w:sz w:val="18"/>
                <w:szCs w:val="18"/>
              </w:rPr>
              <w:t>2.知道酶的功能部位，理解酶原的存在意义。</w:t>
            </w:r>
          </w:p>
          <w:p>
            <w:pPr>
              <w:snapToGrid w:val="0"/>
              <w:spacing w:line="288" w:lineRule="auto"/>
              <w:rPr>
                <w:rFonts w:ascii="宋体" w:hAnsi="宋体" w:cs="宋体"/>
                <w:sz w:val="18"/>
                <w:szCs w:val="18"/>
              </w:rPr>
            </w:pPr>
            <w:r>
              <w:rPr>
                <w:rFonts w:hint="eastAsia" w:ascii="宋体" w:hAnsi="宋体" w:cs="宋体"/>
                <w:sz w:val="18"/>
                <w:szCs w:val="18"/>
              </w:rPr>
              <w:t>3.知道酶的作用机制与催化特点。</w:t>
            </w:r>
          </w:p>
          <w:p>
            <w:pPr>
              <w:snapToGrid w:val="0"/>
              <w:spacing w:line="288" w:lineRule="auto"/>
              <w:rPr>
                <w:rFonts w:ascii="宋体" w:hAnsi="宋体" w:cs="宋体"/>
                <w:sz w:val="18"/>
                <w:szCs w:val="18"/>
              </w:rPr>
            </w:pPr>
            <w:r>
              <w:rPr>
                <w:rFonts w:hint="eastAsia" w:ascii="宋体" w:hAnsi="宋体" w:cs="宋体"/>
                <w:sz w:val="18"/>
                <w:szCs w:val="18"/>
              </w:rPr>
              <w:t>4.知道酶促反应的特点。</w:t>
            </w:r>
          </w:p>
          <w:p>
            <w:pPr>
              <w:snapToGrid w:val="0"/>
              <w:spacing w:line="288" w:lineRule="auto"/>
              <w:rPr>
                <w:rFonts w:ascii="宋体" w:hAnsi="宋体" w:cs="宋体"/>
                <w:sz w:val="18"/>
                <w:szCs w:val="18"/>
              </w:rPr>
            </w:pPr>
            <w:r>
              <w:rPr>
                <w:rFonts w:hint="eastAsia" w:ascii="宋体" w:hAnsi="宋体" w:cs="宋体"/>
                <w:sz w:val="18"/>
                <w:szCs w:val="18"/>
              </w:rPr>
              <w:t>5.知道酶分类、命名，酶在医学中的应用。</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1.能说出酶促反应的特点、影响因素，阐述酶原的存在意义与激活原理。</w:t>
            </w:r>
          </w:p>
          <w:p>
            <w:pPr>
              <w:snapToGrid w:val="0"/>
              <w:spacing w:line="288" w:lineRule="auto"/>
              <w:rPr>
                <w:rFonts w:ascii="宋体" w:hAnsi="宋体" w:cs="宋体"/>
                <w:sz w:val="18"/>
                <w:szCs w:val="18"/>
              </w:rPr>
            </w:pPr>
            <w:r>
              <w:rPr>
                <w:rFonts w:hint="eastAsia" w:ascii="宋体" w:hAnsi="宋体" w:cs="宋体"/>
                <w:sz w:val="18"/>
                <w:szCs w:val="18"/>
              </w:rPr>
              <w:t>2.能举例说出酶学知识在疾病诊断和治疗领域的应用。</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对酶的作用及其在人体生命活动中起到的重要作用形成感性认识，从而能进行主动、积极的学习。</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酶的功能部位</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酶的作用机制与催化特点</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酶促反应的特点</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1.酶原的激活</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酶促反应的特点</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4</w:t>
            </w:r>
          </w:p>
        </w:tc>
        <w:tc>
          <w:tcPr>
            <w:tcW w:w="709" w:type="dxa"/>
            <w:vAlign w:val="center"/>
          </w:tcPr>
          <w:p>
            <w:pPr>
              <w:widowControl/>
              <w:spacing w:before="156" w:beforeLines="50" w:after="156" w:afterLines="50"/>
              <w:jc w:val="center"/>
              <w:rPr>
                <w:rFonts w:ascii="宋体" w:hAnsi="宋体" w:cs="宋体"/>
                <w:sz w:val="18"/>
                <w:szCs w:val="18"/>
              </w:rPr>
            </w:pPr>
            <w:r>
              <w:rPr>
                <w:rFonts w:hint="eastAsia"/>
                <w:color w:val="000000"/>
                <w:sz w:val="18"/>
                <w:szCs w:val="18"/>
              </w:rPr>
              <w:t>糖代谢</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1.知道糖类物质的定义与糖的生理功能。</w:t>
            </w:r>
          </w:p>
          <w:p>
            <w:pPr>
              <w:snapToGrid w:val="0"/>
              <w:spacing w:line="288" w:lineRule="auto"/>
              <w:rPr>
                <w:rFonts w:ascii="宋体" w:hAnsi="宋体" w:cs="宋体"/>
                <w:sz w:val="18"/>
                <w:szCs w:val="18"/>
              </w:rPr>
            </w:pPr>
            <w:r>
              <w:rPr>
                <w:rFonts w:hint="eastAsia" w:ascii="宋体" w:hAnsi="宋体" w:cs="宋体"/>
                <w:sz w:val="18"/>
                <w:szCs w:val="18"/>
              </w:rPr>
              <w:t>2.知道糖的代谢途径。</w:t>
            </w:r>
          </w:p>
          <w:p>
            <w:pPr>
              <w:snapToGrid w:val="0"/>
              <w:spacing w:line="288" w:lineRule="auto"/>
              <w:rPr>
                <w:rFonts w:ascii="宋体" w:hAnsi="宋体" w:cs="宋体"/>
                <w:sz w:val="18"/>
                <w:szCs w:val="18"/>
              </w:rPr>
            </w:pPr>
            <w:r>
              <w:rPr>
                <w:rFonts w:hint="eastAsia" w:ascii="宋体" w:hAnsi="宋体" w:cs="宋体"/>
                <w:sz w:val="18"/>
                <w:szCs w:val="18"/>
              </w:rPr>
              <w:t>3.知道糖的储存形式。</w:t>
            </w:r>
          </w:p>
          <w:p>
            <w:pPr>
              <w:snapToGrid w:val="0"/>
              <w:spacing w:line="288" w:lineRule="auto"/>
              <w:rPr>
                <w:rFonts w:ascii="宋体" w:hAnsi="宋体" w:cs="宋体"/>
                <w:sz w:val="18"/>
                <w:szCs w:val="18"/>
              </w:rPr>
            </w:pPr>
            <w:r>
              <w:rPr>
                <w:rFonts w:hint="eastAsia" w:ascii="宋体" w:hAnsi="宋体" w:cs="宋体"/>
                <w:sz w:val="18"/>
                <w:szCs w:val="18"/>
              </w:rPr>
              <w:t>4.理解糖异生的生理意义，知道乳酸循环的作用。</w:t>
            </w:r>
          </w:p>
          <w:p>
            <w:pPr>
              <w:rPr>
                <w:rFonts w:ascii="宋体" w:hAnsi="宋体" w:cs="宋体"/>
                <w:sz w:val="18"/>
                <w:szCs w:val="18"/>
              </w:rPr>
            </w:pPr>
            <w:r>
              <w:rPr>
                <w:rFonts w:hint="eastAsia" w:ascii="宋体" w:hAnsi="宋体" w:cs="宋体"/>
                <w:sz w:val="18"/>
                <w:szCs w:val="18"/>
              </w:rPr>
              <w:t>5.掌握血糖的概念，理解血糖在体内的调节。</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1.能运用本章知识，阐述主食的重要性。</w:t>
            </w:r>
          </w:p>
          <w:p>
            <w:pPr>
              <w:rPr>
                <w:rFonts w:ascii="宋体" w:hAnsi="宋体" w:cs="Arial"/>
                <w:kern w:val="0"/>
                <w:szCs w:val="21"/>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能运用本章知识，解释糖尿病的产生原因。</w:t>
            </w:r>
          </w:p>
        </w:tc>
        <w:tc>
          <w:tcPr>
            <w:tcW w:w="1276" w:type="dxa"/>
          </w:tcPr>
          <w:p>
            <w:pPr>
              <w:snapToGrid w:val="0"/>
              <w:spacing w:line="288" w:lineRule="auto"/>
              <w:rPr>
                <w:rFonts w:ascii="宋体" w:hAnsi="宋体" w:cs="宋体"/>
                <w:kern w:val="0"/>
                <w:sz w:val="18"/>
                <w:szCs w:val="18"/>
              </w:rPr>
            </w:pPr>
            <w:r>
              <w:rPr>
                <w:rFonts w:hint="eastAsia" w:ascii="宋体" w:hAnsi="宋体" w:cs="宋体"/>
                <w:sz w:val="18"/>
                <w:szCs w:val="18"/>
              </w:rPr>
              <w:t>使学生认识到生物化学知识与生活联系紧密，学会主动学习与知识转化。</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糖的生理功能</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糖酵解与有氧氧化</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糖异生的生理意义</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1.糖的代谢途径</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糖异生</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5</w:t>
            </w:r>
          </w:p>
        </w:tc>
        <w:tc>
          <w:tcPr>
            <w:tcW w:w="709" w:type="dxa"/>
            <w:vAlign w:val="center"/>
          </w:tcPr>
          <w:p>
            <w:pPr>
              <w:widowControl/>
              <w:spacing w:before="156" w:beforeLines="50" w:after="156" w:afterLines="50"/>
              <w:jc w:val="center"/>
              <w:rPr>
                <w:rFonts w:ascii="宋体" w:hAnsi="宋体" w:cs="宋体"/>
                <w:sz w:val="18"/>
                <w:szCs w:val="18"/>
              </w:rPr>
            </w:pPr>
            <w:r>
              <w:rPr>
                <w:rFonts w:hint="eastAsia"/>
                <w:color w:val="000000"/>
                <w:sz w:val="18"/>
                <w:szCs w:val="18"/>
              </w:rPr>
              <w:t>生物氧化与能量代谢</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1.知道线粒体氧化体系与呼吸链的概念。</w:t>
            </w:r>
          </w:p>
          <w:p>
            <w:pPr>
              <w:snapToGrid w:val="0"/>
              <w:spacing w:line="288" w:lineRule="auto"/>
              <w:rPr>
                <w:rFonts w:ascii="宋体" w:hAnsi="宋体" w:cs="宋体"/>
                <w:sz w:val="18"/>
                <w:szCs w:val="18"/>
              </w:rPr>
            </w:pPr>
            <w:r>
              <w:rPr>
                <w:rFonts w:hint="eastAsia" w:ascii="宋体" w:hAnsi="宋体" w:cs="宋体"/>
                <w:sz w:val="18"/>
                <w:szCs w:val="18"/>
              </w:rPr>
              <w:t>2.理解氧化磷酸化与ATP的生成。</w:t>
            </w:r>
          </w:p>
          <w:p>
            <w:pPr>
              <w:snapToGrid w:val="0"/>
              <w:spacing w:line="288" w:lineRule="auto"/>
              <w:rPr>
                <w:rFonts w:ascii="宋体" w:hAnsi="宋体" w:cs="宋体"/>
                <w:sz w:val="18"/>
                <w:szCs w:val="18"/>
              </w:rPr>
            </w:pPr>
            <w:r>
              <w:rPr>
                <w:rFonts w:hint="eastAsia" w:ascii="宋体" w:hAnsi="宋体" w:cs="宋体"/>
                <w:sz w:val="18"/>
                <w:szCs w:val="18"/>
              </w:rPr>
              <w:t>3.知道能量的来源与去路，理解能量代谢的概念与影响因素。</w:t>
            </w:r>
          </w:p>
          <w:p>
            <w:pPr>
              <w:snapToGrid w:val="0"/>
              <w:spacing w:line="288" w:lineRule="auto"/>
              <w:rPr>
                <w:rFonts w:ascii="宋体" w:hAnsi="宋体" w:cs="宋体"/>
                <w:sz w:val="18"/>
                <w:szCs w:val="18"/>
              </w:rPr>
            </w:pPr>
            <w:r>
              <w:rPr>
                <w:rFonts w:hint="eastAsia" w:ascii="宋体" w:hAnsi="宋体" w:cs="宋体"/>
                <w:sz w:val="18"/>
                <w:szCs w:val="18"/>
              </w:rPr>
              <w:t>4.掌握体温的正常值与生理波动。</w:t>
            </w:r>
          </w:p>
          <w:p>
            <w:pPr>
              <w:snapToGrid w:val="0"/>
              <w:spacing w:line="288" w:lineRule="auto"/>
              <w:rPr>
                <w:rFonts w:ascii="宋体" w:hAnsi="宋体" w:cs="宋体"/>
                <w:sz w:val="18"/>
                <w:szCs w:val="18"/>
              </w:rPr>
            </w:pPr>
            <w:r>
              <w:rPr>
                <w:rFonts w:hint="eastAsia" w:ascii="宋体" w:hAnsi="宋体" w:cs="宋体"/>
                <w:sz w:val="18"/>
                <w:szCs w:val="18"/>
              </w:rPr>
              <w:t>5.理解机体的产热与散热机制，知道体温的调节。</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能运用本章知识，解释呼吸链阻断剂对生物产生毒性的作用机制。</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能运用本章知识，解释甲亢病人出现怕热、多汗的原因。</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使学生认识到生物氧化与能量代谢在生命活动中的重要性，学会主动学习与知识转化。</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ATP的生成</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影响能量代谢的因素</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产热与散热</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1.呼吸链的组成与功能</w:t>
            </w:r>
          </w:p>
          <w:p>
            <w:pPr>
              <w:snapToGrid w:val="0"/>
              <w:spacing w:line="288" w:lineRule="auto"/>
              <w:rPr>
                <w:rFonts w:ascii="宋体" w:hAnsi="宋体" w:cs="宋体"/>
                <w:kern w:val="0"/>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氧化磷酸化的过程与影响因素</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6</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脂质代谢</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1.知道脂质的构成、分类与功能。</w:t>
            </w:r>
          </w:p>
          <w:p>
            <w:pPr>
              <w:snapToGrid w:val="0"/>
              <w:spacing w:line="288" w:lineRule="auto"/>
              <w:rPr>
                <w:rFonts w:ascii="宋体" w:hAnsi="宋体" w:cs="宋体"/>
                <w:sz w:val="18"/>
                <w:szCs w:val="18"/>
              </w:rPr>
            </w:pPr>
            <w:r>
              <w:rPr>
                <w:rFonts w:hint="eastAsia" w:ascii="宋体" w:hAnsi="宋体" w:cs="宋体"/>
                <w:sz w:val="18"/>
                <w:szCs w:val="18"/>
              </w:rPr>
              <w:t>2.知道脂质的消化与吸收途径。</w:t>
            </w:r>
          </w:p>
          <w:p>
            <w:pPr>
              <w:snapToGrid w:val="0"/>
              <w:spacing w:line="288" w:lineRule="auto"/>
              <w:rPr>
                <w:rFonts w:ascii="宋体" w:hAnsi="宋体" w:cs="宋体"/>
                <w:sz w:val="18"/>
                <w:szCs w:val="18"/>
              </w:rPr>
            </w:pPr>
            <w:r>
              <w:rPr>
                <w:rFonts w:hint="eastAsia" w:ascii="宋体" w:hAnsi="宋体" w:cs="宋体"/>
                <w:sz w:val="18"/>
                <w:szCs w:val="18"/>
              </w:rPr>
              <w:t>3.知道甘油三酯的功能与代谢过程；理解脂肪动员、β-氧化与酮体生成</w:t>
            </w:r>
          </w:p>
          <w:p>
            <w:pPr>
              <w:snapToGrid w:val="0"/>
              <w:spacing w:line="288" w:lineRule="auto"/>
              <w:rPr>
                <w:rFonts w:ascii="宋体" w:hAnsi="宋体" w:cs="宋体"/>
                <w:sz w:val="18"/>
                <w:szCs w:val="18"/>
              </w:rPr>
            </w:pPr>
            <w:r>
              <w:rPr>
                <w:rFonts w:hint="eastAsia" w:ascii="宋体" w:hAnsi="宋体" w:cs="宋体"/>
                <w:sz w:val="18"/>
                <w:szCs w:val="18"/>
              </w:rPr>
              <w:t>4.知道胆固醇的来源与去路。</w:t>
            </w:r>
          </w:p>
          <w:p>
            <w:pPr>
              <w:snapToGrid w:val="0"/>
              <w:spacing w:line="288" w:lineRule="auto"/>
              <w:rPr>
                <w:rFonts w:ascii="宋体" w:hAnsi="宋体" w:cs="宋体"/>
                <w:sz w:val="18"/>
                <w:szCs w:val="18"/>
              </w:rPr>
            </w:pPr>
            <w:r>
              <w:rPr>
                <w:rFonts w:hint="eastAsia" w:ascii="宋体" w:hAnsi="宋体" w:cs="宋体"/>
                <w:sz w:val="18"/>
                <w:szCs w:val="18"/>
              </w:rPr>
              <w:t>5.知道血脂的概念，血浆脂蛋白的功能与临床意义</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1.能运用所学知识，进行科学、健康且营养均衡的膳食的宣教。</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能运用本章知识，解释脂肪肝、冠心病的产生原因，并给出膳食建议。</w:t>
            </w:r>
          </w:p>
        </w:tc>
        <w:tc>
          <w:tcPr>
            <w:tcW w:w="1276" w:type="dxa"/>
          </w:tcPr>
          <w:p>
            <w:pPr>
              <w:snapToGrid w:val="0"/>
              <w:spacing w:line="288" w:lineRule="auto"/>
              <w:rPr>
                <w:rFonts w:ascii="宋体" w:hAnsi="宋体" w:cs="宋体"/>
                <w:kern w:val="0"/>
                <w:sz w:val="18"/>
                <w:szCs w:val="18"/>
              </w:rPr>
            </w:pPr>
            <w:r>
              <w:rPr>
                <w:rFonts w:hint="eastAsia" w:ascii="宋体" w:hAnsi="宋体" w:cs="宋体"/>
                <w:sz w:val="18"/>
                <w:szCs w:val="18"/>
              </w:rPr>
              <w:t>使学生认识到脂类物质在生命活动中的重要性，学会主动学习与知识转化。</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β-氧化</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酮体的生成与生理意义</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胆固醇的去路</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HDL与LDL</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1.脂质的构成与分类</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β-氧化与酮体生成</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olor w:val="000000"/>
                <w:sz w:val="18"/>
                <w:szCs w:val="18"/>
              </w:rPr>
            </w:pPr>
            <w:r>
              <w:rPr>
                <w:rFonts w:hint="eastAsia" w:ascii="宋体" w:hAnsi="宋体"/>
                <w:color w:val="000000"/>
                <w:sz w:val="18"/>
                <w:szCs w:val="18"/>
              </w:rPr>
              <w:t>7</w:t>
            </w:r>
          </w:p>
        </w:tc>
        <w:tc>
          <w:tcPr>
            <w:tcW w:w="709" w:type="dxa"/>
            <w:vAlign w:val="center"/>
          </w:tcPr>
          <w:p>
            <w:pPr>
              <w:snapToGrid w:val="0"/>
              <w:spacing w:line="288" w:lineRule="auto"/>
              <w:jc w:val="center"/>
              <w:rPr>
                <w:color w:val="000000"/>
                <w:sz w:val="18"/>
                <w:szCs w:val="18"/>
              </w:rPr>
            </w:pPr>
            <w:r>
              <w:rPr>
                <w:rFonts w:hint="eastAsia"/>
                <w:color w:val="000000"/>
                <w:sz w:val="18"/>
                <w:szCs w:val="18"/>
              </w:rPr>
              <w:t>基因的传递与表达</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1.知道核酸的化学组成和一级结构。</w:t>
            </w:r>
          </w:p>
          <w:p>
            <w:pPr>
              <w:snapToGrid w:val="0"/>
              <w:spacing w:line="288" w:lineRule="auto"/>
              <w:rPr>
                <w:rFonts w:ascii="宋体" w:hAnsi="宋体" w:cs="宋体"/>
                <w:sz w:val="18"/>
                <w:szCs w:val="18"/>
              </w:rPr>
            </w:pPr>
            <w:r>
              <w:rPr>
                <w:rFonts w:hint="eastAsia" w:ascii="宋体" w:hAnsi="宋体" w:cs="宋体"/>
                <w:sz w:val="18"/>
                <w:szCs w:val="18"/>
              </w:rPr>
              <w:t xml:space="preserve">2.掌握DNA的空间结构与功能。 </w:t>
            </w:r>
          </w:p>
          <w:p>
            <w:pPr>
              <w:snapToGrid w:val="0"/>
              <w:spacing w:line="288" w:lineRule="auto"/>
              <w:rPr>
                <w:rFonts w:ascii="宋体" w:hAnsi="宋体" w:cs="宋体"/>
                <w:sz w:val="18"/>
                <w:szCs w:val="18"/>
              </w:rPr>
            </w:pPr>
            <w:r>
              <w:rPr>
                <w:rFonts w:hint="eastAsia" w:ascii="宋体" w:hAnsi="宋体" w:cs="宋体"/>
                <w:sz w:val="18"/>
                <w:szCs w:val="18"/>
              </w:rPr>
              <w:t>3.知道三种RNA的空间结构和主要功能。</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知道核酸的理化性质。</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知道遗传信息的复制、转录、翻译体系。</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1.能举例说明人类接触或暴露于电离辐射下容易导致恶性疾病或胎儿畸变的原因。</w:t>
            </w:r>
          </w:p>
          <w:p>
            <w:pPr>
              <w:snapToGrid w:val="0"/>
              <w:spacing w:line="288" w:lineRule="auto"/>
              <w:rPr>
                <w:rFonts w:ascii="宋体" w:hAnsi="宋体" w:cs="宋体"/>
                <w:sz w:val="18"/>
                <w:szCs w:val="18"/>
              </w:rPr>
            </w:pP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使学生认识到基因的传递与表达在生命活动中的重要性，学会主动学习与知识转化。</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DNA的二级结构</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三种RNA的功能</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b/>
                <w:bCs/>
                <w:sz w:val="18"/>
                <w:szCs w:val="18"/>
              </w:rPr>
            </w:pPr>
            <w:r>
              <w:rPr>
                <w:rFonts w:hint="eastAsia" w:ascii="宋体" w:hAnsi="宋体" w:cs="宋体"/>
                <w:sz w:val="18"/>
                <w:szCs w:val="18"/>
              </w:rPr>
              <w:t>1.遗传信息的复制、转录、翻译体系</w:t>
            </w:r>
          </w:p>
        </w:tc>
        <w:tc>
          <w:tcPr>
            <w:tcW w:w="425"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ascii="宋体" w:hAnsi="宋体"/>
                <w:color w:val="000000"/>
                <w:sz w:val="18"/>
                <w:szCs w:val="18"/>
              </w:rPr>
              <w:t>8</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蛋白的营养作用与氨基酸代谢</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1.知道氮平衡的概念，必需氨基酸的营养价值。</w:t>
            </w:r>
          </w:p>
          <w:p>
            <w:pPr>
              <w:snapToGrid w:val="0"/>
              <w:spacing w:line="288" w:lineRule="auto"/>
              <w:rPr>
                <w:rFonts w:ascii="宋体" w:hAnsi="宋体" w:cs="宋体"/>
                <w:sz w:val="18"/>
                <w:szCs w:val="18"/>
              </w:rPr>
            </w:pPr>
            <w:r>
              <w:rPr>
                <w:rFonts w:hint="eastAsia" w:ascii="宋体" w:hAnsi="宋体" w:cs="宋体"/>
                <w:sz w:val="18"/>
                <w:szCs w:val="18"/>
              </w:rPr>
              <w:t>2.知道氨基酸的一般代谢过程。</w:t>
            </w:r>
          </w:p>
          <w:p>
            <w:pPr>
              <w:snapToGrid w:val="0"/>
              <w:spacing w:line="288" w:lineRule="auto"/>
              <w:rPr>
                <w:rFonts w:ascii="宋体" w:hAnsi="宋体" w:cs="宋体"/>
                <w:sz w:val="18"/>
                <w:szCs w:val="18"/>
              </w:rPr>
            </w:pPr>
            <w:r>
              <w:rPr>
                <w:rFonts w:hint="eastAsia" w:ascii="宋体" w:hAnsi="宋体" w:cs="宋体"/>
                <w:sz w:val="18"/>
                <w:szCs w:val="18"/>
              </w:rPr>
              <w:t>3.知道氨的来源和去路，知道氨中毒的危害。</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知道一碳单位的生理意义，生糖氨基酸和生酮氨基酸的概念。</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1.能运用所学知识，阐述蛋白质的营养价值。</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能运用本章知识，解释转氨酶活性能够反应肝功能的原因。</w:t>
            </w:r>
          </w:p>
        </w:tc>
        <w:tc>
          <w:tcPr>
            <w:tcW w:w="1276"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使学生认识到蛋白质代谢在生命活动中的重要性，学会主动学习与知识转化。</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氮平衡</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必需氨基酸</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转氨酶的作用</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jc w:val="left"/>
              <w:rPr>
                <w:rFonts w:ascii="宋体" w:hAnsi="宋体" w:cs="宋体"/>
                <w:sz w:val="18"/>
                <w:szCs w:val="18"/>
              </w:rPr>
            </w:pPr>
            <w:r>
              <w:rPr>
                <w:rFonts w:hint="eastAsia" w:ascii="宋体" w:hAnsi="宋体" w:cs="宋体"/>
                <w:sz w:val="18"/>
                <w:szCs w:val="18"/>
              </w:rPr>
              <w:t>1.氨基酸的一般代谢过程。</w:t>
            </w:r>
          </w:p>
          <w:p>
            <w:pPr>
              <w:snapToGrid w:val="0"/>
              <w:spacing w:line="288" w:lineRule="auto"/>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一碳单位、叶酸和VitB</w:t>
            </w:r>
            <w:r>
              <w:rPr>
                <w:rFonts w:ascii="宋体" w:hAnsi="宋体" w:cs="宋体"/>
                <w:sz w:val="18"/>
                <w:szCs w:val="18"/>
                <w:vertAlign w:val="subscript"/>
              </w:rPr>
              <w:t>12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9</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核苷酸代谢</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了解核苷酸的合成径与分解代谢。</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理解尿酸与痛风的产生</w:t>
            </w:r>
          </w:p>
        </w:tc>
        <w:tc>
          <w:tcPr>
            <w:tcW w:w="1559" w:type="dxa"/>
          </w:tcPr>
          <w:p>
            <w:pPr>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能运用所学知识，解释痛风产生的原因</w:t>
            </w:r>
          </w:p>
        </w:tc>
        <w:tc>
          <w:tcPr>
            <w:tcW w:w="1276"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充分认识到生物化学知识在人体生命活动中的重要性。</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尿酸的生成与代谢</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1.核苷酸的合成</w:t>
            </w:r>
          </w:p>
        </w:tc>
        <w:tc>
          <w:tcPr>
            <w:tcW w:w="425"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ind w:left="-105" w:leftChars="-50"/>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10</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代谢的整合与调节</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理解代谢的整体性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知道代谢调节的主要方式</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知道人体各组织器官的代谢特点</w:t>
            </w:r>
          </w:p>
        </w:tc>
        <w:tc>
          <w:tcPr>
            <w:tcW w:w="1559" w:type="dxa"/>
          </w:tcPr>
          <w:p>
            <w:pPr>
              <w:rPr>
                <w:rFonts w:ascii="宋体" w:hAnsi="宋体" w:cs="宋体"/>
                <w:sz w:val="18"/>
                <w:szCs w:val="18"/>
              </w:rPr>
            </w:pPr>
            <w:r>
              <w:rPr>
                <w:rFonts w:hint="eastAsia" w:ascii="宋体" w:hAnsi="宋体" w:cs="宋体"/>
                <w:sz w:val="18"/>
                <w:szCs w:val="18"/>
              </w:rPr>
              <w:t>能通过自学与小组合作，完成研究学习任务。</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通过PBL的开展激发学生学习兴趣。</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代谢的整体性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代谢调节方式</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人体各组织器官的代谢特点</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11</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细胞的基本功能</w:t>
            </w:r>
          </w:p>
        </w:tc>
        <w:tc>
          <w:tcPr>
            <w:tcW w:w="2268" w:type="dxa"/>
          </w:tcPr>
          <w:p>
            <w:pPr>
              <w:snapToGrid w:val="0"/>
              <w:spacing w:line="288" w:lineRule="auto"/>
              <w:rPr>
                <w:rFonts w:ascii="宋体" w:hAnsi="宋体" w:cs="宋体"/>
                <w:sz w:val="18"/>
                <w:szCs w:val="18"/>
              </w:rPr>
            </w:pPr>
            <w:r>
              <w:rPr>
                <w:rFonts w:ascii="宋体" w:hAnsi="宋体" w:cs="宋体"/>
                <w:sz w:val="18"/>
                <w:szCs w:val="18"/>
              </w:rPr>
              <w:t>1.</w:t>
            </w:r>
            <w:r>
              <w:rPr>
                <w:rFonts w:hint="eastAsia" w:ascii="宋体" w:hAnsi="宋体" w:cs="宋体"/>
                <w:sz w:val="18"/>
                <w:szCs w:val="18"/>
              </w:rPr>
              <w:t>知道细胞膜的物质转运功能。</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了解细胞的信号转导功能。</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理解细胞的生物电现象；知道动作电位的机制</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掌握骨骼肌细胞的收缩机制，知道骨骼肌的收缩形式。</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能运用所学基本知识，解释瘫痪、肌无力的形成原理。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能运用所学知识阐述钠和钾对人体的重要性。</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使学生认识到宏观与微观具有关联性，学会主动学习与知识转化。</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1.细胞膜的物质转运</w:t>
            </w:r>
          </w:p>
          <w:p>
            <w:pPr>
              <w:snapToGrid w:val="0"/>
              <w:spacing w:line="288" w:lineRule="auto"/>
              <w:rPr>
                <w:rFonts w:ascii="宋体" w:hAnsi="宋体" w:cs="宋体"/>
                <w:sz w:val="18"/>
                <w:szCs w:val="18"/>
              </w:rPr>
            </w:pPr>
            <w:r>
              <w:rPr>
                <w:rFonts w:hint="eastAsia" w:ascii="宋体" w:hAnsi="宋体" w:cs="宋体"/>
                <w:sz w:val="18"/>
                <w:szCs w:val="18"/>
              </w:rPr>
              <w:t>2.动作电位</w:t>
            </w:r>
          </w:p>
          <w:p>
            <w:pPr>
              <w:snapToGrid w:val="0"/>
              <w:spacing w:line="288" w:lineRule="auto"/>
              <w:rPr>
                <w:rFonts w:ascii="宋体" w:hAnsi="宋体" w:cs="宋体"/>
                <w:sz w:val="18"/>
                <w:szCs w:val="18"/>
              </w:rPr>
            </w:pPr>
            <w:r>
              <w:rPr>
                <w:rFonts w:hint="eastAsia" w:ascii="宋体" w:hAnsi="宋体" w:cs="宋体"/>
                <w:sz w:val="18"/>
                <w:szCs w:val="18"/>
              </w:rPr>
              <w:t>3.肌细胞的收缩</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动作电位</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肌细胞的兴奋-收缩耦连</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12</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血液</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知道血液的组成与理化性质。</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知道血细胞的生成与生理特性。</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知道生理性止血的作用；了解抗凝与纤溶系统。</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知道ABO与Rh血型分类；掌握输血原则</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能运用所学知识，分析临床常见的贫血原因，并说出各类贫血的预防和治疗措施</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掌握ABO血型测定的方法。</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通过学习血液、血量和输血等知识,增强珍爱生命,维持健康的理念。</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1.血浆渗透压</w:t>
            </w:r>
          </w:p>
          <w:p>
            <w:pPr>
              <w:snapToGrid w:val="0"/>
              <w:spacing w:line="288" w:lineRule="auto"/>
              <w:rPr>
                <w:rFonts w:ascii="宋体" w:hAnsi="宋体" w:cs="宋体"/>
                <w:sz w:val="18"/>
                <w:szCs w:val="18"/>
              </w:rPr>
            </w:pPr>
            <w:r>
              <w:rPr>
                <w:rFonts w:hint="eastAsia" w:ascii="宋体" w:hAnsi="宋体" w:cs="宋体"/>
                <w:sz w:val="18"/>
                <w:szCs w:val="18"/>
              </w:rPr>
              <w:t>2.红细胞生理</w:t>
            </w:r>
          </w:p>
          <w:p>
            <w:pPr>
              <w:snapToGrid w:val="0"/>
              <w:spacing w:line="288" w:lineRule="auto"/>
              <w:rPr>
                <w:rFonts w:ascii="宋体" w:hAnsi="宋体" w:cs="宋体"/>
                <w:sz w:val="18"/>
                <w:szCs w:val="18"/>
              </w:rPr>
            </w:pPr>
            <w:r>
              <w:rPr>
                <w:rFonts w:hint="eastAsia" w:ascii="宋体" w:hAnsi="宋体" w:cs="宋体"/>
                <w:sz w:val="18"/>
                <w:szCs w:val="18"/>
              </w:rPr>
              <w:t>3.生理性止血</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渗透压的原理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血液凝固</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Rh阴性女性妊娠与新生儿溶血</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13</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消化</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知道唾液的成分和作用</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知道胃液的成分和作用；理解胃的运动、胃排空特点。</w:t>
            </w:r>
          </w:p>
          <w:p>
            <w:pPr>
              <w:snapToGrid w:val="0"/>
              <w:spacing w:line="288" w:lineRule="auto"/>
              <w:rPr>
                <w:rFonts w:ascii="宋体" w:hAnsi="宋体" w:cs="宋体"/>
                <w:sz w:val="18"/>
                <w:szCs w:val="18"/>
              </w:rPr>
            </w:pPr>
            <w:r>
              <w:rPr>
                <w:rFonts w:ascii="宋体" w:hAnsi="宋体" w:cs="宋体"/>
                <w:sz w:val="18"/>
                <w:szCs w:val="18"/>
              </w:rPr>
              <w:t>3.</w:t>
            </w:r>
            <w:r>
              <w:rPr>
                <w:rFonts w:hint="eastAsia" w:ascii="宋体" w:hAnsi="宋体" w:cs="宋体"/>
                <w:sz w:val="18"/>
                <w:szCs w:val="18"/>
              </w:rPr>
              <w:t>知道小肠内的消化液种类，小肠的运动形式。</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知道大肠的生理功能，肠内细菌的作用，大肠的运动和排便。</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知道吸收的部位和途径</w:t>
            </w:r>
          </w:p>
          <w:p>
            <w:pPr>
              <w:snapToGrid w:val="0"/>
              <w:spacing w:line="288" w:lineRule="auto"/>
              <w:rPr>
                <w:rFonts w:ascii="宋体" w:hAnsi="宋体" w:cs="宋体"/>
                <w:sz w:val="18"/>
                <w:szCs w:val="18"/>
              </w:rPr>
            </w:pPr>
            <w:r>
              <w:rPr>
                <w:rFonts w:hint="eastAsia" w:ascii="宋体" w:hAnsi="宋体" w:cs="宋体"/>
                <w:sz w:val="18"/>
                <w:szCs w:val="18"/>
              </w:rPr>
              <w:t>6</w:t>
            </w:r>
            <w:r>
              <w:rPr>
                <w:rFonts w:ascii="宋体" w:hAnsi="宋体" w:cs="宋体"/>
                <w:sz w:val="18"/>
                <w:szCs w:val="18"/>
              </w:rPr>
              <w:t>.</w:t>
            </w:r>
            <w:r>
              <w:rPr>
                <w:rFonts w:hint="eastAsia" w:ascii="宋体" w:hAnsi="宋体" w:cs="宋体"/>
                <w:sz w:val="18"/>
                <w:szCs w:val="18"/>
              </w:rPr>
              <w:t>理解消化器官活动的调节方式，了解胃肠激素。</w:t>
            </w:r>
          </w:p>
        </w:tc>
        <w:tc>
          <w:tcPr>
            <w:tcW w:w="1559" w:type="dxa"/>
          </w:tcPr>
          <w:p>
            <w:pPr>
              <w:rPr>
                <w:rFonts w:ascii="宋体" w:hAnsi="宋体" w:cs="宋体"/>
                <w:sz w:val="18"/>
                <w:szCs w:val="18"/>
              </w:rPr>
            </w:pPr>
            <w:r>
              <w:rPr>
                <w:rFonts w:hint="eastAsia" w:ascii="宋体" w:hAnsi="宋体" w:cs="宋体"/>
                <w:sz w:val="18"/>
                <w:szCs w:val="18"/>
              </w:rPr>
              <w:t>1.能运用本章知识，解释反流性食管炎、消化性溃疡、胆石症、的产生机制。</w:t>
            </w:r>
          </w:p>
          <w:p>
            <w:pPr>
              <w:rPr>
                <w:rFonts w:ascii="宋体" w:hAnsi="宋体" w:cs="宋体"/>
                <w:sz w:val="18"/>
                <w:szCs w:val="18"/>
              </w:rPr>
            </w:pPr>
            <w:r>
              <w:rPr>
                <w:rFonts w:hint="eastAsia" w:ascii="宋体" w:hAnsi="宋体" w:cs="宋体"/>
                <w:sz w:val="18"/>
                <w:szCs w:val="18"/>
              </w:rPr>
              <w:t>2.能运用本章知识，解释饭后不宜剧烈运动的原理，能说出益生菌在大肠内的作用。</w:t>
            </w:r>
          </w:p>
        </w:tc>
        <w:tc>
          <w:tcPr>
            <w:tcW w:w="1276" w:type="dxa"/>
          </w:tcPr>
          <w:p>
            <w:pPr>
              <w:tabs>
                <w:tab w:val="left" w:pos="312"/>
              </w:tabs>
              <w:snapToGrid w:val="0"/>
              <w:spacing w:line="288" w:lineRule="auto"/>
              <w:rPr>
                <w:rFonts w:ascii="宋体" w:hAnsi="宋体" w:cs="宋体"/>
                <w:sz w:val="18"/>
                <w:szCs w:val="18"/>
              </w:rPr>
            </w:pPr>
            <w:r>
              <w:rPr>
                <w:rFonts w:hint="eastAsia" w:ascii="宋体" w:hAnsi="宋体" w:cs="宋体"/>
                <w:sz w:val="18"/>
                <w:szCs w:val="18"/>
              </w:rPr>
              <w:t>充分认识到消化和吸收在人体生命活动中的重要性，从而树立科学、合理膳食的观念。</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1.盐酸和胃蛋白酶的作用</w:t>
            </w:r>
          </w:p>
          <w:p>
            <w:pPr>
              <w:snapToGrid w:val="0"/>
              <w:spacing w:line="288" w:lineRule="auto"/>
              <w:rPr>
                <w:rFonts w:ascii="宋体" w:hAnsi="宋体" w:cs="宋体"/>
                <w:sz w:val="18"/>
                <w:szCs w:val="18"/>
              </w:rPr>
            </w:pPr>
            <w:r>
              <w:rPr>
                <w:rFonts w:hint="eastAsia" w:ascii="宋体" w:hAnsi="宋体" w:cs="宋体"/>
                <w:sz w:val="18"/>
                <w:szCs w:val="18"/>
              </w:rPr>
              <w:t>2.黏液-碳酸氢盐屏障</w:t>
            </w:r>
          </w:p>
          <w:p>
            <w:pPr>
              <w:snapToGrid w:val="0"/>
              <w:spacing w:line="288" w:lineRule="auto"/>
              <w:rPr>
                <w:rFonts w:ascii="宋体" w:hAnsi="宋体" w:cs="宋体"/>
                <w:sz w:val="18"/>
                <w:szCs w:val="18"/>
              </w:rPr>
            </w:pPr>
            <w:r>
              <w:rPr>
                <w:rFonts w:hint="eastAsia" w:ascii="宋体" w:hAnsi="宋体" w:cs="宋体"/>
                <w:sz w:val="18"/>
                <w:szCs w:val="18"/>
              </w:rPr>
              <w:t>3.胰液的成分</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胆汁的作用</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黏液-碳酸氢盐屏障的原理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胃肠激素的作用</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3</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14</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呼吸</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知道呼吸的基本环节</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知道肺通气的动力、阻力以及及形成因素</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理解气体交换的原理，气体在血液中的运输形式</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知道呼吸中枢与呼吸的反射性调节</w:t>
            </w:r>
          </w:p>
        </w:tc>
        <w:tc>
          <w:tcPr>
            <w:tcW w:w="1559" w:type="dxa"/>
          </w:tcPr>
          <w:p>
            <w:pPr>
              <w:rPr>
                <w:rFonts w:ascii="宋体" w:hAnsi="宋体" w:cs="宋体"/>
                <w:sz w:val="18"/>
                <w:szCs w:val="18"/>
              </w:rPr>
            </w:pPr>
            <w:r>
              <w:rPr>
                <w:rFonts w:hint="eastAsia" w:ascii="宋体" w:hAnsi="宋体" w:cs="宋体"/>
                <w:sz w:val="18"/>
                <w:szCs w:val="18"/>
              </w:rPr>
              <w:t>1.能运用本章知识，解释人工呼吸的原理，分析呼吸系统疾病的产生机制和临床表现。</w:t>
            </w:r>
          </w:p>
          <w:p>
            <w:pPr>
              <w:snapToGrid w:val="0"/>
              <w:spacing w:line="288" w:lineRule="auto"/>
              <w:rPr>
                <w:rFonts w:ascii="宋体" w:hAnsi="宋体" w:cs="宋体"/>
                <w:sz w:val="18"/>
                <w:szCs w:val="18"/>
              </w:rPr>
            </w:pPr>
            <w:r>
              <w:rPr>
                <w:rFonts w:ascii="宋体" w:hAnsi="宋体" w:cs="宋体"/>
                <w:sz w:val="18"/>
                <w:szCs w:val="18"/>
              </w:rPr>
              <w:t>2</w:t>
            </w:r>
            <w:r>
              <w:rPr>
                <w:rFonts w:hint="eastAsia" w:ascii="宋体" w:hAnsi="宋体" w:cs="宋体"/>
                <w:sz w:val="18"/>
                <w:szCs w:val="18"/>
              </w:rPr>
              <w:t>.能运用本章知识，解释高原反应的产生机制。</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充分认识到呼吸对于生命的意义，从而能进行主动、积极的学习。</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1.胸膜腔负压</w:t>
            </w:r>
          </w:p>
          <w:p>
            <w:pPr>
              <w:snapToGrid w:val="0"/>
              <w:spacing w:line="288" w:lineRule="auto"/>
              <w:rPr>
                <w:rFonts w:ascii="宋体" w:hAnsi="宋体" w:cs="宋体"/>
                <w:sz w:val="18"/>
                <w:szCs w:val="18"/>
              </w:rPr>
            </w:pPr>
            <w:r>
              <w:rPr>
                <w:rFonts w:hint="eastAsia" w:ascii="宋体" w:hAnsi="宋体" w:cs="宋体"/>
                <w:sz w:val="18"/>
                <w:szCs w:val="18"/>
              </w:rPr>
              <w:t>2.肺泡表面活性物质的生理意义</w:t>
            </w:r>
          </w:p>
          <w:p>
            <w:pPr>
              <w:snapToGrid w:val="0"/>
              <w:spacing w:line="288" w:lineRule="auto"/>
              <w:rPr>
                <w:rFonts w:ascii="宋体" w:hAnsi="宋体" w:cs="宋体"/>
                <w:sz w:val="18"/>
                <w:szCs w:val="18"/>
              </w:rPr>
            </w:pPr>
            <w:r>
              <w:rPr>
                <w:rFonts w:hint="eastAsia" w:ascii="宋体" w:hAnsi="宋体" w:cs="宋体"/>
                <w:sz w:val="18"/>
                <w:szCs w:val="18"/>
              </w:rPr>
              <w:t>3.氧解离曲线</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气体交换原理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氧解离曲线</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15</w:t>
            </w:r>
          </w:p>
        </w:tc>
        <w:tc>
          <w:tcPr>
            <w:tcW w:w="709" w:type="dxa"/>
            <w:vAlign w:val="center"/>
          </w:tcPr>
          <w:p>
            <w:pPr>
              <w:snapToGrid w:val="0"/>
              <w:spacing w:line="288" w:lineRule="auto"/>
              <w:jc w:val="center"/>
              <w:rPr>
                <w:rFonts w:ascii="宋体" w:hAnsi="宋体" w:cs="宋体"/>
                <w:sz w:val="18"/>
                <w:szCs w:val="18"/>
              </w:rPr>
            </w:pPr>
            <w:r>
              <w:rPr>
                <w:rFonts w:hint="eastAsia"/>
                <w:color w:val="000000"/>
                <w:sz w:val="18"/>
                <w:szCs w:val="18"/>
              </w:rPr>
              <w:t>尿的生成与调节</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知道尿生成的过程；理解肾小球的滤过机制和影响因素。</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知道肾小管和集合管的重吸收、分泌与排泄作用</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理解尿液浓缩与稀释的调节原理；</w:t>
            </w:r>
            <w:r>
              <w:rPr>
                <w:rFonts w:ascii="宋体" w:hAnsi="宋体" w:cs="宋体"/>
                <w:sz w:val="18"/>
                <w:szCs w:val="18"/>
              </w:rPr>
              <w:t xml:space="preserve"> </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知道排尿的机制与排尿反射。</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知道水和无机盐的生理功能；水的摄入与排出；钠钾钙的代谢。</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能运用所学知识，解释尿崩症、尿失禁、尿潴留的产生原因和机制。</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具有为病人做泌尿系统疾病健康指导的意识和能力。</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认识到肾的泌尿功能对生命的重要性，逐渐产生对病人的同情心与运用所学知识造福社会的服务意识。</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1.肾小球滤过</w:t>
            </w:r>
          </w:p>
          <w:p>
            <w:pPr>
              <w:snapToGrid w:val="0"/>
              <w:spacing w:line="288" w:lineRule="auto"/>
              <w:rPr>
                <w:rFonts w:ascii="宋体" w:hAnsi="宋体" w:cs="宋体"/>
                <w:sz w:val="18"/>
                <w:szCs w:val="18"/>
              </w:rPr>
            </w:pPr>
            <w:r>
              <w:rPr>
                <w:rFonts w:hint="eastAsia" w:ascii="宋体" w:hAnsi="宋体" w:cs="宋体"/>
                <w:sz w:val="18"/>
                <w:szCs w:val="18"/>
              </w:rPr>
              <w:t>2.尿的浓缩和稀释</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水平衡</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肾小管与集合管的重吸收、分泌和排泄</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尿生成的调节</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16</w:t>
            </w:r>
          </w:p>
        </w:tc>
        <w:tc>
          <w:tcPr>
            <w:tcW w:w="709" w:type="dxa"/>
            <w:vAlign w:val="center"/>
          </w:tcPr>
          <w:p>
            <w:pPr>
              <w:snapToGrid w:val="0"/>
              <w:spacing w:line="288" w:lineRule="auto"/>
              <w:jc w:val="center"/>
              <w:rPr>
                <w:rFonts w:ascii="宋体" w:hAnsi="宋体" w:cs="宋体"/>
                <w:b/>
                <w:bCs/>
                <w:sz w:val="18"/>
                <w:szCs w:val="18"/>
              </w:rPr>
            </w:pPr>
            <w:r>
              <w:rPr>
                <w:rFonts w:hint="eastAsia"/>
                <w:color w:val="000000"/>
                <w:sz w:val="18"/>
                <w:szCs w:val="18"/>
              </w:rPr>
              <w:t>循环系统</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理解心脏泵血的过程，知道心输出量的影响因素</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知道心肌细胞的生物电现象和生理特性。</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掌握动静脉血压的形成和影响因素。</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知道微循环的通路和微循环调节。</w:t>
            </w:r>
          </w:p>
          <w:p>
            <w:pPr>
              <w:snapToGrid w:val="0"/>
              <w:spacing w:line="288" w:lineRule="auto"/>
              <w:rPr>
                <w:rFonts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知道组织液的生成和影响因素。</w:t>
            </w:r>
          </w:p>
          <w:p>
            <w:pPr>
              <w:snapToGrid w:val="0"/>
              <w:spacing w:line="288" w:lineRule="auto"/>
              <w:rPr>
                <w:rFonts w:ascii="宋体" w:hAnsi="宋体" w:cs="宋体"/>
                <w:b/>
                <w:bCs/>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理解心血管活动的调节</w:t>
            </w:r>
          </w:p>
        </w:tc>
        <w:tc>
          <w:tcPr>
            <w:tcW w:w="1559" w:type="dxa"/>
          </w:tcPr>
          <w:p>
            <w:pPr>
              <w:snapToGrid w:val="0"/>
              <w:spacing w:line="288" w:lineRule="auto"/>
              <w:rPr>
                <w:rFonts w:ascii="宋体" w:hAnsi="宋体" w:cs="宋体"/>
                <w:b/>
                <w:bCs/>
                <w:sz w:val="18"/>
                <w:szCs w:val="18"/>
              </w:rPr>
            </w:pPr>
            <w:r>
              <w:rPr>
                <w:rFonts w:hint="eastAsia" w:ascii="宋体" w:hAnsi="宋体" w:cs="宋体"/>
                <w:sz w:val="18"/>
                <w:szCs w:val="18"/>
              </w:rPr>
              <w:t>能运用本章所学知识，解释常见心血管系统疾病（如心律失常、心力衰竭、高血压、冠心病等）的临床表现。</w:t>
            </w:r>
          </w:p>
        </w:tc>
        <w:tc>
          <w:tcPr>
            <w:tcW w:w="1276" w:type="dxa"/>
          </w:tcPr>
          <w:p>
            <w:pPr>
              <w:snapToGrid w:val="0"/>
              <w:spacing w:line="288" w:lineRule="auto"/>
              <w:rPr>
                <w:rFonts w:ascii="宋体" w:hAnsi="宋体" w:cs="宋体"/>
                <w:sz w:val="18"/>
                <w:szCs w:val="18"/>
              </w:rPr>
            </w:pPr>
            <w:r>
              <w:rPr>
                <w:rFonts w:hint="eastAsia" w:ascii="宋体" w:hAnsi="宋体" w:cs="宋体"/>
                <w:sz w:val="18"/>
                <w:szCs w:val="18"/>
              </w:rPr>
              <w:t>认识到良好的心态和生活习惯是预防心血管疾病的重要因素，并增强健康宣教意识。</w:t>
            </w:r>
          </w:p>
          <w:p>
            <w:pPr>
              <w:snapToGrid w:val="0"/>
              <w:spacing w:line="288" w:lineRule="auto"/>
              <w:rPr>
                <w:rFonts w:ascii="宋体" w:hAnsi="宋体" w:cs="宋体"/>
                <w:sz w:val="18"/>
                <w:szCs w:val="18"/>
              </w:rPr>
            </w:pP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1.心泵功能</w:t>
            </w:r>
          </w:p>
          <w:p>
            <w:pPr>
              <w:snapToGrid w:val="0"/>
              <w:spacing w:line="288" w:lineRule="auto"/>
              <w:rPr>
                <w:rFonts w:ascii="宋体" w:hAnsi="宋体" w:cs="宋体"/>
                <w:sz w:val="18"/>
                <w:szCs w:val="18"/>
              </w:rPr>
            </w:pPr>
            <w:r>
              <w:rPr>
                <w:rFonts w:hint="eastAsia" w:ascii="宋体" w:hAnsi="宋体" w:cs="宋体"/>
                <w:sz w:val="18"/>
                <w:szCs w:val="18"/>
              </w:rPr>
              <w:t>2.心肌细胞的生理特性</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动脉血压</w:t>
            </w:r>
          </w:p>
          <w:p>
            <w:pPr>
              <w:snapToGrid w:val="0"/>
              <w:spacing w:line="288" w:lineRule="auto"/>
              <w:rPr>
                <w:rFonts w:ascii="宋体" w:hAnsi="宋体" w:cs="宋体"/>
                <w:sz w:val="18"/>
                <w:szCs w:val="18"/>
              </w:rPr>
            </w:pPr>
            <w:r>
              <w:rPr>
                <w:rFonts w:ascii="宋体" w:hAnsi="宋体" w:cs="宋体"/>
                <w:sz w:val="18"/>
                <w:szCs w:val="18"/>
              </w:rPr>
              <w:t>4.</w:t>
            </w:r>
            <w:r>
              <w:rPr>
                <w:rFonts w:hint="eastAsia" w:ascii="宋体" w:hAnsi="宋体" w:cs="宋体"/>
                <w:sz w:val="18"/>
                <w:szCs w:val="18"/>
              </w:rPr>
              <w:t>心血管活动的调节</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心脏电生理</w:t>
            </w:r>
            <w:r>
              <w:rPr>
                <w:rFonts w:ascii="宋体" w:hAnsi="宋体" w:cs="宋体"/>
                <w:sz w:val="18"/>
                <w:szCs w:val="18"/>
              </w:rPr>
              <w:t xml:space="preserve"> </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动脉血压的形成原理</w:t>
            </w:r>
          </w:p>
          <w:p>
            <w:pPr>
              <w:snapToGrid w:val="0"/>
              <w:spacing w:line="288" w:lineRule="auto"/>
              <w:rPr>
                <w:rFonts w:ascii="宋体" w:hAnsi="宋体" w:cs="宋体"/>
                <w:b/>
                <w:bCs/>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心血管活动的调节</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w:t>
            </w:r>
            <w:r>
              <w:rPr>
                <w:rFonts w:ascii="宋体" w:hAnsi="宋体"/>
                <w:color w:val="000000"/>
                <w:sz w:val="18"/>
                <w:szCs w:val="18"/>
              </w:rPr>
              <w:t>7</w:t>
            </w:r>
          </w:p>
        </w:tc>
        <w:tc>
          <w:tcPr>
            <w:tcW w:w="709" w:type="dxa"/>
            <w:vAlign w:val="center"/>
          </w:tcPr>
          <w:p>
            <w:pPr>
              <w:snapToGrid w:val="0"/>
              <w:spacing w:line="288" w:lineRule="auto"/>
              <w:jc w:val="center"/>
              <w:rPr>
                <w:rFonts w:ascii="宋体" w:hAnsi="宋体" w:cs="宋体"/>
                <w:b/>
                <w:bCs/>
                <w:sz w:val="18"/>
                <w:szCs w:val="18"/>
              </w:rPr>
            </w:pPr>
            <w:r>
              <w:rPr>
                <w:rFonts w:hint="eastAsia"/>
                <w:color w:val="000000"/>
                <w:sz w:val="18"/>
                <w:szCs w:val="18"/>
              </w:rPr>
              <w:t>神经系统</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知道神经系统功能活动的基本原理</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知道神经系统的感觉功能。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知道神经系统对躯体运动的调节。</w:t>
            </w:r>
          </w:p>
          <w:p>
            <w:pPr>
              <w:snapToGrid w:val="0"/>
              <w:spacing w:line="288" w:lineRule="auto"/>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知道神经系统对内脏活动的调节。</w:t>
            </w:r>
          </w:p>
          <w:p>
            <w:pPr>
              <w:snapToGrid w:val="0"/>
              <w:spacing w:line="288" w:lineRule="auto"/>
              <w:rPr>
                <w:rFonts w:ascii="宋体" w:hAnsi="宋体" w:cs="宋体"/>
                <w:b/>
                <w:bCs/>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知道脑的高级功能。</w:t>
            </w:r>
          </w:p>
        </w:tc>
        <w:tc>
          <w:tcPr>
            <w:tcW w:w="1559" w:type="dxa"/>
          </w:tcPr>
          <w:p>
            <w:pPr>
              <w:snapToGrid w:val="0"/>
              <w:spacing w:line="288" w:lineRule="auto"/>
              <w:rPr>
                <w:rFonts w:ascii="宋体" w:hAnsi="宋体" w:cs="宋体"/>
                <w:b/>
                <w:bCs/>
                <w:sz w:val="18"/>
                <w:szCs w:val="18"/>
              </w:rPr>
            </w:pPr>
            <w:r>
              <w:rPr>
                <w:rFonts w:hint="eastAsia" w:ascii="宋体" w:hAnsi="宋体" w:cs="宋体"/>
                <w:sz w:val="18"/>
                <w:szCs w:val="18"/>
              </w:rPr>
              <w:t>能运用所学知识，解释相关护理康复操作技术和日常一些生活现象；养成用理论知识解决临床问题和生活实例的思维意识。</w:t>
            </w:r>
          </w:p>
        </w:tc>
        <w:tc>
          <w:tcPr>
            <w:tcW w:w="1276" w:type="dxa"/>
          </w:tcPr>
          <w:p>
            <w:pPr>
              <w:snapToGrid w:val="0"/>
              <w:spacing w:line="288" w:lineRule="auto"/>
              <w:rPr>
                <w:rFonts w:ascii="宋体" w:hAnsi="宋体" w:cs="宋体"/>
                <w:b/>
                <w:bCs/>
                <w:sz w:val="18"/>
                <w:szCs w:val="18"/>
              </w:rPr>
            </w:pPr>
            <w:r>
              <w:rPr>
                <w:rFonts w:hint="eastAsia" w:ascii="宋体" w:hAnsi="宋体" w:cs="宋体"/>
                <w:sz w:val="18"/>
                <w:szCs w:val="18"/>
              </w:rPr>
              <w:t>认知神经系统对人体生命活动的重要性，关注神经系统损伤对健康的影响；感悟生命的意义。</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1.神经突触、递质和受体</w:t>
            </w:r>
          </w:p>
          <w:p>
            <w:pPr>
              <w:snapToGrid w:val="0"/>
              <w:spacing w:line="288" w:lineRule="auto"/>
              <w:rPr>
                <w:rFonts w:ascii="宋体" w:hAnsi="宋体" w:cs="宋体"/>
                <w:sz w:val="18"/>
                <w:szCs w:val="18"/>
              </w:rPr>
            </w:pPr>
            <w:r>
              <w:rPr>
                <w:rFonts w:hint="eastAsia" w:ascii="宋体" w:hAnsi="宋体" w:cs="宋体"/>
                <w:sz w:val="18"/>
                <w:szCs w:val="18"/>
              </w:rPr>
              <w:t>2.内脏痛的特点</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脊髓反射与脊休克</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神经元之间的信号传递</w:t>
            </w:r>
          </w:p>
          <w:p>
            <w:pPr>
              <w:snapToGrid w:val="0"/>
              <w:spacing w:line="288" w:lineRule="auto"/>
              <w:rPr>
                <w:rFonts w:ascii="宋体" w:hAnsi="宋体" w:cs="宋体"/>
                <w:b/>
                <w:bCs/>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自主神经的功能</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s="宋体"/>
                <w:sz w:val="18"/>
                <w:szCs w:val="18"/>
              </w:rPr>
            </w:pPr>
            <w:r>
              <w:rPr>
                <w:rFonts w:hint="eastAsia" w:ascii="宋体" w:hAnsi="宋体"/>
                <w:color w:val="000000"/>
                <w:sz w:val="18"/>
                <w:szCs w:val="18"/>
              </w:rPr>
              <w:t>1</w:t>
            </w:r>
            <w:r>
              <w:rPr>
                <w:rFonts w:ascii="宋体" w:hAnsi="宋体"/>
                <w:color w:val="000000"/>
                <w:sz w:val="18"/>
                <w:szCs w:val="18"/>
              </w:rPr>
              <w:t>8</w:t>
            </w:r>
          </w:p>
        </w:tc>
        <w:tc>
          <w:tcPr>
            <w:tcW w:w="709" w:type="dxa"/>
            <w:vAlign w:val="center"/>
          </w:tcPr>
          <w:p>
            <w:pPr>
              <w:snapToGrid w:val="0"/>
              <w:spacing w:line="288" w:lineRule="auto"/>
              <w:jc w:val="center"/>
              <w:rPr>
                <w:rFonts w:ascii="宋体" w:hAnsi="宋体" w:cs="宋体"/>
                <w:b/>
                <w:bCs/>
                <w:sz w:val="18"/>
                <w:szCs w:val="18"/>
              </w:rPr>
            </w:pPr>
            <w:r>
              <w:rPr>
                <w:rFonts w:hint="eastAsia"/>
                <w:color w:val="000000"/>
                <w:sz w:val="18"/>
                <w:szCs w:val="18"/>
              </w:rPr>
              <w:t>内分泌</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知道激素的概念与激素作用的一般特征。</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知道下丘脑-垂体系统的功能。</w:t>
            </w:r>
          </w:p>
          <w:p>
            <w:pPr>
              <w:snapToGrid w:val="0"/>
              <w:spacing w:line="288" w:lineRule="auto"/>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知道各内分泌器官的功能与调节。</w:t>
            </w:r>
          </w:p>
          <w:p>
            <w:pPr>
              <w:snapToGrid w:val="0"/>
              <w:spacing w:line="288" w:lineRule="auto"/>
              <w:rPr>
                <w:rFonts w:ascii="宋体" w:hAnsi="宋体" w:cs="宋体"/>
                <w:b/>
                <w:bCs/>
                <w:sz w:val="18"/>
                <w:szCs w:val="18"/>
              </w:rPr>
            </w:pPr>
            <w:r>
              <w:rPr>
                <w:rFonts w:ascii="宋体" w:hAnsi="宋体" w:cs="宋体"/>
                <w:sz w:val="18"/>
                <w:szCs w:val="18"/>
              </w:rPr>
              <w:t>4.</w:t>
            </w:r>
            <w:r>
              <w:rPr>
                <w:rFonts w:hint="eastAsia" w:ascii="宋体" w:hAnsi="宋体" w:cs="宋体"/>
                <w:sz w:val="18"/>
                <w:szCs w:val="18"/>
              </w:rPr>
              <w:t>知道生长激素、催乳素、甲状腺激素、甲状旁腺激素、降钙素、胰岛素、胰高血糖素、肾上腺激素、糖皮质激素、性激素的生理作用。</w:t>
            </w:r>
          </w:p>
        </w:tc>
        <w:tc>
          <w:tcPr>
            <w:tcW w:w="1559" w:type="dxa"/>
          </w:tcPr>
          <w:p>
            <w:pPr>
              <w:snapToGrid w:val="0"/>
              <w:spacing w:line="288" w:lineRule="auto"/>
              <w:jc w:val="left"/>
              <w:rPr>
                <w:rFonts w:ascii="宋体" w:hAnsi="宋体" w:cs="宋体"/>
                <w:sz w:val="18"/>
                <w:szCs w:val="18"/>
              </w:rPr>
            </w:pPr>
            <w:r>
              <w:rPr>
                <w:rFonts w:hint="eastAsia" w:ascii="宋体" w:hAnsi="宋体" w:cs="宋体"/>
                <w:sz w:val="18"/>
                <w:szCs w:val="18"/>
              </w:rPr>
              <w:t>学会运用本章所学知识，解释常见的甲状腺疾病、糖尿病等内分泌系统疾病的主要临床表现及产生原因。</w:t>
            </w:r>
          </w:p>
        </w:tc>
        <w:tc>
          <w:tcPr>
            <w:tcW w:w="1276" w:type="dxa"/>
          </w:tcPr>
          <w:p>
            <w:pPr>
              <w:snapToGrid w:val="0"/>
              <w:spacing w:line="288" w:lineRule="auto"/>
              <w:rPr>
                <w:rFonts w:ascii="宋体" w:hAnsi="宋体" w:cs="宋体"/>
                <w:b/>
                <w:bCs/>
                <w:sz w:val="18"/>
                <w:szCs w:val="18"/>
              </w:rPr>
            </w:pPr>
            <w:r>
              <w:rPr>
                <w:rFonts w:hint="eastAsia" w:ascii="宋体" w:hAnsi="宋体" w:cs="宋体"/>
                <w:sz w:val="18"/>
                <w:szCs w:val="18"/>
              </w:rPr>
              <w:t>认识到内分泌系统是人体功能的重要调节系统，懂得尊重、关心和爱护内分泌病患者，并增强健康宣教意识。</w:t>
            </w:r>
          </w:p>
        </w:tc>
        <w:tc>
          <w:tcPr>
            <w:tcW w:w="1559" w:type="dxa"/>
          </w:tcPr>
          <w:p>
            <w:pPr>
              <w:snapToGrid w:val="0"/>
              <w:spacing w:line="288" w:lineRule="auto"/>
              <w:rPr>
                <w:rFonts w:ascii="宋体" w:hAnsi="宋体" w:cs="宋体"/>
                <w:b/>
                <w:bCs/>
                <w:sz w:val="18"/>
                <w:szCs w:val="18"/>
              </w:rPr>
            </w:pPr>
            <w:r>
              <w:rPr>
                <w:rFonts w:hint="eastAsia" w:ascii="宋体" w:hAnsi="宋体" w:cs="宋体"/>
                <w:b/>
                <w:bCs/>
                <w:sz w:val="18"/>
                <w:szCs w:val="18"/>
              </w:rPr>
              <w:t>重点：</w:t>
            </w:r>
          </w:p>
          <w:p>
            <w:pPr>
              <w:snapToGrid w:val="0"/>
              <w:spacing w:line="288" w:lineRule="auto"/>
              <w:rPr>
                <w:rFonts w:ascii="宋体" w:hAnsi="宋体" w:cs="宋体"/>
                <w:sz w:val="18"/>
                <w:szCs w:val="18"/>
              </w:rPr>
            </w:pPr>
            <w:r>
              <w:rPr>
                <w:rFonts w:hint="eastAsia" w:ascii="宋体" w:hAnsi="宋体" w:cs="宋体"/>
                <w:sz w:val="18"/>
                <w:szCs w:val="18"/>
              </w:rPr>
              <w:t>1.下丘脑</w:t>
            </w:r>
            <w:r>
              <w:rPr>
                <w:rFonts w:ascii="宋体" w:hAnsi="宋体" w:cs="宋体"/>
                <w:sz w:val="18"/>
                <w:szCs w:val="18"/>
              </w:rPr>
              <w:t>-</w:t>
            </w:r>
            <w:r>
              <w:rPr>
                <w:rFonts w:hint="eastAsia" w:ascii="宋体" w:hAnsi="宋体" w:cs="宋体"/>
                <w:sz w:val="18"/>
                <w:szCs w:val="18"/>
              </w:rPr>
              <w:t>垂体系统</w:t>
            </w:r>
          </w:p>
          <w:p>
            <w:pPr>
              <w:snapToGrid w:val="0"/>
              <w:spacing w:line="288" w:lineRule="auto"/>
              <w:rPr>
                <w:rFonts w:ascii="宋体" w:hAnsi="宋体" w:cs="宋体"/>
                <w:sz w:val="18"/>
                <w:szCs w:val="18"/>
              </w:rPr>
            </w:pPr>
            <w:r>
              <w:rPr>
                <w:rFonts w:hint="eastAsia" w:ascii="宋体" w:hAnsi="宋体" w:cs="宋体"/>
                <w:sz w:val="18"/>
                <w:szCs w:val="18"/>
              </w:rPr>
              <w:t>2.胰岛素、肾上腺激素、糖皮质激素、性激素</w:t>
            </w:r>
          </w:p>
          <w:p>
            <w:pPr>
              <w:snapToGrid w:val="0"/>
              <w:spacing w:line="288" w:lineRule="auto"/>
              <w:rPr>
                <w:rFonts w:ascii="宋体" w:hAnsi="宋体" w:cs="宋体"/>
                <w:b/>
                <w:bCs/>
                <w:sz w:val="18"/>
                <w:szCs w:val="18"/>
              </w:rPr>
            </w:pPr>
            <w:r>
              <w:rPr>
                <w:rFonts w:hint="eastAsia" w:ascii="宋体" w:hAnsi="宋体" w:cs="宋体"/>
                <w:b/>
                <w:bCs/>
                <w:sz w:val="18"/>
                <w:szCs w:val="18"/>
              </w:rPr>
              <w:t>难点：</w:t>
            </w:r>
          </w:p>
          <w:p>
            <w:pPr>
              <w:snapToGrid w:val="0"/>
              <w:spacing w:line="288" w:lineRule="auto"/>
              <w:rPr>
                <w:rFonts w:ascii="宋体" w:hAnsi="宋体" w:cs="宋体"/>
                <w:b/>
                <w:bCs/>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应急反应与应激反应的区别</w:t>
            </w:r>
          </w:p>
        </w:tc>
        <w:tc>
          <w:tcPr>
            <w:tcW w:w="425"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47" w:type="dxa"/>
            <w:vAlign w:val="center"/>
          </w:tcPr>
          <w:p>
            <w:pPr>
              <w:snapToGrid w:val="0"/>
              <w:spacing w:line="288" w:lineRule="auto"/>
              <w:jc w:val="center"/>
              <w:rPr>
                <w:rFonts w:ascii="宋体" w:hAns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dxa"/>
            <w:vAlign w:val="center"/>
          </w:tcPr>
          <w:p>
            <w:pPr>
              <w:snapToGrid w:val="0"/>
              <w:spacing w:line="288" w:lineRule="auto"/>
              <w:ind w:left="-122" w:leftChars="-58" w:right="-105" w:rightChars="-50"/>
              <w:jc w:val="center"/>
              <w:rPr>
                <w:rFonts w:ascii="宋体" w:hAnsi="宋体"/>
                <w:color w:val="000000"/>
                <w:sz w:val="18"/>
                <w:szCs w:val="18"/>
              </w:rPr>
            </w:pPr>
            <w:r>
              <w:rPr>
                <w:rFonts w:ascii="宋体" w:hAnsi="宋体"/>
                <w:color w:val="000000"/>
                <w:sz w:val="18"/>
                <w:szCs w:val="18"/>
              </w:rPr>
              <w:t>19</w:t>
            </w:r>
          </w:p>
        </w:tc>
        <w:tc>
          <w:tcPr>
            <w:tcW w:w="709" w:type="dxa"/>
            <w:vAlign w:val="center"/>
          </w:tcPr>
          <w:p>
            <w:pPr>
              <w:snapToGrid w:val="0"/>
              <w:spacing w:line="288" w:lineRule="auto"/>
              <w:jc w:val="center"/>
              <w:rPr>
                <w:color w:val="000000"/>
                <w:sz w:val="18"/>
                <w:szCs w:val="18"/>
              </w:rPr>
            </w:pPr>
            <w:r>
              <w:rPr>
                <w:rFonts w:hint="eastAsia"/>
                <w:color w:val="000000"/>
                <w:sz w:val="18"/>
                <w:szCs w:val="18"/>
              </w:rPr>
              <w:t>生理学专题PBL</w:t>
            </w:r>
          </w:p>
        </w:tc>
        <w:tc>
          <w:tcPr>
            <w:tcW w:w="2268"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理解生命活动的整体性</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知道人体各器官、系统的生理功能与相互之间的协调方式。</w:t>
            </w:r>
          </w:p>
        </w:tc>
        <w:tc>
          <w:tcPr>
            <w:tcW w:w="1559" w:type="dxa"/>
          </w:tcPr>
          <w:p>
            <w:pPr>
              <w:snapToGrid w:val="0"/>
              <w:spacing w:line="288" w:lineRule="auto"/>
              <w:rPr>
                <w:rFonts w:ascii="宋体" w:hAnsi="宋体" w:cs="宋体"/>
                <w:b/>
                <w:bCs/>
                <w:sz w:val="18"/>
                <w:szCs w:val="18"/>
              </w:rPr>
            </w:pPr>
            <w:r>
              <w:rPr>
                <w:rFonts w:hint="eastAsia" w:ascii="宋体" w:hAnsi="宋体" w:cs="宋体"/>
                <w:sz w:val="18"/>
                <w:szCs w:val="18"/>
              </w:rPr>
              <w:t>能运用所学知识，从宏观整体层面分析典型生理现象。</w:t>
            </w:r>
          </w:p>
        </w:tc>
        <w:tc>
          <w:tcPr>
            <w:tcW w:w="1276" w:type="dxa"/>
          </w:tcPr>
          <w:p>
            <w:pPr>
              <w:snapToGrid w:val="0"/>
              <w:spacing w:line="288" w:lineRule="auto"/>
              <w:rPr>
                <w:rFonts w:ascii="宋体" w:hAnsi="宋体" w:cs="宋体"/>
                <w:b/>
                <w:bCs/>
                <w:sz w:val="18"/>
                <w:szCs w:val="18"/>
              </w:rPr>
            </w:pPr>
            <w:r>
              <w:rPr>
                <w:rFonts w:hint="eastAsia" w:ascii="宋体" w:hAnsi="宋体" w:cs="宋体"/>
                <w:sz w:val="18"/>
                <w:szCs w:val="18"/>
              </w:rPr>
              <w:t>通过PBL的开展激发学生学习热情。</w:t>
            </w:r>
          </w:p>
        </w:tc>
        <w:tc>
          <w:tcPr>
            <w:tcW w:w="1559" w:type="dxa"/>
          </w:tcPr>
          <w:p>
            <w:pPr>
              <w:snapToGrid w:val="0"/>
              <w:spacing w:line="288" w:lineRule="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生命活动整体性的外在表现</w:t>
            </w:r>
          </w:p>
          <w:p>
            <w:pPr>
              <w:snapToGrid w:val="0"/>
              <w:spacing w:line="288" w:lineRule="auto"/>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器官、系统间的协调方式</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0</w:t>
            </w:r>
          </w:p>
        </w:tc>
        <w:tc>
          <w:tcPr>
            <w:tcW w:w="425"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c>
          <w:tcPr>
            <w:tcW w:w="447" w:type="dxa"/>
            <w:vAlign w:val="center"/>
          </w:tcPr>
          <w:p>
            <w:pPr>
              <w:snapToGrid w:val="0"/>
              <w:spacing w:line="288" w:lineRule="auto"/>
              <w:jc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9" w:type="dxa"/>
            <w:vAlign w:val="center"/>
          </w:tcPr>
          <w:p>
            <w:pPr>
              <w:snapToGrid w:val="0"/>
              <w:spacing w:line="288" w:lineRule="auto"/>
              <w:ind w:left="-122" w:leftChars="-58" w:right="-105" w:rightChars="-50"/>
              <w:jc w:val="center"/>
              <w:rPr>
                <w:rFonts w:ascii="宋体" w:hAnsi="宋体" w:cs="宋体"/>
                <w:b/>
                <w:bCs/>
                <w:sz w:val="18"/>
                <w:szCs w:val="18"/>
              </w:rPr>
            </w:pPr>
            <w:r>
              <w:rPr>
                <w:rFonts w:hint="eastAsia" w:ascii="宋体" w:hAnsi="宋体" w:cs="宋体"/>
                <w:b/>
                <w:bCs/>
                <w:szCs w:val="21"/>
              </w:rPr>
              <w:t>合计</w:t>
            </w:r>
          </w:p>
        </w:tc>
        <w:tc>
          <w:tcPr>
            <w:tcW w:w="709" w:type="dxa"/>
            <w:vAlign w:val="center"/>
          </w:tcPr>
          <w:p>
            <w:pPr>
              <w:snapToGrid w:val="0"/>
              <w:spacing w:line="288" w:lineRule="auto"/>
              <w:jc w:val="center"/>
              <w:rPr>
                <w:rFonts w:ascii="宋体" w:hAnsi="宋体" w:cs="宋体"/>
                <w:b/>
                <w:bCs/>
                <w:sz w:val="18"/>
                <w:szCs w:val="18"/>
              </w:rPr>
            </w:pPr>
          </w:p>
        </w:tc>
        <w:tc>
          <w:tcPr>
            <w:tcW w:w="2268" w:type="dxa"/>
          </w:tcPr>
          <w:p>
            <w:pPr>
              <w:snapToGrid w:val="0"/>
              <w:spacing w:line="288" w:lineRule="auto"/>
              <w:rPr>
                <w:rFonts w:ascii="宋体" w:hAnsi="宋体" w:cs="宋体"/>
                <w:b/>
                <w:bCs/>
                <w:sz w:val="18"/>
                <w:szCs w:val="18"/>
              </w:rPr>
            </w:pPr>
          </w:p>
        </w:tc>
        <w:tc>
          <w:tcPr>
            <w:tcW w:w="1559" w:type="dxa"/>
          </w:tcPr>
          <w:p>
            <w:pPr>
              <w:snapToGrid w:val="0"/>
              <w:spacing w:line="288" w:lineRule="auto"/>
              <w:rPr>
                <w:rFonts w:ascii="宋体" w:hAnsi="宋体" w:cs="宋体"/>
                <w:b/>
                <w:bCs/>
                <w:sz w:val="18"/>
                <w:szCs w:val="18"/>
              </w:rPr>
            </w:pPr>
          </w:p>
        </w:tc>
        <w:tc>
          <w:tcPr>
            <w:tcW w:w="1276" w:type="dxa"/>
          </w:tcPr>
          <w:p>
            <w:pPr>
              <w:snapToGrid w:val="0"/>
              <w:spacing w:line="288" w:lineRule="auto"/>
              <w:rPr>
                <w:rFonts w:ascii="宋体" w:hAnsi="宋体" w:cs="宋体"/>
                <w:b/>
                <w:bCs/>
                <w:sz w:val="18"/>
                <w:szCs w:val="18"/>
              </w:rPr>
            </w:pPr>
          </w:p>
        </w:tc>
        <w:tc>
          <w:tcPr>
            <w:tcW w:w="1559" w:type="dxa"/>
          </w:tcPr>
          <w:p>
            <w:pPr>
              <w:snapToGrid w:val="0"/>
              <w:spacing w:line="288" w:lineRule="auto"/>
              <w:rPr>
                <w:rFonts w:ascii="宋体" w:hAnsi="宋体" w:cs="宋体"/>
                <w:b/>
                <w:bCs/>
                <w:sz w:val="18"/>
                <w:szCs w:val="18"/>
              </w:rPr>
            </w:pPr>
          </w:p>
        </w:tc>
        <w:tc>
          <w:tcPr>
            <w:tcW w:w="425" w:type="dxa"/>
            <w:vAlign w:val="center"/>
          </w:tcPr>
          <w:p>
            <w:pPr>
              <w:snapToGrid w:val="0"/>
              <w:spacing w:line="288" w:lineRule="auto"/>
              <w:jc w:val="center"/>
              <w:rPr>
                <w:rFonts w:ascii="宋体" w:hAnsi="宋体" w:cs="宋体"/>
                <w:b/>
                <w:bCs/>
                <w:sz w:val="18"/>
                <w:szCs w:val="18"/>
              </w:rPr>
            </w:pPr>
            <w:r>
              <w:rPr>
                <w:rFonts w:hint="eastAsia" w:ascii="宋体" w:hAnsi="宋体" w:cs="宋体"/>
                <w:b/>
                <w:bCs/>
                <w:sz w:val="18"/>
                <w:szCs w:val="18"/>
              </w:rPr>
              <w:t>3</w:t>
            </w:r>
            <w:r>
              <w:rPr>
                <w:rFonts w:ascii="宋体" w:hAnsi="宋体" w:cs="宋体"/>
                <w:b/>
                <w:bCs/>
                <w:sz w:val="18"/>
                <w:szCs w:val="18"/>
              </w:rPr>
              <w:t>2</w:t>
            </w:r>
          </w:p>
        </w:tc>
        <w:tc>
          <w:tcPr>
            <w:tcW w:w="425" w:type="dxa"/>
            <w:vAlign w:val="center"/>
          </w:tcPr>
          <w:p>
            <w:pPr>
              <w:snapToGrid w:val="0"/>
              <w:spacing w:line="288" w:lineRule="auto"/>
              <w:jc w:val="center"/>
              <w:rPr>
                <w:rFonts w:ascii="宋体" w:hAnsi="宋体" w:cs="宋体"/>
                <w:b/>
                <w:bCs/>
                <w:sz w:val="18"/>
                <w:szCs w:val="18"/>
              </w:rPr>
            </w:pPr>
            <w:r>
              <w:rPr>
                <w:rFonts w:hint="eastAsia" w:ascii="宋体" w:hAnsi="宋体" w:cs="宋体"/>
                <w:b/>
                <w:bCs/>
                <w:sz w:val="18"/>
                <w:szCs w:val="18"/>
              </w:rPr>
              <w:t>1</w:t>
            </w:r>
            <w:r>
              <w:rPr>
                <w:rFonts w:ascii="宋体" w:hAnsi="宋体" w:cs="宋体"/>
                <w:b/>
                <w:bCs/>
                <w:sz w:val="18"/>
                <w:szCs w:val="18"/>
              </w:rPr>
              <w:t>6</w:t>
            </w:r>
          </w:p>
        </w:tc>
        <w:tc>
          <w:tcPr>
            <w:tcW w:w="447" w:type="dxa"/>
            <w:vAlign w:val="center"/>
          </w:tcPr>
          <w:p>
            <w:pPr>
              <w:snapToGrid w:val="0"/>
              <w:spacing w:line="288" w:lineRule="auto"/>
              <w:jc w:val="center"/>
              <w:rPr>
                <w:rFonts w:ascii="宋体" w:hAnsi="宋体" w:cs="宋体"/>
                <w:b/>
                <w:bCs/>
                <w:sz w:val="18"/>
                <w:szCs w:val="18"/>
              </w:rPr>
            </w:pPr>
            <w:r>
              <w:rPr>
                <w:rFonts w:hint="eastAsia" w:ascii="宋体" w:hAnsi="宋体" w:cs="宋体"/>
                <w:b/>
                <w:bCs/>
                <w:sz w:val="18"/>
                <w:szCs w:val="18"/>
              </w:rPr>
              <w:t>4</w:t>
            </w:r>
            <w:r>
              <w:rPr>
                <w:rFonts w:ascii="宋体" w:hAnsi="宋体" w:cs="宋体"/>
                <w:b/>
                <w:bCs/>
                <w:sz w:val="18"/>
                <w:szCs w:val="18"/>
              </w:rPr>
              <w:t>8</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60"/>
        <w:gridCol w:w="709"/>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70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生物化学专题PBL</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运用所学知识完成指定的研究任务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刺激与反应</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sz w:val="18"/>
                <w:szCs w:val="18"/>
              </w:rPr>
              <w:t>观察蛙神经肌肉刺激与反应</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呼吸运动的调节</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不同药物对家兔呼吸运动的影响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影响尿生成的因素</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不同药物对家兔尿量的影响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人体心电图描记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描绘并解读正常心电图</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人体心音听诊</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学习心音听诊的方法</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right="-107" w:rightChars="-51"/>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人体动脉血压测量</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学习测量动脉血压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反射弧分析</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刺激的生成及反射弧的完整性分析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生理学专题PBL</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运用所学知识完成指定的研究任务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合计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r>
              <w:rPr>
                <w:rFonts w:asciiTheme="minorEastAsia" w:hAnsiTheme="minorEastAsia" w:eastAsiaTheme="minorEastAsia" w:cstheme="minorEastAsia"/>
                <w:b/>
                <w:sz w:val="20"/>
                <w:szCs w:val="20"/>
              </w:rPr>
              <w:t>16</w:t>
            </w:r>
          </w:p>
        </w:tc>
        <w:tc>
          <w:tcPr>
            <w:tcW w:w="1134" w:type="dxa"/>
            <w:tcBorders>
              <w:left w:val="single" w:color="auto" w:sz="4" w:space="0"/>
              <w:right w:val="single" w:color="auto" w:sz="4" w:space="0"/>
            </w:tcBorders>
            <w:shd w:val="clear" w:color="auto" w:fill="auto"/>
            <w:vAlign w:val="center"/>
          </w:tcPr>
          <w:p>
            <w:pPr>
              <w:snapToGrid w:val="0"/>
              <w:spacing w:line="360" w:lineRule="atLeast"/>
              <w:jc w:val="center"/>
              <w:rPr>
                <w:rFonts w:asciiTheme="minorEastAsia" w:hAnsiTheme="minorEastAsia" w:eastAsiaTheme="minorEastAsia" w:cstheme="minorEastAsia"/>
                <w:b/>
                <w:sz w:val="20"/>
                <w:szCs w:val="20"/>
              </w:rPr>
            </w:pPr>
          </w:p>
        </w:tc>
        <w:tc>
          <w:tcPr>
            <w:tcW w:w="708" w:type="dxa"/>
            <w:tcBorders>
              <w:left w:val="single" w:color="auto" w:sz="4" w:space="0"/>
              <w:right w:val="single" w:color="auto" w:sz="4" w:space="0"/>
            </w:tcBorders>
            <w:shd w:val="clear" w:color="auto" w:fill="auto"/>
          </w:tcPr>
          <w:p>
            <w:pPr>
              <w:snapToGrid w:val="0"/>
              <w:spacing w:before="156" w:beforeLines="50" w:after="156" w:afterLines="50"/>
              <w:rPr>
                <w:rFonts w:ascii="宋体" w:hAns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4"/>
        <w:tblpPr w:leftFromText="180" w:rightFromText="180" w:vertAnchor="text" w:horzAnchor="margin" w:tblpY="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期末闭卷考试</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过程考试</w:t>
            </w:r>
          </w:p>
        </w:tc>
        <w:tc>
          <w:tcPr>
            <w:tcW w:w="1843" w:type="dxa"/>
            <w:shd w:val="clear" w:color="auto" w:fill="auto"/>
          </w:tcPr>
          <w:p>
            <w:pPr>
              <w:widowControl/>
              <w:spacing w:line="360" w:lineRule="auto"/>
              <w:jc w:val="center"/>
              <w:rPr>
                <w:rFonts w:ascii="宋体" w:hAnsi="宋体" w:cs="Arial"/>
                <w:kern w:val="0"/>
                <w:sz w:val="20"/>
                <w:szCs w:val="20"/>
              </w:rPr>
            </w:pPr>
            <w:r>
              <w:rPr>
                <w:rFonts w:ascii="宋体" w:hAnsi="宋体" w:cs="Arial"/>
                <w:kern w:val="0"/>
                <w:sz w:val="20"/>
                <w:szCs w:val="20"/>
              </w:rPr>
              <w:t>20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X2</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实验报告</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r>
              <w:rPr>
                <w:rFonts w:ascii="宋体" w:hAnsi="宋体" w:cs="Arial"/>
                <w:kern w:val="0"/>
                <w:sz w:val="20"/>
                <w:szCs w:val="20"/>
              </w:rPr>
              <w:t>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510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PBL学习报告</w:t>
            </w:r>
          </w:p>
        </w:tc>
        <w:tc>
          <w:tcPr>
            <w:tcW w:w="1843" w:type="dxa"/>
            <w:shd w:val="clear" w:color="auto" w:fill="auto"/>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r>
              <w:rPr>
                <w:rFonts w:ascii="宋体" w:hAnsi="宋体" w:cs="Arial"/>
                <w:kern w:val="0"/>
                <w:sz w:val="20"/>
                <w:szCs w:val="20"/>
              </w:rPr>
              <w:t>0</w:t>
            </w:r>
            <w:r>
              <w:rPr>
                <w:rFonts w:hint="eastAsia" w:ascii="宋体" w:hAnsi="宋体" w:cs="Arial"/>
                <w:kern w:val="0"/>
                <w:sz w:val="20"/>
                <w:szCs w:val="20"/>
              </w:rPr>
              <w:t>%</w:t>
            </w:r>
          </w:p>
        </w:tc>
      </w:tr>
    </w:tbl>
    <w:p>
      <w:pPr>
        <w:widowControl/>
        <w:spacing w:before="156" w:beforeLines="50" w:after="156" w:afterLines="50" w:line="288" w:lineRule="auto"/>
        <w:jc w:val="left"/>
        <w:rPr>
          <w:rFonts w:ascii="黑体" w:hAnsi="宋体" w:eastAsia="黑体"/>
          <w:sz w:val="24"/>
        </w:rPr>
      </w:pPr>
      <w:r>
        <w:drawing>
          <wp:anchor distT="0" distB="0" distL="114300" distR="114300" simplePos="0" relativeHeight="251661312" behindDoc="0" locked="0" layoutInCell="1" allowOverlap="1">
            <wp:simplePos x="0" y="0"/>
            <wp:positionH relativeFrom="column">
              <wp:posOffset>3832860</wp:posOffset>
            </wp:positionH>
            <wp:positionV relativeFrom="paragraph">
              <wp:posOffset>1558925</wp:posOffset>
            </wp:positionV>
            <wp:extent cx="1001395" cy="590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1395" cy="590550"/>
                    </a:xfrm>
                    <a:prstGeom prst="rect">
                      <a:avLst/>
                    </a:prstGeom>
                    <a:noFill/>
                    <a:ln>
                      <a:noFill/>
                    </a:ln>
                  </pic:spPr>
                </pic:pic>
              </a:graphicData>
            </a:graphic>
          </wp:anchor>
        </w:drawing>
      </w:r>
      <w:r>
        <w:rPr>
          <w:sz w:val="20"/>
          <w:szCs w:val="20"/>
        </w:rPr>
        <w:drawing>
          <wp:anchor distT="0" distB="0" distL="114300" distR="114300" simplePos="0" relativeHeight="251660288" behindDoc="0" locked="0" layoutInCell="1" allowOverlap="1">
            <wp:simplePos x="0" y="0"/>
            <wp:positionH relativeFrom="column">
              <wp:posOffset>655955</wp:posOffset>
            </wp:positionH>
            <wp:positionV relativeFrom="page">
              <wp:posOffset>7812405</wp:posOffset>
            </wp:positionV>
            <wp:extent cx="1098550" cy="4381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98550" cy="438150"/>
                    </a:xfrm>
                    <a:prstGeom prst="rect">
                      <a:avLst/>
                    </a:prstGeom>
                    <a:noFill/>
                    <a:ln>
                      <a:noFill/>
                    </a:ln>
                  </pic:spPr>
                </pic:pic>
              </a:graphicData>
            </a:graphic>
          </wp:anchor>
        </w:drawing>
      </w:r>
    </w:p>
    <w:p>
      <w:pPr>
        <w:snapToGrid w:val="0"/>
        <w:spacing w:line="288" w:lineRule="auto"/>
        <w:rPr>
          <w:rFonts w:hint="eastAsia"/>
          <w:sz w:val="28"/>
          <w:szCs w:val="28"/>
        </w:rPr>
      </w:pPr>
      <w:r>
        <w:rPr>
          <w:rFonts w:hint="eastAsia"/>
          <w:sz w:val="28"/>
          <w:szCs w:val="28"/>
        </w:rPr>
        <w:t xml:space="preserve">撰写人：        </w:t>
      </w:r>
      <w:r>
        <w:rPr>
          <w:sz w:val="28"/>
          <w:szCs w:val="28"/>
        </w:rPr>
        <w:t xml:space="preserve">                 </w:t>
      </w:r>
      <w:r>
        <w:rPr>
          <w:rFonts w:hint="eastAsia"/>
          <w:sz w:val="28"/>
          <w:szCs w:val="28"/>
        </w:rPr>
        <w:t xml:space="preserve">                 系主任审核签名：</w:t>
      </w:r>
    </w:p>
    <w:p>
      <w:pPr>
        <w:snapToGrid w:val="0"/>
        <w:spacing w:line="288" w:lineRule="auto"/>
        <w:rPr>
          <w:rFonts w:hint="eastAsia"/>
          <w:sz w:val="28"/>
          <w:szCs w:val="28"/>
        </w:rPr>
      </w:pPr>
      <w:r>
        <w:rPr>
          <w:rFonts w:hint="eastAsia"/>
          <w:sz w:val="28"/>
          <w:szCs w:val="28"/>
        </w:rPr>
        <w:t>审核时间：  2022年9月</w:t>
      </w:r>
      <w:r>
        <w:rPr>
          <w:rFonts w:hint="eastAsia"/>
          <w:sz w:val="28"/>
          <w:szCs w:val="28"/>
          <w:lang w:val="en-US" w:eastAsia="zh-CN"/>
        </w:rPr>
        <w:t>25</w:t>
      </w:r>
      <w:r>
        <w:rPr>
          <w:rFonts w:hint="eastAsia"/>
          <w:sz w:val="28"/>
          <w:szCs w:val="28"/>
        </w:rPr>
        <w:t>日</w:t>
      </w:r>
    </w:p>
    <w:p>
      <w:pPr>
        <w:snapToGrid w:val="0"/>
        <w:spacing w:line="288" w:lineRule="auto"/>
        <w:rPr>
          <w:sz w:val="28"/>
          <w:szCs w:val="28"/>
        </w:rPr>
      </w:pPr>
      <w:r>
        <w:rPr>
          <w:rFonts w:hint="eastAsia"/>
          <w:sz w:val="28"/>
          <w:szCs w:val="28"/>
        </w:rPr>
        <w:t xml:space="preserve">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MDQxYmI5NzVkOTJkMTlkZTc0YWY1NDg2MWIzZDUifQ=="/>
  </w:docVars>
  <w:rsids>
    <w:rsidRoot w:val="00B7651F"/>
    <w:rsid w:val="00011821"/>
    <w:rsid w:val="000121A8"/>
    <w:rsid w:val="00021508"/>
    <w:rsid w:val="0002752B"/>
    <w:rsid w:val="00047CB4"/>
    <w:rsid w:val="00053B82"/>
    <w:rsid w:val="00053C63"/>
    <w:rsid w:val="00071FFB"/>
    <w:rsid w:val="00074CA7"/>
    <w:rsid w:val="000764E3"/>
    <w:rsid w:val="0008528F"/>
    <w:rsid w:val="00087029"/>
    <w:rsid w:val="0009589F"/>
    <w:rsid w:val="00097BA1"/>
    <w:rsid w:val="000A6BE1"/>
    <w:rsid w:val="000E56F5"/>
    <w:rsid w:val="000F5677"/>
    <w:rsid w:val="00101F44"/>
    <w:rsid w:val="001072BC"/>
    <w:rsid w:val="00123D1B"/>
    <w:rsid w:val="00124D7C"/>
    <w:rsid w:val="00125B52"/>
    <w:rsid w:val="00133E7A"/>
    <w:rsid w:val="00135A5D"/>
    <w:rsid w:val="001414EF"/>
    <w:rsid w:val="0014632A"/>
    <w:rsid w:val="001508AE"/>
    <w:rsid w:val="00157EE1"/>
    <w:rsid w:val="00160CCA"/>
    <w:rsid w:val="00162078"/>
    <w:rsid w:val="00162389"/>
    <w:rsid w:val="001629B0"/>
    <w:rsid w:val="00184D9D"/>
    <w:rsid w:val="00192C0D"/>
    <w:rsid w:val="001D014E"/>
    <w:rsid w:val="001E23A1"/>
    <w:rsid w:val="001E2E96"/>
    <w:rsid w:val="001E343A"/>
    <w:rsid w:val="0020345A"/>
    <w:rsid w:val="00203590"/>
    <w:rsid w:val="00203A58"/>
    <w:rsid w:val="00206D34"/>
    <w:rsid w:val="00216224"/>
    <w:rsid w:val="002238AF"/>
    <w:rsid w:val="00237C1D"/>
    <w:rsid w:val="00240426"/>
    <w:rsid w:val="002405D4"/>
    <w:rsid w:val="00251444"/>
    <w:rsid w:val="0025285B"/>
    <w:rsid w:val="0025664E"/>
    <w:rsid w:val="00256B39"/>
    <w:rsid w:val="00257A3A"/>
    <w:rsid w:val="0026033C"/>
    <w:rsid w:val="00267CC8"/>
    <w:rsid w:val="0028055F"/>
    <w:rsid w:val="00283321"/>
    <w:rsid w:val="0029384C"/>
    <w:rsid w:val="00294D6B"/>
    <w:rsid w:val="00295BAB"/>
    <w:rsid w:val="002A1498"/>
    <w:rsid w:val="002A2252"/>
    <w:rsid w:val="002A78E0"/>
    <w:rsid w:val="002A7F2A"/>
    <w:rsid w:val="002B0E3B"/>
    <w:rsid w:val="002C274F"/>
    <w:rsid w:val="002C4DF2"/>
    <w:rsid w:val="002D189A"/>
    <w:rsid w:val="002E3721"/>
    <w:rsid w:val="00305530"/>
    <w:rsid w:val="0031017B"/>
    <w:rsid w:val="00312A33"/>
    <w:rsid w:val="00313BBA"/>
    <w:rsid w:val="003164BF"/>
    <w:rsid w:val="00325A4D"/>
    <w:rsid w:val="0032602E"/>
    <w:rsid w:val="0032785C"/>
    <w:rsid w:val="00332B8E"/>
    <w:rsid w:val="00332E49"/>
    <w:rsid w:val="003367AE"/>
    <w:rsid w:val="00346A1D"/>
    <w:rsid w:val="00354C35"/>
    <w:rsid w:val="00362269"/>
    <w:rsid w:val="0037034A"/>
    <w:rsid w:val="00370984"/>
    <w:rsid w:val="00372D17"/>
    <w:rsid w:val="00380928"/>
    <w:rsid w:val="003848B5"/>
    <w:rsid w:val="003849E2"/>
    <w:rsid w:val="00391EF6"/>
    <w:rsid w:val="003A718D"/>
    <w:rsid w:val="003A7B5C"/>
    <w:rsid w:val="003B1258"/>
    <w:rsid w:val="003B4472"/>
    <w:rsid w:val="003D1115"/>
    <w:rsid w:val="003D4B0B"/>
    <w:rsid w:val="003D762D"/>
    <w:rsid w:val="003F4100"/>
    <w:rsid w:val="003F7D1D"/>
    <w:rsid w:val="00401FC7"/>
    <w:rsid w:val="00402D03"/>
    <w:rsid w:val="004100B0"/>
    <w:rsid w:val="004338E5"/>
    <w:rsid w:val="00435FE0"/>
    <w:rsid w:val="00463EA8"/>
    <w:rsid w:val="00474A36"/>
    <w:rsid w:val="00480BE1"/>
    <w:rsid w:val="004817FE"/>
    <w:rsid w:val="0049590C"/>
    <w:rsid w:val="004A42E8"/>
    <w:rsid w:val="004A47F2"/>
    <w:rsid w:val="004B5ACF"/>
    <w:rsid w:val="004C23BF"/>
    <w:rsid w:val="004C6C01"/>
    <w:rsid w:val="004D284D"/>
    <w:rsid w:val="004D66F9"/>
    <w:rsid w:val="004E1721"/>
    <w:rsid w:val="004E42E2"/>
    <w:rsid w:val="004F67D3"/>
    <w:rsid w:val="005121D0"/>
    <w:rsid w:val="00514DCD"/>
    <w:rsid w:val="00515561"/>
    <w:rsid w:val="005205A1"/>
    <w:rsid w:val="00527532"/>
    <w:rsid w:val="005467DC"/>
    <w:rsid w:val="00553D03"/>
    <w:rsid w:val="0056638A"/>
    <w:rsid w:val="0057706C"/>
    <w:rsid w:val="0058495C"/>
    <w:rsid w:val="00584C61"/>
    <w:rsid w:val="0059165C"/>
    <w:rsid w:val="00593A1D"/>
    <w:rsid w:val="005B2B6D"/>
    <w:rsid w:val="005B4B4E"/>
    <w:rsid w:val="005B4CEA"/>
    <w:rsid w:val="005B5FE6"/>
    <w:rsid w:val="005C204E"/>
    <w:rsid w:val="005C52ED"/>
    <w:rsid w:val="005D00B7"/>
    <w:rsid w:val="005D5245"/>
    <w:rsid w:val="005E3897"/>
    <w:rsid w:val="005F0C69"/>
    <w:rsid w:val="005F11C1"/>
    <w:rsid w:val="005F1848"/>
    <w:rsid w:val="005F304D"/>
    <w:rsid w:val="005F4302"/>
    <w:rsid w:val="005F59D5"/>
    <w:rsid w:val="0061733D"/>
    <w:rsid w:val="00621CA6"/>
    <w:rsid w:val="00622FC1"/>
    <w:rsid w:val="00624FE1"/>
    <w:rsid w:val="0063009E"/>
    <w:rsid w:val="00636443"/>
    <w:rsid w:val="00654942"/>
    <w:rsid w:val="0066151B"/>
    <w:rsid w:val="00665109"/>
    <w:rsid w:val="00670B1B"/>
    <w:rsid w:val="00685C75"/>
    <w:rsid w:val="006966C8"/>
    <w:rsid w:val="006A54A7"/>
    <w:rsid w:val="006A5D1F"/>
    <w:rsid w:val="006A7F60"/>
    <w:rsid w:val="006D2AC8"/>
    <w:rsid w:val="00702062"/>
    <w:rsid w:val="00705AD0"/>
    <w:rsid w:val="007172E5"/>
    <w:rsid w:val="007208D6"/>
    <w:rsid w:val="00730593"/>
    <w:rsid w:val="00732C59"/>
    <w:rsid w:val="00754B2F"/>
    <w:rsid w:val="0076209E"/>
    <w:rsid w:val="00770E14"/>
    <w:rsid w:val="00784659"/>
    <w:rsid w:val="00790A06"/>
    <w:rsid w:val="00790E0B"/>
    <w:rsid w:val="00795F13"/>
    <w:rsid w:val="007B747D"/>
    <w:rsid w:val="007C4709"/>
    <w:rsid w:val="007D21D1"/>
    <w:rsid w:val="007E5106"/>
    <w:rsid w:val="008170D1"/>
    <w:rsid w:val="008336E8"/>
    <w:rsid w:val="00840316"/>
    <w:rsid w:val="00840E57"/>
    <w:rsid w:val="008411B4"/>
    <w:rsid w:val="0084286B"/>
    <w:rsid w:val="00845C7D"/>
    <w:rsid w:val="008544FE"/>
    <w:rsid w:val="00874130"/>
    <w:rsid w:val="00877EF6"/>
    <w:rsid w:val="008B0CC1"/>
    <w:rsid w:val="008B26AB"/>
    <w:rsid w:val="008B397C"/>
    <w:rsid w:val="008B47F4"/>
    <w:rsid w:val="008C087D"/>
    <w:rsid w:val="008C0CCC"/>
    <w:rsid w:val="008C1E61"/>
    <w:rsid w:val="008D240C"/>
    <w:rsid w:val="008E2DC2"/>
    <w:rsid w:val="008F1F27"/>
    <w:rsid w:val="00900019"/>
    <w:rsid w:val="00902F2B"/>
    <w:rsid w:val="00911AF3"/>
    <w:rsid w:val="00921F47"/>
    <w:rsid w:val="00926D8C"/>
    <w:rsid w:val="009446AB"/>
    <w:rsid w:val="00970AFD"/>
    <w:rsid w:val="009806A4"/>
    <w:rsid w:val="00986349"/>
    <w:rsid w:val="0099063E"/>
    <w:rsid w:val="009A1EE0"/>
    <w:rsid w:val="009A775A"/>
    <w:rsid w:val="009B0423"/>
    <w:rsid w:val="009B0F12"/>
    <w:rsid w:val="009B2E6C"/>
    <w:rsid w:val="009C1781"/>
    <w:rsid w:val="009C2D66"/>
    <w:rsid w:val="009D1D87"/>
    <w:rsid w:val="009D3FC7"/>
    <w:rsid w:val="009E24ED"/>
    <w:rsid w:val="009F0F2C"/>
    <w:rsid w:val="00A03347"/>
    <w:rsid w:val="00A06A2D"/>
    <w:rsid w:val="00A1311A"/>
    <w:rsid w:val="00A142C4"/>
    <w:rsid w:val="00A25B72"/>
    <w:rsid w:val="00A266E0"/>
    <w:rsid w:val="00A26DFA"/>
    <w:rsid w:val="00A3561B"/>
    <w:rsid w:val="00A54F0F"/>
    <w:rsid w:val="00A5548F"/>
    <w:rsid w:val="00A6369C"/>
    <w:rsid w:val="00A649FE"/>
    <w:rsid w:val="00A75C26"/>
    <w:rsid w:val="00A769B1"/>
    <w:rsid w:val="00A8085A"/>
    <w:rsid w:val="00A837D5"/>
    <w:rsid w:val="00A84356"/>
    <w:rsid w:val="00AA1C13"/>
    <w:rsid w:val="00AB02A2"/>
    <w:rsid w:val="00AB1BA4"/>
    <w:rsid w:val="00AC47D0"/>
    <w:rsid w:val="00AC4C45"/>
    <w:rsid w:val="00AD3A8C"/>
    <w:rsid w:val="00AD55FC"/>
    <w:rsid w:val="00AD64AD"/>
    <w:rsid w:val="00AE1E83"/>
    <w:rsid w:val="00AE7869"/>
    <w:rsid w:val="00AF2205"/>
    <w:rsid w:val="00B073E2"/>
    <w:rsid w:val="00B46F21"/>
    <w:rsid w:val="00B511A5"/>
    <w:rsid w:val="00B66F9E"/>
    <w:rsid w:val="00B706D0"/>
    <w:rsid w:val="00B7103D"/>
    <w:rsid w:val="00B736A7"/>
    <w:rsid w:val="00B7370C"/>
    <w:rsid w:val="00B7596E"/>
    <w:rsid w:val="00B7651F"/>
    <w:rsid w:val="00B77B83"/>
    <w:rsid w:val="00B80818"/>
    <w:rsid w:val="00B84ED6"/>
    <w:rsid w:val="00B9297F"/>
    <w:rsid w:val="00BA30E2"/>
    <w:rsid w:val="00BB3C36"/>
    <w:rsid w:val="00BC236F"/>
    <w:rsid w:val="00BC5698"/>
    <w:rsid w:val="00BD1AC3"/>
    <w:rsid w:val="00BE764D"/>
    <w:rsid w:val="00BF5944"/>
    <w:rsid w:val="00C1112F"/>
    <w:rsid w:val="00C112B7"/>
    <w:rsid w:val="00C146C3"/>
    <w:rsid w:val="00C228FB"/>
    <w:rsid w:val="00C313D8"/>
    <w:rsid w:val="00C31DE0"/>
    <w:rsid w:val="00C346CB"/>
    <w:rsid w:val="00C46DA5"/>
    <w:rsid w:val="00C53DFA"/>
    <w:rsid w:val="00C56E09"/>
    <w:rsid w:val="00C57D56"/>
    <w:rsid w:val="00C70E9E"/>
    <w:rsid w:val="00C7510D"/>
    <w:rsid w:val="00C755C6"/>
    <w:rsid w:val="00C75B94"/>
    <w:rsid w:val="00C80CD3"/>
    <w:rsid w:val="00C858DD"/>
    <w:rsid w:val="00C86376"/>
    <w:rsid w:val="00C86931"/>
    <w:rsid w:val="00C90E6F"/>
    <w:rsid w:val="00CA0044"/>
    <w:rsid w:val="00CA232C"/>
    <w:rsid w:val="00CA6267"/>
    <w:rsid w:val="00CB6F33"/>
    <w:rsid w:val="00CB7824"/>
    <w:rsid w:val="00CC1530"/>
    <w:rsid w:val="00CD2DC7"/>
    <w:rsid w:val="00CE3E48"/>
    <w:rsid w:val="00CF096B"/>
    <w:rsid w:val="00D01951"/>
    <w:rsid w:val="00D0755F"/>
    <w:rsid w:val="00D24C7B"/>
    <w:rsid w:val="00D37538"/>
    <w:rsid w:val="00D47BB3"/>
    <w:rsid w:val="00D50EF5"/>
    <w:rsid w:val="00D533D7"/>
    <w:rsid w:val="00D56512"/>
    <w:rsid w:val="00D66C03"/>
    <w:rsid w:val="00D736C7"/>
    <w:rsid w:val="00D743D0"/>
    <w:rsid w:val="00D75960"/>
    <w:rsid w:val="00D82C28"/>
    <w:rsid w:val="00D87037"/>
    <w:rsid w:val="00D9687B"/>
    <w:rsid w:val="00DA52F6"/>
    <w:rsid w:val="00DC374A"/>
    <w:rsid w:val="00DC6E51"/>
    <w:rsid w:val="00DC71B6"/>
    <w:rsid w:val="00DE2307"/>
    <w:rsid w:val="00DF74FD"/>
    <w:rsid w:val="00E06B51"/>
    <w:rsid w:val="00E109E8"/>
    <w:rsid w:val="00E16D30"/>
    <w:rsid w:val="00E30FEF"/>
    <w:rsid w:val="00E31553"/>
    <w:rsid w:val="00E33169"/>
    <w:rsid w:val="00E415A3"/>
    <w:rsid w:val="00E51A63"/>
    <w:rsid w:val="00E523FE"/>
    <w:rsid w:val="00E6582C"/>
    <w:rsid w:val="00E70632"/>
    <w:rsid w:val="00E70904"/>
    <w:rsid w:val="00E90613"/>
    <w:rsid w:val="00EA1E41"/>
    <w:rsid w:val="00EB0923"/>
    <w:rsid w:val="00EC5A91"/>
    <w:rsid w:val="00EC64F6"/>
    <w:rsid w:val="00ED1219"/>
    <w:rsid w:val="00ED13DE"/>
    <w:rsid w:val="00ED1B54"/>
    <w:rsid w:val="00EE388E"/>
    <w:rsid w:val="00EF44B1"/>
    <w:rsid w:val="00EF51E2"/>
    <w:rsid w:val="00EF5D68"/>
    <w:rsid w:val="00EF68A2"/>
    <w:rsid w:val="00F07AD6"/>
    <w:rsid w:val="00F32B1A"/>
    <w:rsid w:val="00F35AA0"/>
    <w:rsid w:val="00F45096"/>
    <w:rsid w:val="00F4666F"/>
    <w:rsid w:val="00F47A12"/>
    <w:rsid w:val="00F47C3A"/>
    <w:rsid w:val="00F50D69"/>
    <w:rsid w:val="00F56D84"/>
    <w:rsid w:val="00F615F1"/>
    <w:rsid w:val="00F61936"/>
    <w:rsid w:val="00F80C3E"/>
    <w:rsid w:val="00F97C28"/>
    <w:rsid w:val="00FA4B8A"/>
    <w:rsid w:val="00FB2AF0"/>
    <w:rsid w:val="00FE6A13"/>
    <w:rsid w:val="00FF2C4D"/>
    <w:rsid w:val="016E63C2"/>
    <w:rsid w:val="01760B1D"/>
    <w:rsid w:val="01C15D06"/>
    <w:rsid w:val="024B0C39"/>
    <w:rsid w:val="0A8128A6"/>
    <w:rsid w:val="0BF32A1B"/>
    <w:rsid w:val="0F226C90"/>
    <w:rsid w:val="10BD2C22"/>
    <w:rsid w:val="1F852578"/>
    <w:rsid w:val="22987C80"/>
    <w:rsid w:val="24192CCC"/>
    <w:rsid w:val="2A0E10F0"/>
    <w:rsid w:val="2C2A7967"/>
    <w:rsid w:val="39A66CD4"/>
    <w:rsid w:val="3CD52CE1"/>
    <w:rsid w:val="410F2E6A"/>
    <w:rsid w:val="4430136C"/>
    <w:rsid w:val="4AB0382B"/>
    <w:rsid w:val="4B33462C"/>
    <w:rsid w:val="4D8B1C79"/>
    <w:rsid w:val="51F0399F"/>
    <w:rsid w:val="569868B5"/>
    <w:rsid w:val="59DC7744"/>
    <w:rsid w:val="611F6817"/>
    <w:rsid w:val="63C604B8"/>
    <w:rsid w:val="65792002"/>
    <w:rsid w:val="66CA1754"/>
    <w:rsid w:val="6E9A517E"/>
    <w:rsid w:val="6F1E65D4"/>
    <w:rsid w:val="6F266C86"/>
    <w:rsid w:val="6F5042C2"/>
    <w:rsid w:val="74316312"/>
    <w:rsid w:val="779928C9"/>
    <w:rsid w:val="780F13C8"/>
    <w:rsid w:val="79200A06"/>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6160</Words>
  <Characters>6678</Characters>
  <Lines>52</Lines>
  <Paragraphs>14</Paragraphs>
  <TotalTime>1</TotalTime>
  <ScaleCrop>false</ScaleCrop>
  <LinksUpToDate>false</LinksUpToDate>
  <CharactersWithSpaces>6749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2022-08-04T08:27:00Z</dcterms:created>
  <dc:creator>juvg</dc:creator>
  <cp:lastModifiedBy>ymf</cp:lastModifiedBy>
  <dcterms:modified xsi:type="dcterms:W3CDTF">2022-10-18T06:55:31Z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EA475E7BA0FF40C38E9E1F7AFDC8C67C</vt:lpwstr>
  </property>
</Properties>
</file>