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501AF">
      <w:pPr>
        <w:jc w:val="center"/>
        <w:rPr>
          <w:rFonts w:hint="eastAsia" w:ascii="黑体" w:hAnsi="黑体" w:eastAsia="黑体"/>
          <w:bCs/>
          <w:sz w:val="32"/>
          <w:szCs w:val="32"/>
          <w:lang w:eastAsia="zh-CN"/>
        </w:rPr>
      </w:pPr>
      <w:r>
        <w:rPr>
          <w:rFonts w:hint="eastAsia" w:ascii="黑体" w:hAnsi="黑体" w:eastAsia="黑体"/>
          <w:bCs/>
          <w:sz w:val="32"/>
          <w:szCs w:val="32"/>
          <w:lang w:eastAsia="zh-CN"/>
        </w:rPr>
        <w:t>《</w:t>
      </w:r>
      <w:r>
        <w:rPr>
          <w:rFonts w:hint="eastAsia" w:ascii="黑体" w:hAnsi="黑体" w:eastAsia="黑体"/>
          <w:bCs/>
          <w:sz w:val="32"/>
          <w:szCs w:val="32"/>
          <w:lang w:val="en-US" w:eastAsia="zh-CN"/>
        </w:rPr>
        <w:t>康复医学</w:t>
      </w:r>
      <w:r>
        <w:rPr>
          <w:rFonts w:hint="eastAsia" w:ascii="黑体" w:hAnsi="黑体" w:eastAsia="黑体"/>
          <w:bCs/>
          <w:sz w:val="32"/>
          <w:szCs w:val="32"/>
          <w:lang w:eastAsia="zh-CN"/>
        </w:rPr>
        <w:t>》</w:t>
      </w:r>
      <w:r>
        <w:rPr>
          <w:rFonts w:hint="eastAsia" w:ascii="黑体" w:hAnsi="黑体" w:eastAsia="黑体"/>
          <w:bCs/>
          <w:sz w:val="32"/>
          <w:szCs w:val="32"/>
        </w:rPr>
        <w:t>课程教学大纲</w:t>
      </w:r>
      <w:r>
        <w:rPr>
          <w:rFonts w:hint="eastAsia" w:ascii="黑体" w:hAnsi="黑体" w:eastAsia="黑体"/>
          <w:bCs/>
          <w:sz w:val="32"/>
          <w:szCs w:val="32"/>
          <w:lang w:eastAsia="zh-CN"/>
        </w:rPr>
        <w:t>（</w:t>
      </w:r>
      <w:r>
        <w:rPr>
          <w:rFonts w:hint="eastAsia" w:ascii="黑体" w:hAnsi="黑体" w:eastAsia="黑体"/>
          <w:bCs/>
          <w:sz w:val="32"/>
          <w:szCs w:val="32"/>
          <w:lang w:val="en-US" w:eastAsia="zh-CN"/>
        </w:rPr>
        <w:t>理论课</w:t>
      </w:r>
      <w:r>
        <w:rPr>
          <w:rFonts w:hint="eastAsia" w:ascii="黑体" w:hAnsi="黑体" w:eastAsia="黑体"/>
          <w:bCs/>
          <w:sz w:val="32"/>
          <w:szCs w:val="32"/>
          <w:lang w:eastAsia="zh-CN"/>
        </w:rPr>
        <w:t>）</w:t>
      </w:r>
    </w:p>
    <w:p w14:paraId="3D6119E0">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00C52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6057AF3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0FA3CC2">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康复医学</w:t>
            </w:r>
          </w:p>
        </w:tc>
      </w:tr>
      <w:tr w14:paraId="070AA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00F781F6">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622D9666">
            <w:pPr>
              <w:widowControl w:val="0"/>
              <w:jc w:val="left"/>
              <w:rPr>
                <w:color w:val="000000" w:themeColor="text1"/>
                <w:sz w:val="21"/>
                <w:szCs w:val="21"/>
                <w14:textFill>
                  <w14:solidFill>
                    <w14:schemeClr w14:val="tx1"/>
                  </w14:solidFill>
                </w14:textFill>
              </w:rPr>
            </w:pPr>
            <w:r>
              <w:rPr>
                <w:rFonts w:ascii="Times New Roman" w:hAnsi="Times New Roman"/>
                <w:sz w:val="21"/>
                <w:szCs w:val="21"/>
              </w:rPr>
              <w:t>Rehabilitation Medicine</w:t>
            </w:r>
          </w:p>
        </w:tc>
      </w:tr>
      <w:tr w14:paraId="7B23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F15725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457A8A40">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2170015</w:t>
            </w:r>
          </w:p>
        </w:tc>
        <w:tc>
          <w:tcPr>
            <w:tcW w:w="2126" w:type="dxa"/>
            <w:gridSpan w:val="2"/>
            <w:vAlign w:val="center"/>
          </w:tcPr>
          <w:p w14:paraId="3EB258E9">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042471CC">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7652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DB11EA3">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71F11D39">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32</w:t>
            </w:r>
          </w:p>
        </w:tc>
        <w:tc>
          <w:tcPr>
            <w:tcW w:w="1272" w:type="dxa"/>
            <w:vAlign w:val="center"/>
          </w:tcPr>
          <w:p w14:paraId="11F214EA">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6B26E574">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24</w:t>
            </w:r>
          </w:p>
        </w:tc>
        <w:tc>
          <w:tcPr>
            <w:tcW w:w="1413" w:type="dxa"/>
            <w:gridSpan w:val="2"/>
            <w:vAlign w:val="center"/>
          </w:tcPr>
          <w:p w14:paraId="73034739">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3640028B">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w:t>
            </w:r>
          </w:p>
        </w:tc>
      </w:tr>
      <w:tr w14:paraId="04871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584896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29822926">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健康管理学院</w:t>
            </w:r>
          </w:p>
        </w:tc>
        <w:tc>
          <w:tcPr>
            <w:tcW w:w="2126" w:type="dxa"/>
            <w:gridSpan w:val="2"/>
            <w:vAlign w:val="center"/>
          </w:tcPr>
          <w:p w14:paraId="36F3319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620CD97D">
            <w:pPr>
              <w:widowControl w:val="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健康服务与管理</w:t>
            </w:r>
          </w:p>
          <w:p w14:paraId="36E09A0C">
            <w:pPr>
              <w:widowControl w:val="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2023</w:t>
            </w:r>
            <w:bookmarkStart w:id="4" w:name="_GoBack"/>
            <w:bookmarkEnd w:id="4"/>
            <w:r>
              <w:rPr>
                <w:rFonts w:hint="eastAsia"/>
                <w:color w:val="000000" w:themeColor="text1"/>
                <w:sz w:val="21"/>
                <w:szCs w:val="21"/>
                <w:lang w:val="en-US" w:eastAsia="zh-CN"/>
                <w14:textFill>
                  <w14:solidFill>
                    <w14:schemeClr w14:val="tx1"/>
                  </w14:solidFill>
                </w14:textFill>
              </w:rPr>
              <w:t>级</w:t>
            </w:r>
          </w:p>
        </w:tc>
      </w:tr>
      <w:tr w14:paraId="7F07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606B365">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0EBD3B88">
            <w:pPr>
              <w:widowControl w:val="0"/>
              <w:ind w:firstLine="210" w:firstLineChars="100"/>
              <w:jc w:val="both"/>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专业基础选修课</w:t>
            </w:r>
          </w:p>
        </w:tc>
        <w:tc>
          <w:tcPr>
            <w:tcW w:w="2126" w:type="dxa"/>
            <w:gridSpan w:val="2"/>
            <w:vAlign w:val="center"/>
          </w:tcPr>
          <w:p w14:paraId="6107C5A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754EAF45">
            <w:pPr>
              <w:widowControl w:val="0"/>
              <w:jc w:val="both"/>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2E973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9D50019">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1C196988">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sz w:val="21"/>
                <w:szCs w:val="21"/>
                <w:lang w:eastAsia="zh-CN"/>
              </w:rPr>
              <w:t>《</w:t>
            </w:r>
            <w:r>
              <w:rPr>
                <w:rFonts w:ascii="Times New Roman" w:hAnsi="Times New Roman"/>
                <w:sz w:val="21"/>
                <w:szCs w:val="21"/>
              </w:rPr>
              <w:t>康复医学</w:t>
            </w:r>
            <w:r>
              <w:rPr>
                <w:rFonts w:hint="eastAsia" w:ascii="Times New Roman" w:hAnsi="Times New Roman"/>
                <w:sz w:val="21"/>
                <w:szCs w:val="21"/>
                <w:lang w:eastAsia="zh-CN"/>
              </w:rPr>
              <w:t>》，</w:t>
            </w:r>
            <w:r>
              <w:rPr>
                <w:rFonts w:ascii="Times New Roman" w:hAnsi="Times New Roman"/>
                <w:sz w:val="21"/>
                <w:szCs w:val="21"/>
              </w:rPr>
              <w:t>9787117266796</w:t>
            </w:r>
            <w:r>
              <w:rPr>
                <w:rFonts w:hint="eastAsia" w:ascii="Times New Roman" w:hAnsi="Times New Roman"/>
                <w:sz w:val="21"/>
                <w:szCs w:val="21"/>
                <w:lang w:eastAsia="zh-CN"/>
              </w:rPr>
              <w:t>，</w:t>
            </w:r>
            <w:r>
              <w:rPr>
                <w:rFonts w:ascii="Times New Roman" w:hAnsi="Times New Roman"/>
                <w:sz w:val="21"/>
                <w:szCs w:val="21"/>
              </w:rPr>
              <w:t>黄晓琳、燕铁斌主编，，人民卫生出版社，2018</w:t>
            </w:r>
            <w:r>
              <w:rPr>
                <w:rFonts w:hint="eastAsia" w:ascii="Times New Roman" w:hAnsi="Times New Roman"/>
                <w:sz w:val="21"/>
                <w:szCs w:val="21"/>
                <w:lang w:val="en-US" w:eastAsia="zh-CN"/>
              </w:rPr>
              <w:t>年第6版</w:t>
            </w:r>
          </w:p>
        </w:tc>
        <w:tc>
          <w:tcPr>
            <w:tcW w:w="1413" w:type="dxa"/>
            <w:gridSpan w:val="2"/>
            <w:vAlign w:val="center"/>
          </w:tcPr>
          <w:p w14:paraId="3D0A0EB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453D923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253BA6DE">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5BF4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10C6B55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40012ACC">
            <w:pPr>
              <w:pStyle w:val="15"/>
              <w:widowControl w:val="0"/>
              <w:jc w:val="both"/>
              <w:rPr>
                <w:rFonts w:hint="eastAsia" w:eastAsia="宋体"/>
                <w:lang w:val="en-US" w:eastAsia="zh-CN"/>
              </w:rPr>
            </w:pPr>
            <w:r>
              <w:rPr>
                <w:rFonts w:hint="eastAsia"/>
              </w:rPr>
              <w:t>正常人体结构学21700001（</w:t>
            </w:r>
            <w:r>
              <w:rPr>
                <w:rFonts w:hint="eastAsia"/>
                <w:lang w:val="en-US" w:eastAsia="zh-CN"/>
              </w:rPr>
              <w:t>3</w:t>
            </w:r>
            <w:r>
              <w:rPr>
                <w:rFonts w:hint="eastAsia"/>
              </w:rPr>
              <w:t>）、正常人体功能学2170002（</w:t>
            </w:r>
            <w:r>
              <w:rPr>
                <w:rFonts w:hint="eastAsia"/>
                <w:lang w:val="en-US" w:eastAsia="zh-CN"/>
              </w:rPr>
              <w:t>3</w:t>
            </w:r>
            <w:r>
              <w:rPr>
                <w:rFonts w:hint="eastAsia"/>
              </w:rPr>
              <w:t>）、</w:t>
            </w:r>
            <w:r>
              <w:rPr>
                <w:rFonts w:hint="eastAsia"/>
                <w:lang w:val="en-US" w:eastAsia="zh-CN"/>
              </w:rPr>
              <w:t>运动医学基础</w:t>
            </w:r>
            <w:r>
              <w:rPr>
                <w:rFonts w:hint="eastAsia"/>
              </w:rPr>
              <w:t>21700</w:t>
            </w:r>
            <w:r>
              <w:rPr>
                <w:rFonts w:hint="eastAsia"/>
                <w:lang w:val="en-US" w:eastAsia="zh-CN"/>
              </w:rPr>
              <w:t>32</w:t>
            </w:r>
            <w:r>
              <w:rPr>
                <w:rFonts w:hint="eastAsia"/>
              </w:rPr>
              <w:t>（</w:t>
            </w:r>
            <w:r>
              <w:rPr>
                <w:rFonts w:hint="eastAsia"/>
                <w:lang w:val="en-US" w:eastAsia="zh-CN"/>
              </w:rPr>
              <w:t>2</w:t>
            </w:r>
            <w:r>
              <w:rPr>
                <w:rFonts w:hint="eastAsia"/>
              </w:rPr>
              <w:t>）</w:t>
            </w:r>
          </w:p>
        </w:tc>
      </w:tr>
      <w:tr w14:paraId="3C74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616" w:hRule="atLeast"/>
        </w:trPr>
        <w:tc>
          <w:tcPr>
            <w:tcW w:w="1691" w:type="dxa"/>
            <w:tcBorders>
              <w:left w:val="single" w:color="auto" w:sz="12" w:space="0"/>
            </w:tcBorders>
            <w:shd w:val="clear" w:color="auto" w:fill="auto"/>
            <w:vAlign w:val="center"/>
          </w:tcPr>
          <w:p w14:paraId="3D7ED89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7D6D7299">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ascii="Times New Roman"/>
                <w:sz w:val="21"/>
                <w:szCs w:val="21"/>
              </w:rPr>
            </w:pPr>
            <w:r>
              <w:rPr>
                <w:rFonts w:hint="eastAsia" w:ascii="Times New Roman"/>
                <w:sz w:val="21"/>
                <w:szCs w:val="21"/>
              </w:rPr>
              <w:t>康复医学是一门新兴的医学学科，</w:t>
            </w:r>
            <w:r>
              <w:rPr>
                <w:rFonts w:hint="eastAsia" w:ascii="宋体" w:hAnsi="宋体" w:cs="宋体"/>
                <w:sz w:val="21"/>
                <w:szCs w:val="18"/>
              </w:rPr>
              <w:t>进入21世纪，康复医学事业以令人瞩目的速度发展</w:t>
            </w:r>
            <w:r>
              <w:rPr>
                <w:rFonts w:hint="eastAsia" w:cs="宋体"/>
                <w:sz w:val="21"/>
                <w:szCs w:val="18"/>
                <w:lang w:eastAsia="zh-CN"/>
              </w:rPr>
              <w:t>，</w:t>
            </w:r>
            <w:r>
              <w:rPr>
                <w:rFonts w:hint="eastAsia" w:ascii="Times New Roman"/>
                <w:sz w:val="21"/>
                <w:szCs w:val="21"/>
              </w:rPr>
              <w:t>与保健医学、预防医学、临床医学并列而成为现代医学中的四大分支之一。康复医学的目的是通过各种康复手段，使病、伤、残者最大限度地恢复身心、社会等方面的功能，尽最大可能恢复其生活自理、劳动和工作能力，为重返社会打下基础。康复医学是应用医学科学中的专门技术，是使功能障碍者的潜在能力和残存功能得到充分发挥的医学科学体系，它与临床医学有着不可分割的联系。作为一门新兴学科，康复医学任重而道远，它既是一项长期的任务，也是现代医学发展不可或缺的组成部分。</w:t>
            </w:r>
          </w:p>
          <w:p w14:paraId="5C5FA37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pPr>
            <w:r>
              <w:rPr>
                <w:rFonts w:hint="eastAsia" w:ascii="Times New Roman"/>
                <w:sz w:val="21"/>
                <w:szCs w:val="21"/>
              </w:rPr>
              <w:t>本课程较为全面地介绍了康复医学的基本概念、理论、功能评定和物理治疗、作业治疗等操作技能，讲述了神经系统、骨骼肌肉系统常见疾病的康复治疗原则、康复治疗过程和主要措施等，为帮助学生掌握或了解康复医学理论、康复治疗基本方法奠定基础，使学生了解现代医学的团队工作方式，培养不同医学专业的协作精神</w:t>
            </w:r>
            <w:r>
              <w:rPr>
                <w:rFonts w:hint="eastAsia" w:ascii="Times New Roman"/>
                <w:sz w:val="21"/>
                <w:szCs w:val="21"/>
                <w:lang w:eastAsia="zh-CN"/>
              </w:rPr>
              <w:t>，</w:t>
            </w:r>
            <w:r>
              <w:rPr>
                <w:rFonts w:hint="eastAsia" w:ascii="宋体" w:hAnsi="宋体" w:cs="宋体"/>
                <w:sz w:val="21"/>
                <w:szCs w:val="18"/>
              </w:rPr>
              <w:t>为今后的专业知识学习提供解决难题的方向和思路。</w:t>
            </w:r>
          </w:p>
        </w:tc>
      </w:tr>
      <w:tr w14:paraId="01A5E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95" w:hRule="atLeast"/>
        </w:trPr>
        <w:tc>
          <w:tcPr>
            <w:tcW w:w="1691" w:type="dxa"/>
            <w:tcBorders>
              <w:left w:val="single" w:color="auto" w:sz="12" w:space="0"/>
              <w:bottom w:val="double" w:color="auto" w:sz="4" w:space="0"/>
            </w:tcBorders>
            <w:shd w:val="clear" w:color="auto" w:fill="auto"/>
            <w:vAlign w:val="center"/>
          </w:tcPr>
          <w:p w14:paraId="75D44A6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1C46F5ED">
            <w:pPr>
              <w:keepNext w:val="0"/>
              <w:keepLines w:val="0"/>
              <w:pageBreakBefore w:val="0"/>
              <w:widowControl w:val="0"/>
              <w:kinsoku/>
              <w:wordWrap/>
              <w:overflowPunct/>
              <w:topLinePunct w:val="0"/>
              <w:autoSpaceDE/>
              <w:autoSpaceDN/>
              <w:bidi w:val="0"/>
              <w:adjustRightInd/>
              <w:snapToGrid/>
              <w:ind w:firstLine="420" w:firstLineChars="200"/>
              <w:jc w:val="both"/>
              <w:textAlignment w:val="auto"/>
            </w:pPr>
            <w:r>
              <w:rPr>
                <w:rFonts w:hint="eastAsia"/>
                <w:sz w:val="21"/>
                <w:szCs w:val="21"/>
              </w:rPr>
              <w:t>本课程适合健康服务与管理专业</w:t>
            </w:r>
            <w:r>
              <w:rPr>
                <w:rFonts w:hint="eastAsia"/>
                <w:sz w:val="21"/>
                <w:szCs w:val="21"/>
                <w:lang w:val="en-US" w:eastAsia="zh-CN"/>
              </w:rPr>
              <w:t>三</w:t>
            </w:r>
            <w:r>
              <w:rPr>
                <w:rFonts w:hint="eastAsia"/>
                <w:sz w:val="21"/>
                <w:szCs w:val="21"/>
              </w:rPr>
              <w:t>年级本科生授课，要求学生具有正常人体结构学、功能学和</w:t>
            </w:r>
            <w:r>
              <w:rPr>
                <w:rFonts w:hint="eastAsia"/>
                <w:sz w:val="21"/>
                <w:szCs w:val="21"/>
                <w:lang w:val="en-US" w:eastAsia="zh-CN"/>
              </w:rPr>
              <w:t>运动医</w:t>
            </w:r>
            <w:r>
              <w:rPr>
                <w:rFonts w:hint="eastAsia"/>
                <w:sz w:val="21"/>
                <w:szCs w:val="21"/>
              </w:rPr>
              <w:t>学基础等相关基础医学知识。</w:t>
            </w:r>
          </w:p>
        </w:tc>
      </w:tr>
      <w:tr w14:paraId="345EB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1A59614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3AECB4B4">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402590" cy="318135"/>
                  <wp:effectExtent l="0" t="0" r="3810" b="12065"/>
                  <wp:docPr id="1" name="图片 1" descr="c21c144c2347f89e8eda02696ec9af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21c144c2347f89e8eda02696ec9affd"/>
                          <pic:cNvPicPr>
                            <a:picLocks noChangeAspect="1"/>
                          </pic:cNvPicPr>
                        </pic:nvPicPr>
                        <pic:blipFill>
                          <a:blip r:embed="rId5"/>
                          <a:stretch>
                            <a:fillRect/>
                          </a:stretch>
                        </pic:blipFill>
                        <pic:spPr>
                          <a:xfrm>
                            <a:off x="0" y="0"/>
                            <a:ext cx="402590" cy="318135"/>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5DCAE186">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104BD7F6">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2025.09</w:t>
            </w:r>
          </w:p>
        </w:tc>
      </w:tr>
      <w:tr w14:paraId="31DD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235F134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6A8E87A7">
            <w:pPr>
              <w:widowControl w:val="0"/>
              <w:jc w:val="right"/>
              <w:rPr>
                <w:rFonts w:ascii="黑体" w:hAnsi="黑体" w:eastAsia="黑体"/>
                <w:color w:val="000000" w:themeColor="text1"/>
                <w:sz w:val="21"/>
                <w:szCs w:val="21"/>
                <w14:textFill>
                  <w14:solidFill>
                    <w14:schemeClr w14:val="tx1"/>
                  </w14:solidFill>
                </w14:textFill>
              </w:rPr>
            </w:pPr>
            <w:r>
              <w:drawing>
                <wp:anchor distT="0" distB="0" distL="114300" distR="114300" simplePos="0" relativeHeight="251660288" behindDoc="0" locked="0" layoutInCell="1" allowOverlap="1">
                  <wp:simplePos x="0" y="0"/>
                  <wp:positionH relativeFrom="column">
                    <wp:posOffset>1031875</wp:posOffset>
                  </wp:positionH>
                  <wp:positionV relativeFrom="paragraph">
                    <wp:posOffset>-97155</wp:posOffset>
                  </wp:positionV>
                  <wp:extent cx="629920" cy="37211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29920" cy="372110"/>
                          </a:xfrm>
                          <a:prstGeom prst="rect">
                            <a:avLst/>
                          </a:prstGeom>
                          <a:noFill/>
                          <a:ln>
                            <a:noFill/>
                          </a:ln>
                        </pic:spPr>
                      </pic:pic>
                    </a:graphicData>
                  </a:graphic>
                </wp:anchor>
              </w:drawing>
            </w:r>
            <w:r>
              <w:rPr>
                <w:rFonts w:hint="eastAsia"/>
                <w:sz w:val="21"/>
                <w:szCs w:val="21"/>
              </w:rPr>
              <w:t>（签名）</w:t>
            </w:r>
          </w:p>
        </w:tc>
        <w:tc>
          <w:tcPr>
            <w:tcW w:w="1425" w:type="dxa"/>
            <w:gridSpan w:val="2"/>
            <w:vAlign w:val="center"/>
          </w:tcPr>
          <w:p w14:paraId="23663F52">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1AE4BD14">
            <w:pPr>
              <w:widowControl w:val="0"/>
              <w:jc w:val="center"/>
              <w:rPr>
                <w:rFonts w:hint="default" w:ascii="Times New Roman" w:hAnsi="Times New Roman"/>
                <w:color w:val="000000"/>
                <w:sz w:val="21"/>
                <w:szCs w:val="21"/>
                <w:lang w:val="en-US"/>
              </w:rPr>
            </w:pPr>
            <w:r>
              <w:rPr>
                <w:rFonts w:hint="eastAsia" w:ascii="Times New Roman" w:hAnsi="Times New Roman"/>
                <w:color w:val="000000"/>
                <w:sz w:val="21"/>
                <w:szCs w:val="21"/>
                <w:lang w:val="en-US" w:eastAsia="zh-CN"/>
              </w:rPr>
              <w:t>2025.09</w:t>
            </w:r>
          </w:p>
        </w:tc>
      </w:tr>
      <w:tr w14:paraId="24340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163F313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1703B65A">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0EC82D5E">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3F2A228F">
            <w:pPr>
              <w:widowControl w:val="0"/>
              <w:jc w:val="center"/>
              <w:rPr>
                <w:rFonts w:ascii="Times New Roman" w:hAnsi="Times New Roman"/>
                <w:color w:val="000000"/>
                <w:sz w:val="21"/>
                <w:szCs w:val="21"/>
              </w:rPr>
            </w:pPr>
          </w:p>
        </w:tc>
      </w:tr>
    </w:tbl>
    <w:p w14:paraId="3AFFE158">
      <w:pPr>
        <w:spacing w:line="100" w:lineRule="exact"/>
        <w:rPr>
          <w:rFonts w:ascii="Arial" w:hAnsi="Arial" w:eastAsia="黑体"/>
        </w:rPr>
      </w:pPr>
      <w:r>
        <w:br w:type="page"/>
      </w:r>
    </w:p>
    <w:p w14:paraId="7A0C6480">
      <w:pPr>
        <w:pStyle w:val="17"/>
        <w:spacing w:before="326" w:beforeLines="100" w:line="360" w:lineRule="auto"/>
        <w:rPr>
          <w:rFonts w:ascii="黑体" w:hAnsi="宋体"/>
        </w:rPr>
      </w:pPr>
      <w:r>
        <w:rPr>
          <w:rFonts w:hint="eastAsia" w:ascii="黑体" w:hAnsi="宋体"/>
        </w:rPr>
        <w:t>二、课程目标与毕业要求</w:t>
      </w:r>
    </w:p>
    <w:p w14:paraId="59B159AB">
      <w:pPr>
        <w:pStyle w:val="18"/>
        <w:spacing w:before="81"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2D2C54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235" w:type="dxa"/>
            <w:vAlign w:val="center"/>
          </w:tcPr>
          <w:p w14:paraId="2325D555">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6D29111E">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62203819">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0EA220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329D40C1">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682B4BE1">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top"/>
          </w:tcPr>
          <w:p w14:paraId="55343F26">
            <w:pP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掌握常规运动疗法技术</w:t>
            </w:r>
          </w:p>
        </w:tc>
      </w:tr>
      <w:tr w14:paraId="54E257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152F2A3C">
            <w:pPr>
              <w:pStyle w:val="15"/>
              <w:rPr>
                <w:bCs/>
              </w:rPr>
            </w:pPr>
          </w:p>
        </w:tc>
        <w:tc>
          <w:tcPr>
            <w:tcW w:w="782" w:type="dxa"/>
            <w:shd w:val="clear" w:color="auto" w:fill="auto"/>
            <w:vAlign w:val="center"/>
          </w:tcPr>
          <w:p w14:paraId="568B9216">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top"/>
          </w:tcPr>
          <w:p w14:paraId="2F60A299">
            <w:pP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掌握脊柱牵引疗法</w:t>
            </w:r>
          </w:p>
        </w:tc>
      </w:tr>
      <w:tr w14:paraId="0E32D6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01C6C3B9">
            <w:pPr>
              <w:pStyle w:val="15"/>
              <w:rPr>
                <w:bCs/>
              </w:rPr>
            </w:pPr>
          </w:p>
        </w:tc>
        <w:tc>
          <w:tcPr>
            <w:tcW w:w="782" w:type="dxa"/>
            <w:shd w:val="clear" w:color="auto" w:fill="auto"/>
            <w:vAlign w:val="center"/>
          </w:tcPr>
          <w:p w14:paraId="38607EED">
            <w:pPr>
              <w:tabs>
                <w:tab w:val="left" w:pos="235"/>
              </w:tabs>
              <w:snapToGrid w:val="0"/>
              <w:jc w:val="left"/>
              <w:rPr>
                <w:rFonts w:hint="default" w:ascii="Arial" w:hAnsi="Arial" w:eastAsia="黑体" w:cs="Arial"/>
                <w:bCs/>
                <w:color w:val="000000"/>
                <w:sz w:val="21"/>
                <w:szCs w:val="18"/>
                <w:lang w:val="en-US" w:eastAsia="zh-CN"/>
              </w:rPr>
            </w:pPr>
            <w:r>
              <w:rPr>
                <w:rFonts w:hint="eastAsia" w:ascii="Arial" w:hAnsi="Arial" w:eastAsia="黑体" w:cs="Arial"/>
                <w:bCs/>
                <w:color w:val="000000"/>
                <w:sz w:val="21"/>
                <w:szCs w:val="18"/>
                <w:lang w:eastAsia="zh-CN"/>
              </w:rPr>
              <w:tab/>
            </w:r>
            <w:r>
              <w:rPr>
                <w:rFonts w:hint="eastAsia" w:ascii="Arial" w:hAnsi="Arial" w:eastAsia="黑体" w:cs="Arial"/>
                <w:bCs/>
                <w:color w:val="000000"/>
                <w:sz w:val="21"/>
                <w:szCs w:val="18"/>
                <w:lang w:val="en-US" w:eastAsia="zh-CN"/>
              </w:rPr>
              <w:t>3</w:t>
            </w:r>
          </w:p>
        </w:tc>
        <w:tc>
          <w:tcPr>
            <w:tcW w:w="6459" w:type="dxa"/>
            <w:vAlign w:val="top"/>
          </w:tcPr>
          <w:p w14:paraId="3B25A12C">
            <w:pP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掌握神经生理学疗法</w:t>
            </w:r>
          </w:p>
        </w:tc>
      </w:tr>
      <w:tr w14:paraId="35209E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2B7850F5">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4265F2DE">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4</w:t>
            </w:r>
          </w:p>
        </w:tc>
        <w:tc>
          <w:tcPr>
            <w:tcW w:w="6459" w:type="dxa"/>
            <w:vAlign w:val="center"/>
          </w:tcPr>
          <w:p w14:paraId="32DF4F71">
            <w:pPr>
              <w:pStyle w:val="15"/>
              <w:jc w:val="left"/>
              <w:rPr>
                <w:rFonts w:hint="eastAsia" w:ascii="宋体" w:hAnsi="宋体" w:eastAsia="宋体" w:cs="宋体"/>
                <w:bCs/>
                <w:sz w:val="21"/>
                <w:szCs w:val="21"/>
              </w:rPr>
            </w:pPr>
            <w:r>
              <w:rPr>
                <w:rFonts w:hint="eastAsia" w:ascii="宋体" w:hAnsi="宋体" w:eastAsia="宋体" w:cs="宋体"/>
                <w:color w:val="000000"/>
                <w:kern w:val="0"/>
                <w:sz w:val="21"/>
                <w:szCs w:val="21"/>
              </w:rPr>
              <w:t>应用书面或口头形式，阐释自己的观点，有效沟通。</w:t>
            </w:r>
          </w:p>
        </w:tc>
      </w:tr>
      <w:tr w14:paraId="657052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733" w:hRule="atLeast"/>
          <w:jc w:val="center"/>
        </w:trPr>
        <w:tc>
          <w:tcPr>
            <w:tcW w:w="1235" w:type="dxa"/>
            <w:vAlign w:val="center"/>
          </w:tcPr>
          <w:p w14:paraId="4D767DD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64F94DE4">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030E02DB">
            <w:pPr>
              <w:snapToGrid w:val="0"/>
              <w:jc w:val="center"/>
              <w:rPr>
                <w:rFonts w:hint="default"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5</w:t>
            </w:r>
          </w:p>
        </w:tc>
        <w:tc>
          <w:tcPr>
            <w:tcW w:w="6459" w:type="dxa"/>
            <w:vAlign w:val="center"/>
          </w:tcPr>
          <w:p w14:paraId="74051D84">
            <w:pPr>
              <w:pStyle w:val="15"/>
              <w:jc w:val="left"/>
              <w:rPr>
                <w:rFonts w:hint="eastAsia" w:ascii="宋体" w:hAnsi="宋体" w:eastAsia="宋体" w:cs="宋体"/>
                <w:bCs/>
                <w:sz w:val="21"/>
                <w:szCs w:val="21"/>
              </w:rPr>
            </w:pPr>
            <w:r>
              <w:rPr>
                <w:rFonts w:hint="eastAsia" w:ascii="宋体" w:hAnsi="宋体" w:eastAsia="宋体" w:cs="宋体"/>
                <w:sz w:val="21"/>
                <w:szCs w:val="21"/>
              </w:rPr>
              <w:t>在集体活动中能主动担任自己的角色，与其他成员密切合作，共同完成任务。</w:t>
            </w:r>
          </w:p>
        </w:tc>
      </w:tr>
    </w:tbl>
    <w:p w14:paraId="792D9783">
      <w:pPr>
        <w:pStyle w:val="18"/>
        <w:spacing w:before="163" w:beforeLines="50"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31CAB32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482" w:hRule="atLeast"/>
        </w:trPr>
        <w:tc>
          <w:tcPr>
            <w:tcW w:w="8296" w:type="dxa"/>
          </w:tcPr>
          <w:p w14:paraId="55B21FF7">
            <w:pPr>
              <w:keepNext w:val="0"/>
              <w:keepLines w:val="0"/>
              <w:pageBreakBefore w:val="0"/>
              <w:widowControl/>
              <w:tabs>
                <w:tab w:val="left" w:pos="4200"/>
              </w:tabs>
              <w:kinsoku/>
              <w:wordWrap/>
              <w:overflowPunct/>
              <w:topLinePunct w:val="0"/>
              <w:autoSpaceDE/>
              <w:autoSpaceDN/>
              <w:bidi w:val="0"/>
              <w:adjustRightInd/>
              <w:snapToGrid/>
              <w:spacing w:line="240" w:lineRule="auto"/>
              <w:jc w:val="both"/>
              <w:textAlignment w:val="auto"/>
              <w:outlineLvl w:val="0"/>
              <w:rPr>
                <w:bCs/>
                <w:sz w:val="21"/>
                <w:szCs w:val="21"/>
                <w:lang w:val="en-US" w:bidi="ar-SA"/>
              </w:rPr>
            </w:pPr>
            <w:r>
              <w:rPr>
                <w:rFonts w:hint="eastAsia"/>
                <w:b/>
                <w:sz w:val="21"/>
                <w:szCs w:val="21"/>
                <w:lang w:val="en-US" w:bidi="ar-SA"/>
              </w:rPr>
              <w:t>LO1品德修养：</w:t>
            </w:r>
            <w:r>
              <w:rPr>
                <w:rFonts w:hint="eastAsia"/>
                <w:bCs/>
                <w:sz w:val="21"/>
                <w:szCs w:val="21"/>
                <w:lang w:val="en-US" w:bidi="ar-SA"/>
              </w:rPr>
              <w:t>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5C38B127">
            <w:pPr>
              <w:keepNext w:val="0"/>
              <w:keepLines w:val="0"/>
              <w:pageBreakBefore w:val="0"/>
              <w:widowControl/>
              <w:tabs>
                <w:tab w:val="left" w:pos="4200"/>
              </w:tabs>
              <w:kinsoku/>
              <w:wordWrap/>
              <w:overflowPunct/>
              <w:topLinePunct w:val="0"/>
              <w:autoSpaceDE/>
              <w:autoSpaceDN/>
              <w:bidi w:val="0"/>
              <w:adjustRightInd/>
              <w:snapToGrid/>
              <w:spacing w:line="240" w:lineRule="auto"/>
              <w:ind w:firstLine="420" w:firstLineChars="200"/>
              <w:jc w:val="both"/>
              <w:textAlignment w:val="auto"/>
              <w:outlineLvl w:val="0"/>
              <w:rPr>
                <w:rFonts w:hint="eastAsia" w:ascii="宋体" w:hAnsi="宋体"/>
                <w:bCs/>
                <w:sz w:val="21"/>
                <w:szCs w:val="21"/>
              </w:rPr>
            </w:pPr>
            <w:r>
              <w:rPr>
                <w:rFonts w:hint="eastAsia"/>
                <w:bCs/>
                <w:sz w:val="21"/>
                <w:szCs w:val="21"/>
                <w:lang w:val="en-US" w:bidi="ar-SA"/>
              </w:rPr>
              <w:t>②遵纪守法，增强法律意识，培养法律思维，自觉遵守法律法规、校纪校规。</w:t>
            </w:r>
          </w:p>
        </w:tc>
      </w:tr>
      <w:tr w14:paraId="7592EBE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482" w:hRule="atLeast"/>
        </w:trPr>
        <w:tc>
          <w:tcPr>
            <w:tcW w:w="8296" w:type="dxa"/>
          </w:tcPr>
          <w:p w14:paraId="78328D14">
            <w:pPr>
              <w:keepNext w:val="0"/>
              <w:keepLines w:val="0"/>
              <w:pageBreakBefore w:val="0"/>
              <w:widowControl/>
              <w:tabs>
                <w:tab w:val="left" w:pos="4200"/>
              </w:tabs>
              <w:kinsoku/>
              <w:wordWrap/>
              <w:overflowPunct/>
              <w:topLinePunct w:val="0"/>
              <w:autoSpaceDE/>
              <w:autoSpaceDN/>
              <w:bidi w:val="0"/>
              <w:adjustRightInd/>
              <w:snapToGrid/>
              <w:spacing w:line="240" w:lineRule="auto"/>
              <w:jc w:val="both"/>
              <w:textAlignment w:val="auto"/>
              <w:outlineLvl w:val="0"/>
              <w:rPr>
                <w:rFonts w:hint="eastAsia"/>
                <w:bCs/>
                <w:sz w:val="21"/>
                <w:szCs w:val="21"/>
                <w:lang w:val="en-US" w:bidi="ar-SA"/>
              </w:rPr>
            </w:pPr>
            <w:r>
              <w:rPr>
                <w:rFonts w:hint="eastAsia"/>
                <w:b/>
                <w:sz w:val="21"/>
                <w:szCs w:val="21"/>
                <w:lang w:val="en-US" w:bidi="ar-SA"/>
              </w:rPr>
              <w:t>LO2专业能力</w:t>
            </w:r>
            <w:r>
              <w:rPr>
                <w:rFonts w:hint="eastAsia"/>
                <w:bCs/>
                <w:sz w:val="21"/>
                <w:szCs w:val="21"/>
                <w:lang w:val="en-US" w:bidi="ar-SA"/>
              </w:rPr>
              <w:t>：具有人文科学素养，具备医学、健康管理学及现代管理学等相关理论知识，具备健康检测、健康评估、健康咨询、健康促进与干预等健康服务技能和健康管理特长。</w:t>
            </w:r>
          </w:p>
          <w:p w14:paraId="7E3297E2">
            <w:pPr>
              <w:keepNext w:val="0"/>
              <w:keepLines w:val="0"/>
              <w:pageBreakBefore w:val="0"/>
              <w:widowControl/>
              <w:tabs>
                <w:tab w:val="left" w:pos="4200"/>
              </w:tabs>
              <w:kinsoku/>
              <w:wordWrap/>
              <w:overflowPunct/>
              <w:topLinePunct w:val="0"/>
              <w:autoSpaceDE/>
              <w:autoSpaceDN/>
              <w:bidi w:val="0"/>
              <w:adjustRightInd/>
              <w:snapToGrid/>
              <w:spacing w:line="240" w:lineRule="auto"/>
              <w:ind w:firstLine="420" w:firstLineChars="200"/>
              <w:jc w:val="left"/>
              <w:textAlignment w:val="auto"/>
              <w:outlineLvl w:val="0"/>
              <w:rPr>
                <w:rFonts w:hint="eastAsia"/>
                <w:bCs/>
                <w:sz w:val="21"/>
                <w:szCs w:val="21"/>
                <w:lang w:val="en-US" w:bidi="ar-SA"/>
              </w:rPr>
            </w:pPr>
            <w:r>
              <w:rPr>
                <w:rFonts w:hint="eastAsia"/>
                <w:bCs/>
                <w:sz w:val="21"/>
                <w:szCs w:val="21"/>
                <w:lang w:val="en-US" w:bidi="ar-SA"/>
              </w:rPr>
              <w:t>④健康咨询：掌握健康保健专业知识，为服务对象提供健康咨询服务。能确定服务</w:t>
            </w:r>
          </w:p>
          <w:p w14:paraId="40E6804A">
            <w:pPr>
              <w:keepNext w:val="0"/>
              <w:keepLines w:val="0"/>
              <w:pageBreakBefore w:val="0"/>
              <w:widowControl/>
              <w:tabs>
                <w:tab w:val="left" w:pos="4200"/>
              </w:tabs>
              <w:kinsoku/>
              <w:wordWrap/>
              <w:overflowPunct/>
              <w:topLinePunct w:val="0"/>
              <w:autoSpaceDE/>
              <w:autoSpaceDN/>
              <w:bidi w:val="0"/>
              <w:adjustRightInd/>
              <w:snapToGrid/>
              <w:spacing w:line="240" w:lineRule="auto"/>
              <w:jc w:val="left"/>
              <w:textAlignment w:val="auto"/>
              <w:outlineLvl w:val="0"/>
              <w:rPr>
                <w:rFonts w:hint="eastAsia" w:eastAsia="黑体"/>
                <w:sz w:val="21"/>
                <w:szCs w:val="21"/>
                <w:lang w:eastAsia="zh-CN"/>
              </w:rPr>
            </w:pPr>
            <w:r>
              <w:rPr>
                <w:rFonts w:hint="eastAsia"/>
                <w:bCs/>
                <w:sz w:val="21"/>
                <w:szCs w:val="21"/>
                <w:lang w:val="en-US" w:bidi="ar-SA"/>
              </w:rPr>
              <w:t>对象的健康需求，并采用合适的健康教育方法。</w:t>
            </w:r>
          </w:p>
          <w:p w14:paraId="469657D9">
            <w:pPr>
              <w:pStyle w:val="15"/>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bCs/>
                <w:sz w:val="21"/>
                <w:szCs w:val="21"/>
              </w:rPr>
            </w:pPr>
          </w:p>
        </w:tc>
      </w:tr>
      <w:tr w14:paraId="1BEE8C5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F2259FB">
            <w:pPr>
              <w:keepNext w:val="0"/>
              <w:keepLines w:val="0"/>
              <w:pageBreakBefore w:val="0"/>
              <w:widowControl w:val="0"/>
              <w:tabs>
                <w:tab w:val="left" w:pos="4200"/>
              </w:tabs>
              <w:kinsoku/>
              <w:wordWrap/>
              <w:overflowPunct/>
              <w:topLinePunct w:val="0"/>
              <w:autoSpaceDE/>
              <w:autoSpaceDN/>
              <w:bidi w:val="0"/>
              <w:adjustRightInd/>
              <w:snapToGrid/>
              <w:spacing w:line="240" w:lineRule="auto"/>
              <w:jc w:val="both"/>
              <w:textAlignment w:val="auto"/>
              <w:rPr>
                <w:rFonts w:hint="eastAsia"/>
                <w:bCs/>
                <w:sz w:val="21"/>
                <w:szCs w:val="21"/>
              </w:rPr>
            </w:pPr>
            <w:r>
              <w:rPr>
                <w:rFonts w:hint="eastAsia"/>
                <w:b/>
                <w:sz w:val="21"/>
                <w:szCs w:val="21"/>
              </w:rPr>
              <w:t>LO3表达沟通</w:t>
            </w:r>
            <w:r>
              <w:rPr>
                <w:rFonts w:hint="eastAsia"/>
                <w:bCs/>
                <w:sz w:val="21"/>
                <w:szCs w:val="21"/>
              </w:rPr>
              <w:t>：理解他人的观点，尊重他人的价值观，能在不同场合用书面或口头形式进行有效沟通。</w:t>
            </w:r>
          </w:p>
          <w:p w14:paraId="101F5D81">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bCs/>
                <w:sz w:val="21"/>
                <w:szCs w:val="21"/>
              </w:rPr>
            </w:pPr>
            <w:r>
              <w:rPr>
                <w:rFonts w:hint="eastAsia" w:ascii="宋体" w:hAnsi="宋体" w:eastAsia="宋体" w:cs="宋体"/>
                <w:bCs/>
                <w:sz w:val="21"/>
                <w:szCs w:val="21"/>
              </w:rPr>
              <w:t>②应用书面或口头形式，阐释自己的观点，有效沟通</w:t>
            </w:r>
          </w:p>
        </w:tc>
      </w:tr>
    </w:tbl>
    <w:p w14:paraId="0CE3F8D6">
      <w:pPr>
        <w:pStyle w:val="18"/>
        <w:spacing w:before="163" w:beforeLines="50"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2BB7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072C9F99">
            <w:pPr>
              <w:pStyle w:val="14"/>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1FB9159C">
            <w:pPr>
              <w:pStyle w:val="14"/>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55875881">
            <w:pPr>
              <w:pStyle w:val="14"/>
              <w:rPr>
                <w:szCs w:val="16"/>
              </w:rPr>
            </w:pPr>
            <w:r>
              <w:rPr>
                <w:rFonts w:hint="eastAsia"/>
                <w:szCs w:val="16"/>
              </w:rPr>
              <w:t>支撑度</w:t>
            </w:r>
          </w:p>
        </w:tc>
        <w:tc>
          <w:tcPr>
            <w:tcW w:w="4763" w:type="dxa"/>
            <w:tcBorders>
              <w:top w:val="single" w:color="auto" w:sz="12" w:space="0"/>
            </w:tcBorders>
            <w:vAlign w:val="center"/>
          </w:tcPr>
          <w:p w14:paraId="6316CCCB">
            <w:pPr>
              <w:pStyle w:val="14"/>
              <w:rPr>
                <w:szCs w:val="16"/>
              </w:rPr>
            </w:pPr>
            <w:r>
              <w:rPr>
                <w:rFonts w:hint="eastAsia"/>
                <w:szCs w:val="16"/>
              </w:rPr>
              <w:t>课程目标</w:t>
            </w:r>
          </w:p>
        </w:tc>
        <w:tc>
          <w:tcPr>
            <w:tcW w:w="1348" w:type="dxa"/>
            <w:tcBorders>
              <w:top w:val="single" w:color="auto" w:sz="12" w:space="0"/>
              <w:right w:val="single" w:color="auto" w:sz="12" w:space="0"/>
            </w:tcBorders>
            <w:vAlign w:val="center"/>
          </w:tcPr>
          <w:p w14:paraId="37B77CAB">
            <w:pPr>
              <w:pStyle w:val="14"/>
              <w:rPr>
                <w:szCs w:val="16"/>
              </w:rPr>
            </w:pPr>
            <w:r>
              <w:rPr>
                <w:rFonts w:hint="eastAsia"/>
                <w:szCs w:val="16"/>
              </w:rPr>
              <w:t>对指标点的贡献度</w:t>
            </w:r>
          </w:p>
        </w:tc>
      </w:tr>
      <w:tr w14:paraId="009D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07732773">
            <w:pPr>
              <w:pStyle w:val="15"/>
              <w:rPr>
                <w:rFonts w:hint="default" w:eastAsia="宋体"/>
                <w:lang w:val="en-US" w:eastAsia="zh-CN"/>
              </w:rPr>
            </w:pPr>
            <w:r>
              <w:rPr>
                <w:rFonts w:hint="eastAsia"/>
                <w:lang w:val="en-US" w:eastAsia="zh-CN"/>
              </w:rPr>
              <w:t>L01</w:t>
            </w:r>
          </w:p>
        </w:tc>
        <w:tc>
          <w:tcPr>
            <w:tcW w:w="794" w:type="dxa"/>
            <w:tcBorders>
              <w:left w:val="single" w:color="auto" w:sz="4" w:space="0"/>
            </w:tcBorders>
            <w:vAlign w:val="center"/>
          </w:tcPr>
          <w:p w14:paraId="0A227277">
            <w:pPr>
              <w:pStyle w:val="15"/>
              <w:rPr>
                <w:rFonts w:hint="eastAsia" w:eastAsia="宋体" w:cs="Times New Roman"/>
                <w:bCs/>
                <w:lang w:val="en-US" w:eastAsia="zh-CN"/>
              </w:rPr>
            </w:pPr>
            <w:r>
              <w:rPr>
                <w:rFonts w:hint="eastAsia" w:cs="Times New Roman"/>
                <w:bCs/>
                <w:lang w:val="en-US" w:eastAsia="zh-CN"/>
              </w:rPr>
              <w:t>②</w:t>
            </w:r>
          </w:p>
        </w:tc>
        <w:tc>
          <w:tcPr>
            <w:tcW w:w="794" w:type="dxa"/>
            <w:tcBorders>
              <w:right w:val="double" w:color="auto" w:sz="4" w:space="0"/>
            </w:tcBorders>
            <w:shd w:val="clear" w:color="auto" w:fill="auto"/>
            <w:vAlign w:val="center"/>
          </w:tcPr>
          <w:p w14:paraId="6267079F">
            <w:pPr>
              <w:pStyle w:val="15"/>
              <w:rPr>
                <w:rFonts w:hint="default" w:ascii="宋体" w:hAnsi="宋体" w:eastAsia="宋体"/>
                <w:lang w:val="en-US" w:eastAsia="zh-CN"/>
              </w:rPr>
            </w:pPr>
            <w:r>
              <w:rPr>
                <w:rFonts w:hint="eastAsia" w:ascii="宋体" w:hAnsi="宋体"/>
                <w:lang w:val="en-US" w:eastAsia="zh-CN"/>
              </w:rPr>
              <w:t>M</w:t>
            </w:r>
          </w:p>
        </w:tc>
        <w:tc>
          <w:tcPr>
            <w:tcW w:w="4763" w:type="dxa"/>
            <w:vAlign w:val="center"/>
          </w:tcPr>
          <w:p w14:paraId="0C885242">
            <w:pPr>
              <w:pStyle w:val="15"/>
              <w:rPr>
                <w:rFonts w:hint="eastAsia" w:ascii="宋体" w:hAnsi="宋体" w:eastAsia="宋体" w:cs="宋体"/>
                <w:bCs/>
                <w:sz w:val="21"/>
                <w:szCs w:val="21"/>
              </w:rPr>
            </w:pPr>
            <w:r>
              <w:rPr>
                <w:rFonts w:hint="eastAsia" w:ascii="宋体" w:hAnsi="宋体" w:eastAsia="宋体" w:cs="宋体"/>
                <w:sz w:val="21"/>
                <w:szCs w:val="21"/>
              </w:rPr>
              <w:t>在集体活动中能主动担任自己的角色，与其他成员密切合作，共同完成任务。</w:t>
            </w:r>
          </w:p>
        </w:tc>
        <w:tc>
          <w:tcPr>
            <w:tcW w:w="1348" w:type="dxa"/>
            <w:tcBorders>
              <w:right w:val="single" w:color="auto" w:sz="12" w:space="0"/>
            </w:tcBorders>
            <w:vAlign w:val="center"/>
          </w:tcPr>
          <w:p w14:paraId="774AEA7E">
            <w:pPr>
              <w:pStyle w:val="15"/>
              <w:rPr>
                <w:rFonts w:hint="default" w:ascii="宋体" w:hAnsi="宋体" w:eastAsia="宋体"/>
                <w:bCs/>
                <w:lang w:val="en-US" w:eastAsia="zh-CN"/>
              </w:rPr>
            </w:pPr>
            <w:r>
              <w:rPr>
                <w:rFonts w:hint="eastAsia" w:ascii="宋体" w:hAnsi="宋体"/>
                <w:bCs/>
                <w:lang w:val="en-US" w:eastAsia="zh-CN"/>
              </w:rPr>
              <w:t>100%</w:t>
            </w:r>
          </w:p>
        </w:tc>
      </w:tr>
      <w:tr w14:paraId="3321B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2F55935C">
            <w:pPr>
              <w:pStyle w:val="15"/>
              <w:rPr>
                <w:rFonts w:hint="default" w:eastAsia="宋体"/>
                <w:lang w:val="en-US" w:eastAsia="zh-CN"/>
              </w:rPr>
            </w:pPr>
            <w:r>
              <w:rPr>
                <w:rFonts w:hint="eastAsia"/>
                <w:lang w:val="en-US" w:eastAsia="zh-CN"/>
              </w:rPr>
              <w:t>L02</w:t>
            </w:r>
          </w:p>
        </w:tc>
        <w:tc>
          <w:tcPr>
            <w:tcW w:w="794" w:type="dxa"/>
            <w:vMerge w:val="restart"/>
            <w:tcBorders>
              <w:left w:val="single" w:color="auto" w:sz="4" w:space="0"/>
            </w:tcBorders>
            <w:vAlign w:val="center"/>
          </w:tcPr>
          <w:p w14:paraId="12F259A5">
            <w:pPr>
              <w:pStyle w:val="15"/>
              <w:rPr>
                <w:rFonts w:hint="eastAsia" w:eastAsia="宋体" w:cs="Times New Roman"/>
                <w:bCs/>
                <w:lang w:val="en-US" w:eastAsia="zh-CN"/>
              </w:rPr>
            </w:pPr>
            <w:r>
              <w:rPr>
                <w:rFonts w:hint="eastAsia" w:cs="Times New Roman"/>
                <w:bCs/>
                <w:lang w:val="en-US" w:eastAsia="zh-CN"/>
              </w:rPr>
              <w:t>④</w:t>
            </w:r>
          </w:p>
        </w:tc>
        <w:tc>
          <w:tcPr>
            <w:tcW w:w="794" w:type="dxa"/>
            <w:vMerge w:val="restart"/>
            <w:tcBorders>
              <w:right w:val="double" w:color="auto" w:sz="4" w:space="0"/>
            </w:tcBorders>
            <w:shd w:val="clear" w:color="auto" w:fill="auto"/>
            <w:vAlign w:val="center"/>
          </w:tcPr>
          <w:p w14:paraId="6B082FF6">
            <w:pPr>
              <w:pStyle w:val="15"/>
              <w:rPr>
                <w:rFonts w:hint="eastAsia" w:ascii="宋体" w:hAnsi="宋体" w:eastAsia="宋体"/>
                <w:lang w:val="en-US" w:eastAsia="zh-CN"/>
              </w:rPr>
            </w:pPr>
            <w:r>
              <w:rPr>
                <w:rFonts w:hint="eastAsia" w:ascii="宋体" w:hAnsi="宋体"/>
                <w:lang w:val="en-US" w:eastAsia="zh-CN"/>
              </w:rPr>
              <w:t>H</w:t>
            </w:r>
          </w:p>
        </w:tc>
        <w:tc>
          <w:tcPr>
            <w:tcW w:w="4763" w:type="dxa"/>
            <w:vAlign w:val="top"/>
          </w:tcPr>
          <w:p w14:paraId="77FAAC12">
            <w:pP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掌握常规运动疗法技术</w:t>
            </w:r>
          </w:p>
        </w:tc>
        <w:tc>
          <w:tcPr>
            <w:tcW w:w="1348" w:type="dxa"/>
            <w:tcBorders>
              <w:right w:val="single" w:color="auto" w:sz="12" w:space="0"/>
            </w:tcBorders>
            <w:vAlign w:val="center"/>
          </w:tcPr>
          <w:p w14:paraId="629E1833">
            <w:pPr>
              <w:pStyle w:val="15"/>
              <w:rPr>
                <w:rFonts w:hint="default" w:ascii="宋体" w:hAnsi="宋体" w:eastAsia="宋体"/>
                <w:bCs/>
                <w:lang w:val="en-US" w:eastAsia="zh-CN"/>
              </w:rPr>
            </w:pPr>
            <w:r>
              <w:rPr>
                <w:rFonts w:hint="eastAsia" w:ascii="宋体" w:hAnsi="宋体"/>
                <w:bCs/>
                <w:lang w:val="en-US" w:eastAsia="zh-CN"/>
              </w:rPr>
              <w:t>40%</w:t>
            </w:r>
          </w:p>
        </w:tc>
      </w:tr>
      <w:tr w14:paraId="5501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502DBE4C">
            <w:pPr>
              <w:pStyle w:val="15"/>
            </w:pPr>
          </w:p>
        </w:tc>
        <w:tc>
          <w:tcPr>
            <w:tcW w:w="794" w:type="dxa"/>
            <w:vMerge w:val="continue"/>
            <w:tcBorders>
              <w:left w:val="single" w:color="auto" w:sz="4" w:space="0"/>
            </w:tcBorders>
            <w:vAlign w:val="center"/>
          </w:tcPr>
          <w:p w14:paraId="7E2EA948">
            <w:pPr>
              <w:pStyle w:val="15"/>
              <w:rPr>
                <w:rFonts w:cs="Times New Roman"/>
                <w:bCs/>
              </w:rPr>
            </w:pPr>
          </w:p>
        </w:tc>
        <w:tc>
          <w:tcPr>
            <w:tcW w:w="794" w:type="dxa"/>
            <w:vMerge w:val="continue"/>
            <w:tcBorders>
              <w:right w:val="double" w:color="auto" w:sz="4" w:space="0"/>
            </w:tcBorders>
            <w:shd w:val="clear" w:color="auto" w:fill="auto"/>
            <w:vAlign w:val="center"/>
          </w:tcPr>
          <w:p w14:paraId="039DB2ED">
            <w:pPr>
              <w:pStyle w:val="15"/>
              <w:rPr>
                <w:rFonts w:ascii="宋体" w:hAnsi="宋体"/>
              </w:rPr>
            </w:pPr>
          </w:p>
        </w:tc>
        <w:tc>
          <w:tcPr>
            <w:tcW w:w="4763" w:type="dxa"/>
            <w:vAlign w:val="top"/>
          </w:tcPr>
          <w:p w14:paraId="2296FABE">
            <w:pP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掌握脊柱牵引疗法</w:t>
            </w:r>
          </w:p>
        </w:tc>
        <w:tc>
          <w:tcPr>
            <w:tcW w:w="1348" w:type="dxa"/>
            <w:tcBorders>
              <w:right w:val="single" w:color="auto" w:sz="12" w:space="0"/>
            </w:tcBorders>
            <w:vAlign w:val="center"/>
          </w:tcPr>
          <w:p w14:paraId="7BA5BFDC">
            <w:pPr>
              <w:pStyle w:val="15"/>
              <w:rPr>
                <w:rFonts w:hint="default" w:ascii="宋体" w:hAnsi="宋体" w:eastAsia="宋体"/>
                <w:bCs/>
                <w:lang w:val="en-US" w:eastAsia="zh-CN"/>
              </w:rPr>
            </w:pPr>
            <w:r>
              <w:rPr>
                <w:rFonts w:hint="eastAsia" w:ascii="宋体" w:hAnsi="宋体"/>
                <w:bCs/>
                <w:lang w:val="en-US" w:eastAsia="zh-CN"/>
              </w:rPr>
              <w:t>40%</w:t>
            </w:r>
          </w:p>
        </w:tc>
      </w:tr>
      <w:tr w14:paraId="30FF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5181C3DA">
            <w:pPr>
              <w:pStyle w:val="15"/>
            </w:pPr>
          </w:p>
        </w:tc>
        <w:tc>
          <w:tcPr>
            <w:tcW w:w="794" w:type="dxa"/>
            <w:vMerge w:val="continue"/>
            <w:tcBorders>
              <w:left w:val="single" w:color="auto" w:sz="4" w:space="0"/>
            </w:tcBorders>
            <w:vAlign w:val="center"/>
          </w:tcPr>
          <w:p w14:paraId="7AA35C24">
            <w:pPr>
              <w:pStyle w:val="15"/>
              <w:rPr>
                <w:rFonts w:cs="Times New Roman"/>
                <w:bCs/>
              </w:rPr>
            </w:pPr>
          </w:p>
        </w:tc>
        <w:tc>
          <w:tcPr>
            <w:tcW w:w="794" w:type="dxa"/>
            <w:vMerge w:val="continue"/>
            <w:tcBorders>
              <w:right w:val="double" w:color="auto" w:sz="4" w:space="0"/>
            </w:tcBorders>
            <w:shd w:val="clear" w:color="auto" w:fill="auto"/>
            <w:vAlign w:val="center"/>
          </w:tcPr>
          <w:p w14:paraId="65E83D4B">
            <w:pPr>
              <w:pStyle w:val="15"/>
              <w:rPr>
                <w:rFonts w:ascii="宋体" w:hAnsi="宋体"/>
              </w:rPr>
            </w:pPr>
          </w:p>
        </w:tc>
        <w:tc>
          <w:tcPr>
            <w:tcW w:w="4763" w:type="dxa"/>
            <w:vAlign w:val="top"/>
          </w:tcPr>
          <w:p w14:paraId="30E4A8C6">
            <w:pP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掌握神经生理学疗法</w:t>
            </w:r>
          </w:p>
        </w:tc>
        <w:tc>
          <w:tcPr>
            <w:tcW w:w="1348" w:type="dxa"/>
            <w:tcBorders>
              <w:right w:val="single" w:color="auto" w:sz="12" w:space="0"/>
            </w:tcBorders>
            <w:vAlign w:val="center"/>
          </w:tcPr>
          <w:p w14:paraId="69650D4A">
            <w:pPr>
              <w:pStyle w:val="15"/>
              <w:rPr>
                <w:rFonts w:hint="default" w:ascii="宋体" w:hAnsi="宋体" w:eastAsia="宋体"/>
                <w:bCs/>
                <w:lang w:val="en-US" w:eastAsia="zh-CN"/>
              </w:rPr>
            </w:pPr>
            <w:r>
              <w:rPr>
                <w:rFonts w:hint="eastAsia" w:ascii="宋体" w:hAnsi="宋体"/>
                <w:bCs/>
                <w:lang w:val="en-US" w:eastAsia="zh-CN"/>
              </w:rPr>
              <w:t>20%</w:t>
            </w:r>
          </w:p>
        </w:tc>
      </w:tr>
      <w:tr w14:paraId="53AA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1D35BFA5">
            <w:pPr>
              <w:pStyle w:val="15"/>
              <w:rPr>
                <w:rFonts w:hint="default" w:eastAsia="宋体"/>
                <w:lang w:val="en-US" w:eastAsia="zh-CN"/>
              </w:rPr>
            </w:pPr>
            <w:r>
              <w:rPr>
                <w:rFonts w:hint="eastAsia"/>
                <w:lang w:val="en-US" w:eastAsia="zh-CN"/>
              </w:rPr>
              <w:t>L03</w:t>
            </w:r>
          </w:p>
        </w:tc>
        <w:tc>
          <w:tcPr>
            <w:tcW w:w="794" w:type="dxa"/>
            <w:tcBorders>
              <w:left w:val="single" w:color="auto" w:sz="4" w:space="0"/>
              <w:bottom w:val="single" w:color="auto" w:sz="12" w:space="0"/>
            </w:tcBorders>
            <w:vAlign w:val="center"/>
          </w:tcPr>
          <w:p w14:paraId="6A31A6FC">
            <w:pPr>
              <w:pStyle w:val="15"/>
              <w:rPr>
                <w:rFonts w:hint="eastAsia" w:eastAsia="宋体" w:cs="Times New Roman"/>
                <w:bCs/>
                <w:lang w:val="en-US" w:eastAsia="zh-CN"/>
              </w:rPr>
            </w:pPr>
            <w:r>
              <w:rPr>
                <w:rFonts w:hint="eastAsia" w:cs="Times New Roman"/>
                <w:bCs/>
                <w:lang w:val="en-US" w:eastAsia="zh-CN"/>
              </w:rPr>
              <w:t>②</w:t>
            </w:r>
          </w:p>
        </w:tc>
        <w:tc>
          <w:tcPr>
            <w:tcW w:w="794" w:type="dxa"/>
            <w:tcBorders>
              <w:bottom w:val="single" w:color="auto" w:sz="12" w:space="0"/>
              <w:right w:val="double" w:color="auto" w:sz="4" w:space="0"/>
            </w:tcBorders>
            <w:shd w:val="clear" w:color="auto" w:fill="auto"/>
            <w:vAlign w:val="center"/>
          </w:tcPr>
          <w:p w14:paraId="611B84B9">
            <w:pPr>
              <w:pStyle w:val="15"/>
              <w:rPr>
                <w:rFonts w:hint="eastAsia" w:ascii="宋体" w:hAnsi="宋体" w:eastAsia="宋体"/>
                <w:lang w:val="en-US" w:eastAsia="zh-CN"/>
              </w:rPr>
            </w:pPr>
            <w:r>
              <w:rPr>
                <w:rFonts w:hint="eastAsia" w:ascii="宋体" w:hAnsi="宋体"/>
                <w:lang w:val="en-US" w:eastAsia="zh-CN"/>
              </w:rPr>
              <w:t>H</w:t>
            </w:r>
          </w:p>
        </w:tc>
        <w:tc>
          <w:tcPr>
            <w:tcW w:w="4763" w:type="dxa"/>
            <w:tcBorders>
              <w:bottom w:val="single" w:color="auto" w:sz="12" w:space="0"/>
            </w:tcBorders>
            <w:vAlign w:val="center"/>
          </w:tcPr>
          <w:p w14:paraId="141E1E60">
            <w:pPr>
              <w:pStyle w:val="15"/>
              <w:rPr>
                <w:rFonts w:hint="eastAsia" w:ascii="宋体" w:hAnsi="宋体" w:eastAsia="宋体" w:cs="宋体"/>
                <w:bCs/>
                <w:sz w:val="21"/>
                <w:szCs w:val="21"/>
              </w:rPr>
            </w:pPr>
            <w:r>
              <w:rPr>
                <w:rFonts w:hint="eastAsia" w:ascii="宋体" w:hAnsi="宋体" w:eastAsia="宋体" w:cs="宋体"/>
                <w:color w:val="000000"/>
                <w:kern w:val="0"/>
                <w:sz w:val="21"/>
                <w:szCs w:val="21"/>
              </w:rPr>
              <w:t>应用书面或口头形式，阐释自己的观点，有效沟通。</w:t>
            </w:r>
          </w:p>
        </w:tc>
        <w:tc>
          <w:tcPr>
            <w:tcW w:w="1348" w:type="dxa"/>
            <w:tcBorders>
              <w:bottom w:val="single" w:color="auto" w:sz="12" w:space="0"/>
              <w:right w:val="single" w:color="auto" w:sz="12" w:space="0"/>
            </w:tcBorders>
            <w:vAlign w:val="center"/>
          </w:tcPr>
          <w:p w14:paraId="36022299">
            <w:pPr>
              <w:pStyle w:val="15"/>
              <w:rPr>
                <w:rFonts w:hint="default" w:ascii="宋体" w:hAnsi="宋体" w:eastAsia="宋体"/>
                <w:bCs/>
                <w:lang w:val="en-US" w:eastAsia="zh-CN"/>
              </w:rPr>
            </w:pPr>
            <w:r>
              <w:rPr>
                <w:rFonts w:hint="eastAsia" w:ascii="宋体" w:hAnsi="宋体"/>
                <w:bCs/>
                <w:lang w:val="en-US" w:eastAsia="zh-CN"/>
              </w:rPr>
              <w:t>100%</w:t>
            </w:r>
          </w:p>
        </w:tc>
      </w:tr>
    </w:tbl>
    <w:p w14:paraId="533F97FB">
      <w:pPr>
        <w:pStyle w:val="17"/>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5AD3879A">
      <w:pPr>
        <w:pStyle w:val="18"/>
        <w:spacing w:before="81" w:after="163"/>
        <w:rPr>
          <w:rFonts w:hint="eastAsia"/>
        </w:rPr>
      </w:pPr>
      <w:r>
        <w:rPr>
          <w:rFonts w:hint="eastAsia"/>
        </w:rPr>
        <w:t>（一）各教学单元预期学习成果与教学内容</w:t>
      </w:r>
    </w:p>
    <w:tbl>
      <w:tblPr>
        <w:tblStyle w:val="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740"/>
        <w:gridCol w:w="2573"/>
        <w:gridCol w:w="1582"/>
        <w:gridCol w:w="1495"/>
        <w:gridCol w:w="1710"/>
      </w:tblGrid>
      <w:tr w14:paraId="25B66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244" w:type="pct"/>
            <w:vAlign w:val="center"/>
          </w:tcPr>
          <w:p w14:paraId="34F3574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宋体" w:hAnsi="Times New Roman"/>
                <w:b/>
                <w:color w:val="000000"/>
                <w:sz w:val="20"/>
                <w:szCs w:val="20"/>
              </w:rPr>
            </w:pPr>
            <w:r>
              <w:rPr>
                <w:rFonts w:hint="eastAsia" w:ascii="宋体" w:hAnsi="宋体"/>
                <w:b/>
                <w:color w:val="000000"/>
                <w:sz w:val="20"/>
                <w:szCs w:val="20"/>
              </w:rPr>
              <w:t>序号</w:t>
            </w:r>
          </w:p>
        </w:tc>
        <w:tc>
          <w:tcPr>
            <w:tcW w:w="435" w:type="pct"/>
            <w:vAlign w:val="center"/>
          </w:tcPr>
          <w:p w14:paraId="7DC0A0D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宋体" w:hAnsi="Times New Roman"/>
                <w:b/>
                <w:color w:val="000000"/>
                <w:sz w:val="20"/>
                <w:szCs w:val="20"/>
              </w:rPr>
            </w:pPr>
            <w:r>
              <w:rPr>
                <w:rFonts w:hint="eastAsia" w:ascii="宋体" w:hAnsi="宋体"/>
                <w:b/>
                <w:color w:val="000000"/>
                <w:sz w:val="20"/>
                <w:szCs w:val="20"/>
              </w:rPr>
              <w:t>单元名称</w:t>
            </w:r>
          </w:p>
        </w:tc>
        <w:tc>
          <w:tcPr>
            <w:tcW w:w="1510" w:type="pct"/>
            <w:vAlign w:val="center"/>
          </w:tcPr>
          <w:p w14:paraId="23E6188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宋体" w:hAnsi="Times New Roman"/>
                <w:b/>
                <w:color w:val="000000"/>
                <w:sz w:val="20"/>
                <w:szCs w:val="20"/>
              </w:rPr>
            </w:pPr>
            <w:r>
              <w:rPr>
                <w:rFonts w:hint="eastAsia" w:ascii="宋体" w:hAnsi="宋体"/>
                <w:b/>
                <w:color w:val="000000"/>
                <w:sz w:val="20"/>
                <w:szCs w:val="20"/>
              </w:rPr>
              <w:t>知识目标</w:t>
            </w:r>
          </w:p>
        </w:tc>
        <w:tc>
          <w:tcPr>
            <w:tcW w:w="928" w:type="pct"/>
            <w:vAlign w:val="center"/>
          </w:tcPr>
          <w:p w14:paraId="660AA94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宋体" w:hAnsi="Times New Roman"/>
                <w:b/>
                <w:color w:val="000000"/>
                <w:sz w:val="20"/>
                <w:szCs w:val="20"/>
              </w:rPr>
            </w:pPr>
            <w:r>
              <w:rPr>
                <w:rFonts w:hint="eastAsia" w:ascii="宋体" w:hAnsi="宋体"/>
                <w:b/>
                <w:color w:val="000000"/>
                <w:sz w:val="20"/>
                <w:szCs w:val="20"/>
              </w:rPr>
              <w:t>能力目标</w:t>
            </w:r>
          </w:p>
        </w:tc>
        <w:tc>
          <w:tcPr>
            <w:tcW w:w="877" w:type="pct"/>
            <w:vAlign w:val="center"/>
          </w:tcPr>
          <w:p w14:paraId="1624BB5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color w:val="000000"/>
                <w:sz w:val="20"/>
                <w:szCs w:val="20"/>
                <w:lang w:val="en-US" w:eastAsia="zh-CN" w:bidi="ar-SA"/>
              </w:rPr>
            </w:pPr>
            <w:r>
              <w:rPr>
                <w:rFonts w:hint="eastAsia" w:ascii="宋体" w:hAnsi="宋体"/>
                <w:b/>
                <w:color w:val="000000"/>
                <w:sz w:val="20"/>
                <w:szCs w:val="20"/>
              </w:rPr>
              <w:t>情感目标</w:t>
            </w:r>
          </w:p>
        </w:tc>
        <w:tc>
          <w:tcPr>
            <w:tcW w:w="1003" w:type="pct"/>
          </w:tcPr>
          <w:p w14:paraId="157F33A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b/>
                <w:color w:val="000000"/>
                <w:sz w:val="20"/>
                <w:szCs w:val="20"/>
                <w:lang w:val="en-US" w:eastAsia="zh-CN"/>
              </w:rPr>
            </w:pPr>
            <w:r>
              <w:rPr>
                <w:rFonts w:hint="eastAsia" w:ascii="宋体" w:hAnsi="宋体"/>
                <w:b/>
                <w:color w:val="000000"/>
                <w:sz w:val="20"/>
                <w:szCs w:val="20"/>
                <w:lang w:val="en-US" w:eastAsia="zh-CN"/>
              </w:rPr>
              <w:t>教学重点与难点</w:t>
            </w:r>
          </w:p>
        </w:tc>
      </w:tr>
      <w:tr w14:paraId="02127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4" w:type="pct"/>
            <w:vAlign w:val="center"/>
          </w:tcPr>
          <w:p w14:paraId="6CCAFFB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435" w:type="pct"/>
            <w:vAlign w:val="center"/>
          </w:tcPr>
          <w:p w14:paraId="7747D362">
            <w:pPr>
              <w:keepNext w:val="0"/>
              <w:keepLines w:val="0"/>
              <w:pageBreakBefore w:val="0"/>
              <w:widowControl/>
              <w:kinsoku/>
              <w:wordWrap/>
              <w:overflowPunct/>
              <w:topLinePunct w:val="0"/>
              <w:autoSpaceDE/>
              <w:autoSpaceDN/>
              <w:bidi w:val="0"/>
              <w:adjustRightInd/>
              <w:snapToGrid w:val="0"/>
              <w:spacing w:before="156" w:beforeLines="50" w:line="240" w:lineRule="auto"/>
              <w:jc w:val="both"/>
              <w:textAlignment w:val="auto"/>
              <w:rPr>
                <w:rFonts w:hint="eastAsia" w:ascii="宋体" w:hAnsi="宋体" w:eastAsia="宋体" w:cs="宋体"/>
                <w:bCs/>
                <w:sz w:val="21"/>
                <w:szCs w:val="21"/>
              </w:rPr>
            </w:pPr>
            <w:r>
              <w:rPr>
                <w:rFonts w:hint="eastAsia" w:ascii="宋体" w:hAnsi="宋体" w:eastAsia="宋体" w:cs="宋体"/>
                <w:bCs/>
                <w:sz w:val="21"/>
                <w:szCs w:val="21"/>
              </w:rPr>
              <w:t>康复医学概论</w:t>
            </w:r>
          </w:p>
          <w:p w14:paraId="01914666">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color w:val="000000"/>
                <w:sz w:val="21"/>
                <w:szCs w:val="21"/>
              </w:rPr>
            </w:pPr>
          </w:p>
        </w:tc>
        <w:tc>
          <w:tcPr>
            <w:tcW w:w="1510" w:type="pct"/>
          </w:tcPr>
          <w:p w14:paraId="1C8482F5">
            <w:pPr>
              <w:keepNext w:val="0"/>
              <w:keepLines w:val="0"/>
              <w:pageBreakBefore w:val="0"/>
              <w:widowControl/>
              <w:numPr>
                <w:ilvl w:val="0"/>
                <w:numId w:val="1"/>
              </w:numPr>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理解康复、医疗康复、康复医学的概念和内涵；康复医学与临床医学的区别和联系。</w:t>
            </w:r>
          </w:p>
          <w:p w14:paraId="1C347195">
            <w:pPr>
              <w:keepNext w:val="0"/>
              <w:keepLines w:val="0"/>
              <w:pageBreakBefore w:val="0"/>
              <w:widowControl/>
              <w:numPr>
                <w:ilvl w:val="0"/>
                <w:numId w:val="1"/>
              </w:numPr>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sz w:val="21"/>
                <w:szCs w:val="21"/>
              </w:rPr>
            </w:pPr>
            <w:r>
              <w:rPr>
                <w:rFonts w:hint="eastAsia" w:ascii="宋体" w:hAnsi="宋体" w:eastAsia="宋体" w:cs="宋体"/>
                <w:sz w:val="21"/>
                <w:szCs w:val="21"/>
              </w:rPr>
              <w:t>知道康复医学的组成和康复治疗的常用手段；ICIDH和ICF的基本框架；ICF的理论模式和应用；残疾分类方法，掌握残疾三级预防的概念及措施，了解康复医学的发展过程和现状</w:t>
            </w:r>
          </w:p>
        </w:tc>
        <w:tc>
          <w:tcPr>
            <w:tcW w:w="928" w:type="pct"/>
          </w:tcPr>
          <w:p w14:paraId="4B35F8E0">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
                <w:color w:val="000000"/>
                <w:sz w:val="21"/>
                <w:szCs w:val="21"/>
              </w:rPr>
            </w:pPr>
          </w:p>
        </w:tc>
        <w:tc>
          <w:tcPr>
            <w:tcW w:w="877" w:type="pct"/>
            <w:vAlign w:val="top"/>
          </w:tcPr>
          <w:p w14:paraId="68FA8D01">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0"/>
                <w:szCs w:val="20"/>
                <w:lang w:val="en-US" w:eastAsia="zh-CN" w:bidi="ar-SA"/>
              </w:rPr>
            </w:pPr>
            <w:r>
              <w:rPr>
                <w:rFonts w:hint="eastAsia" w:asciiTheme="minorEastAsia" w:hAnsiTheme="minorEastAsia" w:eastAsiaTheme="minorEastAsia" w:cstheme="minorEastAsia"/>
                <w:sz w:val="20"/>
                <w:szCs w:val="20"/>
              </w:rPr>
              <w:t>具有认真学好</w:t>
            </w:r>
            <w:r>
              <w:rPr>
                <w:rFonts w:hint="eastAsia" w:asciiTheme="minorEastAsia" w:hAnsiTheme="minorEastAsia" w:eastAsiaTheme="minorEastAsia" w:cstheme="minorEastAsia"/>
                <w:sz w:val="20"/>
                <w:szCs w:val="20"/>
                <w:lang w:val="en-US" w:eastAsia="zh-CN"/>
              </w:rPr>
              <w:t>康复医学</w:t>
            </w:r>
            <w:r>
              <w:rPr>
                <w:rFonts w:hint="eastAsia" w:asciiTheme="minorEastAsia" w:hAnsiTheme="minorEastAsia" w:eastAsiaTheme="minorEastAsia" w:cstheme="minorEastAsia"/>
                <w:sz w:val="20"/>
                <w:szCs w:val="20"/>
              </w:rPr>
              <w:t>的科学态度和为患者服务的基本素质。</w:t>
            </w:r>
          </w:p>
        </w:tc>
        <w:tc>
          <w:tcPr>
            <w:tcW w:w="1003" w:type="pct"/>
          </w:tcPr>
          <w:p w14:paraId="7ABDB89B">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重点：康复医学的组成及工作方式。</w:t>
            </w:r>
          </w:p>
          <w:p w14:paraId="25161720">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难点：ICF模式的框架结构与内部联系，ICF模式的实际运用。</w:t>
            </w:r>
          </w:p>
          <w:p w14:paraId="6E3EC464">
            <w:pPr>
              <w:keepNext w:val="0"/>
              <w:keepLines w:val="0"/>
              <w:pageBreakBefore w:val="0"/>
              <w:widowControl/>
              <w:kinsoku/>
              <w:wordWrap/>
              <w:overflowPunct/>
              <w:topLinePunct w:val="0"/>
              <w:autoSpaceDE/>
              <w:autoSpaceDN/>
              <w:bidi w:val="0"/>
              <w:adjustRightInd/>
              <w:spacing w:line="240" w:lineRule="auto"/>
              <w:textAlignment w:val="auto"/>
              <w:rPr>
                <w:rFonts w:hint="eastAsia" w:ascii="宋体" w:hAnsi="宋体" w:eastAsia="宋体" w:cs="宋体"/>
                <w:color w:val="000000"/>
                <w:sz w:val="21"/>
                <w:szCs w:val="21"/>
              </w:rPr>
            </w:pPr>
          </w:p>
        </w:tc>
      </w:tr>
      <w:tr w14:paraId="232AA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4" w:type="pct"/>
            <w:vAlign w:val="center"/>
          </w:tcPr>
          <w:p w14:paraId="2AAC12C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435" w:type="pct"/>
            <w:vAlign w:val="center"/>
          </w:tcPr>
          <w:p w14:paraId="6B6B0F43">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康复医学评定</w:t>
            </w:r>
          </w:p>
        </w:tc>
        <w:tc>
          <w:tcPr>
            <w:tcW w:w="1510" w:type="pct"/>
          </w:tcPr>
          <w:p w14:paraId="12907EDF">
            <w:pPr>
              <w:keepNext w:val="0"/>
              <w:keepLines w:val="0"/>
              <w:pageBreakBefore w:val="0"/>
              <w:widowControl/>
              <w:numPr>
                <w:ilvl w:val="0"/>
                <w:numId w:val="2"/>
              </w:numPr>
              <w:kinsoku/>
              <w:wordWrap/>
              <w:overflowPunct/>
              <w:topLinePunct w:val="0"/>
              <w:autoSpaceDE/>
              <w:autoSpaceDN/>
              <w:bidi w:val="0"/>
              <w:adjustRightIn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知道运动功能评定的组成；肌力，肌力，肌张力的概念，评定方法及注意事项；心肺功能评定的组成及注意事项</w:t>
            </w:r>
          </w:p>
          <w:p w14:paraId="3A60DBD8">
            <w:pPr>
              <w:keepNext w:val="0"/>
              <w:keepLines w:val="0"/>
              <w:pageBreakBefore w:val="0"/>
              <w:widowControl/>
              <w:numPr>
                <w:ilvl w:val="0"/>
                <w:numId w:val="2"/>
              </w:numPr>
              <w:kinsoku/>
              <w:wordWrap/>
              <w:overflowPunct/>
              <w:topLinePunct w:val="0"/>
              <w:autoSpaceDE/>
              <w:autoSpaceDN/>
              <w:bidi w:val="0"/>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sz w:val="21"/>
                <w:szCs w:val="21"/>
              </w:rPr>
              <w:t>理解运动功能评定的适应症及禁忌症；心肺功能评定的组成及结果解读</w:t>
            </w:r>
          </w:p>
          <w:p w14:paraId="11AC3077">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3.理解言语功能评定概述；失语症的表现及其原因；失语症的分类及特点；失语症评定方法。构音障碍的定义、特征、病因及分类。构音障碍评定方法。</w:t>
            </w:r>
          </w:p>
          <w:p w14:paraId="293D49D2">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sz w:val="21"/>
                <w:szCs w:val="21"/>
              </w:rPr>
            </w:pPr>
            <w:r>
              <w:rPr>
                <w:rFonts w:hint="eastAsia" w:ascii="宋体" w:hAnsi="宋体" w:eastAsia="宋体" w:cs="宋体"/>
                <w:sz w:val="21"/>
                <w:szCs w:val="21"/>
              </w:rPr>
              <w:t>4.知道认知功能评定的内容与方法。日常生活活动（ADL）的定义、范围、分类及评定目的；日常生活活动能力评定方法：Barthel指数与改良Barthel指数内容及评分结果提示的临床意义。</w:t>
            </w:r>
          </w:p>
        </w:tc>
        <w:tc>
          <w:tcPr>
            <w:tcW w:w="928" w:type="pct"/>
          </w:tcPr>
          <w:p w14:paraId="6312A368">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1.运用相关理论知识对运动功能及心肺功能进行评定，</w:t>
            </w:r>
            <w:r>
              <w:rPr>
                <w:rFonts w:hint="eastAsia" w:ascii="宋体" w:hAnsi="宋体" w:eastAsia="宋体" w:cs="宋体"/>
                <w:sz w:val="21"/>
                <w:szCs w:val="21"/>
              </w:rPr>
              <w:t>培养善于动手实践的能力，具有仁爱之心和良好的人文关怀精神。</w:t>
            </w:r>
          </w:p>
          <w:p w14:paraId="73C6A39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2.运用相关知识对言语/认知功能及日常生活能力等进行评定及记录评定结果</w:t>
            </w:r>
          </w:p>
        </w:tc>
        <w:tc>
          <w:tcPr>
            <w:tcW w:w="877" w:type="pct"/>
            <w:vAlign w:val="top"/>
          </w:tcPr>
          <w:p w14:paraId="682173AB">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0"/>
                <w:szCs w:val="20"/>
                <w:lang w:val="en-US" w:eastAsia="zh-CN" w:bidi="ar-SA"/>
              </w:rPr>
            </w:pPr>
            <w:r>
              <w:rPr>
                <w:rFonts w:hint="eastAsia" w:asciiTheme="minorEastAsia" w:hAnsiTheme="minorEastAsia" w:eastAsiaTheme="minorEastAsia" w:cstheme="minorEastAsia"/>
                <w:sz w:val="20"/>
                <w:szCs w:val="20"/>
              </w:rPr>
              <w:t>具有对运动系统</w:t>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lang w:val="en-US" w:eastAsia="zh-CN"/>
              </w:rPr>
              <w:t>神经系统</w:t>
            </w:r>
            <w:r>
              <w:rPr>
                <w:rFonts w:hint="eastAsia" w:asciiTheme="minorEastAsia" w:hAnsiTheme="minorEastAsia" w:eastAsiaTheme="minorEastAsia" w:cstheme="minorEastAsia"/>
                <w:sz w:val="20"/>
                <w:szCs w:val="20"/>
              </w:rPr>
              <w:t>相关疾病的</w:t>
            </w:r>
            <w:r>
              <w:rPr>
                <w:rFonts w:hint="eastAsia" w:asciiTheme="minorEastAsia" w:hAnsiTheme="minorEastAsia" w:eastAsiaTheme="minorEastAsia" w:cstheme="minorEastAsia"/>
                <w:sz w:val="20"/>
                <w:szCs w:val="20"/>
                <w:lang w:val="en-US" w:eastAsia="zh-CN"/>
              </w:rPr>
              <w:t>专业评定素养</w:t>
            </w:r>
            <w:r>
              <w:rPr>
                <w:rFonts w:hint="eastAsia" w:asciiTheme="minorEastAsia" w:hAnsiTheme="minorEastAsia" w:eastAsiaTheme="minorEastAsia" w:cstheme="minorEastAsia"/>
                <w:sz w:val="20"/>
                <w:szCs w:val="20"/>
              </w:rPr>
              <w:t>，救死扶伤。</w:t>
            </w:r>
          </w:p>
        </w:tc>
        <w:tc>
          <w:tcPr>
            <w:tcW w:w="1003" w:type="pct"/>
          </w:tcPr>
          <w:p w14:paraId="79C73658">
            <w:pPr>
              <w:keepNext w:val="0"/>
              <w:keepLines w:val="0"/>
              <w:pageBreakBefore w:val="0"/>
              <w:widowControl/>
              <w:kinsoku/>
              <w:wordWrap/>
              <w:overflowPunct/>
              <w:topLinePunct w:val="0"/>
              <w:autoSpaceDE/>
              <w:autoSpaceDN/>
              <w:bidi w:val="0"/>
              <w:adjustRightIn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重点：肌张力评定方法及注意事项；关节活动范围的量角器测量方法及注意事项；人体主要关节的正常活动范围；常见异常步态的特征；心电运动试验的应用范畴、适应症和禁忌症</w:t>
            </w:r>
          </w:p>
          <w:p w14:paraId="01EEACE6">
            <w:pPr>
              <w:keepNext w:val="0"/>
              <w:keepLines w:val="0"/>
              <w:pageBreakBefore w:val="0"/>
              <w:widowControl/>
              <w:kinsoku/>
              <w:wordWrap/>
              <w:overflowPunct/>
              <w:topLinePunct w:val="0"/>
              <w:autoSpaceDE/>
              <w:autoSpaceDN/>
              <w:bidi w:val="0"/>
              <w:adjustRightIn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失语症的评定内容与方法；吞咽障碍的评定内容与方法；认知功能障碍筛查的方法；</w:t>
            </w:r>
          </w:p>
          <w:p w14:paraId="5FDB1E09">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难点：肌张力及徒手肌力评定的操作要点与分级结果的确定；步行周期的相关概念；人体平衡的维持机制；心电运动试验结果的解释。</w:t>
            </w:r>
          </w:p>
        </w:tc>
      </w:tr>
      <w:tr w14:paraId="05EEB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4" w:type="pct"/>
            <w:vAlign w:val="center"/>
          </w:tcPr>
          <w:p w14:paraId="4D5A558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435" w:type="pct"/>
            <w:vAlign w:val="center"/>
          </w:tcPr>
          <w:p w14:paraId="609B64F2">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bCs/>
                <w:sz w:val="21"/>
                <w:szCs w:val="21"/>
              </w:rPr>
            </w:pPr>
            <w:r>
              <w:rPr>
                <w:rFonts w:hint="eastAsia" w:ascii="宋体" w:hAnsi="宋体" w:eastAsia="宋体" w:cs="宋体"/>
                <w:bCs/>
                <w:sz w:val="21"/>
                <w:szCs w:val="21"/>
              </w:rPr>
              <w:t>康复治疗技术</w:t>
            </w:r>
          </w:p>
          <w:p w14:paraId="395EE846">
            <w:pPr>
              <w:keepNext w:val="0"/>
              <w:keepLines w:val="0"/>
              <w:pageBreakBefore w:val="0"/>
              <w:widowControl/>
              <w:kinsoku/>
              <w:wordWrap/>
              <w:overflowPunct/>
              <w:topLinePunct w:val="0"/>
              <w:autoSpaceDE/>
              <w:autoSpaceDN/>
              <w:bidi w:val="0"/>
              <w:adjustRightInd/>
              <w:spacing w:line="240" w:lineRule="auto"/>
              <w:textAlignment w:val="auto"/>
              <w:rPr>
                <w:rFonts w:hint="eastAsia" w:ascii="宋体" w:hAnsi="宋体" w:eastAsia="宋体" w:cs="宋体"/>
                <w:color w:val="000000"/>
                <w:sz w:val="21"/>
                <w:szCs w:val="21"/>
              </w:rPr>
            </w:pPr>
          </w:p>
        </w:tc>
        <w:tc>
          <w:tcPr>
            <w:tcW w:w="1510" w:type="pct"/>
          </w:tcPr>
          <w:p w14:paraId="009C41D0">
            <w:pPr>
              <w:keepNext w:val="0"/>
              <w:keepLines w:val="0"/>
              <w:pageBreakBefore w:val="0"/>
              <w:widowControl/>
              <w:numPr>
                <w:ilvl w:val="0"/>
                <w:numId w:val="3"/>
              </w:numPr>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知道物理治疗的概念；常用物理因子治疗的种类及各自的适应症和禁忌症；关节松动技术的适应症和禁忌症，</w:t>
            </w:r>
          </w:p>
          <w:p w14:paraId="0B80B23D">
            <w:pPr>
              <w:keepNext w:val="0"/>
              <w:keepLines w:val="0"/>
              <w:pageBreakBefore w:val="0"/>
              <w:widowControl/>
              <w:numPr>
                <w:ilvl w:val="0"/>
                <w:numId w:val="3"/>
              </w:numPr>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理解运动治疗的常用方法；中、西方手法治疗的异同点，掌握作业治疗的定义</w:t>
            </w:r>
          </w:p>
          <w:p w14:paraId="767C517A">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3.知道作业治疗项目的种类；作业治疗在康复团队中的角色及工作定位；作业治疗的新技术和发展趋势，</w:t>
            </w:r>
          </w:p>
          <w:p w14:paraId="722F8B6A">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4.理解言语治疗、吞咽障碍治疗的内容与方法</w:t>
            </w:r>
          </w:p>
          <w:p w14:paraId="5C42F24A">
            <w:pPr>
              <w:pStyle w:val="16"/>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sz w:val="21"/>
                <w:szCs w:val="21"/>
              </w:rPr>
              <w:t>5.知道假肢的分类和选用原则；矫形器的分类；助行器的分类。轮椅的种类和选择。</w:t>
            </w:r>
          </w:p>
        </w:tc>
        <w:tc>
          <w:tcPr>
            <w:tcW w:w="928" w:type="pct"/>
          </w:tcPr>
          <w:p w14:paraId="5BCEB20B">
            <w:pPr>
              <w:keepNext w:val="0"/>
              <w:keepLines w:val="0"/>
              <w:pageBreakBefore w:val="0"/>
              <w:widowControl/>
              <w:kinsoku/>
              <w:wordWrap/>
              <w:overflowPunct/>
              <w:topLinePunct w:val="0"/>
              <w:autoSpaceDE/>
              <w:autoSpaceDN/>
              <w:bidi w:val="0"/>
              <w:adjustRightInd/>
              <w:spacing w:line="240" w:lineRule="auto"/>
              <w:textAlignment w:val="auto"/>
              <w:rPr>
                <w:rFonts w:hint="eastAsia" w:ascii="宋体" w:hAnsi="宋体" w:eastAsia="宋体" w:cs="宋体"/>
                <w:color w:val="000000"/>
                <w:sz w:val="21"/>
                <w:szCs w:val="21"/>
              </w:rPr>
            </w:pPr>
          </w:p>
          <w:p w14:paraId="51C6FF1F">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培养总结分析的能力和解决实际问题的能力。</w:t>
            </w:r>
          </w:p>
          <w:p w14:paraId="748664FC">
            <w:pPr>
              <w:keepNext w:val="0"/>
              <w:keepLines w:val="0"/>
              <w:pageBreakBefore w:val="0"/>
              <w:widowControl/>
              <w:kinsoku/>
              <w:wordWrap/>
              <w:overflowPunct/>
              <w:topLinePunct w:val="0"/>
              <w:autoSpaceDE/>
              <w:autoSpaceDN/>
              <w:bidi w:val="0"/>
              <w:adjustRightInd/>
              <w:spacing w:line="240" w:lineRule="auto"/>
              <w:textAlignment w:val="auto"/>
              <w:rPr>
                <w:rFonts w:hint="eastAsia" w:ascii="宋体" w:hAnsi="宋体" w:eastAsia="宋体" w:cs="宋体"/>
                <w:color w:val="000000"/>
                <w:sz w:val="21"/>
                <w:szCs w:val="21"/>
              </w:rPr>
            </w:pPr>
          </w:p>
        </w:tc>
        <w:tc>
          <w:tcPr>
            <w:tcW w:w="877" w:type="pct"/>
            <w:vAlign w:val="top"/>
          </w:tcPr>
          <w:p w14:paraId="6C5C6F30">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0"/>
                <w:szCs w:val="20"/>
                <w:lang w:val="en-US" w:eastAsia="zh-CN" w:bidi="ar-SA"/>
              </w:rPr>
            </w:pPr>
            <w:r>
              <w:rPr>
                <w:rFonts w:hint="eastAsia" w:asciiTheme="minorEastAsia" w:hAnsiTheme="minorEastAsia" w:eastAsiaTheme="minorEastAsia" w:cstheme="minorEastAsia"/>
                <w:sz w:val="20"/>
                <w:szCs w:val="20"/>
              </w:rPr>
              <w:t>具备处理</w:t>
            </w:r>
            <w:r>
              <w:rPr>
                <w:rFonts w:hint="eastAsia" w:asciiTheme="minorEastAsia" w:hAnsiTheme="minorEastAsia" w:eastAsiaTheme="minorEastAsia" w:cstheme="minorEastAsia"/>
                <w:sz w:val="20"/>
                <w:szCs w:val="20"/>
                <w:lang w:val="en-US" w:eastAsia="zh-CN"/>
              </w:rPr>
              <w:t>肌肉骨骼系统、神经系统</w:t>
            </w:r>
            <w:r>
              <w:rPr>
                <w:rFonts w:hint="eastAsia" w:asciiTheme="minorEastAsia" w:hAnsiTheme="minorEastAsia" w:eastAsiaTheme="minorEastAsia" w:cstheme="minorEastAsia"/>
                <w:sz w:val="20"/>
                <w:szCs w:val="20"/>
              </w:rPr>
              <w:t>常见疾病的护理能力，养成良好的生活习惯，做好宣教工作。</w:t>
            </w:r>
          </w:p>
        </w:tc>
        <w:tc>
          <w:tcPr>
            <w:tcW w:w="1003" w:type="pct"/>
          </w:tcPr>
          <w:p w14:paraId="5AC05834">
            <w:pPr>
              <w:keepNext w:val="0"/>
              <w:keepLines w:val="0"/>
              <w:pageBreakBefore w:val="0"/>
              <w:widowControl/>
              <w:kinsoku/>
              <w:wordWrap/>
              <w:overflowPunct/>
              <w:topLinePunct w:val="0"/>
              <w:autoSpaceDE/>
              <w:autoSpaceDN/>
              <w:bidi w:val="0"/>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重点：</w:t>
            </w:r>
            <w:r>
              <w:rPr>
                <w:rFonts w:hint="eastAsia" w:ascii="宋体" w:hAnsi="宋体" w:eastAsia="宋体" w:cs="宋体"/>
                <w:sz w:val="21"/>
                <w:szCs w:val="21"/>
              </w:rPr>
              <w:t>常用物理因子治疗的种类及各自的适应症和禁忌症</w:t>
            </w:r>
          </w:p>
          <w:p w14:paraId="064A52B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难点：</w:t>
            </w:r>
            <w:r>
              <w:rPr>
                <w:rFonts w:hint="eastAsia" w:ascii="宋体" w:hAnsi="宋体" w:eastAsia="宋体" w:cs="宋体"/>
                <w:sz w:val="21"/>
                <w:szCs w:val="21"/>
              </w:rPr>
              <w:t>关节松动技术的适应症和禁忌症；</w:t>
            </w:r>
            <w:r>
              <w:rPr>
                <w:rFonts w:hint="eastAsia" w:ascii="宋体" w:hAnsi="宋体" w:eastAsia="宋体" w:cs="宋体"/>
                <w:color w:val="000000"/>
                <w:sz w:val="21"/>
                <w:szCs w:val="21"/>
              </w:rPr>
              <w:t>康复器具的使用指导</w:t>
            </w:r>
          </w:p>
          <w:p w14:paraId="75A078D5">
            <w:pPr>
              <w:keepNext w:val="0"/>
              <w:keepLines w:val="0"/>
              <w:pageBreakBefore w:val="0"/>
              <w:widowControl/>
              <w:kinsoku/>
              <w:wordWrap/>
              <w:overflowPunct/>
              <w:topLinePunct w:val="0"/>
              <w:autoSpaceDE/>
              <w:autoSpaceDN/>
              <w:bidi w:val="0"/>
              <w:adjustRightInd/>
              <w:spacing w:line="240" w:lineRule="auto"/>
              <w:textAlignment w:val="auto"/>
              <w:rPr>
                <w:rFonts w:hint="eastAsia" w:ascii="宋体" w:hAnsi="宋体" w:eastAsia="宋体" w:cs="宋体"/>
                <w:color w:val="000000"/>
                <w:sz w:val="21"/>
                <w:szCs w:val="21"/>
              </w:rPr>
            </w:pPr>
          </w:p>
        </w:tc>
      </w:tr>
      <w:tr w14:paraId="5EB5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4" w:type="pct"/>
            <w:vAlign w:val="center"/>
          </w:tcPr>
          <w:p w14:paraId="562CAA08">
            <w:pPr>
              <w:keepNext w:val="0"/>
              <w:keepLines w:val="0"/>
              <w:pageBreakBefore w:val="0"/>
              <w:widowControl/>
              <w:kinsoku/>
              <w:wordWrap/>
              <w:overflowPunct/>
              <w:topLinePunct w:val="0"/>
              <w:autoSpaceDE/>
              <w:autoSpaceDN/>
              <w:bidi w:val="0"/>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435" w:type="pct"/>
            <w:vAlign w:val="center"/>
          </w:tcPr>
          <w:p w14:paraId="48705412">
            <w:pPr>
              <w:keepNext w:val="0"/>
              <w:keepLines w:val="0"/>
              <w:pageBreakBefore w:val="0"/>
              <w:widowControl/>
              <w:kinsoku/>
              <w:wordWrap/>
              <w:overflowPunct/>
              <w:topLinePunct w:val="0"/>
              <w:autoSpaceDE/>
              <w:autoSpaceDN/>
              <w:bidi w:val="0"/>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常见神经系统疾病的康复</w:t>
            </w:r>
          </w:p>
        </w:tc>
        <w:tc>
          <w:tcPr>
            <w:tcW w:w="1510" w:type="pct"/>
          </w:tcPr>
          <w:p w14:paraId="7738EB1E">
            <w:pPr>
              <w:keepNext w:val="0"/>
              <w:keepLines w:val="0"/>
              <w:pageBreakBefore w:val="0"/>
              <w:widowControl/>
              <w:kinsoku/>
              <w:wordWrap/>
              <w:overflowPunct/>
              <w:topLinePunct w:val="0"/>
              <w:autoSpaceDE/>
              <w:autoSpaceDN/>
              <w:bidi w:val="0"/>
              <w:adjustRightInd/>
              <w:spacing w:line="240" w:lineRule="auto"/>
              <w:textAlignment w:val="auto"/>
              <w:rPr>
                <w:rFonts w:hint="eastAsia" w:ascii="宋体" w:hAnsi="宋体" w:eastAsia="宋体" w:cs="宋体"/>
                <w:sz w:val="21"/>
                <w:szCs w:val="21"/>
              </w:rPr>
            </w:pPr>
            <w:r>
              <w:rPr>
                <w:rFonts w:hint="eastAsia" w:ascii="宋体" w:hAnsi="宋体" w:eastAsia="宋体" w:cs="宋体"/>
                <w:color w:val="000000"/>
                <w:sz w:val="21"/>
                <w:szCs w:val="21"/>
              </w:rPr>
              <w:t>1.</w:t>
            </w:r>
            <w:r>
              <w:rPr>
                <w:rFonts w:hint="eastAsia" w:ascii="宋体" w:hAnsi="宋体" w:eastAsia="宋体" w:cs="宋体"/>
                <w:sz w:val="21"/>
                <w:szCs w:val="21"/>
              </w:rPr>
              <w:t>脑卒中的临床特点和常见的功能障碍，脑卒中的康复评定方法</w:t>
            </w:r>
          </w:p>
          <w:p w14:paraId="45D56416">
            <w:pPr>
              <w:keepNext w:val="0"/>
              <w:keepLines w:val="0"/>
              <w:pageBreakBefore w:val="0"/>
              <w:widowControl/>
              <w:kinsoku/>
              <w:wordWrap/>
              <w:overflowPunct/>
              <w:topLinePunct w:val="0"/>
              <w:autoSpaceDE/>
              <w:autoSpaceDN/>
              <w:bidi w:val="0"/>
              <w:adjustRightIn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2.理解掌握脑卒中的康复时机选择和康复治疗措施</w:t>
            </w:r>
          </w:p>
          <w:p w14:paraId="447ABAB6">
            <w:pPr>
              <w:keepNext w:val="0"/>
              <w:keepLines w:val="0"/>
              <w:pageBreakBefore w:val="0"/>
              <w:widowControl/>
              <w:kinsoku/>
              <w:wordWrap/>
              <w:overflowPunct/>
              <w:topLinePunct w:val="0"/>
              <w:autoSpaceDE/>
              <w:autoSpaceDN/>
              <w:bidi w:val="0"/>
              <w:adjustRightIn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3.知道颅脑损伤的发生机制及病理特点，颅脑损伤的康复评定内容，颅脑损伤的康复治疗措施；</w:t>
            </w:r>
          </w:p>
          <w:p w14:paraId="373D1EF8">
            <w:pPr>
              <w:keepNext w:val="0"/>
              <w:keepLines w:val="0"/>
              <w:pageBreakBefore w:val="0"/>
              <w:widowControl/>
              <w:kinsoku/>
              <w:wordWrap/>
              <w:overflowPunct/>
              <w:topLinePunct w:val="0"/>
              <w:autoSpaceDE/>
              <w:autoSpaceDN/>
              <w:bidi w:val="0"/>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sz w:val="21"/>
                <w:szCs w:val="21"/>
              </w:rPr>
              <w:t>4.知道脊髓损伤神经平面、运动平面、感觉平面评定要点，脊髓损伤程度评定的ASIA分级标准，</w:t>
            </w:r>
          </w:p>
          <w:p w14:paraId="440E9805">
            <w:pPr>
              <w:keepNext w:val="0"/>
              <w:keepLines w:val="0"/>
              <w:pageBreakBefore w:val="0"/>
              <w:widowControl/>
              <w:kinsoku/>
              <w:wordWrap/>
              <w:overflowPunct/>
              <w:topLinePunct w:val="0"/>
              <w:autoSpaceDE/>
              <w:autoSpaceDN/>
              <w:bidi w:val="0"/>
              <w:adjustRightIn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5.理解脊髓损伤急性期与恢复期的康复治疗方法，脊髓损伤的并发症及处理方法</w:t>
            </w:r>
          </w:p>
          <w:p w14:paraId="2FE9E837">
            <w:pPr>
              <w:pStyle w:val="16"/>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6.知道脑性瘫痪的定义与临床分型。小儿脑瘫的危险因素；小儿脑瘫的康复评定：评定目的与评定方法；小儿脑瘫的康复治疗：康复治疗原则、内容和方法。</w:t>
            </w:r>
          </w:p>
        </w:tc>
        <w:tc>
          <w:tcPr>
            <w:tcW w:w="928" w:type="pct"/>
          </w:tcPr>
          <w:p w14:paraId="08BCBE96">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用理论结合真实临床案例的教学方式，提高学生理解、注意、记忆及学习能力，使学生树立“关爱生命，以患者为中心”的职业道德理念。</w:t>
            </w:r>
          </w:p>
          <w:p w14:paraId="4066414C">
            <w:pPr>
              <w:keepNext w:val="0"/>
              <w:keepLines w:val="0"/>
              <w:pageBreakBefore w:val="0"/>
              <w:widowControl/>
              <w:kinsoku/>
              <w:wordWrap/>
              <w:overflowPunct/>
              <w:topLinePunct w:val="0"/>
              <w:autoSpaceDE/>
              <w:autoSpaceDN/>
              <w:bidi w:val="0"/>
              <w:adjustRightInd/>
              <w:spacing w:line="240" w:lineRule="auto"/>
              <w:textAlignment w:val="auto"/>
              <w:rPr>
                <w:rFonts w:hint="eastAsia" w:ascii="宋体" w:hAnsi="宋体" w:eastAsia="宋体" w:cs="宋体"/>
                <w:color w:val="000000"/>
                <w:sz w:val="21"/>
                <w:szCs w:val="21"/>
              </w:rPr>
            </w:pPr>
          </w:p>
        </w:tc>
        <w:tc>
          <w:tcPr>
            <w:tcW w:w="877" w:type="pct"/>
            <w:vAlign w:val="top"/>
          </w:tcPr>
          <w:p w14:paraId="1C737F10">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0"/>
                <w:szCs w:val="20"/>
                <w:lang w:val="en-US" w:eastAsia="zh-CN" w:bidi="ar-SA"/>
              </w:rPr>
            </w:pPr>
            <w:r>
              <w:rPr>
                <w:rFonts w:hint="eastAsia" w:asciiTheme="minorEastAsia" w:hAnsiTheme="minorEastAsia" w:eastAsiaTheme="minorEastAsia" w:cstheme="minorEastAsia"/>
                <w:sz w:val="20"/>
                <w:szCs w:val="20"/>
              </w:rPr>
              <w:t>养成良好的饮食、卫生习惯，确立积极、健康的生活态度。</w:t>
            </w:r>
          </w:p>
        </w:tc>
        <w:tc>
          <w:tcPr>
            <w:tcW w:w="1003" w:type="pct"/>
          </w:tcPr>
          <w:p w14:paraId="4AF726F7">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重点：脑卒中的功能障碍特征；脑卒中的康复时机选择；脑卒中不同时期的康复治疗措施及并发症的处理；颅脑损伤的康复治疗措施；脊髓损伤程度评定的ASIA分级标准；</w:t>
            </w:r>
          </w:p>
          <w:p w14:paraId="4362C19C">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难点：脊髓损伤神经平面、运动平面、感觉平面的评定。</w:t>
            </w:r>
          </w:p>
          <w:p w14:paraId="0774663A">
            <w:pPr>
              <w:keepNext w:val="0"/>
              <w:keepLines w:val="0"/>
              <w:pageBreakBefore w:val="0"/>
              <w:widowControl/>
              <w:kinsoku/>
              <w:wordWrap/>
              <w:overflowPunct/>
              <w:topLinePunct w:val="0"/>
              <w:autoSpaceDE/>
              <w:autoSpaceDN/>
              <w:bidi w:val="0"/>
              <w:adjustRightInd/>
              <w:spacing w:line="240" w:lineRule="auto"/>
              <w:textAlignment w:val="auto"/>
              <w:rPr>
                <w:rFonts w:hint="eastAsia" w:ascii="宋体" w:hAnsi="宋体" w:eastAsia="宋体" w:cs="宋体"/>
                <w:color w:val="000000"/>
                <w:sz w:val="21"/>
                <w:szCs w:val="21"/>
              </w:rPr>
            </w:pPr>
          </w:p>
        </w:tc>
      </w:tr>
      <w:tr w14:paraId="4EBE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4" w:type="pct"/>
            <w:vAlign w:val="center"/>
          </w:tcPr>
          <w:p w14:paraId="25105084">
            <w:pPr>
              <w:keepNext w:val="0"/>
              <w:keepLines w:val="0"/>
              <w:pageBreakBefore w:val="0"/>
              <w:widowControl/>
              <w:kinsoku/>
              <w:wordWrap/>
              <w:overflowPunct/>
              <w:topLinePunct w:val="0"/>
              <w:autoSpaceDE/>
              <w:autoSpaceDN/>
              <w:bidi w:val="0"/>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435" w:type="pct"/>
            <w:vAlign w:val="center"/>
          </w:tcPr>
          <w:p w14:paraId="5E3A3B4F">
            <w:pPr>
              <w:keepNext w:val="0"/>
              <w:keepLines w:val="0"/>
              <w:pageBreakBefore w:val="0"/>
              <w:widowControl/>
              <w:kinsoku/>
              <w:wordWrap/>
              <w:overflowPunct/>
              <w:topLinePunct w:val="0"/>
              <w:autoSpaceDE/>
              <w:autoSpaceDN/>
              <w:bidi w:val="0"/>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骨骼肌肉系统常见病损的康复</w:t>
            </w:r>
          </w:p>
        </w:tc>
        <w:tc>
          <w:tcPr>
            <w:tcW w:w="1510" w:type="pct"/>
          </w:tcPr>
          <w:p w14:paraId="364D9FAF">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1.知道骨折、骨关节炎等常见病症的临床表现及康复评定内容</w:t>
            </w:r>
          </w:p>
          <w:p w14:paraId="0B1A99FC">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2.知道关节置换术、颈椎病、肩周炎、腰痛及软组织损伤等常见病症的临床表现及康复评定内容</w:t>
            </w:r>
          </w:p>
          <w:p w14:paraId="595BAFBA">
            <w:pPr>
              <w:pStyle w:val="16"/>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3.理解初步掌握上述常见病症的康复治疗方法， </w:t>
            </w:r>
          </w:p>
        </w:tc>
        <w:tc>
          <w:tcPr>
            <w:tcW w:w="928" w:type="pct"/>
          </w:tcPr>
          <w:p w14:paraId="57701701">
            <w:pPr>
              <w:keepNext w:val="0"/>
              <w:keepLines w:val="0"/>
              <w:pageBreakBefore w:val="0"/>
              <w:widowControl/>
              <w:kinsoku/>
              <w:wordWrap/>
              <w:overflowPunct/>
              <w:topLinePunct w:val="0"/>
              <w:autoSpaceDE/>
              <w:autoSpaceDN/>
              <w:bidi w:val="0"/>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sz w:val="21"/>
                <w:szCs w:val="21"/>
              </w:rPr>
              <w:t>建立骨骼肌肉系统病症康复治疗的整体概念。</w:t>
            </w:r>
          </w:p>
        </w:tc>
        <w:tc>
          <w:tcPr>
            <w:tcW w:w="877" w:type="pct"/>
            <w:vAlign w:val="top"/>
          </w:tcPr>
          <w:p w14:paraId="2F29E807">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0"/>
                <w:szCs w:val="20"/>
                <w:lang w:val="en-US" w:eastAsia="zh-CN" w:bidi="ar-SA"/>
              </w:rPr>
            </w:pPr>
            <w:r>
              <w:rPr>
                <w:rFonts w:hint="eastAsia" w:asciiTheme="minorEastAsia" w:hAnsiTheme="minorEastAsia" w:eastAsiaTheme="minorEastAsia" w:cstheme="minorEastAsia"/>
                <w:sz w:val="20"/>
                <w:szCs w:val="20"/>
              </w:rPr>
              <w:t>具备</w:t>
            </w:r>
            <w:r>
              <w:rPr>
                <w:rFonts w:hint="eastAsia" w:asciiTheme="minorEastAsia" w:hAnsiTheme="minorEastAsia" w:eastAsiaTheme="minorEastAsia" w:cstheme="minorEastAsia"/>
                <w:sz w:val="20"/>
                <w:szCs w:val="20"/>
                <w:lang w:val="en-US" w:eastAsia="zh-CN"/>
              </w:rPr>
              <w:t>处理骨骼肌肉系统</w:t>
            </w:r>
            <w:r>
              <w:rPr>
                <w:rFonts w:hint="eastAsia" w:asciiTheme="minorEastAsia" w:hAnsiTheme="minorEastAsia" w:eastAsiaTheme="minorEastAsia" w:cstheme="minorEastAsia"/>
                <w:sz w:val="20"/>
                <w:szCs w:val="20"/>
              </w:rPr>
              <w:t>常见疾病的</w:t>
            </w:r>
            <w:r>
              <w:rPr>
                <w:rFonts w:hint="eastAsia" w:asciiTheme="minorEastAsia" w:hAnsiTheme="minorEastAsia" w:eastAsiaTheme="minorEastAsia" w:cstheme="minorEastAsia"/>
                <w:sz w:val="20"/>
                <w:szCs w:val="20"/>
                <w:lang w:val="en-US" w:eastAsia="zh-CN"/>
              </w:rPr>
              <w:t>康复</w:t>
            </w:r>
            <w:r>
              <w:rPr>
                <w:rFonts w:hint="eastAsia" w:asciiTheme="minorEastAsia" w:hAnsiTheme="minorEastAsia" w:eastAsiaTheme="minorEastAsia" w:cstheme="minorEastAsia"/>
                <w:sz w:val="20"/>
                <w:szCs w:val="20"/>
              </w:rPr>
              <w:t>能力，养成良好的生活习惯，做好宣教工作。</w:t>
            </w:r>
          </w:p>
        </w:tc>
        <w:tc>
          <w:tcPr>
            <w:tcW w:w="1003" w:type="pct"/>
          </w:tcPr>
          <w:p w14:paraId="58243841">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重点：骨折临床愈合及骨性愈合标准；骨关节炎的临床表现；肩关节周围炎的运动疗法；关节置换术常见并发症及处理；颈椎病的临床分型及特点；肩关节周围炎的运动疗法；腰椎间盘突出症的主要临床表现；腰痛的康复教育与预防；软组织损伤急性期的治疗原则。</w:t>
            </w:r>
          </w:p>
          <w:p w14:paraId="181092E3">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sz w:val="21"/>
                <w:szCs w:val="21"/>
              </w:rPr>
            </w:pPr>
            <w:r>
              <w:rPr>
                <w:rFonts w:hint="eastAsia" w:ascii="宋体" w:hAnsi="宋体" w:eastAsia="宋体" w:cs="宋体"/>
                <w:sz w:val="21"/>
                <w:szCs w:val="21"/>
              </w:rPr>
              <w:t>难点：骨关节炎的运动功能评定；肩关节周围炎的临床分期；关节置换术后关节周围肌肉训练方法；腰痛的分型。</w:t>
            </w:r>
          </w:p>
        </w:tc>
      </w:tr>
      <w:tr w14:paraId="7F7C4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4" w:type="pct"/>
            <w:vAlign w:val="center"/>
          </w:tcPr>
          <w:p w14:paraId="4D873A4A">
            <w:pPr>
              <w:keepNext w:val="0"/>
              <w:keepLines w:val="0"/>
              <w:pageBreakBefore w:val="0"/>
              <w:widowControl/>
              <w:kinsoku/>
              <w:wordWrap/>
              <w:overflowPunct/>
              <w:topLinePunct w:val="0"/>
              <w:autoSpaceDE/>
              <w:autoSpaceDN/>
              <w:bidi w:val="0"/>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435" w:type="pct"/>
            <w:vAlign w:val="center"/>
          </w:tcPr>
          <w:p w14:paraId="20C31828">
            <w:pPr>
              <w:keepNext w:val="0"/>
              <w:keepLines w:val="0"/>
              <w:pageBreakBefore w:val="0"/>
              <w:widowControl/>
              <w:kinsoku/>
              <w:wordWrap/>
              <w:overflowPunct/>
              <w:topLinePunct w:val="0"/>
              <w:autoSpaceDE/>
              <w:autoSpaceDN/>
              <w:bidi w:val="0"/>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内脏疾病的康复</w:t>
            </w:r>
          </w:p>
        </w:tc>
        <w:tc>
          <w:tcPr>
            <w:tcW w:w="1510" w:type="pct"/>
          </w:tcPr>
          <w:p w14:paraId="6C1D7AAD">
            <w:pPr>
              <w:keepNext w:val="0"/>
              <w:keepLines w:val="0"/>
              <w:pageBreakBefore w:val="0"/>
              <w:widowControl/>
              <w:numPr>
                <w:ilvl w:val="0"/>
                <w:numId w:val="4"/>
              </w:numPr>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知道内脏系统的常见病损，知道冠心病、慢性阻塞性肺疾病、糖尿病等常见病症的临床表现及康复评定内容</w:t>
            </w:r>
          </w:p>
          <w:p w14:paraId="464F6124">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1"/>
                <w:szCs w:val="21"/>
              </w:rPr>
            </w:pPr>
          </w:p>
          <w:p w14:paraId="4744D7B0">
            <w:pPr>
              <w:keepNext w:val="0"/>
              <w:keepLines w:val="0"/>
              <w:pageBreakBefore w:val="0"/>
              <w:widowControl/>
              <w:kinsoku/>
              <w:wordWrap/>
              <w:overflowPunct/>
              <w:topLinePunct w:val="0"/>
              <w:autoSpaceDE/>
              <w:autoSpaceDN/>
              <w:bidi w:val="0"/>
              <w:adjustRightInd/>
              <w:spacing w:line="240" w:lineRule="auto"/>
              <w:textAlignment w:val="auto"/>
              <w:rPr>
                <w:rFonts w:hint="eastAsia" w:ascii="宋体" w:hAnsi="宋体" w:eastAsia="宋体" w:cs="宋体"/>
                <w:sz w:val="21"/>
                <w:szCs w:val="21"/>
              </w:rPr>
            </w:pPr>
          </w:p>
        </w:tc>
        <w:tc>
          <w:tcPr>
            <w:tcW w:w="928" w:type="pct"/>
          </w:tcPr>
          <w:p w14:paraId="103AC341">
            <w:pPr>
              <w:keepNext w:val="0"/>
              <w:keepLines w:val="0"/>
              <w:pageBreakBefore w:val="0"/>
              <w:widowControl/>
              <w:kinsoku/>
              <w:wordWrap/>
              <w:overflowPunct/>
              <w:topLinePunct w:val="0"/>
              <w:autoSpaceDE/>
              <w:autoSpaceDN/>
              <w:bidi w:val="0"/>
              <w:adjustRightIn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理解上述常见病症的康复治疗方法，建立内脏系统病症康复治疗的整体概念。</w:t>
            </w:r>
          </w:p>
        </w:tc>
        <w:tc>
          <w:tcPr>
            <w:tcW w:w="877" w:type="pct"/>
            <w:vAlign w:val="top"/>
          </w:tcPr>
          <w:p w14:paraId="2C6D6F91">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0"/>
                <w:szCs w:val="20"/>
                <w:lang w:val="en-US" w:eastAsia="zh-CN" w:bidi="ar-SA"/>
              </w:rPr>
            </w:pPr>
            <w:r>
              <w:rPr>
                <w:rFonts w:hint="eastAsia" w:asciiTheme="minorEastAsia" w:hAnsiTheme="minorEastAsia" w:eastAsiaTheme="minorEastAsia" w:cstheme="minorEastAsia"/>
                <w:sz w:val="20"/>
                <w:szCs w:val="20"/>
              </w:rPr>
              <w:t>具备</w:t>
            </w:r>
            <w:r>
              <w:rPr>
                <w:rFonts w:hint="eastAsia" w:asciiTheme="minorEastAsia" w:hAnsiTheme="minorEastAsia" w:eastAsiaTheme="minorEastAsia" w:cstheme="minorEastAsia"/>
                <w:sz w:val="20"/>
                <w:szCs w:val="20"/>
                <w:lang w:val="en-US" w:eastAsia="zh-CN"/>
              </w:rPr>
              <w:t>处理内脏疾病系统</w:t>
            </w:r>
            <w:r>
              <w:rPr>
                <w:rFonts w:hint="eastAsia" w:asciiTheme="minorEastAsia" w:hAnsiTheme="minorEastAsia" w:eastAsiaTheme="minorEastAsia" w:cstheme="minorEastAsia"/>
                <w:sz w:val="20"/>
                <w:szCs w:val="20"/>
              </w:rPr>
              <w:t>常见疾病的</w:t>
            </w:r>
            <w:r>
              <w:rPr>
                <w:rFonts w:hint="eastAsia" w:asciiTheme="minorEastAsia" w:hAnsiTheme="minorEastAsia" w:eastAsiaTheme="minorEastAsia" w:cstheme="minorEastAsia"/>
                <w:sz w:val="20"/>
                <w:szCs w:val="20"/>
                <w:lang w:val="en-US" w:eastAsia="zh-CN"/>
              </w:rPr>
              <w:t>康复</w:t>
            </w:r>
            <w:r>
              <w:rPr>
                <w:rFonts w:hint="eastAsia" w:asciiTheme="minorEastAsia" w:hAnsiTheme="minorEastAsia" w:eastAsiaTheme="minorEastAsia" w:cstheme="minorEastAsia"/>
                <w:sz w:val="20"/>
                <w:szCs w:val="20"/>
              </w:rPr>
              <w:t>能力，养成良好的生活习惯，做好宣教工作。</w:t>
            </w:r>
          </w:p>
        </w:tc>
        <w:tc>
          <w:tcPr>
            <w:tcW w:w="1003" w:type="pct"/>
          </w:tcPr>
          <w:p w14:paraId="65B6FE7B">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重点：内脏疾病患者常见并发症；内脏疾病康复治疗方法。</w:t>
            </w:r>
          </w:p>
          <w:p w14:paraId="48D0E8C4">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难点：冠心病及慢性阻塞性肺疾病的评定，分阶段康复的评定及和康复治疗。</w:t>
            </w:r>
          </w:p>
        </w:tc>
      </w:tr>
      <w:tr w14:paraId="132D8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4" w:type="pct"/>
            <w:vAlign w:val="center"/>
          </w:tcPr>
          <w:p w14:paraId="2DF17F0E">
            <w:pPr>
              <w:keepNext w:val="0"/>
              <w:keepLines w:val="0"/>
              <w:pageBreakBefore w:val="0"/>
              <w:widowControl/>
              <w:kinsoku/>
              <w:wordWrap/>
              <w:overflowPunct/>
              <w:topLinePunct w:val="0"/>
              <w:autoSpaceDE/>
              <w:autoSpaceDN/>
              <w:bidi w:val="0"/>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435" w:type="pct"/>
            <w:vAlign w:val="center"/>
          </w:tcPr>
          <w:p w14:paraId="5797881C">
            <w:pPr>
              <w:keepNext w:val="0"/>
              <w:keepLines w:val="0"/>
              <w:pageBreakBefore w:val="0"/>
              <w:widowControl/>
              <w:kinsoku/>
              <w:wordWrap/>
              <w:overflowPunct/>
              <w:topLinePunct w:val="0"/>
              <w:autoSpaceDE/>
              <w:autoSpaceDN/>
              <w:bidi w:val="0"/>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其他</w:t>
            </w:r>
          </w:p>
          <w:p w14:paraId="61949F57">
            <w:pPr>
              <w:keepNext w:val="0"/>
              <w:keepLines w:val="0"/>
              <w:pageBreakBefore w:val="0"/>
              <w:widowControl/>
              <w:kinsoku/>
              <w:wordWrap/>
              <w:overflowPunct/>
              <w:topLinePunct w:val="0"/>
              <w:autoSpaceDE/>
              <w:autoSpaceDN/>
              <w:bidi w:val="0"/>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系统疾病</w:t>
            </w:r>
          </w:p>
          <w:p w14:paraId="75336966">
            <w:pPr>
              <w:keepNext w:val="0"/>
              <w:keepLines w:val="0"/>
              <w:pageBreakBefore w:val="0"/>
              <w:widowControl/>
              <w:kinsoku/>
              <w:wordWrap/>
              <w:overflowPunct/>
              <w:topLinePunct w:val="0"/>
              <w:autoSpaceDE/>
              <w:autoSpaceDN/>
              <w:bidi w:val="0"/>
              <w:adjustRightIn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的康复</w:t>
            </w:r>
          </w:p>
        </w:tc>
        <w:tc>
          <w:tcPr>
            <w:tcW w:w="1510" w:type="pct"/>
          </w:tcPr>
          <w:p w14:paraId="44AA4EDD">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1"/>
                <w:szCs w:val="21"/>
                <w:lang w:eastAsia="zh-TW"/>
              </w:rPr>
            </w:pPr>
            <w:r>
              <w:rPr>
                <w:rFonts w:hint="eastAsia" w:ascii="宋体" w:hAnsi="宋体" w:eastAsia="宋体" w:cs="宋体"/>
                <w:sz w:val="21"/>
                <w:szCs w:val="21"/>
              </w:rPr>
              <w:t>1.知道</w:t>
            </w:r>
            <w:r>
              <w:rPr>
                <w:rFonts w:hint="eastAsia" w:ascii="宋体" w:hAnsi="宋体" w:eastAsia="宋体" w:cs="宋体"/>
                <w:sz w:val="21"/>
                <w:szCs w:val="21"/>
                <w:lang w:eastAsia="zh-TW"/>
              </w:rPr>
              <w:t>重症康复概述</w:t>
            </w:r>
            <w:r>
              <w:rPr>
                <w:rFonts w:hint="eastAsia" w:ascii="宋体" w:hAnsi="宋体" w:eastAsia="宋体" w:cs="宋体"/>
                <w:sz w:val="21"/>
                <w:szCs w:val="21"/>
              </w:rPr>
              <w:t>；</w:t>
            </w:r>
            <w:r>
              <w:rPr>
                <w:rFonts w:hint="eastAsia" w:ascii="宋体" w:hAnsi="宋体" w:eastAsia="宋体" w:cs="宋体"/>
                <w:sz w:val="21"/>
                <w:szCs w:val="21"/>
                <w:lang w:eastAsia="zh-TW"/>
              </w:rPr>
              <w:t>重症患者常见的并发症。加速康复外科的定义与主要内容。手术患者的功能问题。术前康复内容与主要措施。常见外科手术的围术期康复措施。</w:t>
            </w:r>
          </w:p>
          <w:p w14:paraId="20EAF182">
            <w:pPr>
              <w:pStyle w:val="16"/>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b/>
                <w:sz w:val="21"/>
                <w:szCs w:val="21"/>
              </w:rPr>
            </w:pPr>
            <w:r>
              <w:rPr>
                <w:rFonts w:hint="eastAsia" w:ascii="宋体" w:hAnsi="宋体" w:eastAsia="宋体" w:cs="宋体"/>
                <w:sz w:val="21"/>
                <w:szCs w:val="21"/>
              </w:rPr>
              <w:t>2.理解</w:t>
            </w:r>
            <w:r>
              <w:rPr>
                <w:rFonts w:hint="eastAsia" w:ascii="宋体" w:hAnsi="宋体" w:eastAsia="宋体" w:cs="宋体"/>
                <w:sz w:val="21"/>
                <w:szCs w:val="21"/>
                <w:lang w:eastAsia="zh-TW"/>
              </w:rPr>
              <w:t>重症患者的康复评定，适宜开展康复指征，不宜康复的指征与康复治疗过程中需要终止治疗的情况。</w:t>
            </w:r>
          </w:p>
          <w:p w14:paraId="364A33CF">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知道骨质疏松症的定义和诊断标准，骨质疏松症的康复治疗方法。</w:t>
            </w:r>
          </w:p>
          <w:p w14:paraId="46E6BC82">
            <w:pPr>
              <w:keepNext w:val="0"/>
              <w:keepLines w:val="0"/>
              <w:pageBreakBefore w:val="0"/>
              <w:widowControl/>
              <w:kinsoku/>
              <w:wordWrap/>
              <w:overflowPunct/>
              <w:topLinePunct w:val="0"/>
              <w:autoSpaceDE/>
              <w:autoSpaceDN/>
              <w:bidi w:val="0"/>
              <w:adjustRightInd/>
              <w:spacing w:line="240" w:lineRule="auto"/>
              <w:textAlignment w:val="auto"/>
              <w:rPr>
                <w:rFonts w:hint="eastAsia" w:ascii="宋体" w:hAnsi="宋体" w:eastAsia="宋体" w:cs="宋体"/>
                <w:sz w:val="21"/>
                <w:szCs w:val="21"/>
              </w:rPr>
            </w:pPr>
            <w:r>
              <w:rPr>
                <w:rFonts w:hint="eastAsia" w:ascii="宋体" w:hAnsi="宋体" w:eastAsia="宋体" w:cs="宋体"/>
                <w:color w:val="000000"/>
                <w:sz w:val="21"/>
                <w:szCs w:val="21"/>
              </w:rPr>
              <w:t>3.知道</w:t>
            </w:r>
            <w:r>
              <w:rPr>
                <w:rFonts w:hint="eastAsia" w:ascii="宋体" w:hAnsi="宋体" w:eastAsia="宋体" w:cs="宋体"/>
                <w:sz w:val="21"/>
                <w:szCs w:val="21"/>
              </w:rPr>
              <w:t>疼痛的定义和临床分型，疼痛评定的目的，常用的疼痛评定方法，疼痛的康复治疗方法</w:t>
            </w:r>
          </w:p>
          <w:p w14:paraId="61E6269E">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4.痉挛的临床分型与表现，痉挛严重程度评定的改良Ashworth评定量表内容与分级标准，痉挛的康复治疗原则与方法</w:t>
            </w:r>
          </w:p>
          <w:p w14:paraId="1E8196A7">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5.神经源性膀胱及神经源性肠道功能障碍的定义，神经源性膀胱及神经源性肠道功能障碍的治疗方法</w:t>
            </w:r>
          </w:p>
          <w:p w14:paraId="3B46DB7D">
            <w:pPr>
              <w:keepNext w:val="0"/>
              <w:keepLines w:val="0"/>
              <w:pageBreakBefore w:val="0"/>
              <w:widowControl/>
              <w:kinsoku/>
              <w:wordWrap/>
              <w:overflowPunct/>
              <w:topLinePunct w:val="0"/>
              <w:autoSpaceDE/>
              <w:autoSpaceDN/>
              <w:bidi w:val="0"/>
              <w:adjustRightInd/>
              <w:spacing w:line="240" w:lineRule="auto"/>
              <w:textAlignment w:val="auto"/>
              <w:rPr>
                <w:rFonts w:hint="eastAsia" w:ascii="宋体" w:hAnsi="宋体" w:eastAsia="宋体" w:cs="宋体"/>
                <w:kern w:val="0"/>
                <w:sz w:val="21"/>
                <w:szCs w:val="21"/>
              </w:rPr>
            </w:pPr>
          </w:p>
          <w:p w14:paraId="2B85CBF9">
            <w:pPr>
              <w:keepNext w:val="0"/>
              <w:keepLines w:val="0"/>
              <w:pageBreakBefore w:val="0"/>
              <w:widowControl/>
              <w:kinsoku/>
              <w:wordWrap/>
              <w:overflowPunct/>
              <w:topLinePunct w:val="0"/>
              <w:autoSpaceDE/>
              <w:autoSpaceDN/>
              <w:bidi w:val="0"/>
              <w:adjustRightInd/>
              <w:spacing w:line="240" w:lineRule="auto"/>
              <w:textAlignment w:val="auto"/>
              <w:rPr>
                <w:rFonts w:hint="eastAsia" w:ascii="宋体" w:hAnsi="宋体" w:eastAsia="宋体" w:cs="宋体"/>
                <w:color w:val="000000"/>
                <w:sz w:val="21"/>
                <w:szCs w:val="21"/>
              </w:rPr>
            </w:pPr>
          </w:p>
        </w:tc>
        <w:tc>
          <w:tcPr>
            <w:tcW w:w="928" w:type="pct"/>
          </w:tcPr>
          <w:p w14:paraId="6BAC36EA">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使学生具有临床多学科协作的理念，培养团队合作精神。</w:t>
            </w:r>
          </w:p>
          <w:p w14:paraId="05825466">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培养学生运用理论知识解决临床实际问题的能力。</w:t>
            </w:r>
          </w:p>
          <w:p w14:paraId="32403588">
            <w:pPr>
              <w:keepNext w:val="0"/>
              <w:keepLines w:val="0"/>
              <w:pageBreakBefore w:val="0"/>
              <w:widowControl/>
              <w:kinsoku/>
              <w:wordWrap/>
              <w:overflowPunct/>
              <w:topLinePunct w:val="0"/>
              <w:autoSpaceDE/>
              <w:autoSpaceDN/>
              <w:bidi w:val="0"/>
              <w:adjustRightInd/>
              <w:spacing w:line="240" w:lineRule="auto"/>
              <w:textAlignment w:val="auto"/>
              <w:rPr>
                <w:rFonts w:hint="eastAsia" w:ascii="宋体" w:hAnsi="宋体" w:eastAsia="宋体" w:cs="宋体"/>
                <w:color w:val="000000"/>
                <w:sz w:val="21"/>
                <w:szCs w:val="21"/>
              </w:rPr>
            </w:pPr>
          </w:p>
        </w:tc>
        <w:tc>
          <w:tcPr>
            <w:tcW w:w="877" w:type="pct"/>
            <w:vAlign w:val="top"/>
          </w:tcPr>
          <w:p w14:paraId="612B3249">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0"/>
                <w:szCs w:val="20"/>
                <w:lang w:val="en-US" w:eastAsia="zh-CN" w:bidi="ar-SA"/>
              </w:rPr>
            </w:pPr>
            <w:r>
              <w:rPr>
                <w:rFonts w:hint="eastAsia" w:asciiTheme="minorEastAsia" w:hAnsiTheme="minorEastAsia" w:eastAsiaTheme="minorEastAsia" w:cstheme="minorEastAsia"/>
                <w:sz w:val="20"/>
                <w:szCs w:val="20"/>
              </w:rPr>
              <w:t>具有对</w:t>
            </w:r>
            <w:r>
              <w:rPr>
                <w:rFonts w:hint="eastAsia" w:asciiTheme="minorEastAsia" w:hAnsiTheme="minorEastAsia" w:eastAsiaTheme="minorEastAsia" w:cstheme="minorEastAsia"/>
                <w:sz w:val="20"/>
                <w:szCs w:val="20"/>
                <w:lang w:val="en-US" w:eastAsia="zh-CN"/>
              </w:rPr>
              <w:t>重症</w:t>
            </w:r>
            <w:r>
              <w:rPr>
                <w:rFonts w:hint="eastAsia" w:asciiTheme="minorEastAsia" w:hAnsiTheme="minorEastAsia" w:eastAsiaTheme="minorEastAsia" w:cstheme="minorEastAsia"/>
                <w:sz w:val="20"/>
                <w:szCs w:val="20"/>
              </w:rPr>
              <w:t>相关疾病的诊疗意识和以人为本、</w:t>
            </w:r>
            <w:r>
              <w:rPr>
                <w:rFonts w:hint="eastAsia" w:asciiTheme="minorEastAsia" w:hAnsiTheme="minorEastAsia" w:eastAsiaTheme="minorEastAsia" w:cstheme="minorEastAsia"/>
                <w:sz w:val="20"/>
                <w:szCs w:val="20"/>
                <w:lang w:val="en-US" w:eastAsia="zh-CN"/>
              </w:rPr>
              <w:t>帮助患者尽快回归到日常生活中去</w:t>
            </w:r>
            <w:r>
              <w:rPr>
                <w:rFonts w:hint="eastAsia" w:asciiTheme="minorEastAsia" w:hAnsiTheme="minorEastAsia" w:eastAsiaTheme="minorEastAsia" w:cstheme="minorEastAsia"/>
                <w:sz w:val="20"/>
                <w:szCs w:val="20"/>
              </w:rPr>
              <w:t>的职业道德素质。</w:t>
            </w:r>
          </w:p>
        </w:tc>
        <w:tc>
          <w:tcPr>
            <w:tcW w:w="1003" w:type="pct"/>
          </w:tcPr>
          <w:p w14:paraId="5A011126">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kern w:val="0"/>
                <w:sz w:val="21"/>
                <w:szCs w:val="21"/>
              </w:rPr>
            </w:pPr>
            <w:r>
              <w:rPr>
                <w:rFonts w:hint="eastAsia" w:ascii="宋体" w:hAnsi="宋体" w:eastAsia="宋体" w:cs="宋体"/>
                <w:sz w:val="21"/>
                <w:szCs w:val="21"/>
              </w:rPr>
              <w:t>重点：重症患者常见并发症；重症康复治疗方法。手术快速康复的概念及主要内容；</w:t>
            </w:r>
            <w:r>
              <w:rPr>
                <w:rFonts w:hint="eastAsia" w:ascii="宋体" w:hAnsi="宋体" w:eastAsia="宋体" w:cs="宋体"/>
                <w:kern w:val="0"/>
                <w:sz w:val="21"/>
                <w:szCs w:val="21"/>
              </w:rPr>
              <w:t>围术期康复的主要措施。</w:t>
            </w:r>
            <w:r>
              <w:rPr>
                <w:rFonts w:hint="eastAsia" w:ascii="宋体" w:hAnsi="宋体" w:eastAsia="宋体" w:cs="宋体"/>
                <w:sz w:val="21"/>
                <w:szCs w:val="21"/>
              </w:rPr>
              <w:t>骨质疏松症诊断的骨矿密度标准。疼痛的主要评定方法；疼痛的物理治疗方法。痉挛严重程度评定的改良Ashworth量表内容与标准；痉挛的康复治疗措施。间歇性导尿的定义与操作方法。</w:t>
            </w:r>
          </w:p>
          <w:p w14:paraId="5F018937">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难点：</w:t>
            </w:r>
            <w:r>
              <w:rPr>
                <w:rFonts w:hint="eastAsia" w:ascii="宋体" w:hAnsi="宋体" w:eastAsia="宋体" w:cs="宋体"/>
                <w:kern w:val="0"/>
                <w:sz w:val="21"/>
                <w:szCs w:val="21"/>
              </w:rPr>
              <w:t>常见外科手术围术期呼吸系统管理的康复措施。</w:t>
            </w:r>
            <w:r>
              <w:rPr>
                <w:rFonts w:hint="eastAsia" w:ascii="宋体" w:hAnsi="宋体" w:eastAsia="宋体" w:cs="宋体"/>
                <w:sz w:val="21"/>
                <w:szCs w:val="21"/>
              </w:rPr>
              <w:t>重症患者早期康复的时机选择和指征把握。骨质疏松症的风险评估及预测。冷疗和热疗的镇痛机制。痉挛的运动治疗与物理因子治疗方法。神经源性肠道功能障碍的分类。</w:t>
            </w:r>
          </w:p>
          <w:p w14:paraId="6F4A78D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1"/>
                <w:szCs w:val="21"/>
              </w:rPr>
            </w:pPr>
          </w:p>
          <w:p w14:paraId="326787BC">
            <w:pPr>
              <w:keepNext w:val="0"/>
              <w:keepLines w:val="0"/>
              <w:pageBreakBefore w:val="0"/>
              <w:widowControl/>
              <w:kinsoku/>
              <w:wordWrap/>
              <w:overflowPunct/>
              <w:topLinePunct w:val="0"/>
              <w:autoSpaceDE/>
              <w:autoSpaceDN/>
              <w:bidi w:val="0"/>
              <w:adjustRightInd/>
              <w:spacing w:line="240" w:lineRule="auto"/>
              <w:textAlignment w:val="auto"/>
              <w:rPr>
                <w:rFonts w:hint="eastAsia" w:ascii="宋体" w:hAnsi="宋体" w:eastAsia="宋体" w:cs="宋体"/>
                <w:color w:val="000000"/>
                <w:sz w:val="21"/>
                <w:szCs w:val="21"/>
              </w:rPr>
            </w:pPr>
          </w:p>
        </w:tc>
      </w:tr>
    </w:tbl>
    <w:p w14:paraId="3126962F">
      <w:pPr>
        <w:pStyle w:val="18"/>
        <w:spacing w:before="81" w:after="163"/>
        <w:rPr>
          <w:rFonts w:hint="eastAsia"/>
        </w:rPr>
      </w:pPr>
    </w:p>
    <w:p w14:paraId="54E67B04">
      <w:pPr>
        <w:pStyle w:val="18"/>
        <w:numPr>
          <w:ilvl w:val="0"/>
          <w:numId w:val="5"/>
        </w:numPr>
        <w:spacing w:before="81" w:after="163"/>
        <w:rPr>
          <w:rFonts w:hint="eastAsia"/>
        </w:rPr>
      </w:pPr>
      <w:r>
        <w:rPr>
          <w:rFonts w:hint="eastAsia"/>
        </w:rPr>
        <w:t>教学单元对课程目标的支撑关系</w:t>
      </w:r>
    </w:p>
    <w:tbl>
      <w:tblPr>
        <w:tblStyle w:val="8"/>
        <w:tblW w:w="4694" w:type="pct"/>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57" w:type="dxa"/>
          <w:left w:w="85" w:type="dxa"/>
          <w:bottom w:w="57" w:type="dxa"/>
          <w:right w:w="85" w:type="dxa"/>
        </w:tblCellMar>
      </w:tblPr>
      <w:tblGrid>
        <w:gridCol w:w="3061"/>
        <w:gridCol w:w="918"/>
        <w:gridCol w:w="1057"/>
        <w:gridCol w:w="973"/>
        <w:gridCol w:w="946"/>
        <w:gridCol w:w="1003"/>
      </w:tblGrid>
      <w:tr w14:paraId="174CD14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858" w:hRule="atLeast"/>
          <w:jc w:val="center"/>
        </w:trPr>
        <w:tc>
          <w:tcPr>
            <w:tcW w:w="3061" w:type="dxa"/>
            <w:tcBorders>
              <w:tl2br w:val="nil"/>
              <w:tr2bl w:val="nil"/>
            </w:tcBorders>
          </w:tcPr>
          <w:p w14:paraId="52B93281">
            <w:pPr>
              <w:pStyle w:val="14"/>
              <w:ind w:firstLine="489"/>
              <w:jc w:val="right"/>
              <w:rPr>
                <w:szCs w:val="16"/>
              </w:rPr>
            </w:pPr>
            <w:r>
              <w:rPr>
                <w:rFonts w:hint="eastAsia"/>
                <w:szCs w:val="16"/>
              </w:rPr>
              <w:t>课程目标</w:t>
            </w:r>
          </w:p>
          <w:p w14:paraId="57A5ECFE">
            <w:pPr>
              <w:pStyle w:val="14"/>
              <w:ind w:right="210"/>
              <w:jc w:val="left"/>
              <w:rPr>
                <w:rFonts w:hint="eastAsia"/>
                <w:szCs w:val="16"/>
              </w:rPr>
            </w:pPr>
          </w:p>
          <w:p w14:paraId="716E6A01">
            <w:pPr>
              <w:pStyle w:val="14"/>
              <w:ind w:right="210"/>
              <w:jc w:val="left"/>
              <w:rPr>
                <w:szCs w:val="16"/>
              </w:rPr>
            </w:pPr>
            <w:r>
              <w:rPr>
                <w:rFonts w:hint="eastAsia"/>
                <w:szCs w:val="16"/>
              </w:rPr>
              <w:t>教学单元</w:t>
            </w:r>
          </w:p>
        </w:tc>
        <w:tc>
          <w:tcPr>
            <w:tcW w:w="918" w:type="dxa"/>
            <w:tcBorders>
              <w:tl2br w:val="nil"/>
              <w:tr2bl w:val="nil"/>
            </w:tcBorders>
            <w:vAlign w:val="center"/>
          </w:tcPr>
          <w:p w14:paraId="106F6A1D">
            <w:pPr>
              <w:pStyle w:val="14"/>
              <w:jc w:val="center"/>
              <w:rPr>
                <w:rFonts w:hint="eastAsia" w:eastAsia="黑体"/>
                <w:szCs w:val="16"/>
                <w:lang w:val="en-US" w:eastAsia="zh-CN"/>
              </w:rPr>
            </w:pPr>
            <w:r>
              <w:rPr>
                <w:rFonts w:hint="eastAsia"/>
                <w:szCs w:val="16"/>
                <w:lang w:val="en-US" w:eastAsia="zh-CN"/>
              </w:rPr>
              <w:t>1</w:t>
            </w:r>
          </w:p>
        </w:tc>
        <w:tc>
          <w:tcPr>
            <w:tcW w:w="1057" w:type="dxa"/>
            <w:tcBorders>
              <w:tl2br w:val="nil"/>
              <w:tr2bl w:val="nil"/>
            </w:tcBorders>
            <w:vAlign w:val="center"/>
          </w:tcPr>
          <w:p w14:paraId="4A525CAB">
            <w:pPr>
              <w:pStyle w:val="14"/>
              <w:jc w:val="center"/>
              <w:rPr>
                <w:rFonts w:hint="eastAsia" w:eastAsia="黑体"/>
                <w:szCs w:val="16"/>
                <w:lang w:val="en-US" w:eastAsia="zh-CN"/>
              </w:rPr>
            </w:pPr>
            <w:r>
              <w:rPr>
                <w:rFonts w:hint="eastAsia"/>
                <w:szCs w:val="16"/>
                <w:lang w:val="en-US" w:eastAsia="zh-CN"/>
              </w:rPr>
              <w:t>2</w:t>
            </w:r>
          </w:p>
        </w:tc>
        <w:tc>
          <w:tcPr>
            <w:tcW w:w="973" w:type="dxa"/>
            <w:tcBorders>
              <w:tl2br w:val="nil"/>
              <w:tr2bl w:val="nil"/>
            </w:tcBorders>
            <w:vAlign w:val="center"/>
          </w:tcPr>
          <w:p w14:paraId="43A956F8">
            <w:pPr>
              <w:pStyle w:val="14"/>
              <w:jc w:val="center"/>
              <w:rPr>
                <w:rFonts w:hint="eastAsia" w:eastAsia="黑体"/>
                <w:szCs w:val="16"/>
                <w:lang w:val="en-US" w:eastAsia="zh-CN"/>
              </w:rPr>
            </w:pPr>
            <w:r>
              <w:rPr>
                <w:rFonts w:hint="eastAsia"/>
                <w:szCs w:val="16"/>
                <w:lang w:val="en-US" w:eastAsia="zh-CN"/>
              </w:rPr>
              <w:t>3</w:t>
            </w:r>
          </w:p>
        </w:tc>
        <w:tc>
          <w:tcPr>
            <w:tcW w:w="946" w:type="dxa"/>
            <w:tcBorders>
              <w:tl2br w:val="nil"/>
              <w:tr2bl w:val="nil"/>
            </w:tcBorders>
            <w:vAlign w:val="center"/>
          </w:tcPr>
          <w:p w14:paraId="363A5703">
            <w:pPr>
              <w:pStyle w:val="14"/>
              <w:jc w:val="center"/>
              <w:rPr>
                <w:rFonts w:hint="eastAsia" w:eastAsia="黑体"/>
                <w:szCs w:val="16"/>
                <w:lang w:val="en-US" w:eastAsia="zh-CN"/>
              </w:rPr>
            </w:pPr>
            <w:r>
              <w:rPr>
                <w:rFonts w:hint="eastAsia"/>
                <w:szCs w:val="16"/>
                <w:lang w:val="en-US" w:eastAsia="zh-CN"/>
              </w:rPr>
              <w:t>4</w:t>
            </w:r>
          </w:p>
        </w:tc>
        <w:tc>
          <w:tcPr>
            <w:tcW w:w="1003" w:type="dxa"/>
            <w:tcBorders>
              <w:tl2br w:val="nil"/>
              <w:tr2bl w:val="nil"/>
            </w:tcBorders>
            <w:vAlign w:val="center"/>
          </w:tcPr>
          <w:p w14:paraId="0C634F47">
            <w:pPr>
              <w:pStyle w:val="14"/>
              <w:jc w:val="center"/>
              <w:rPr>
                <w:rFonts w:hint="default" w:eastAsia="黑体"/>
                <w:szCs w:val="16"/>
                <w:lang w:val="en-US" w:eastAsia="zh-CN"/>
              </w:rPr>
            </w:pPr>
            <w:r>
              <w:rPr>
                <w:rFonts w:hint="eastAsia"/>
                <w:szCs w:val="16"/>
                <w:lang w:val="en-US" w:eastAsia="zh-CN"/>
              </w:rPr>
              <w:t>5</w:t>
            </w:r>
          </w:p>
        </w:tc>
      </w:tr>
      <w:tr w14:paraId="3DED6A3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598" w:hRule="atLeast"/>
          <w:jc w:val="center"/>
        </w:trPr>
        <w:tc>
          <w:tcPr>
            <w:tcW w:w="3061" w:type="dxa"/>
            <w:tcBorders>
              <w:tl2br w:val="nil"/>
              <w:tr2bl w:val="nil"/>
            </w:tcBorders>
            <w:vAlign w:val="center"/>
          </w:tcPr>
          <w:p w14:paraId="69E64E5E">
            <w:pPr>
              <w:widowControl w:val="0"/>
              <w:snapToGrid w:val="0"/>
              <w:spacing w:before="156" w:beforeLines="50" w:line="360" w:lineRule="auto"/>
              <w:ind w:firstLine="420" w:firstLineChars="200"/>
              <w:jc w:val="center"/>
            </w:pPr>
            <w:r>
              <w:rPr>
                <w:rFonts w:hint="eastAsia" w:ascii="宋体" w:hAnsi="宋体" w:eastAsia="宋体" w:cs="宋体"/>
                <w:bCs/>
                <w:sz w:val="21"/>
                <w:szCs w:val="21"/>
              </w:rPr>
              <w:t>康复医学概论</w:t>
            </w:r>
          </w:p>
        </w:tc>
        <w:tc>
          <w:tcPr>
            <w:tcW w:w="918" w:type="dxa"/>
            <w:tcBorders>
              <w:tl2br w:val="nil"/>
              <w:tr2bl w:val="nil"/>
            </w:tcBorders>
            <w:vAlign w:val="center"/>
          </w:tcPr>
          <w:p w14:paraId="215BB3F2">
            <w:pPr>
              <w:pStyle w:val="15"/>
              <w:jc w:val="center"/>
            </w:pPr>
            <w:r>
              <w:rPr>
                <w:rFonts w:hint="default" w:ascii="Arial" w:hAnsi="Arial" w:cs="Arial"/>
              </w:rPr>
              <w:t>√</w:t>
            </w:r>
          </w:p>
        </w:tc>
        <w:tc>
          <w:tcPr>
            <w:tcW w:w="1057" w:type="dxa"/>
            <w:tcBorders>
              <w:tl2br w:val="nil"/>
              <w:tr2bl w:val="nil"/>
            </w:tcBorders>
            <w:vAlign w:val="center"/>
          </w:tcPr>
          <w:p w14:paraId="2D238126">
            <w:pPr>
              <w:pStyle w:val="15"/>
              <w:jc w:val="center"/>
            </w:pPr>
          </w:p>
        </w:tc>
        <w:tc>
          <w:tcPr>
            <w:tcW w:w="973" w:type="dxa"/>
            <w:tcBorders>
              <w:tl2br w:val="nil"/>
              <w:tr2bl w:val="nil"/>
            </w:tcBorders>
            <w:vAlign w:val="center"/>
          </w:tcPr>
          <w:p w14:paraId="45087730">
            <w:pPr>
              <w:pStyle w:val="15"/>
              <w:jc w:val="center"/>
            </w:pPr>
          </w:p>
        </w:tc>
        <w:tc>
          <w:tcPr>
            <w:tcW w:w="946" w:type="dxa"/>
            <w:tcBorders>
              <w:tl2br w:val="nil"/>
              <w:tr2bl w:val="nil"/>
            </w:tcBorders>
            <w:vAlign w:val="center"/>
          </w:tcPr>
          <w:p w14:paraId="2147E434">
            <w:pPr>
              <w:pStyle w:val="15"/>
              <w:jc w:val="center"/>
            </w:pPr>
          </w:p>
        </w:tc>
        <w:tc>
          <w:tcPr>
            <w:tcW w:w="1003" w:type="dxa"/>
            <w:tcBorders>
              <w:tl2br w:val="nil"/>
              <w:tr2bl w:val="nil"/>
            </w:tcBorders>
            <w:vAlign w:val="center"/>
          </w:tcPr>
          <w:p w14:paraId="4FF479EA">
            <w:pPr>
              <w:jc w:val="center"/>
            </w:pPr>
            <w:r>
              <w:rPr>
                <w:rFonts w:hint="default" w:ascii="Arial" w:hAnsi="Arial" w:cs="Arial"/>
              </w:rPr>
              <w:t>√</w:t>
            </w:r>
          </w:p>
        </w:tc>
      </w:tr>
      <w:tr w14:paraId="6AED64F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598" w:hRule="atLeast"/>
          <w:jc w:val="center"/>
        </w:trPr>
        <w:tc>
          <w:tcPr>
            <w:tcW w:w="3061" w:type="dxa"/>
            <w:tcBorders>
              <w:tl2br w:val="nil"/>
              <w:tr2bl w:val="nil"/>
            </w:tcBorders>
            <w:vAlign w:val="center"/>
          </w:tcPr>
          <w:p w14:paraId="0E0A5519">
            <w:pPr>
              <w:widowControl w:val="0"/>
              <w:snapToGrid w:val="0"/>
              <w:spacing w:line="288" w:lineRule="auto"/>
              <w:jc w:val="center"/>
            </w:pPr>
            <w:r>
              <w:rPr>
                <w:rFonts w:hint="eastAsia" w:ascii="宋体" w:hAnsi="宋体" w:eastAsia="宋体" w:cs="宋体"/>
                <w:color w:val="000000"/>
                <w:sz w:val="21"/>
                <w:szCs w:val="21"/>
              </w:rPr>
              <w:t>康复医学评定</w:t>
            </w:r>
          </w:p>
        </w:tc>
        <w:tc>
          <w:tcPr>
            <w:tcW w:w="918" w:type="dxa"/>
            <w:tcBorders>
              <w:tl2br w:val="nil"/>
              <w:tr2bl w:val="nil"/>
            </w:tcBorders>
            <w:vAlign w:val="center"/>
          </w:tcPr>
          <w:p w14:paraId="157E98C1">
            <w:pPr>
              <w:pStyle w:val="15"/>
              <w:jc w:val="center"/>
            </w:pPr>
          </w:p>
        </w:tc>
        <w:tc>
          <w:tcPr>
            <w:tcW w:w="1057" w:type="dxa"/>
            <w:tcBorders>
              <w:tl2br w:val="nil"/>
              <w:tr2bl w:val="nil"/>
            </w:tcBorders>
            <w:vAlign w:val="center"/>
          </w:tcPr>
          <w:p w14:paraId="6EAD610A">
            <w:pPr>
              <w:jc w:val="center"/>
            </w:pPr>
            <w:r>
              <w:rPr>
                <w:rFonts w:hint="default" w:ascii="Arial" w:hAnsi="Arial" w:cs="Arial"/>
              </w:rPr>
              <w:t>√</w:t>
            </w:r>
          </w:p>
        </w:tc>
        <w:tc>
          <w:tcPr>
            <w:tcW w:w="973" w:type="dxa"/>
            <w:tcBorders>
              <w:tl2br w:val="nil"/>
              <w:tr2bl w:val="nil"/>
            </w:tcBorders>
            <w:vAlign w:val="center"/>
          </w:tcPr>
          <w:p w14:paraId="69380389">
            <w:pPr>
              <w:jc w:val="center"/>
            </w:pPr>
            <w:r>
              <w:rPr>
                <w:rFonts w:hint="default" w:ascii="Arial" w:hAnsi="Arial" w:cs="Arial"/>
              </w:rPr>
              <w:t>√</w:t>
            </w:r>
          </w:p>
        </w:tc>
        <w:tc>
          <w:tcPr>
            <w:tcW w:w="946" w:type="dxa"/>
            <w:tcBorders>
              <w:tl2br w:val="nil"/>
              <w:tr2bl w:val="nil"/>
            </w:tcBorders>
            <w:vAlign w:val="center"/>
          </w:tcPr>
          <w:p w14:paraId="14D3F639">
            <w:pPr>
              <w:jc w:val="center"/>
            </w:pPr>
            <w:r>
              <w:rPr>
                <w:rFonts w:hint="default" w:ascii="Arial" w:hAnsi="Arial" w:cs="Arial"/>
              </w:rPr>
              <w:t>√</w:t>
            </w:r>
          </w:p>
        </w:tc>
        <w:tc>
          <w:tcPr>
            <w:tcW w:w="1003" w:type="dxa"/>
            <w:tcBorders>
              <w:tl2br w:val="nil"/>
              <w:tr2bl w:val="nil"/>
            </w:tcBorders>
            <w:vAlign w:val="center"/>
          </w:tcPr>
          <w:p w14:paraId="2B2A218E">
            <w:pPr>
              <w:jc w:val="center"/>
            </w:pPr>
            <w:r>
              <w:rPr>
                <w:rFonts w:hint="default" w:ascii="Arial" w:hAnsi="Arial" w:cs="Arial"/>
              </w:rPr>
              <w:t>√</w:t>
            </w:r>
          </w:p>
        </w:tc>
      </w:tr>
      <w:tr w14:paraId="12F009E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598" w:hRule="atLeast"/>
          <w:jc w:val="center"/>
        </w:trPr>
        <w:tc>
          <w:tcPr>
            <w:tcW w:w="3061" w:type="dxa"/>
            <w:tcBorders>
              <w:tl2br w:val="nil"/>
              <w:tr2bl w:val="nil"/>
            </w:tcBorders>
            <w:vAlign w:val="center"/>
          </w:tcPr>
          <w:p w14:paraId="1F4DB707">
            <w:pPr>
              <w:widowControl w:val="0"/>
              <w:snapToGrid w:val="0"/>
              <w:spacing w:line="360" w:lineRule="auto"/>
              <w:ind w:firstLine="420" w:firstLineChars="200"/>
              <w:jc w:val="center"/>
            </w:pPr>
            <w:r>
              <w:rPr>
                <w:rFonts w:hint="eastAsia" w:ascii="宋体" w:hAnsi="宋体" w:eastAsia="宋体" w:cs="宋体"/>
                <w:bCs/>
                <w:sz w:val="21"/>
                <w:szCs w:val="21"/>
              </w:rPr>
              <w:t>康复治疗技术</w:t>
            </w:r>
          </w:p>
        </w:tc>
        <w:tc>
          <w:tcPr>
            <w:tcW w:w="918" w:type="dxa"/>
            <w:tcBorders>
              <w:tl2br w:val="nil"/>
              <w:tr2bl w:val="nil"/>
            </w:tcBorders>
            <w:vAlign w:val="center"/>
          </w:tcPr>
          <w:p w14:paraId="43FF3EE0">
            <w:pPr>
              <w:pStyle w:val="15"/>
              <w:jc w:val="center"/>
            </w:pPr>
            <w:r>
              <w:rPr>
                <w:rFonts w:hint="default" w:ascii="Arial" w:hAnsi="Arial" w:cs="Arial"/>
              </w:rPr>
              <w:t>√</w:t>
            </w:r>
          </w:p>
        </w:tc>
        <w:tc>
          <w:tcPr>
            <w:tcW w:w="1057" w:type="dxa"/>
            <w:tcBorders>
              <w:tl2br w:val="nil"/>
              <w:tr2bl w:val="nil"/>
            </w:tcBorders>
            <w:vAlign w:val="center"/>
          </w:tcPr>
          <w:p w14:paraId="1240973F">
            <w:pPr>
              <w:jc w:val="center"/>
            </w:pPr>
            <w:r>
              <w:rPr>
                <w:rFonts w:hint="default" w:ascii="Arial" w:hAnsi="Arial" w:cs="Arial"/>
              </w:rPr>
              <w:t>√</w:t>
            </w:r>
          </w:p>
        </w:tc>
        <w:tc>
          <w:tcPr>
            <w:tcW w:w="973" w:type="dxa"/>
            <w:tcBorders>
              <w:tl2br w:val="nil"/>
              <w:tr2bl w:val="nil"/>
            </w:tcBorders>
            <w:vAlign w:val="center"/>
          </w:tcPr>
          <w:p w14:paraId="0543D82D">
            <w:pPr>
              <w:jc w:val="center"/>
            </w:pPr>
            <w:r>
              <w:rPr>
                <w:rFonts w:hint="default" w:ascii="Arial" w:hAnsi="Arial" w:cs="Arial"/>
              </w:rPr>
              <w:t>√</w:t>
            </w:r>
          </w:p>
        </w:tc>
        <w:tc>
          <w:tcPr>
            <w:tcW w:w="946" w:type="dxa"/>
            <w:tcBorders>
              <w:tl2br w:val="nil"/>
              <w:tr2bl w:val="nil"/>
            </w:tcBorders>
            <w:vAlign w:val="center"/>
          </w:tcPr>
          <w:p w14:paraId="3DB5CBB7">
            <w:pPr>
              <w:jc w:val="center"/>
            </w:pPr>
            <w:r>
              <w:rPr>
                <w:rFonts w:hint="default" w:ascii="Arial" w:hAnsi="Arial" w:cs="Arial"/>
              </w:rPr>
              <w:t>√</w:t>
            </w:r>
          </w:p>
        </w:tc>
        <w:tc>
          <w:tcPr>
            <w:tcW w:w="1003" w:type="dxa"/>
            <w:tcBorders>
              <w:tl2br w:val="nil"/>
              <w:tr2bl w:val="nil"/>
            </w:tcBorders>
            <w:vAlign w:val="center"/>
          </w:tcPr>
          <w:p w14:paraId="599DBE08">
            <w:pPr>
              <w:jc w:val="center"/>
            </w:pPr>
            <w:r>
              <w:rPr>
                <w:rFonts w:hint="default" w:ascii="Arial" w:hAnsi="Arial" w:cs="Arial"/>
              </w:rPr>
              <w:t>√</w:t>
            </w:r>
          </w:p>
        </w:tc>
      </w:tr>
      <w:tr w14:paraId="23EB6B2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598" w:hRule="atLeast"/>
          <w:jc w:val="center"/>
        </w:trPr>
        <w:tc>
          <w:tcPr>
            <w:tcW w:w="3061" w:type="dxa"/>
            <w:tcBorders>
              <w:tl2br w:val="nil"/>
              <w:tr2bl w:val="nil"/>
            </w:tcBorders>
            <w:vAlign w:val="center"/>
          </w:tcPr>
          <w:p w14:paraId="2D957740">
            <w:pPr>
              <w:widowControl/>
              <w:jc w:val="center"/>
            </w:pPr>
            <w:r>
              <w:rPr>
                <w:rFonts w:hint="eastAsia" w:ascii="宋体" w:hAnsi="宋体" w:eastAsia="宋体" w:cs="宋体"/>
                <w:color w:val="000000"/>
                <w:sz w:val="21"/>
                <w:szCs w:val="21"/>
              </w:rPr>
              <w:t>常见神经系统疾病的康复</w:t>
            </w:r>
          </w:p>
        </w:tc>
        <w:tc>
          <w:tcPr>
            <w:tcW w:w="918" w:type="dxa"/>
            <w:tcBorders>
              <w:tl2br w:val="nil"/>
              <w:tr2bl w:val="nil"/>
            </w:tcBorders>
            <w:vAlign w:val="center"/>
          </w:tcPr>
          <w:p w14:paraId="1B35107E">
            <w:pPr>
              <w:pStyle w:val="15"/>
              <w:jc w:val="center"/>
            </w:pPr>
            <w:r>
              <w:rPr>
                <w:rFonts w:hint="default" w:ascii="Arial" w:hAnsi="Arial" w:cs="Arial"/>
              </w:rPr>
              <w:t>√</w:t>
            </w:r>
          </w:p>
        </w:tc>
        <w:tc>
          <w:tcPr>
            <w:tcW w:w="1057" w:type="dxa"/>
            <w:tcBorders>
              <w:tl2br w:val="nil"/>
              <w:tr2bl w:val="nil"/>
            </w:tcBorders>
            <w:vAlign w:val="center"/>
          </w:tcPr>
          <w:p w14:paraId="538BF736">
            <w:pPr>
              <w:jc w:val="center"/>
            </w:pPr>
            <w:r>
              <w:rPr>
                <w:rFonts w:hint="default" w:ascii="Arial" w:hAnsi="Arial" w:cs="Arial"/>
              </w:rPr>
              <w:t>√</w:t>
            </w:r>
          </w:p>
        </w:tc>
        <w:tc>
          <w:tcPr>
            <w:tcW w:w="973" w:type="dxa"/>
            <w:tcBorders>
              <w:tl2br w:val="nil"/>
              <w:tr2bl w:val="nil"/>
            </w:tcBorders>
            <w:vAlign w:val="center"/>
          </w:tcPr>
          <w:p w14:paraId="58535FF4">
            <w:pPr>
              <w:jc w:val="center"/>
            </w:pPr>
            <w:r>
              <w:rPr>
                <w:rFonts w:hint="default" w:ascii="Arial" w:hAnsi="Arial" w:cs="Arial"/>
              </w:rPr>
              <w:t>√</w:t>
            </w:r>
          </w:p>
        </w:tc>
        <w:tc>
          <w:tcPr>
            <w:tcW w:w="946" w:type="dxa"/>
            <w:tcBorders>
              <w:tl2br w:val="nil"/>
              <w:tr2bl w:val="nil"/>
            </w:tcBorders>
            <w:vAlign w:val="center"/>
          </w:tcPr>
          <w:p w14:paraId="79BCDC70">
            <w:pPr>
              <w:jc w:val="center"/>
            </w:pPr>
            <w:r>
              <w:rPr>
                <w:rFonts w:hint="default" w:ascii="Arial" w:hAnsi="Arial" w:cs="Arial"/>
              </w:rPr>
              <w:t>√</w:t>
            </w:r>
          </w:p>
        </w:tc>
        <w:tc>
          <w:tcPr>
            <w:tcW w:w="1003" w:type="dxa"/>
            <w:tcBorders>
              <w:tl2br w:val="nil"/>
              <w:tr2bl w:val="nil"/>
            </w:tcBorders>
            <w:vAlign w:val="center"/>
          </w:tcPr>
          <w:p w14:paraId="0906E8AF">
            <w:pPr>
              <w:jc w:val="center"/>
            </w:pPr>
            <w:r>
              <w:rPr>
                <w:rFonts w:hint="default" w:ascii="Arial" w:hAnsi="Arial" w:cs="Arial"/>
              </w:rPr>
              <w:t>√</w:t>
            </w:r>
          </w:p>
        </w:tc>
      </w:tr>
      <w:tr w14:paraId="0527FEE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598" w:hRule="atLeast"/>
          <w:jc w:val="center"/>
        </w:trPr>
        <w:tc>
          <w:tcPr>
            <w:tcW w:w="3061" w:type="dxa"/>
            <w:tcBorders>
              <w:tl2br w:val="nil"/>
              <w:tr2bl w:val="nil"/>
            </w:tcBorders>
            <w:vAlign w:val="center"/>
          </w:tcPr>
          <w:p w14:paraId="3E95A159">
            <w:pPr>
              <w:widowControl/>
              <w:jc w:val="center"/>
            </w:pPr>
            <w:r>
              <w:rPr>
                <w:rFonts w:hint="eastAsia" w:ascii="宋体" w:hAnsi="宋体" w:eastAsia="宋体" w:cs="宋体"/>
                <w:color w:val="000000"/>
                <w:sz w:val="21"/>
                <w:szCs w:val="21"/>
              </w:rPr>
              <w:t>骨骼肌肉系统常见病损的康复</w:t>
            </w:r>
          </w:p>
        </w:tc>
        <w:tc>
          <w:tcPr>
            <w:tcW w:w="918" w:type="dxa"/>
            <w:tcBorders>
              <w:tl2br w:val="nil"/>
              <w:tr2bl w:val="nil"/>
            </w:tcBorders>
            <w:vAlign w:val="center"/>
          </w:tcPr>
          <w:p w14:paraId="271F0A9D">
            <w:pPr>
              <w:pStyle w:val="15"/>
              <w:jc w:val="center"/>
            </w:pPr>
          </w:p>
        </w:tc>
        <w:tc>
          <w:tcPr>
            <w:tcW w:w="1057" w:type="dxa"/>
            <w:tcBorders>
              <w:tl2br w:val="nil"/>
              <w:tr2bl w:val="nil"/>
            </w:tcBorders>
            <w:vAlign w:val="center"/>
          </w:tcPr>
          <w:p w14:paraId="575A61B9">
            <w:pPr>
              <w:jc w:val="center"/>
            </w:pPr>
            <w:r>
              <w:rPr>
                <w:rFonts w:hint="default" w:ascii="Arial" w:hAnsi="Arial" w:cs="Arial"/>
              </w:rPr>
              <w:t>√</w:t>
            </w:r>
          </w:p>
        </w:tc>
        <w:tc>
          <w:tcPr>
            <w:tcW w:w="973" w:type="dxa"/>
            <w:tcBorders>
              <w:tl2br w:val="nil"/>
              <w:tr2bl w:val="nil"/>
            </w:tcBorders>
            <w:vAlign w:val="center"/>
          </w:tcPr>
          <w:p w14:paraId="29E1E3A8">
            <w:pPr>
              <w:jc w:val="center"/>
            </w:pPr>
            <w:r>
              <w:rPr>
                <w:rFonts w:hint="default" w:ascii="Arial" w:hAnsi="Arial" w:cs="Arial"/>
              </w:rPr>
              <w:t>√</w:t>
            </w:r>
          </w:p>
        </w:tc>
        <w:tc>
          <w:tcPr>
            <w:tcW w:w="946" w:type="dxa"/>
            <w:tcBorders>
              <w:tl2br w:val="nil"/>
              <w:tr2bl w:val="nil"/>
            </w:tcBorders>
            <w:vAlign w:val="center"/>
          </w:tcPr>
          <w:p w14:paraId="03AF5C0A">
            <w:pPr>
              <w:jc w:val="center"/>
            </w:pPr>
            <w:r>
              <w:rPr>
                <w:rFonts w:hint="default" w:ascii="Arial" w:hAnsi="Arial" w:cs="Arial"/>
              </w:rPr>
              <w:t>√</w:t>
            </w:r>
          </w:p>
        </w:tc>
        <w:tc>
          <w:tcPr>
            <w:tcW w:w="1003" w:type="dxa"/>
            <w:tcBorders>
              <w:tl2br w:val="nil"/>
              <w:tr2bl w:val="nil"/>
            </w:tcBorders>
            <w:vAlign w:val="center"/>
          </w:tcPr>
          <w:p w14:paraId="1E863340">
            <w:pPr>
              <w:jc w:val="center"/>
            </w:pPr>
            <w:r>
              <w:rPr>
                <w:rFonts w:hint="default" w:ascii="Arial" w:hAnsi="Arial" w:cs="Arial"/>
              </w:rPr>
              <w:t>√</w:t>
            </w:r>
          </w:p>
        </w:tc>
      </w:tr>
      <w:tr w14:paraId="4717D4A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598" w:hRule="atLeast"/>
          <w:jc w:val="center"/>
        </w:trPr>
        <w:tc>
          <w:tcPr>
            <w:tcW w:w="3061" w:type="dxa"/>
            <w:tcBorders>
              <w:tl2br w:val="nil"/>
              <w:tr2bl w:val="nil"/>
            </w:tcBorders>
            <w:vAlign w:val="center"/>
          </w:tcPr>
          <w:p w14:paraId="3C22500F">
            <w:pPr>
              <w:widowControl/>
              <w:jc w:val="center"/>
            </w:pPr>
            <w:r>
              <w:rPr>
                <w:rFonts w:hint="eastAsia" w:ascii="宋体" w:hAnsi="宋体" w:eastAsia="宋体" w:cs="宋体"/>
                <w:color w:val="000000"/>
                <w:sz w:val="21"/>
                <w:szCs w:val="21"/>
              </w:rPr>
              <w:t>内脏疾病的康复</w:t>
            </w:r>
          </w:p>
        </w:tc>
        <w:tc>
          <w:tcPr>
            <w:tcW w:w="918" w:type="dxa"/>
            <w:tcBorders>
              <w:tl2br w:val="nil"/>
              <w:tr2bl w:val="nil"/>
            </w:tcBorders>
            <w:vAlign w:val="center"/>
          </w:tcPr>
          <w:p w14:paraId="3E9D65D4">
            <w:pPr>
              <w:pStyle w:val="15"/>
              <w:jc w:val="center"/>
            </w:pPr>
          </w:p>
        </w:tc>
        <w:tc>
          <w:tcPr>
            <w:tcW w:w="1057" w:type="dxa"/>
            <w:tcBorders>
              <w:tl2br w:val="nil"/>
              <w:tr2bl w:val="nil"/>
            </w:tcBorders>
            <w:vAlign w:val="center"/>
          </w:tcPr>
          <w:p w14:paraId="33D000AC">
            <w:pPr>
              <w:jc w:val="center"/>
            </w:pPr>
            <w:r>
              <w:rPr>
                <w:rFonts w:hint="default" w:ascii="Arial" w:hAnsi="Arial" w:cs="Arial"/>
              </w:rPr>
              <w:t>√</w:t>
            </w:r>
          </w:p>
        </w:tc>
        <w:tc>
          <w:tcPr>
            <w:tcW w:w="973" w:type="dxa"/>
            <w:tcBorders>
              <w:tl2br w:val="nil"/>
              <w:tr2bl w:val="nil"/>
            </w:tcBorders>
            <w:vAlign w:val="center"/>
          </w:tcPr>
          <w:p w14:paraId="3F79CF33">
            <w:pPr>
              <w:jc w:val="center"/>
            </w:pPr>
            <w:r>
              <w:rPr>
                <w:rFonts w:hint="default" w:ascii="Arial" w:hAnsi="Arial" w:cs="Arial"/>
              </w:rPr>
              <w:t>√</w:t>
            </w:r>
          </w:p>
        </w:tc>
        <w:tc>
          <w:tcPr>
            <w:tcW w:w="946" w:type="dxa"/>
            <w:tcBorders>
              <w:tl2br w:val="nil"/>
              <w:tr2bl w:val="nil"/>
            </w:tcBorders>
            <w:vAlign w:val="center"/>
          </w:tcPr>
          <w:p w14:paraId="5AAA4FE7">
            <w:pPr>
              <w:jc w:val="center"/>
            </w:pPr>
            <w:r>
              <w:rPr>
                <w:rFonts w:hint="default" w:ascii="Arial" w:hAnsi="Arial" w:cs="Arial"/>
              </w:rPr>
              <w:t>√</w:t>
            </w:r>
          </w:p>
        </w:tc>
        <w:tc>
          <w:tcPr>
            <w:tcW w:w="1003" w:type="dxa"/>
            <w:tcBorders>
              <w:tl2br w:val="nil"/>
              <w:tr2bl w:val="nil"/>
            </w:tcBorders>
            <w:vAlign w:val="center"/>
          </w:tcPr>
          <w:p w14:paraId="6F7390D4">
            <w:pPr>
              <w:jc w:val="center"/>
            </w:pPr>
            <w:r>
              <w:rPr>
                <w:rFonts w:hint="default" w:ascii="Arial" w:hAnsi="Arial" w:cs="Arial"/>
              </w:rPr>
              <w:t>√</w:t>
            </w:r>
          </w:p>
        </w:tc>
      </w:tr>
      <w:tr w14:paraId="7E3747F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598" w:hRule="atLeast"/>
          <w:jc w:val="center"/>
        </w:trPr>
        <w:tc>
          <w:tcPr>
            <w:tcW w:w="3061" w:type="dxa"/>
            <w:tcBorders>
              <w:tl2br w:val="nil"/>
              <w:tr2bl w:val="nil"/>
            </w:tcBorders>
            <w:vAlign w:val="center"/>
          </w:tcPr>
          <w:p w14:paraId="3ACB549D">
            <w:pPr>
              <w:widowControl/>
              <w:jc w:val="center"/>
            </w:pPr>
            <w:r>
              <w:rPr>
                <w:rFonts w:hint="eastAsia" w:ascii="宋体" w:hAnsi="宋体" w:eastAsia="宋体" w:cs="宋体"/>
                <w:color w:val="000000"/>
                <w:sz w:val="21"/>
                <w:szCs w:val="21"/>
              </w:rPr>
              <w:t>其他系统疾病的康复</w:t>
            </w:r>
          </w:p>
        </w:tc>
        <w:tc>
          <w:tcPr>
            <w:tcW w:w="918" w:type="dxa"/>
            <w:tcBorders>
              <w:tl2br w:val="nil"/>
              <w:tr2bl w:val="nil"/>
            </w:tcBorders>
            <w:vAlign w:val="center"/>
          </w:tcPr>
          <w:p w14:paraId="6BBCC53B">
            <w:pPr>
              <w:pStyle w:val="15"/>
              <w:jc w:val="center"/>
            </w:pPr>
          </w:p>
        </w:tc>
        <w:tc>
          <w:tcPr>
            <w:tcW w:w="1057" w:type="dxa"/>
            <w:tcBorders>
              <w:tl2br w:val="nil"/>
              <w:tr2bl w:val="nil"/>
            </w:tcBorders>
            <w:vAlign w:val="center"/>
          </w:tcPr>
          <w:p w14:paraId="00FDD5EA">
            <w:pPr>
              <w:jc w:val="center"/>
            </w:pPr>
            <w:r>
              <w:rPr>
                <w:rFonts w:hint="default" w:ascii="Arial" w:hAnsi="Arial" w:cs="Arial"/>
              </w:rPr>
              <w:t>√</w:t>
            </w:r>
          </w:p>
        </w:tc>
        <w:tc>
          <w:tcPr>
            <w:tcW w:w="973" w:type="dxa"/>
            <w:tcBorders>
              <w:tl2br w:val="nil"/>
              <w:tr2bl w:val="nil"/>
            </w:tcBorders>
            <w:vAlign w:val="center"/>
          </w:tcPr>
          <w:p w14:paraId="2CC80E42">
            <w:pPr>
              <w:jc w:val="center"/>
            </w:pPr>
            <w:r>
              <w:rPr>
                <w:rFonts w:hint="default" w:ascii="Arial" w:hAnsi="Arial" w:cs="Arial"/>
              </w:rPr>
              <w:t>√</w:t>
            </w:r>
          </w:p>
        </w:tc>
        <w:tc>
          <w:tcPr>
            <w:tcW w:w="946" w:type="dxa"/>
            <w:tcBorders>
              <w:tl2br w:val="nil"/>
              <w:tr2bl w:val="nil"/>
            </w:tcBorders>
            <w:vAlign w:val="center"/>
          </w:tcPr>
          <w:p w14:paraId="1EE6523D">
            <w:pPr>
              <w:jc w:val="center"/>
            </w:pPr>
            <w:r>
              <w:rPr>
                <w:rFonts w:hint="default" w:ascii="Arial" w:hAnsi="Arial" w:cs="Arial"/>
              </w:rPr>
              <w:t>√</w:t>
            </w:r>
          </w:p>
        </w:tc>
        <w:tc>
          <w:tcPr>
            <w:tcW w:w="1003" w:type="dxa"/>
            <w:tcBorders>
              <w:tl2br w:val="nil"/>
              <w:tr2bl w:val="nil"/>
            </w:tcBorders>
            <w:vAlign w:val="center"/>
          </w:tcPr>
          <w:p w14:paraId="781261A9">
            <w:pPr>
              <w:jc w:val="center"/>
            </w:pPr>
            <w:r>
              <w:rPr>
                <w:rFonts w:hint="default" w:ascii="Arial" w:hAnsi="Arial" w:cs="Arial"/>
              </w:rPr>
              <w:t>√</w:t>
            </w:r>
          </w:p>
        </w:tc>
      </w:tr>
    </w:tbl>
    <w:p w14:paraId="29E4503D">
      <w:pPr>
        <w:pStyle w:val="18"/>
        <w:numPr>
          <w:ilvl w:val="0"/>
          <w:numId w:val="0"/>
        </w:numPr>
        <w:spacing w:before="81" w:after="163"/>
        <w:rPr>
          <w:rFonts w:hint="eastAsia"/>
        </w:rPr>
      </w:pPr>
    </w:p>
    <w:p w14:paraId="1FB27315">
      <w:pPr>
        <w:pStyle w:val="18"/>
        <w:numPr>
          <w:ilvl w:val="0"/>
          <w:numId w:val="0"/>
        </w:numPr>
        <w:spacing w:before="81" w:after="163"/>
        <w:rPr>
          <w:rFonts w:hint="eastAsia"/>
        </w:rPr>
      </w:pPr>
    </w:p>
    <w:p w14:paraId="0F6F5944">
      <w:pPr>
        <w:pStyle w:val="18"/>
        <w:numPr>
          <w:ilvl w:val="0"/>
          <w:numId w:val="0"/>
        </w:numPr>
        <w:spacing w:before="81" w:after="163"/>
        <w:rPr>
          <w:rFonts w:hint="eastAsia"/>
        </w:rPr>
      </w:pPr>
    </w:p>
    <w:p w14:paraId="615630C9">
      <w:pPr>
        <w:pStyle w:val="18"/>
        <w:spacing w:before="326" w:beforeLines="100" w:after="163"/>
      </w:pPr>
      <w:r>
        <w:rPr>
          <w:rFonts w:hint="eastAsia"/>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850"/>
        <w:gridCol w:w="1541"/>
        <w:gridCol w:w="2323"/>
        <w:gridCol w:w="587"/>
        <w:gridCol w:w="587"/>
        <w:gridCol w:w="588"/>
      </w:tblGrid>
      <w:tr w14:paraId="70BD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0" w:hRule="atLeast"/>
          <w:jc w:val="center"/>
        </w:trPr>
        <w:tc>
          <w:tcPr>
            <w:tcW w:w="1681" w:type="pct"/>
            <w:vMerge w:val="restart"/>
            <w:tcBorders>
              <w:top w:val="single" w:color="auto" w:sz="12" w:space="0"/>
              <w:left w:val="single" w:color="auto" w:sz="12" w:space="0"/>
            </w:tcBorders>
            <w:vAlign w:val="center"/>
          </w:tcPr>
          <w:p w14:paraId="3C564A1D">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909" w:type="pct"/>
            <w:vMerge w:val="restart"/>
            <w:tcBorders>
              <w:top w:val="single" w:color="auto" w:sz="12" w:space="0"/>
            </w:tcBorders>
            <w:vAlign w:val="center"/>
          </w:tcPr>
          <w:p w14:paraId="1F28FFC5">
            <w:pPr>
              <w:pStyle w:val="14"/>
              <w:widowControl w:val="0"/>
              <w:rPr>
                <w:szCs w:val="21"/>
              </w:rPr>
            </w:pPr>
            <w:r>
              <w:rPr>
                <w:rFonts w:hint="eastAsia" w:ascii="黑体" w:hAnsi="黑体"/>
                <w:szCs w:val="21"/>
              </w:rPr>
              <w:t>教与学方式</w:t>
            </w:r>
          </w:p>
        </w:tc>
        <w:tc>
          <w:tcPr>
            <w:tcW w:w="1370" w:type="pct"/>
            <w:vMerge w:val="restart"/>
            <w:tcBorders>
              <w:top w:val="single" w:color="auto" w:sz="12" w:space="0"/>
            </w:tcBorders>
            <w:vAlign w:val="center"/>
          </w:tcPr>
          <w:p w14:paraId="21DC093E">
            <w:pPr>
              <w:pStyle w:val="14"/>
              <w:widowControl w:val="0"/>
              <w:rPr>
                <w:rFonts w:ascii="黑体" w:hAnsi="黑体"/>
                <w:szCs w:val="21"/>
              </w:rPr>
            </w:pPr>
            <w:r>
              <w:rPr>
                <w:rFonts w:hint="eastAsia" w:ascii="黑体" w:hAnsi="黑体"/>
                <w:szCs w:val="21"/>
              </w:rPr>
              <w:t>考核方式</w:t>
            </w:r>
          </w:p>
        </w:tc>
        <w:tc>
          <w:tcPr>
            <w:tcW w:w="1039" w:type="pct"/>
            <w:gridSpan w:val="3"/>
            <w:tcBorders>
              <w:top w:val="single" w:color="auto" w:sz="12" w:space="0"/>
              <w:right w:val="single" w:color="auto" w:sz="12" w:space="0"/>
            </w:tcBorders>
            <w:vAlign w:val="center"/>
          </w:tcPr>
          <w:p w14:paraId="78161B8A">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5193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0" w:hRule="atLeast"/>
          <w:jc w:val="center"/>
        </w:trPr>
        <w:tc>
          <w:tcPr>
            <w:tcW w:w="1681" w:type="pct"/>
            <w:vMerge w:val="continue"/>
            <w:tcBorders>
              <w:left w:val="single" w:color="auto" w:sz="12" w:space="0"/>
            </w:tcBorders>
          </w:tcPr>
          <w:p w14:paraId="6B1F9AE4">
            <w:pPr>
              <w:widowControl w:val="0"/>
              <w:snapToGrid w:val="0"/>
              <w:jc w:val="center"/>
              <w:rPr>
                <w:rFonts w:ascii="黑体" w:hAnsi="黑体" w:eastAsia="黑体"/>
                <w:bCs/>
                <w:sz w:val="21"/>
                <w:szCs w:val="21"/>
              </w:rPr>
            </w:pPr>
          </w:p>
        </w:tc>
        <w:tc>
          <w:tcPr>
            <w:tcW w:w="909" w:type="pct"/>
            <w:vMerge w:val="continue"/>
          </w:tcPr>
          <w:p w14:paraId="6A26CB59">
            <w:pPr>
              <w:widowControl w:val="0"/>
              <w:snapToGrid w:val="0"/>
              <w:jc w:val="center"/>
              <w:rPr>
                <w:rFonts w:ascii="黑体" w:hAnsi="黑体" w:eastAsia="黑体"/>
                <w:bCs/>
                <w:sz w:val="21"/>
                <w:szCs w:val="21"/>
              </w:rPr>
            </w:pPr>
          </w:p>
        </w:tc>
        <w:tc>
          <w:tcPr>
            <w:tcW w:w="1370" w:type="pct"/>
            <w:vMerge w:val="continue"/>
          </w:tcPr>
          <w:p w14:paraId="1A07B0A2">
            <w:pPr>
              <w:widowControl w:val="0"/>
              <w:snapToGrid w:val="0"/>
              <w:jc w:val="center"/>
              <w:rPr>
                <w:rFonts w:ascii="黑体" w:hAnsi="黑体" w:eastAsia="黑体"/>
                <w:bCs/>
                <w:sz w:val="21"/>
                <w:szCs w:val="21"/>
              </w:rPr>
            </w:pPr>
          </w:p>
        </w:tc>
        <w:tc>
          <w:tcPr>
            <w:tcW w:w="346" w:type="pct"/>
            <w:vAlign w:val="center"/>
          </w:tcPr>
          <w:p w14:paraId="34558096">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346" w:type="pct"/>
            <w:vAlign w:val="center"/>
          </w:tcPr>
          <w:p w14:paraId="76B84AF8">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346" w:type="pct"/>
            <w:tcBorders>
              <w:right w:val="single" w:color="auto" w:sz="12" w:space="0"/>
            </w:tcBorders>
            <w:vAlign w:val="center"/>
          </w:tcPr>
          <w:p w14:paraId="72A80AE5">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5DEC6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76" w:hRule="atLeast"/>
          <w:jc w:val="center"/>
        </w:trPr>
        <w:tc>
          <w:tcPr>
            <w:tcW w:w="1681" w:type="pct"/>
            <w:tcBorders>
              <w:left w:val="single" w:color="auto" w:sz="12" w:space="0"/>
            </w:tcBorders>
            <w:vAlign w:val="center"/>
          </w:tcPr>
          <w:p w14:paraId="25CC10F5">
            <w:pPr>
              <w:widowControl w:val="0"/>
              <w:snapToGrid w:val="0"/>
              <w:spacing w:before="156" w:beforeLines="50" w:line="360" w:lineRule="auto"/>
              <w:ind w:firstLine="420" w:firstLineChars="200"/>
              <w:jc w:val="center"/>
              <w:rPr>
                <w:rFonts w:hint="eastAsia" w:ascii="宋体" w:hAnsi="宋体" w:eastAsia="宋体" w:cs="宋体"/>
                <w:color w:val="000000"/>
                <w:sz w:val="21"/>
                <w:szCs w:val="21"/>
                <w:lang w:val="en-US" w:eastAsia="zh-CN" w:bidi="ar-SA"/>
              </w:rPr>
            </w:pPr>
            <w:r>
              <w:rPr>
                <w:rFonts w:hint="eastAsia" w:ascii="宋体" w:hAnsi="宋体" w:eastAsia="宋体" w:cs="宋体"/>
                <w:bCs/>
                <w:sz w:val="21"/>
                <w:szCs w:val="21"/>
              </w:rPr>
              <w:t>康复医学概论</w:t>
            </w:r>
          </w:p>
        </w:tc>
        <w:tc>
          <w:tcPr>
            <w:tcW w:w="909" w:type="pct"/>
            <w:vAlign w:val="top"/>
          </w:tcPr>
          <w:p w14:paraId="2095CCA5">
            <w:pPr>
              <w:widowControl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直接教学法</w:t>
            </w:r>
          </w:p>
          <w:p w14:paraId="04D2A8AD">
            <w:pPr>
              <w:widowControl w:val="0"/>
              <w:snapToGrid w:val="0"/>
              <w:spacing w:line="288" w:lineRule="auto"/>
              <w:jc w:val="center"/>
              <w:rPr>
                <w:rFonts w:hint="eastAsia" w:ascii="宋体" w:hAnsi="宋体" w:eastAsia="宋体" w:cs="宋体"/>
                <w:sz w:val="21"/>
                <w:szCs w:val="21"/>
                <w:lang w:val="en-US" w:eastAsia="zh-CN" w:bidi="ar-SA"/>
              </w:rPr>
            </w:pPr>
            <w:r>
              <w:rPr>
                <w:rFonts w:hint="eastAsia" w:ascii="宋体" w:hAnsi="宋体" w:eastAsia="宋体" w:cs="宋体"/>
                <w:sz w:val="21"/>
                <w:szCs w:val="21"/>
              </w:rPr>
              <w:t>讨论教学法</w:t>
            </w:r>
          </w:p>
        </w:tc>
        <w:tc>
          <w:tcPr>
            <w:tcW w:w="1370" w:type="pct"/>
            <w:vAlign w:val="top"/>
          </w:tcPr>
          <w:p w14:paraId="72D2E286">
            <w:pPr>
              <w:widowControl w:val="0"/>
              <w:snapToGrid w:val="0"/>
              <w:spacing w:line="288"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平时作业</w:t>
            </w:r>
          </w:p>
        </w:tc>
        <w:tc>
          <w:tcPr>
            <w:tcW w:w="346" w:type="pct"/>
            <w:vAlign w:val="top"/>
          </w:tcPr>
          <w:p w14:paraId="51485ED3">
            <w:pPr>
              <w:widowControl w:val="0"/>
              <w:ind w:firstLine="210" w:firstLineChars="100"/>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2</w:t>
            </w:r>
          </w:p>
        </w:tc>
        <w:tc>
          <w:tcPr>
            <w:tcW w:w="346" w:type="pct"/>
            <w:vAlign w:val="top"/>
          </w:tcPr>
          <w:p w14:paraId="2626CB16">
            <w:pPr>
              <w:widowControl w:val="0"/>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0</w:t>
            </w:r>
          </w:p>
        </w:tc>
        <w:tc>
          <w:tcPr>
            <w:tcW w:w="346" w:type="pct"/>
            <w:tcBorders>
              <w:right w:val="single" w:color="auto" w:sz="12" w:space="0"/>
            </w:tcBorders>
            <w:vAlign w:val="top"/>
          </w:tcPr>
          <w:p w14:paraId="2CC67EA9">
            <w:pPr>
              <w:widowControl w:val="0"/>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2</w:t>
            </w:r>
          </w:p>
        </w:tc>
      </w:tr>
      <w:tr w14:paraId="15C8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77" w:hRule="atLeast"/>
          <w:jc w:val="center"/>
        </w:trPr>
        <w:tc>
          <w:tcPr>
            <w:tcW w:w="1681" w:type="pct"/>
            <w:tcBorders>
              <w:left w:val="single" w:color="auto" w:sz="12" w:space="0"/>
            </w:tcBorders>
            <w:vAlign w:val="center"/>
          </w:tcPr>
          <w:p w14:paraId="42DB79AF">
            <w:pPr>
              <w:widowControl w:val="0"/>
              <w:snapToGrid w:val="0"/>
              <w:spacing w:line="288" w:lineRule="auto"/>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康复医学评定</w:t>
            </w:r>
          </w:p>
        </w:tc>
        <w:tc>
          <w:tcPr>
            <w:tcW w:w="909" w:type="pct"/>
            <w:vAlign w:val="top"/>
          </w:tcPr>
          <w:p w14:paraId="1845854C">
            <w:pPr>
              <w:widowControl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讨论教学法</w:t>
            </w:r>
          </w:p>
          <w:p w14:paraId="7F6AFB8E">
            <w:pPr>
              <w:widowControl w:val="0"/>
              <w:snapToGrid w:val="0"/>
              <w:spacing w:line="288" w:lineRule="auto"/>
              <w:jc w:val="center"/>
              <w:rPr>
                <w:rFonts w:hint="eastAsia" w:ascii="宋体" w:hAnsi="宋体" w:eastAsia="宋体" w:cs="宋体"/>
                <w:sz w:val="21"/>
                <w:szCs w:val="21"/>
                <w:lang w:val="en-US" w:eastAsia="zh-CN" w:bidi="ar-SA"/>
              </w:rPr>
            </w:pPr>
            <w:r>
              <w:rPr>
                <w:rFonts w:hint="eastAsia" w:ascii="宋体" w:hAnsi="宋体" w:eastAsia="宋体" w:cs="宋体"/>
                <w:sz w:val="21"/>
                <w:szCs w:val="21"/>
              </w:rPr>
              <w:t>探究教学法</w:t>
            </w:r>
          </w:p>
        </w:tc>
        <w:tc>
          <w:tcPr>
            <w:tcW w:w="1370" w:type="pct"/>
            <w:vAlign w:val="top"/>
          </w:tcPr>
          <w:p w14:paraId="47909CD9">
            <w:pPr>
              <w:widowControl w:val="0"/>
              <w:snapToGrid w:val="0"/>
              <w:spacing w:line="288"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口头评价或纸笔测验评价</w:t>
            </w:r>
          </w:p>
        </w:tc>
        <w:tc>
          <w:tcPr>
            <w:tcW w:w="346" w:type="pct"/>
            <w:vAlign w:val="center"/>
          </w:tcPr>
          <w:p w14:paraId="46C28EF1">
            <w:pPr>
              <w:widowControl w:val="0"/>
              <w:jc w:val="center"/>
              <w:rPr>
                <w:rFonts w:hint="eastAsia" w:ascii="宋体" w:hAnsi="宋体" w:eastAsia="宋体" w:cs="宋体"/>
                <w:color w:val="000000"/>
                <w:sz w:val="21"/>
                <w:szCs w:val="21"/>
              </w:rPr>
            </w:pPr>
          </w:p>
          <w:p w14:paraId="2040B770">
            <w:pPr>
              <w:widowControl w:val="0"/>
              <w:ind w:firstLine="210" w:firstLineChars="100"/>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rPr>
              <w:t>4</w:t>
            </w:r>
          </w:p>
        </w:tc>
        <w:tc>
          <w:tcPr>
            <w:tcW w:w="346" w:type="pct"/>
            <w:vAlign w:val="center"/>
          </w:tcPr>
          <w:p w14:paraId="59235A47">
            <w:pPr>
              <w:widowControl w:val="0"/>
              <w:jc w:val="center"/>
              <w:rPr>
                <w:rFonts w:hint="eastAsia" w:ascii="宋体" w:hAnsi="宋体" w:eastAsia="宋体" w:cs="宋体"/>
                <w:color w:val="000000"/>
                <w:sz w:val="21"/>
                <w:szCs w:val="21"/>
              </w:rPr>
            </w:pPr>
          </w:p>
          <w:p w14:paraId="7512D60A">
            <w:pPr>
              <w:widowControl w:val="0"/>
              <w:ind w:firstLine="210" w:firstLineChars="100"/>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2</w:t>
            </w:r>
          </w:p>
        </w:tc>
        <w:tc>
          <w:tcPr>
            <w:tcW w:w="346" w:type="pct"/>
            <w:tcBorders>
              <w:right w:val="single" w:color="auto" w:sz="12" w:space="0"/>
            </w:tcBorders>
            <w:vAlign w:val="center"/>
          </w:tcPr>
          <w:p w14:paraId="4307273B">
            <w:pPr>
              <w:widowControl w:val="0"/>
              <w:jc w:val="center"/>
              <w:rPr>
                <w:rFonts w:hint="eastAsia" w:ascii="宋体" w:hAnsi="宋体" w:eastAsia="宋体" w:cs="宋体"/>
                <w:color w:val="000000"/>
                <w:sz w:val="21"/>
                <w:szCs w:val="21"/>
              </w:rPr>
            </w:pPr>
          </w:p>
          <w:p w14:paraId="203620D3">
            <w:pPr>
              <w:widowControl w:val="0"/>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rPr>
              <w:t>6</w:t>
            </w:r>
          </w:p>
        </w:tc>
      </w:tr>
      <w:tr w14:paraId="71450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91" w:hRule="atLeast"/>
          <w:jc w:val="center"/>
        </w:trPr>
        <w:tc>
          <w:tcPr>
            <w:tcW w:w="1681" w:type="pct"/>
            <w:tcBorders>
              <w:left w:val="single" w:color="auto" w:sz="12" w:space="0"/>
            </w:tcBorders>
            <w:vAlign w:val="center"/>
          </w:tcPr>
          <w:p w14:paraId="3DA23B83">
            <w:pPr>
              <w:widowControl w:val="0"/>
              <w:snapToGrid w:val="0"/>
              <w:spacing w:line="360" w:lineRule="auto"/>
              <w:ind w:firstLine="420" w:firstLineChars="200"/>
              <w:jc w:val="center"/>
              <w:rPr>
                <w:rFonts w:hint="eastAsia" w:ascii="宋体" w:hAnsi="宋体" w:eastAsia="宋体" w:cs="宋体"/>
                <w:bCs/>
                <w:sz w:val="21"/>
                <w:szCs w:val="21"/>
              </w:rPr>
            </w:pPr>
            <w:r>
              <w:rPr>
                <w:rFonts w:hint="eastAsia" w:ascii="宋体" w:hAnsi="宋体" w:eastAsia="宋体" w:cs="宋体"/>
                <w:bCs/>
                <w:sz w:val="21"/>
                <w:szCs w:val="21"/>
              </w:rPr>
              <w:t>康复治疗技术</w:t>
            </w:r>
          </w:p>
          <w:p w14:paraId="5C5296AF">
            <w:pPr>
              <w:widowControl w:val="0"/>
              <w:jc w:val="center"/>
              <w:rPr>
                <w:rFonts w:hint="eastAsia" w:ascii="宋体" w:hAnsi="宋体" w:eastAsia="宋体" w:cs="宋体"/>
                <w:color w:val="000000"/>
                <w:sz w:val="21"/>
                <w:szCs w:val="21"/>
                <w:lang w:val="en-US" w:eastAsia="zh-CN" w:bidi="ar-SA"/>
              </w:rPr>
            </w:pPr>
          </w:p>
        </w:tc>
        <w:tc>
          <w:tcPr>
            <w:tcW w:w="909" w:type="pct"/>
            <w:vAlign w:val="top"/>
          </w:tcPr>
          <w:p w14:paraId="55BCB000">
            <w:pPr>
              <w:widowControl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讨论教学法</w:t>
            </w:r>
          </w:p>
          <w:p w14:paraId="21DAA3A5">
            <w:pPr>
              <w:widowControl w:val="0"/>
              <w:snapToGrid w:val="0"/>
              <w:spacing w:line="288"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探究教学法</w:t>
            </w:r>
          </w:p>
        </w:tc>
        <w:tc>
          <w:tcPr>
            <w:tcW w:w="1370" w:type="pct"/>
            <w:vAlign w:val="top"/>
          </w:tcPr>
          <w:p w14:paraId="7715C938">
            <w:pPr>
              <w:widowControl w:val="0"/>
              <w:snapToGrid w:val="0"/>
              <w:spacing w:line="288" w:lineRule="auto"/>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平时作业</w:t>
            </w:r>
          </w:p>
        </w:tc>
        <w:tc>
          <w:tcPr>
            <w:tcW w:w="346" w:type="pct"/>
            <w:vAlign w:val="center"/>
          </w:tcPr>
          <w:p w14:paraId="4DA8B197">
            <w:pPr>
              <w:widowControl w:val="0"/>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rPr>
              <w:t>4</w:t>
            </w:r>
          </w:p>
        </w:tc>
        <w:tc>
          <w:tcPr>
            <w:tcW w:w="346" w:type="pct"/>
            <w:vAlign w:val="center"/>
          </w:tcPr>
          <w:p w14:paraId="68920B40">
            <w:pPr>
              <w:widowControl w:val="0"/>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2</w:t>
            </w:r>
          </w:p>
        </w:tc>
        <w:tc>
          <w:tcPr>
            <w:tcW w:w="346" w:type="pct"/>
            <w:tcBorders>
              <w:right w:val="single" w:color="auto" w:sz="12" w:space="0"/>
            </w:tcBorders>
            <w:vAlign w:val="center"/>
          </w:tcPr>
          <w:p w14:paraId="2CB7A4CC">
            <w:pPr>
              <w:widowControl w:val="0"/>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6</w:t>
            </w:r>
          </w:p>
        </w:tc>
      </w:tr>
      <w:tr w14:paraId="0ACD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0" w:hRule="atLeast"/>
          <w:jc w:val="center"/>
        </w:trPr>
        <w:tc>
          <w:tcPr>
            <w:tcW w:w="1681" w:type="pct"/>
            <w:tcBorders>
              <w:left w:val="single" w:color="auto" w:sz="12" w:space="0"/>
            </w:tcBorders>
            <w:vAlign w:val="center"/>
          </w:tcPr>
          <w:p w14:paraId="609A45F8">
            <w:pPr>
              <w:widowControl/>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常见神经系统疾病的康复</w:t>
            </w:r>
          </w:p>
        </w:tc>
        <w:tc>
          <w:tcPr>
            <w:tcW w:w="909" w:type="pct"/>
            <w:vAlign w:val="top"/>
          </w:tcPr>
          <w:p w14:paraId="436AF11F">
            <w:pPr>
              <w:widowControl w:val="0"/>
              <w:snapToGrid w:val="0"/>
              <w:spacing w:line="288"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直接教学法</w:t>
            </w:r>
          </w:p>
          <w:p w14:paraId="10475679">
            <w:pPr>
              <w:widowControl w:val="0"/>
              <w:snapToGrid w:val="0"/>
              <w:spacing w:line="288" w:lineRule="auto"/>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小组汇报法</w:t>
            </w:r>
          </w:p>
        </w:tc>
        <w:tc>
          <w:tcPr>
            <w:tcW w:w="1370" w:type="pct"/>
            <w:vAlign w:val="top"/>
          </w:tcPr>
          <w:p w14:paraId="1ACB3BD1">
            <w:pPr>
              <w:widowControl w:val="0"/>
              <w:snapToGrid w:val="0"/>
              <w:spacing w:line="288" w:lineRule="auto"/>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汇报成绩</w:t>
            </w:r>
          </w:p>
        </w:tc>
        <w:tc>
          <w:tcPr>
            <w:tcW w:w="346" w:type="pct"/>
            <w:vAlign w:val="center"/>
          </w:tcPr>
          <w:p w14:paraId="472D1B32">
            <w:pPr>
              <w:widowControl w:val="0"/>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rPr>
              <w:t>4</w:t>
            </w:r>
          </w:p>
        </w:tc>
        <w:tc>
          <w:tcPr>
            <w:tcW w:w="346" w:type="pct"/>
            <w:vAlign w:val="center"/>
          </w:tcPr>
          <w:p w14:paraId="209E23A5">
            <w:pPr>
              <w:widowControl w:val="0"/>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2</w:t>
            </w:r>
          </w:p>
        </w:tc>
        <w:tc>
          <w:tcPr>
            <w:tcW w:w="346" w:type="pct"/>
            <w:tcBorders>
              <w:right w:val="single" w:color="auto" w:sz="12" w:space="0"/>
            </w:tcBorders>
            <w:vAlign w:val="center"/>
          </w:tcPr>
          <w:p w14:paraId="1353FC46">
            <w:pPr>
              <w:widowControl w:val="0"/>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6</w:t>
            </w:r>
          </w:p>
        </w:tc>
      </w:tr>
      <w:tr w14:paraId="7A3E5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0" w:hRule="atLeast"/>
          <w:jc w:val="center"/>
        </w:trPr>
        <w:tc>
          <w:tcPr>
            <w:tcW w:w="1681" w:type="pct"/>
            <w:tcBorders>
              <w:left w:val="single" w:color="auto" w:sz="12" w:space="0"/>
            </w:tcBorders>
            <w:vAlign w:val="center"/>
          </w:tcPr>
          <w:p w14:paraId="4A1C2068">
            <w:pPr>
              <w:widowControl/>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骨骼肌肉系统常见病损的康复</w:t>
            </w:r>
          </w:p>
        </w:tc>
        <w:tc>
          <w:tcPr>
            <w:tcW w:w="909" w:type="pct"/>
            <w:vAlign w:val="top"/>
          </w:tcPr>
          <w:p w14:paraId="74F92BE4">
            <w:pPr>
              <w:widowControl w:val="0"/>
              <w:snapToGrid w:val="0"/>
              <w:spacing w:line="288" w:lineRule="auto"/>
              <w:jc w:val="center"/>
              <w:rPr>
                <w:rFonts w:hint="eastAsia" w:ascii="宋体" w:hAnsi="宋体" w:eastAsia="宋体" w:cs="宋体"/>
                <w:sz w:val="21"/>
                <w:szCs w:val="21"/>
                <w:lang w:val="en-US" w:eastAsia="zh-CN" w:bidi="ar-SA"/>
              </w:rPr>
            </w:pPr>
            <w:r>
              <w:rPr>
                <w:rFonts w:hint="eastAsia" w:ascii="宋体" w:hAnsi="宋体" w:eastAsia="宋体" w:cs="宋体"/>
                <w:sz w:val="21"/>
                <w:szCs w:val="21"/>
              </w:rPr>
              <w:t>合作学习教学法</w:t>
            </w:r>
          </w:p>
        </w:tc>
        <w:tc>
          <w:tcPr>
            <w:tcW w:w="1370" w:type="pct"/>
            <w:vAlign w:val="top"/>
          </w:tcPr>
          <w:p w14:paraId="687F7DBD">
            <w:pPr>
              <w:widowControl w:val="0"/>
              <w:snapToGrid w:val="0"/>
              <w:spacing w:line="288"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口头评价或纸笔测验评价</w:t>
            </w:r>
          </w:p>
        </w:tc>
        <w:tc>
          <w:tcPr>
            <w:tcW w:w="346" w:type="pct"/>
            <w:vAlign w:val="center"/>
          </w:tcPr>
          <w:p w14:paraId="1632C3AA">
            <w:pPr>
              <w:widowControl/>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rPr>
              <w:t>5</w:t>
            </w:r>
          </w:p>
        </w:tc>
        <w:tc>
          <w:tcPr>
            <w:tcW w:w="346" w:type="pct"/>
            <w:vAlign w:val="center"/>
          </w:tcPr>
          <w:p w14:paraId="75212EF2">
            <w:pPr>
              <w:widowControl/>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2</w:t>
            </w:r>
          </w:p>
        </w:tc>
        <w:tc>
          <w:tcPr>
            <w:tcW w:w="346" w:type="pct"/>
            <w:tcBorders>
              <w:right w:val="single" w:color="auto" w:sz="12" w:space="0"/>
            </w:tcBorders>
            <w:vAlign w:val="center"/>
          </w:tcPr>
          <w:p w14:paraId="619EF9A2">
            <w:pPr>
              <w:widowControl w:val="0"/>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7</w:t>
            </w:r>
          </w:p>
        </w:tc>
      </w:tr>
      <w:tr w14:paraId="3CB9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0" w:hRule="atLeast"/>
          <w:jc w:val="center"/>
        </w:trPr>
        <w:tc>
          <w:tcPr>
            <w:tcW w:w="1681" w:type="pct"/>
            <w:tcBorders>
              <w:left w:val="single" w:color="auto" w:sz="12" w:space="0"/>
            </w:tcBorders>
            <w:vAlign w:val="center"/>
          </w:tcPr>
          <w:p w14:paraId="40242C60">
            <w:pPr>
              <w:widowControl/>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内脏疾病的康复</w:t>
            </w:r>
          </w:p>
        </w:tc>
        <w:tc>
          <w:tcPr>
            <w:tcW w:w="909" w:type="pct"/>
            <w:vAlign w:val="top"/>
          </w:tcPr>
          <w:p w14:paraId="4197B0ED">
            <w:pPr>
              <w:widowControl w:val="0"/>
              <w:snapToGrid w:val="0"/>
              <w:spacing w:line="288"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直接教学法</w:t>
            </w:r>
          </w:p>
          <w:p w14:paraId="5456FB68">
            <w:pPr>
              <w:widowControl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讨论教学法</w:t>
            </w:r>
          </w:p>
          <w:p w14:paraId="22EF5354">
            <w:pPr>
              <w:widowControl w:val="0"/>
              <w:snapToGrid w:val="0"/>
              <w:spacing w:line="288" w:lineRule="auto"/>
              <w:jc w:val="center"/>
              <w:rPr>
                <w:rFonts w:hint="eastAsia" w:ascii="宋体" w:hAnsi="宋体" w:eastAsia="宋体" w:cs="宋体"/>
                <w:sz w:val="21"/>
                <w:szCs w:val="21"/>
                <w:lang w:val="en-US" w:eastAsia="zh-CN" w:bidi="ar-SA"/>
              </w:rPr>
            </w:pPr>
            <w:r>
              <w:rPr>
                <w:rFonts w:hint="eastAsia" w:ascii="宋体" w:hAnsi="宋体" w:eastAsia="宋体" w:cs="宋体"/>
                <w:sz w:val="21"/>
                <w:szCs w:val="21"/>
              </w:rPr>
              <w:t>探究教学法</w:t>
            </w:r>
          </w:p>
        </w:tc>
        <w:tc>
          <w:tcPr>
            <w:tcW w:w="1370" w:type="pct"/>
            <w:vAlign w:val="top"/>
          </w:tcPr>
          <w:p w14:paraId="3F2B3631">
            <w:pPr>
              <w:widowControl w:val="0"/>
              <w:snapToGrid w:val="0"/>
              <w:spacing w:line="288" w:lineRule="auto"/>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平时作业</w:t>
            </w:r>
          </w:p>
        </w:tc>
        <w:tc>
          <w:tcPr>
            <w:tcW w:w="346" w:type="pct"/>
            <w:vAlign w:val="center"/>
          </w:tcPr>
          <w:p w14:paraId="1A41876D">
            <w:pPr>
              <w:widowControl/>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2</w:t>
            </w:r>
          </w:p>
        </w:tc>
        <w:tc>
          <w:tcPr>
            <w:tcW w:w="346" w:type="pct"/>
            <w:vAlign w:val="center"/>
          </w:tcPr>
          <w:p w14:paraId="2D5DBDF5">
            <w:pPr>
              <w:widowControl/>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0</w:t>
            </w:r>
          </w:p>
        </w:tc>
        <w:tc>
          <w:tcPr>
            <w:tcW w:w="346" w:type="pct"/>
            <w:tcBorders>
              <w:right w:val="single" w:color="auto" w:sz="12" w:space="0"/>
            </w:tcBorders>
            <w:vAlign w:val="center"/>
          </w:tcPr>
          <w:p w14:paraId="63112E12">
            <w:pPr>
              <w:widowControl w:val="0"/>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2</w:t>
            </w:r>
          </w:p>
        </w:tc>
      </w:tr>
      <w:tr w14:paraId="06BB1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57" w:hRule="atLeast"/>
          <w:jc w:val="center"/>
        </w:trPr>
        <w:tc>
          <w:tcPr>
            <w:tcW w:w="1681" w:type="pct"/>
            <w:tcBorders>
              <w:left w:val="single" w:color="auto" w:sz="12" w:space="0"/>
            </w:tcBorders>
            <w:vAlign w:val="center"/>
          </w:tcPr>
          <w:p w14:paraId="5D3A4D8D">
            <w:pPr>
              <w:widowControl/>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其他系统疾病的康复</w:t>
            </w:r>
          </w:p>
        </w:tc>
        <w:tc>
          <w:tcPr>
            <w:tcW w:w="909" w:type="pct"/>
            <w:vAlign w:val="top"/>
          </w:tcPr>
          <w:p w14:paraId="33163842">
            <w:pPr>
              <w:widowControl w:val="0"/>
              <w:snapToGrid w:val="0"/>
              <w:spacing w:line="288"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直接教学法</w:t>
            </w:r>
          </w:p>
          <w:p w14:paraId="178AB870">
            <w:pPr>
              <w:widowControl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讨论教学法</w:t>
            </w:r>
          </w:p>
          <w:p w14:paraId="0D7A9EA6">
            <w:pPr>
              <w:widowControl w:val="0"/>
              <w:snapToGrid w:val="0"/>
              <w:spacing w:line="288"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探究教学法</w:t>
            </w:r>
          </w:p>
        </w:tc>
        <w:tc>
          <w:tcPr>
            <w:tcW w:w="1370" w:type="pct"/>
            <w:vAlign w:val="top"/>
          </w:tcPr>
          <w:p w14:paraId="77C43D5F">
            <w:pPr>
              <w:widowControl w:val="0"/>
              <w:snapToGrid w:val="0"/>
              <w:spacing w:line="288" w:lineRule="auto"/>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平时作业</w:t>
            </w:r>
          </w:p>
        </w:tc>
        <w:tc>
          <w:tcPr>
            <w:tcW w:w="346" w:type="pct"/>
            <w:vAlign w:val="center"/>
          </w:tcPr>
          <w:p w14:paraId="3CDB8933">
            <w:pPr>
              <w:widowControl/>
              <w:jc w:val="center"/>
              <w:rPr>
                <w:rFonts w:hint="eastAsia" w:ascii="宋体" w:hAnsi="宋体" w:eastAsia="宋体" w:cs="宋体"/>
                <w:color w:val="000000"/>
                <w:sz w:val="21"/>
                <w:szCs w:val="21"/>
              </w:rPr>
            </w:pPr>
          </w:p>
          <w:p w14:paraId="302E4BF2">
            <w:pPr>
              <w:widowControl/>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c>
          <w:tcPr>
            <w:tcW w:w="346" w:type="pct"/>
            <w:vAlign w:val="center"/>
          </w:tcPr>
          <w:p w14:paraId="2E8FC392">
            <w:pPr>
              <w:widowControl/>
              <w:jc w:val="both"/>
              <w:rPr>
                <w:rFonts w:hint="eastAsia" w:ascii="宋体" w:hAnsi="宋体" w:eastAsia="宋体" w:cs="宋体"/>
                <w:color w:val="000000"/>
                <w:sz w:val="21"/>
                <w:szCs w:val="21"/>
                <w:lang w:val="en-US" w:eastAsia="zh-CN" w:bidi="ar-SA"/>
              </w:rPr>
            </w:pPr>
          </w:p>
          <w:p w14:paraId="55148E14">
            <w:pPr>
              <w:widowControl/>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0</w:t>
            </w:r>
          </w:p>
        </w:tc>
        <w:tc>
          <w:tcPr>
            <w:tcW w:w="346" w:type="pct"/>
            <w:tcBorders>
              <w:right w:val="single" w:color="auto" w:sz="12" w:space="0"/>
            </w:tcBorders>
            <w:vAlign w:val="center"/>
          </w:tcPr>
          <w:p w14:paraId="17DE94BD">
            <w:pPr>
              <w:widowControl w:val="0"/>
              <w:jc w:val="center"/>
              <w:rPr>
                <w:rFonts w:hint="eastAsia" w:ascii="宋体" w:hAnsi="宋体" w:eastAsia="宋体" w:cs="宋体"/>
                <w:color w:val="000000"/>
                <w:sz w:val="21"/>
                <w:szCs w:val="21"/>
              </w:rPr>
            </w:pPr>
          </w:p>
          <w:p w14:paraId="718056CA">
            <w:pPr>
              <w:widowControl w:val="0"/>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rPr>
              <w:t>3</w:t>
            </w:r>
          </w:p>
        </w:tc>
      </w:tr>
      <w:tr w14:paraId="14EA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0" w:hRule="atLeast"/>
          <w:jc w:val="center"/>
        </w:trPr>
        <w:tc>
          <w:tcPr>
            <w:tcW w:w="3960" w:type="pct"/>
            <w:gridSpan w:val="3"/>
            <w:tcBorders>
              <w:left w:val="single" w:color="auto" w:sz="12" w:space="0"/>
              <w:bottom w:val="single" w:color="auto" w:sz="12" w:space="0"/>
            </w:tcBorders>
            <w:vAlign w:val="center"/>
          </w:tcPr>
          <w:p w14:paraId="09B4C8AA">
            <w:pPr>
              <w:pStyle w:val="14"/>
              <w:widowControl w:val="0"/>
            </w:pPr>
            <w:r>
              <w:rPr>
                <w:rFonts w:hint="eastAsia"/>
              </w:rPr>
              <w:t>合计</w:t>
            </w:r>
          </w:p>
        </w:tc>
        <w:tc>
          <w:tcPr>
            <w:tcW w:w="346" w:type="pct"/>
            <w:tcBorders>
              <w:bottom w:val="single" w:color="auto" w:sz="12" w:space="0"/>
            </w:tcBorders>
            <w:vAlign w:val="center"/>
          </w:tcPr>
          <w:p w14:paraId="23B14492">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c>
          <w:tcPr>
            <w:tcW w:w="346" w:type="pct"/>
            <w:tcBorders>
              <w:bottom w:val="single" w:color="auto" w:sz="12" w:space="0"/>
            </w:tcBorders>
            <w:vAlign w:val="center"/>
          </w:tcPr>
          <w:p w14:paraId="26D384B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346" w:type="pct"/>
            <w:tcBorders>
              <w:bottom w:val="single" w:color="auto" w:sz="12" w:space="0"/>
              <w:right w:val="single" w:color="auto" w:sz="12" w:space="0"/>
            </w:tcBorders>
            <w:vAlign w:val="center"/>
          </w:tcPr>
          <w:p w14:paraId="4BE435A5">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r>
    </w:tbl>
    <w:p w14:paraId="567490B7">
      <w:pPr>
        <w:pStyle w:val="18"/>
        <w:spacing w:before="326" w:beforeLines="100" w:after="163"/>
      </w:pPr>
      <w:r>
        <w:rPr>
          <w:rFonts w:hint="eastAsia"/>
        </w:rPr>
        <w:t>（四）课内实验项目与基本要求</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328CC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55DD1F2C">
            <w:pPr>
              <w:pStyle w:val="14"/>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74D39973">
            <w:pPr>
              <w:pStyle w:val="14"/>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435C46AD">
            <w:pPr>
              <w:pStyle w:val="14"/>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64691437">
            <w:pPr>
              <w:pStyle w:val="14"/>
              <w:rPr>
                <w:szCs w:val="16"/>
              </w:rPr>
            </w:pPr>
            <w:r>
              <w:rPr>
                <w:rFonts w:hint="eastAsia"/>
                <w:szCs w:val="16"/>
              </w:rPr>
              <w:t>实验</w:t>
            </w:r>
          </w:p>
          <w:p w14:paraId="600AC273">
            <w:pPr>
              <w:pStyle w:val="14"/>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61C2825C">
            <w:pPr>
              <w:pStyle w:val="14"/>
              <w:rPr>
                <w:szCs w:val="16"/>
              </w:rPr>
            </w:pPr>
            <w:r>
              <w:rPr>
                <w:rFonts w:hint="eastAsia"/>
                <w:szCs w:val="16"/>
              </w:rPr>
              <w:t>实验</w:t>
            </w:r>
          </w:p>
          <w:p w14:paraId="4FCA93DA">
            <w:pPr>
              <w:pStyle w:val="14"/>
              <w:rPr>
                <w:szCs w:val="16"/>
              </w:rPr>
            </w:pPr>
            <w:r>
              <w:rPr>
                <w:rFonts w:hint="eastAsia"/>
                <w:szCs w:val="16"/>
              </w:rPr>
              <w:t>类型</w:t>
            </w:r>
          </w:p>
        </w:tc>
      </w:tr>
      <w:tr w14:paraId="3310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75E93530">
            <w:pPr>
              <w:pStyle w:val="15"/>
            </w:pPr>
            <w:r>
              <w:rPr>
                <w:rFonts w:hint="eastAsia"/>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24236FC1">
            <w:pPr>
              <w:pStyle w:val="15"/>
              <w:rPr>
                <w:rFonts w:hint="default" w:eastAsia="宋体"/>
                <w:lang w:val="en-US" w:eastAsia="zh-CN"/>
              </w:rPr>
            </w:pPr>
            <w:r>
              <w:rPr>
                <w:rFonts w:hint="eastAsia"/>
                <w:lang w:val="en-US" w:eastAsia="zh-CN"/>
              </w:rPr>
              <w:t>康复医学评定</w:t>
            </w:r>
          </w:p>
        </w:tc>
        <w:tc>
          <w:tcPr>
            <w:tcW w:w="4061" w:type="dxa"/>
            <w:tcBorders>
              <w:top w:val="single" w:color="auto" w:sz="4" w:space="0"/>
              <w:left w:val="single" w:color="auto" w:sz="4" w:space="0"/>
              <w:bottom w:val="single" w:color="auto" w:sz="4" w:space="0"/>
              <w:right w:val="single" w:color="auto" w:sz="4" w:space="0"/>
            </w:tcBorders>
            <w:vAlign w:val="center"/>
          </w:tcPr>
          <w:p w14:paraId="2D32EE63">
            <w:pPr>
              <w:pStyle w:val="15"/>
              <w:jc w:val="left"/>
              <w:rPr>
                <w:rFonts w:hint="default" w:eastAsia="宋体"/>
                <w:lang w:val="en-US" w:eastAsia="zh-CN"/>
              </w:rPr>
            </w:pPr>
            <w:r>
              <w:rPr>
                <w:rFonts w:hint="eastAsia"/>
                <w:lang w:val="en-US" w:eastAsia="zh-CN"/>
              </w:rPr>
              <w:t>掌握六级肌力、以及肌张力的评估方法，老师演示，学生们实操</w:t>
            </w:r>
          </w:p>
        </w:tc>
        <w:tc>
          <w:tcPr>
            <w:tcW w:w="862" w:type="dxa"/>
            <w:tcBorders>
              <w:left w:val="single" w:color="auto" w:sz="4" w:space="0"/>
              <w:right w:val="single" w:color="auto" w:sz="4" w:space="0"/>
            </w:tcBorders>
            <w:shd w:val="clear" w:color="auto" w:fill="auto"/>
            <w:vAlign w:val="center"/>
          </w:tcPr>
          <w:p w14:paraId="01B71DAF">
            <w:pPr>
              <w:pStyle w:val="15"/>
              <w:rPr>
                <w:rFonts w:hint="eastAsia" w:eastAsia="宋体"/>
                <w:lang w:val="en-US" w:eastAsia="zh-CN"/>
              </w:rPr>
            </w:pPr>
            <w:r>
              <w:rPr>
                <w:rFonts w:hint="eastAsia"/>
                <w:lang w:val="en-US" w:eastAsia="zh-CN"/>
              </w:rPr>
              <w:t>2</w:t>
            </w:r>
          </w:p>
        </w:tc>
        <w:tc>
          <w:tcPr>
            <w:tcW w:w="950" w:type="dxa"/>
            <w:tcBorders>
              <w:left w:val="single" w:color="auto" w:sz="4" w:space="0"/>
              <w:right w:val="single" w:color="auto" w:sz="12" w:space="0"/>
            </w:tcBorders>
            <w:shd w:val="clear" w:color="auto" w:fill="auto"/>
            <w:vAlign w:val="center"/>
          </w:tcPr>
          <w:p w14:paraId="1ACDACCA">
            <w:pPr>
              <w:jc w:val="center"/>
              <w:rPr>
                <w:rFonts w:hint="eastAsia" w:eastAsia="宋体"/>
                <w:lang w:val="en-US" w:eastAsia="zh-CN"/>
              </w:rPr>
            </w:pPr>
            <w:r>
              <w:rPr>
                <w:rFonts w:hint="eastAsia"/>
              </w:rPr>
              <w:t>④</w:t>
            </w:r>
          </w:p>
        </w:tc>
      </w:tr>
      <w:tr w14:paraId="62506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01E37E77">
            <w:pPr>
              <w:pStyle w:val="15"/>
            </w:pPr>
            <w:r>
              <w:rPr>
                <w:rFonts w:hint="eastAsia"/>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7B6DF6A5">
            <w:pPr>
              <w:pStyle w:val="15"/>
              <w:rPr>
                <w:rFonts w:hint="default" w:eastAsia="宋体"/>
                <w:lang w:val="en-US" w:eastAsia="zh-CN"/>
              </w:rPr>
            </w:pPr>
            <w:r>
              <w:rPr>
                <w:rFonts w:hint="eastAsia"/>
                <w:lang w:val="en-US" w:eastAsia="zh-CN"/>
              </w:rPr>
              <w:t>康复治疗技术</w:t>
            </w:r>
          </w:p>
        </w:tc>
        <w:tc>
          <w:tcPr>
            <w:tcW w:w="4061" w:type="dxa"/>
            <w:tcBorders>
              <w:top w:val="single" w:color="auto" w:sz="4" w:space="0"/>
              <w:left w:val="single" w:color="auto" w:sz="4" w:space="0"/>
              <w:bottom w:val="single" w:color="auto" w:sz="4" w:space="0"/>
              <w:right w:val="single" w:color="auto" w:sz="4" w:space="0"/>
            </w:tcBorders>
            <w:vAlign w:val="center"/>
          </w:tcPr>
          <w:p w14:paraId="696BBEFE">
            <w:pPr>
              <w:pStyle w:val="15"/>
              <w:jc w:val="left"/>
            </w:pPr>
            <w:r>
              <w:rPr>
                <w:rFonts w:hint="eastAsia"/>
                <w:lang w:val="en-US" w:eastAsia="zh-CN"/>
              </w:rPr>
              <w:t>掌握平衡、协调训练方案，老师演示，学生们实操</w:t>
            </w:r>
          </w:p>
        </w:tc>
        <w:tc>
          <w:tcPr>
            <w:tcW w:w="862" w:type="dxa"/>
            <w:tcBorders>
              <w:left w:val="single" w:color="auto" w:sz="4" w:space="0"/>
              <w:bottom w:val="single" w:color="auto" w:sz="4" w:space="0"/>
              <w:right w:val="single" w:color="auto" w:sz="4" w:space="0"/>
            </w:tcBorders>
            <w:shd w:val="clear" w:color="auto" w:fill="auto"/>
            <w:vAlign w:val="center"/>
          </w:tcPr>
          <w:p w14:paraId="72198D03">
            <w:pPr>
              <w:pStyle w:val="15"/>
              <w:rPr>
                <w:rFonts w:hint="eastAsia" w:eastAsia="宋体"/>
                <w:lang w:val="en-US" w:eastAsia="zh-CN"/>
              </w:rPr>
            </w:pPr>
            <w:r>
              <w:rPr>
                <w:rFonts w:hint="eastAsia"/>
                <w:lang w:val="en-US" w:eastAsia="zh-CN"/>
              </w:rPr>
              <w:t>2</w:t>
            </w:r>
          </w:p>
        </w:tc>
        <w:tc>
          <w:tcPr>
            <w:tcW w:w="950" w:type="dxa"/>
            <w:tcBorders>
              <w:left w:val="single" w:color="auto" w:sz="4" w:space="0"/>
              <w:bottom w:val="single" w:color="auto" w:sz="4" w:space="0"/>
              <w:right w:val="single" w:color="auto" w:sz="12" w:space="0"/>
            </w:tcBorders>
            <w:shd w:val="clear" w:color="auto" w:fill="auto"/>
            <w:vAlign w:val="center"/>
          </w:tcPr>
          <w:p w14:paraId="73F03F89">
            <w:pPr>
              <w:jc w:val="center"/>
              <w:rPr>
                <w:rFonts w:hint="eastAsia" w:eastAsia="宋体"/>
                <w:lang w:val="en-US" w:eastAsia="zh-CN"/>
              </w:rPr>
            </w:pPr>
            <w:r>
              <w:rPr>
                <w:rFonts w:hint="eastAsia"/>
              </w:rPr>
              <w:t>④</w:t>
            </w:r>
          </w:p>
        </w:tc>
      </w:tr>
      <w:tr w14:paraId="757F5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48F3C18B">
            <w:pPr>
              <w:pStyle w:val="15"/>
            </w:pPr>
            <w:r>
              <w:rPr>
                <w:rFonts w:hint="eastAsia"/>
              </w:rPr>
              <w:t>3</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1E9DD6E3">
            <w:pPr>
              <w:pStyle w:val="16"/>
              <w:snapToGrid w:val="0"/>
              <w:spacing w:line="360" w:lineRule="auto"/>
              <w:ind w:firstLine="0" w:firstLineChars="0"/>
              <w:jc w:val="left"/>
              <w:rPr>
                <w:rFonts w:hint="default" w:eastAsia="宋体"/>
                <w:lang w:val="en-US" w:eastAsia="zh-CN"/>
              </w:rPr>
            </w:pPr>
            <w:r>
              <w:rPr>
                <w:rFonts w:hint="eastAsia"/>
                <w:sz w:val="22"/>
                <w:szCs w:val="22"/>
                <w:lang w:val="en-US" w:eastAsia="zh-CN"/>
              </w:rPr>
              <w:t>常见神经系统的康复</w:t>
            </w:r>
          </w:p>
        </w:tc>
        <w:tc>
          <w:tcPr>
            <w:tcW w:w="4061" w:type="dxa"/>
            <w:tcBorders>
              <w:top w:val="single" w:color="auto" w:sz="4" w:space="0"/>
              <w:left w:val="single" w:color="auto" w:sz="4" w:space="0"/>
              <w:bottom w:val="single" w:color="auto" w:sz="4" w:space="0"/>
              <w:right w:val="single" w:color="auto" w:sz="4" w:space="0"/>
            </w:tcBorders>
            <w:vAlign w:val="center"/>
          </w:tcPr>
          <w:p w14:paraId="268EE92D">
            <w:pPr>
              <w:pStyle w:val="15"/>
              <w:jc w:val="left"/>
            </w:pPr>
            <w:r>
              <w:rPr>
                <w:rFonts w:hint="eastAsia"/>
                <w:lang w:val="en-US" w:eastAsia="zh-CN"/>
              </w:rPr>
              <w:t>掌握Brunnstrom不同分期的训练方法，老师演示，学生们实操</w:t>
            </w:r>
          </w:p>
        </w:tc>
        <w:tc>
          <w:tcPr>
            <w:tcW w:w="862" w:type="dxa"/>
            <w:tcBorders>
              <w:left w:val="single" w:color="auto" w:sz="4" w:space="0"/>
              <w:right w:val="single" w:color="auto" w:sz="4" w:space="0"/>
            </w:tcBorders>
            <w:shd w:val="clear" w:color="auto" w:fill="auto"/>
            <w:vAlign w:val="center"/>
          </w:tcPr>
          <w:p w14:paraId="2C9FC108">
            <w:pPr>
              <w:pStyle w:val="15"/>
              <w:rPr>
                <w:rFonts w:hint="eastAsia" w:eastAsia="宋体"/>
                <w:lang w:val="en-US" w:eastAsia="zh-CN"/>
              </w:rPr>
            </w:pPr>
            <w:r>
              <w:rPr>
                <w:rFonts w:hint="eastAsia"/>
                <w:lang w:val="en-US" w:eastAsia="zh-CN"/>
              </w:rPr>
              <w:t>2</w:t>
            </w:r>
          </w:p>
        </w:tc>
        <w:tc>
          <w:tcPr>
            <w:tcW w:w="950" w:type="dxa"/>
            <w:tcBorders>
              <w:left w:val="single" w:color="auto" w:sz="4" w:space="0"/>
              <w:right w:val="single" w:color="auto" w:sz="12" w:space="0"/>
            </w:tcBorders>
            <w:shd w:val="clear" w:color="auto" w:fill="auto"/>
            <w:vAlign w:val="center"/>
          </w:tcPr>
          <w:p w14:paraId="038AA931">
            <w:pPr>
              <w:jc w:val="center"/>
              <w:rPr>
                <w:rFonts w:hint="eastAsia" w:eastAsia="宋体"/>
                <w:lang w:val="en-US" w:eastAsia="zh-CN"/>
              </w:rPr>
            </w:pPr>
            <w:r>
              <w:rPr>
                <w:rFonts w:hint="eastAsia"/>
              </w:rPr>
              <w:t>④</w:t>
            </w:r>
          </w:p>
        </w:tc>
      </w:tr>
      <w:tr w14:paraId="0896B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0D85DFAA">
            <w:pPr>
              <w:pStyle w:val="15"/>
              <w:rPr>
                <w:rFonts w:hint="eastAsia" w:eastAsia="宋体"/>
                <w:lang w:val="en-US" w:eastAsia="zh-CN"/>
              </w:rPr>
            </w:pPr>
            <w:r>
              <w:rPr>
                <w:rFonts w:hint="eastAsia"/>
                <w:lang w:val="en-US" w:eastAsia="zh-CN"/>
              </w:rPr>
              <w:t>4</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695BABB5">
            <w:pPr>
              <w:pStyle w:val="15"/>
              <w:jc w:val="both"/>
            </w:pPr>
            <w:r>
              <w:rPr>
                <w:rFonts w:hint="eastAsia" w:ascii="宋体" w:hAnsi="宋体"/>
                <w:color w:val="000000"/>
                <w:sz w:val="21"/>
                <w:szCs w:val="21"/>
              </w:rPr>
              <w:t>骨骼肌肉系统常见病损的康复</w:t>
            </w:r>
          </w:p>
        </w:tc>
        <w:tc>
          <w:tcPr>
            <w:tcW w:w="4061" w:type="dxa"/>
            <w:tcBorders>
              <w:top w:val="single" w:color="auto" w:sz="4" w:space="0"/>
              <w:left w:val="single" w:color="auto" w:sz="4" w:space="0"/>
              <w:bottom w:val="single" w:color="auto" w:sz="4" w:space="0"/>
              <w:right w:val="single" w:color="auto" w:sz="4" w:space="0"/>
            </w:tcBorders>
            <w:vAlign w:val="center"/>
          </w:tcPr>
          <w:p w14:paraId="5ED9B7CD">
            <w:pPr>
              <w:pStyle w:val="15"/>
              <w:jc w:val="left"/>
            </w:pPr>
            <w:r>
              <w:rPr>
                <w:rFonts w:hint="eastAsia"/>
                <w:lang w:val="en-US" w:eastAsia="zh-CN"/>
              </w:rPr>
              <w:t>掌握踝扭伤不同分期的训练方法，老师演示，学生们实操</w:t>
            </w:r>
          </w:p>
        </w:tc>
        <w:tc>
          <w:tcPr>
            <w:tcW w:w="862" w:type="dxa"/>
            <w:tcBorders>
              <w:left w:val="single" w:color="auto" w:sz="4" w:space="0"/>
              <w:right w:val="single" w:color="auto" w:sz="4" w:space="0"/>
            </w:tcBorders>
            <w:shd w:val="clear" w:color="auto" w:fill="auto"/>
            <w:vAlign w:val="center"/>
          </w:tcPr>
          <w:p w14:paraId="1E50B36C">
            <w:pPr>
              <w:pStyle w:val="15"/>
              <w:rPr>
                <w:rFonts w:hint="eastAsia" w:eastAsia="宋体"/>
                <w:lang w:val="en-US" w:eastAsia="zh-CN"/>
              </w:rPr>
            </w:pPr>
            <w:r>
              <w:rPr>
                <w:rFonts w:hint="eastAsia"/>
                <w:lang w:val="en-US" w:eastAsia="zh-CN"/>
              </w:rPr>
              <w:t>2</w:t>
            </w:r>
          </w:p>
        </w:tc>
        <w:tc>
          <w:tcPr>
            <w:tcW w:w="950" w:type="dxa"/>
            <w:tcBorders>
              <w:left w:val="single" w:color="auto" w:sz="4" w:space="0"/>
              <w:right w:val="single" w:color="auto" w:sz="12" w:space="0"/>
            </w:tcBorders>
            <w:shd w:val="clear" w:color="auto" w:fill="auto"/>
            <w:vAlign w:val="center"/>
          </w:tcPr>
          <w:p w14:paraId="7639CFF2">
            <w:pPr>
              <w:jc w:val="center"/>
              <w:rPr>
                <w:rFonts w:hint="eastAsia" w:eastAsia="宋体"/>
                <w:lang w:val="en-US" w:eastAsia="zh-CN"/>
              </w:rPr>
            </w:pPr>
            <w:r>
              <w:rPr>
                <w:rFonts w:hint="eastAsia"/>
              </w:rPr>
              <w:t>④</w:t>
            </w:r>
          </w:p>
        </w:tc>
      </w:tr>
      <w:tr w14:paraId="0B0DA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29AFFB36">
            <w:pPr>
              <w:pStyle w:val="14"/>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76C7F030">
      <w:pPr>
        <w:pStyle w:val="17"/>
        <w:spacing w:before="326" w:beforeLines="100" w:line="360" w:lineRule="auto"/>
        <w:ind w:firstLine="140" w:firstLineChars="50"/>
        <w:rPr>
          <w:rFonts w:ascii="黑体" w:hAnsi="宋体"/>
        </w:rPr>
      </w:pPr>
      <w:bookmarkStart w:id="0" w:name="OLE_LINK2"/>
      <w:bookmarkStart w:id="1" w:name="OLE_LINK1"/>
      <w:r>
        <w:rPr>
          <w:rFonts w:hint="eastAsia" w:ascii="黑体" w:hAnsi="宋体"/>
        </w:rPr>
        <w:t>四、课程思政教学设计</w:t>
      </w:r>
    </w:p>
    <w:bookmarkEnd w:id="0"/>
    <w:bookmarkEnd w:id="1"/>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4AC093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0FAD25D3">
            <w:pPr>
              <w:pStyle w:val="15"/>
              <w:widowControl w:val="0"/>
              <w:jc w:val="left"/>
              <w:rPr>
                <w:rFonts w:hint="eastAsia"/>
              </w:rPr>
            </w:pPr>
            <w:r>
              <w:rPr>
                <w:rFonts w:hint="eastAsia"/>
              </w:rPr>
              <w:t>1.通过视频、新闻案例，让学生了解</w:t>
            </w:r>
            <w:r>
              <w:rPr>
                <w:rFonts w:hint="eastAsia"/>
                <w:lang w:val="en-US" w:eastAsia="zh-CN"/>
              </w:rPr>
              <w:t>康复</w:t>
            </w:r>
            <w:r>
              <w:rPr>
                <w:rFonts w:hint="eastAsia"/>
              </w:rPr>
              <w:t>的悠久历史以及世界对</w:t>
            </w:r>
            <w:r>
              <w:rPr>
                <w:rFonts w:hint="eastAsia"/>
                <w:lang w:val="en-US" w:eastAsia="zh-CN"/>
              </w:rPr>
              <w:t>康复</w:t>
            </w:r>
            <w:r>
              <w:rPr>
                <w:rFonts w:hint="eastAsia"/>
              </w:rPr>
              <w:t>的认可，激发学生的学习热情；</w:t>
            </w:r>
          </w:p>
          <w:p w14:paraId="2CCAF984">
            <w:pPr>
              <w:pStyle w:val="15"/>
              <w:widowControl w:val="0"/>
              <w:jc w:val="left"/>
              <w:rPr>
                <w:rFonts w:hint="eastAsia"/>
              </w:rPr>
            </w:pPr>
          </w:p>
          <w:p w14:paraId="29B00ADF">
            <w:pPr>
              <w:pStyle w:val="15"/>
              <w:widowControl w:val="0"/>
              <w:jc w:val="left"/>
              <w:rPr>
                <w:rFonts w:hint="eastAsia"/>
              </w:rPr>
            </w:pPr>
            <w:r>
              <w:rPr>
                <w:rFonts w:hint="eastAsia"/>
              </w:rPr>
              <w:t>2.通过“引导文教学法”、“任务驱动法”，培养学生自主学习、团队合作的能力；</w:t>
            </w:r>
          </w:p>
          <w:p w14:paraId="7B492190">
            <w:pPr>
              <w:pStyle w:val="15"/>
              <w:widowControl w:val="0"/>
              <w:jc w:val="left"/>
              <w:rPr>
                <w:rFonts w:hint="eastAsia"/>
              </w:rPr>
            </w:pPr>
          </w:p>
          <w:p w14:paraId="577C1901">
            <w:pPr>
              <w:pStyle w:val="15"/>
              <w:widowControl w:val="0"/>
              <w:jc w:val="left"/>
              <w:rPr>
                <w:rFonts w:hint="eastAsia"/>
              </w:rPr>
            </w:pPr>
            <w:r>
              <w:rPr>
                <w:rFonts w:hint="eastAsia"/>
              </w:rPr>
              <w:t>3.认知与实践相结合，知行合一，做中学、做中悟，培养学生实践探究的能力；</w:t>
            </w:r>
          </w:p>
          <w:p w14:paraId="1196C9B5">
            <w:pPr>
              <w:pStyle w:val="15"/>
              <w:widowControl w:val="0"/>
              <w:jc w:val="left"/>
              <w:rPr>
                <w:rFonts w:hint="eastAsia"/>
              </w:rPr>
            </w:pPr>
          </w:p>
          <w:p w14:paraId="1D64C241">
            <w:pPr>
              <w:pStyle w:val="15"/>
              <w:widowControl w:val="0"/>
              <w:jc w:val="left"/>
              <w:rPr>
                <w:rFonts w:hint="eastAsia"/>
              </w:rPr>
            </w:pPr>
            <w:r>
              <w:rPr>
                <w:rFonts w:hint="eastAsia"/>
              </w:rPr>
              <w:t>4.实践中渗透人文关怀、爱伤观念，培养德才兼备的工匠精神；</w:t>
            </w:r>
          </w:p>
          <w:p w14:paraId="6191C232">
            <w:pPr>
              <w:pStyle w:val="15"/>
              <w:widowControl w:val="0"/>
              <w:jc w:val="left"/>
              <w:rPr>
                <w:rFonts w:hint="eastAsia"/>
              </w:rPr>
            </w:pPr>
          </w:p>
          <w:p w14:paraId="6B90A1BD">
            <w:pPr>
              <w:pStyle w:val="15"/>
              <w:widowControl w:val="0"/>
              <w:numPr>
                <w:ilvl w:val="0"/>
                <w:numId w:val="6"/>
              </w:numPr>
              <w:jc w:val="left"/>
              <w:rPr>
                <w:rFonts w:hint="eastAsia"/>
              </w:rPr>
            </w:pPr>
            <w:r>
              <w:rPr>
                <w:rFonts w:hint="eastAsia"/>
              </w:rPr>
              <w:t>课后带领学生走进社区、社会服务，培养学生的社会责任感。</w:t>
            </w:r>
          </w:p>
        </w:tc>
      </w:tr>
    </w:tbl>
    <w:p w14:paraId="3BF2AF5B">
      <w:pPr>
        <w:pStyle w:val="17"/>
        <w:spacing w:before="326" w:beforeLines="100" w:line="360" w:lineRule="auto"/>
        <w:rPr>
          <w:rFonts w:ascii="黑体" w:hAnsi="宋体"/>
        </w:rPr>
      </w:pPr>
      <w:r>
        <w:rPr>
          <w:rFonts w:hint="eastAsia" w:ascii="黑体" w:hAnsi="宋体"/>
        </w:rPr>
        <w:t>五、课程考核</w:t>
      </w:r>
      <w:bookmarkStart w:id="2" w:name="OLE_LINK3"/>
      <w:bookmarkStart w:id="3" w:name="OLE_LINK4"/>
    </w:p>
    <w:bookmarkEnd w:id="2"/>
    <w:bookmarkEnd w:id="3"/>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913"/>
        <w:gridCol w:w="809"/>
        <w:gridCol w:w="753"/>
        <w:gridCol w:w="604"/>
        <w:gridCol w:w="601"/>
        <w:gridCol w:w="706"/>
      </w:tblGrid>
      <w:tr w14:paraId="6C2CE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1FDC1FB2">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7EC99034">
            <w:pPr>
              <w:pStyle w:val="17"/>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28EA08D0">
            <w:pPr>
              <w:pStyle w:val="17"/>
              <w:widowControl w:val="0"/>
              <w:jc w:val="center"/>
              <w:rPr>
                <w:rFonts w:ascii="黑体" w:hAnsi="黑体"/>
                <w:bCs/>
                <w:sz w:val="21"/>
                <w:szCs w:val="21"/>
              </w:rPr>
            </w:pPr>
            <w:r>
              <w:rPr>
                <w:rFonts w:hint="eastAsia" w:ascii="黑体" w:hAnsi="黑体"/>
                <w:bCs/>
                <w:sz w:val="21"/>
                <w:szCs w:val="21"/>
              </w:rPr>
              <w:t>考核方式</w:t>
            </w:r>
          </w:p>
        </w:tc>
        <w:tc>
          <w:tcPr>
            <w:tcW w:w="3672" w:type="dxa"/>
            <w:gridSpan w:val="5"/>
            <w:tcBorders>
              <w:top w:val="single" w:color="auto" w:sz="12" w:space="0"/>
              <w:left w:val="double" w:color="auto" w:sz="4" w:space="0"/>
            </w:tcBorders>
            <w:vAlign w:val="center"/>
          </w:tcPr>
          <w:p w14:paraId="3AA0399C">
            <w:pPr>
              <w:pStyle w:val="17"/>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6A21F9C1">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1316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227EE462">
            <w:pPr>
              <w:widowControl w:val="0"/>
              <w:snapToGrid w:val="0"/>
              <w:jc w:val="center"/>
              <w:rPr>
                <w:rFonts w:ascii="黑体" w:hAnsi="黑体" w:eastAsia="黑体"/>
                <w:bCs/>
                <w:sz w:val="21"/>
                <w:szCs w:val="21"/>
              </w:rPr>
            </w:pPr>
          </w:p>
        </w:tc>
        <w:tc>
          <w:tcPr>
            <w:tcW w:w="709" w:type="dxa"/>
            <w:vMerge w:val="continue"/>
          </w:tcPr>
          <w:p w14:paraId="483E78D3">
            <w:pPr>
              <w:pStyle w:val="17"/>
              <w:widowControl w:val="0"/>
              <w:jc w:val="both"/>
              <w:rPr>
                <w:rFonts w:ascii="黑体" w:hAnsi="黑体"/>
                <w:bCs/>
                <w:sz w:val="21"/>
                <w:szCs w:val="21"/>
              </w:rPr>
            </w:pPr>
          </w:p>
        </w:tc>
        <w:tc>
          <w:tcPr>
            <w:tcW w:w="2353" w:type="dxa"/>
            <w:vMerge w:val="continue"/>
            <w:tcBorders>
              <w:right w:val="double" w:color="auto" w:sz="4" w:space="0"/>
            </w:tcBorders>
          </w:tcPr>
          <w:p w14:paraId="626AABA7">
            <w:pPr>
              <w:pStyle w:val="17"/>
              <w:widowControl w:val="0"/>
              <w:jc w:val="both"/>
              <w:rPr>
                <w:rFonts w:ascii="黑体" w:hAnsi="黑体"/>
                <w:bCs/>
                <w:sz w:val="21"/>
                <w:szCs w:val="21"/>
              </w:rPr>
            </w:pPr>
          </w:p>
        </w:tc>
        <w:tc>
          <w:tcPr>
            <w:tcW w:w="913" w:type="dxa"/>
            <w:tcBorders>
              <w:left w:val="double" w:color="auto" w:sz="4" w:space="0"/>
            </w:tcBorders>
            <w:vAlign w:val="center"/>
          </w:tcPr>
          <w:p w14:paraId="7BEBF594">
            <w:pPr>
              <w:pStyle w:val="17"/>
              <w:widowControl w:val="0"/>
              <w:spacing w:line="240" w:lineRule="auto"/>
              <w:jc w:val="left"/>
              <w:rPr>
                <w:rFonts w:ascii="黑体" w:hAnsi="黑体"/>
                <w:bCs/>
                <w:sz w:val="21"/>
                <w:szCs w:val="21"/>
              </w:rPr>
            </w:pPr>
            <w:r>
              <w:rPr>
                <w:rFonts w:hint="eastAsia" w:ascii="黑体" w:hAnsi="黑体"/>
                <w:bCs/>
                <w:color w:val="000000"/>
                <w:sz w:val="21"/>
                <w:szCs w:val="18"/>
              </w:rPr>
              <w:t>1</w:t>
            </w:r>
          </w:p>
        </w:tc>
        <w:tc>
          <w:tcPr>
            <w:tcW w:w="809" w:type="dxa"/>
            <w:vAlign w:val="center"/>
          </w:tcPr>
          <w:p w14:paraId="44893B71">
            <w:pPr>
              <w:pStyle w:val="17"/>
              <w:widowControl w:val="0"/>
              <w:spacing w:line="240" w:lineRule="auto"/>
              <w:jc w:val="left"/>
              <w:rPr>
                <w:rFonts w:ascii="黑体" w:hAnsi="黑体"/>
                <w:bCs/>
                <w:sz w:val="21"/>
                <w:szCs w:val="21"/>
              </w:rPr>
            </w:pPr>
            <w:r>
              <w:rPr>
                <w:rFonts w:hint="eastAsia" w:ascii="黑体" w:hAnsi="黑体"/>
                <w:bCs/>
                <w:sz w:val="21"/>
                <w:szCs w:val="21"/>
              </w:rPr>
              <w:t>2</w:t>
            </w:r>
          </w:p>
        </w:tc>
        <w:tc>
          <w:tcPr>
            <w:tcW w:w="753" w:type="dxa"/>
            <w:vAlign w:val="center"/>
          </w:tcPr>
          <w:p w14:paraId="69C6978F">
            <w:pPr>
              <w:pStyle w:val="17"/>
              <w:widowControl w:val="0"/>
              <w:spacing w:line="240" w:lineRule="auto"/>
              <w:jc w:val="left"/>
              <w:rPr>
                <w:rFonts w:ascii="黑体" w:hAnsi="黑体"/>
                <w:bCs/>
                <w:sz w:val="21"/>
                <w:szCs w:val="21"/>
              </w:rPr>
            </w:pPr>
            <w:r>
              <w:rPr>
                <w:rFonts w:hint="eastAsia" w:ascii="黑体" w:hAnsi="黑体"/>
                <w:bCs/>
                <w:sz w:val="21"/>
                <w:szCs w:val="21"/>
              </w:rPr>
              <w:t>3</w:t>
            </w:r>
          </w:p>
        </w:tc>
        <w:tc>
          <w:tcPr>
            <w:tcW w:w="604" w:type="dxa"/>
            <w:vAlign w:val="top"/>
          </w:tcPr>
          <w:p w14:paraId="0C54B684">
            <w:pPr>
              <w:pStyle w:val="17"/>
              <w:widowControl w:val="0"/>
              <w:spacing w:line="240" w:lineRule="auto"/>
              <w:jc w:val="left"/>
              <w:rPr>
                <w:rFonts w:ascii="黑体" w:hAnsi="黑体"/>
                <w:bCs/>
                <w:sz w:val="21"/>
                <w:szCs w:val="21"/>
              </w:rPr>
            </w:pPr>
            <w:r>
              <w:rPr>
                <w:rFonts w:hint="eastAsia" w:ascii="黑体" w:hAnsi="黑体"/>
                <w:bCs/>
                <w:sz w:val="21"/>
                <w:szCs w:val="21"/>
              </w:rPr>
              <w:t>4</w:t>
            </w:r>
          </w:p>
        </w:tc>
        <w:tc>
          <w:tcPr>
            <w:tcW w:w="593" w:type="dxa"/>
            <w:vAlign w:val="top"/>
          </w:tcPr>
          <w:p w14:paraId="0FAF0CB7">
            <w:pPr>
              <w:pStyle w:val="17"/>
              <w:widowControl w:val="0"/>
              <w:spacing w:line="240" w:lineRule="auto"/>
              <w:jc w:val="left"/>
              <w:rPr>
                <w:rFonts w:ascii="黑体" w:hAnsi="黑体"/>
                <w:bCs/>
                <w:sz w:val="21"/>
                <w:szCs w:val="21"/>
              </w:rPr>
            </w:pPr>
            <w:r>
              <w:rPr>
                <w:rFonts w:hint="eastAsia" w:ascii="黑体" w:hAnsi="黑体"/>
                <w:bCs/>
                <w:sz w:val="21"/>
                <w:szCs w:val="21"/>
                <w:lang w:val="en-US" w:eastAsia="zh-CN"/>
              </w:rPr>
              <w:t>5</w:t>
            </w:r>
          </w:p>
        </w:tc>
        <w:tc>
          <w:tcPr>
            <w:tcW w:w="706" w:type="dxa"/>
            <w:vMerge w:val="continue"/>
            <w:tcBorders>
              <w:right w:val="single" w:color="auto" w:sz="12" w:space="0"/>
            </w:tcBorders>
            <w:vAlign w:val="top"/>
          </w:tcPr>
          <w:p w14:paraId="76F79007">
            <w:pPr>
              <w:pStyle w:val="17"/>
              <w:widowControl w:val="0"/>
              <w:spacing w:line="240" w:lineRule="auto"/>
              <w:jc w:val="center"/>
              <w:rPr>
                <w:rFonts w:ascii="黑体" w:hAnsi="黑体"/>
                <w:bCs/>
                <w:sz w:val="21"/>
                <w:szCs w:val="21"/>
              </w:rPr>
            </w:pPr>
          </w:p>
        </w:tc>
      </w:tr>
      <w:tr w14:paraId="14C9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FE55746">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X1</w:t>
            </w:r>
          </w:p>
        </w:tc>
        <w:tc>
          <w:tcPr>
            <w:tcW w:w="709" w:type="dxa"/>
            <w:vAlign w:val="center"/>
          </w:tcPr>
          <w:p w14:paraId="3DB99648">
            <w:pPr>
              <w:pStyle w:val="15"/>
              <w:widowControl w:val="0"/>
              <w:rPr>
                <w:rFonts w:hint="default" w:eastAsia="宋体"/>
                <w:lang w:val="en-US" w:eastAsia="zh-CN"/>
              </w:rPr>
            </w:pPr>
            <w:r>
              <w:rPr>
                <w:rFonts w:hint="eastAsia"/>
                <w:lang w:val="en-US" w:eastAsia="zh-CN"/>
              </w:rPr>
              <w:t>40</w:t>
            </w:r>
          </w:p>
        </w:tc>
        <w:tc>
          <w:tcPr>
            <w:tcW w:w="2353" w:type="dxa"/>
            <w:tcBorders>
              <w:right w:val="double" w:color="auto" w:sz="4" w:space="0"/>
            </w:tcBorders>
            <w:vAlign w:val="center"/>
          </w:tcPr>
          <w:p w14:paraId="64824C39">
            <w:pPr>
              <w:pStyle w:val="15"/>
              <w:widowControl w:val="0"/>
              <w:jc w:val="center"/>
              <w:rPr>
                <w:rFonts w:hint="default" w:eastAsia="宋体"/>
                <w:lang w:val="en-US" w:eastAsia="zh-CN"/>
              </w:rPr>
            </w:pPr>
            <w:r>
              <w:rPr>
                <w:rFonts w:hint="eastAsia"/>
                <w:lang w:val="en-US" w:eastAsia="zh-CN"/>
              </w:rPr>
              <w:t>随堂测试</w:t>
            </w:r>
          </w:p>
        </w:tc>
        <w:tc>
          <w:tcPr>
            <w:tcW w:w="913" w:type="dxa"/>
            <w:tcBorders>
              <w:left w:val="double" w:color="auto" w:sz="4" w:space="0"/>
            </w:tcBorders>
            <w:vAlign w:val="center"/>
          </w:tcPr>
          <w:p w14:paraId="23BB8950">
            <w:pPr>
              <w:pStyle w:val="15"/>
              <w:widowControl w:val="0"/>
            </w:pPr>
            <w:r>
              <w:rPr>
                <w:rFonts w:hint="eastAsia"/>
                <w:lang w:val="en-US" w:eastAsia="zh-CN"/>
              </w:rPr>
              <w:t>6</w:t>
            </w:r>
            <w:r>
              <w:rPr>
                <w:rFonts w:hint="eastAsia"/>
              </w:rPr>
              <w:t>0%</w:t>
            </w:r>
          </w:p>
        </w:tc>
        <w:tc>
          <w:tcPr>
            <w:tcW w:w="809" w:type="dxa"/>
            <w:vAlign w:val="center"/>
          </w:tcPr>
          <w:p w14:paraId="3BD23453">
            <w:pPr>
              <w:pStyle w:val="15"/>
              <w:widowControl w:val="0"/>
            </w:pPr>
            <w:r>
              <w:rPr>
                <w:rFonts w:hint="eastAsia"/>
                <w:lang w:val="en-US" w:eastAsia="zh-CN"/>
              </w:rPr>
              <w:t>2</w:t>
            </w:r>
            <w:r>
              <w:t>0</w:t>
            </w:r>
            <w:r>
              <w:rPr>
                <w:rFonts w:hint="eastAsia"/>
              </w:rPr>
              <w:t>%</w:t>
            </w:r>
          </w:p>
        </w:tc>
        <w:tc>
          <w:tcPr>
            <w:tcW w:w="753" w:type="dxa"/>
            <w:vAlign w:val="center"/>
          </w:tcPr>
          <w:p w14:paraId="13D8D5E2">
            <w:pPr>
              <w:pStyle w:val="15"/>
              <w:widowControl w:val="0"/>
            </w:pPr>
            <w:r>
              <w:rPr>
                <w:rFonts w:hint="eastAsia"/>
              </w:rPr>
              <w:t>1</w:t>
            </w:r>
            <w:r>
              <w:t>0</w:t>
            </w:r>
            <w:r>
              <w:rPr>
                <w:rFonts w:hint="eastAsia"/>
              </w:rPr>
              <w:t>%</w:t>
            </w:r>
          </w:p>
        </w:tc>
        <w:tc>
          <w:tcPr>
            <w:tcW w:w="604" w:type="dxa"/>
            <w:vAlign w:val="center"/>
          </w:tcPr>
          <w:p w14:paraId="3FCE6269">
            <w:pPr>
              <w:pStyle w:val="15"/>
              <w:widowControl w:val="0"/>
            </w:pPr>
            <w:r>
              <w:rPr>
                <w:rFonts w:hint="eastAsia"/>
              </w:rPr>
              <w:t>1</w:t>
            </w:r>
            <w:r>
              <w:t>0</w:t>
            </w:r>
            <w:r>
              <w:rPr>
                <w:rFonts w:hint="eastAsia"/>
              </w:rPr>
              <w:t>%</w:t>
            </w:r>
          </w:p>
        </w:tc>
        <w:tc>
          <w:tcPr>
            <w:tcW w:w="593" w:type="dxa"/>
            <w:vAlign w:val="center"/>
          </w:tcPr>
          <w:p w14:paraId="40A21490">
            <w:pPr>
              <w:pStyle w:val="15"/>
              <w:widowControl w:val="0"/>
            </w:pPr>
            <w:r>
              <w:rPr>
                <w:rFonts w:hint="eastAsia"/>
                <w:lang w:val="en-US" w:eastAsia="zh-CN"/>
              </w:rPr>
              <w:t>0</w:t>
            </w:r>
          </w:p>
        </w:tc>
        <w:tc>
          <w:tcPr>
            <w:tcW w:w="706" w:type="dxa"/>
            <w:tcBorders>
              <w:right w:val="single" w:color="auto" w:sz="12" w:space="0"/>
            </w:tcBorders>
            <w:vAlign w:val="center"/>
          </w:tcPr>
          <w:p w14:paraId="00C6A342">
            <w:pPr>
              <w:pStyle w:val="15"/>
              <w:widowControl w:val="0"/>
            </w:pPr>
            <w:r>
              <w:rPr>
                <w:rFonts w:hint="eastAsia"/>
              </w:rPr>
              <w:t>100</w:t>
            </w:r>
          </w:p>
        </w:tc>
      </w:tr>
      <w:tr w14:paraId="79E00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F0DC71F">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709" w:type="dxa"/>
            <w:vAlign w:val="center"/>
          </w:tcPr>
          <w:p w14:paraId="56749DEF">
            <w:pPr>
              <w:pStyle w:val="15"/>
              <w:widowControl w:val="0"/>
              <w:rPr>
                <w:rFonts w:hint="default" w:eastAsia="宋体"/>
                <w:lang w:val="en-US" w:eastAsia="zh-CN"/>
              </w:rPr>
            </w:pPr>
            <w:r>
              <w:rPr>
                <w:rFonts w:hint="eastAsia"/>
                <w:lang w:val="en-US" w:eastAsia="zh-CN"/>
              </w:rPr>
              <w:t>20</w:t>
            </w:r>
          </w:p>
        </w:tc>
        <w:tc>
          <w:tcPr>
            <w:tcW w:w="2353" w:type="dxa"/>
            <w:tcBorders>
              <w:right w:val="double" w:color="auto" w:sz="4" w:space="0"/>
            </w:tcBorders>
            <w:vAlign w:val="center"/>
          </w:tcPr>
          <w:p w14:paraId="2AAEF351">
            <w:pPr>
              <w:pStyle w:val="15"/>
              <w:widowControl w:val="0"/>
              <w:rPr>
                <w:rFonts w:hint="eastAsia" w:eastAsia="宋体"/>
                <w:lang w:val="en-US" w:eastAsia="zh-CN"/>
              </w:rPr>
            </w:pPr>
            <w:r>
              <w:rPr>
                <w:rFonts w:hint="eastAsia"/>
                <w:lang w:val="en-US" w:eastAsia="zh-CN"/>
              </w:rPr>
              <w:t>小组汇报</w:t>
            </w:r>
          </w:p>
        </w:tc>
        <w:tc>
          <w:tcPr>
            <w:tcW w:w="913" w:type="dxa"/>
            <w:tcBorders>
              <w:left w:val="double" w:color="auto" w:sz="4" w:space="0"/>
            </w:tcBorders>
            <w:vAlign w:val="center"/>
          </w:tcPr>
          <w:p w14:paraId="6AE1920E">
            <w:pPr>
              <w:pStyle w:val="15"/>
              <w:widowControl w:val="0"/>
            </w:pPr>
            <w:r>
              <w:rPr>
                <w:rFonts w:hint="eastAsia"/>
                <w:lang w:val="en-US" w:eastAsia="zh-CN"/>
              </w:rPr>
              <w:t>4</w:t>
            </w:r>
            <w:r>
              <w:rPr>
                <w:rFonts w:hint="eastAsia"/>
              </w:rPr>
              <w:t>0%</w:t>
            </w:r>
          </w:p>
        </w:tc>
        <w:tc>
          <w:tcPr>
            <w:tcW w:w="809" w:type="dxa"/>
            <w:vAlign w:val="center"/>
          </w:tcPr>
          <w:p w14:paraId="2D981126">
            <w:pPr>
              <w:pStyle w:val="15"/>
              <w:widowControl w:val="0"/>
            </w:pPr>
            <w:r>
              <w:rPr>
                <w:rFonts w:hint="eastAsia"/>
                <w:lang w:val="en-US" w:eastAsia="zh-CN"/>
              </w:rPr>
              <w:t>1</w:t>
            </w:r>
            <w:r>
              <w:rPr>
                <w:rFonts w:hint="eastAsia"/>
              </w:rPr>
              <w:t>0%</w:t>
            </w:r>
          </w:p>
        </w:tc>
        <w:tc>
          <w:tcPr>
            <w:tcW w:w="753" w:type="dxa"/>
            <w:vAlign w:val="center"/>
          </w:tcPr>
          <w:p w14:paraId="27F40661">
            <w:pPr>
              <w:pStyle w:val="15"/>
              <w:widowControl w:val="0"/>
            </w:pPr>
            <w:r>
              <w:rPr>
                <w:rFonts w:hint="eastAsia"/>
              </w:rPr>
              <w:t>30%</w:t>
            </w:r>
          </w:p>
        </w:tc>
        <w:tc>
          <w:tcPr>
            <w:tcW w:w="604" w:type="dxa"/>
            <w:vAlign w:val="center"/>
          </w:tcPr>
          <w:p w14:paraId="2D08FEB1">
            <w:pPr>
              <w:pStyle w:val="15"/>
              <w:widowControl w:val="0"/>
            </w:pPr>
            <w:r>
              <w:rPr>
                <w:rFonts w:hint="eastAsia"/>
              </w:rPr>
              <w:t>1</w:t>
            </w:r>
            <w:r>
              <w:t>0</w:t>
            </w:r>
            <w:r>
              <w:rPr>
                <w:rFonts w:hint="eastAsia"/>
              </w:rPr>
              <w:t>%</w:t>
            </w:r>
          </w:p>
        </w:tc>
        <w:tc>
          <w:tcPr>
            <w:tcW w:w="593" w:type="dxa"/>
            <w:vAlign w:val="center"/>
          </w:tcPr>
          <w:p w14:paraId="1B9870C3">
            <w:pPr>
              <w:pStyle w:val="15"/>
              <w:widowControl w:val="0"/>
            </w:pPr>
            <w:r>
              <w:rPr>
                <w:rFonts w:hint="eastAsia"/>
                <w:lang w:val="en-US" w:eastAsia="zh-CN"/>
              </w:rPr>
              <w:t>10%</w:t>
            </w:r>
          </w:p>
        </w:tc>
        <w:tc>
          <w:tcPr>
            <w:tcW w:w="706" w:type="dxa"/>
            <w:tcBorders>
              <w:right w:val="single" w:color="auto" w:sz="12" w:space="0"/>
            </w:tcBorders>
            <w:vAlign w:val="center"/>
          </w:tcPr>
          <w:p w14:paraId="4D00E0C5">
            <w:pPr>
              <w:pStyle w:val="15"/>
              <w:widowControl w:val="0"/>
            </w:pPr>
            <w:r>
              <w:rPr>
                <w:rFonts w:hint="eastAsia"/>
              </w:rPr>
              <w:t>1</w:t>
            </w:r>
            <w:r>
              <w:t>00</w:t>
            </w:r>
          </w:p>
        </w:tc>
      </w:tr>
      <w:tr w14:paraId="7E0C9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D95464D">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709" w:type="dxa"/>
            <w:vAlign w:val="center"/>
          </w:tcPr>
          <w:p w14:paraId="79787B66">
            <w:pPr>
              <w:pStyle w:val="15"/>
              <w:widowControl w:val="0"/>
              <w:rPr>
                <w:rFonts w:hint="default" w:eastAsia="宋体"/>
                <w:lang w:val="en-US" w:eastAsia="zh-CN"/>
              </w:rPr>
            </w:pPr>
            <w:r>
              <w:rPr>
                <w:rFonts w:hint="eastAsia"/>
                <w:lang w:val="en-US" w:eastAsia="zh-CN"/>
              </w:rPr>
              <w:t>20</w:t>
            </w:r>
          </w:p>
        </w:tc>
        <w:tc>
          <w:tcPr>
            <w:tcW w:w="2353" w:type="dxa"/>
            <w:tcBorders>
              <w:right w:val="double" w:color="auto" w:sz="4" w:space="0"/>
            </w:tcBorders>
            <w:vAlign w:val="center"/>
          </w:tcPr>
          <w:p w14:paraId="3ADD576B">
            <w:pPr>
              <w:pStyle w:val="15"/>
              <w:widowControl w:val="0"/>
              <w:rPr>
                <w:rFonts w:hint="default" w:eastAsia="宋体"/>
                <w:lang w:val="en-US" w:eastAsia="zh-CN"/>
              </w:rPr>
            </w:pPr>
            <w:r>
              <w:rPr>
                <w:rFonts w:hint="eastAsia"/>
                <w:lang w:val="en-US" w:eastAsia="zh-CN"/>
              </w:rPr>
              <w:t>实训报告</w:t>
            </w:r>
          </w:p>
        </w:tc>
        <w:tc>
          <w:tcPr>
            <w:tcW w:w="913" w:type="dxa"/>
            <w:tcBorders>
              <w:left w:val="double" w:color="auto" w:sz="4" w:space="0"/>
            </w:tcBorders>
            <w:vAlign w:val="center"/>
          </w:tcPr>
          <w:p w14:paraId="6FDA6F45">
            <w:pPr>
              <w:pStyle w:val="15"/>
              <w:widowControl w:val="0"/>
            </w:pPr>
            <w:r>
              <w:rPr>
                <w:rFonts w:hint="eastAsia"/>
              </w:rPr>
              <w:t>20%</w:t>
            </w:r>
          </w:p>
        </w:tc>
        <w:tc>
          <w:tcPr>
            <w:tcW w:w="809" w:type="dxa"/>
            <w:vAlign w:val="center"/>
          </w:tcPr>
          <w:p w14:paraId="4550353C">
            <w:pPr>
              <w:pStyle w:val="15"/>
              <w:widowControl w:val="0"/>
            </w:pPr>
            <w:r>
              <w:rPr>
                <w:rFonts w:hint="eastAsia"/>
                <w:lang w:val="en-US" w:eastAsia="zh-CN"/>
              </w:rPr>
              <w:t>1</w:t>
            </w:r>
            <w:r>
              <w:rPr>
                <w:rFonts w:hint="eastAsia"/>
              </w:rPr>
              <w:t>0%</w:t>
            </w:r>
          </w:p>
        </w:tc>
        <w:tc>
          <w:tcPr>
            <w:tcW w:w="753" w:type="dxa"/>
            <w:vAlign w:val="center"/>
          </w:tcPr>
          <w:p w14:paraId="6F72314D">
            <w:pPr>
              <w:pStyle w:val="15"/>
              <w:widowControl w:val="0"/>
            </w:pPr>
            <w:r>
              <w:rPr>
                <w:rFonts w:hint="eastAsia"/>
                <w:lang w:val="en-US" w:eastAsia="zh-CN"/>
              </w:rPr>
              <w:t>5</w:t>
            </w:r>
            <w:r>
              <w:rPr>
                <w:rFonts w:hint="eastAsia"/>
              </w:rPr>
              <w:t>0%</w:t>
            </w:r>
          </w:p>
        </w:tc>
        <w:tc>
          <w:tcPr>
            <w:tcW w:w="604" w:type="dxa"/>
            <w:vAlign w:val="center"/>
          </w:tcPr>
          <w:p w14:paraId="0C45826B">
            <w:pPr>
              <w:pStyle w:val="15"/>
              <w:widowControl w:val="0"/>
            </w:pPr>
            <w:r>
              <w:rPr>
                <w:rFonts w:hint="eastAsia"/>
                <w:lang w:val="en-US" w:eastAsia="zh-CN"/>
              </w:rPr>
              <w:t>1</w:t>
            </w:r>
            <w:r>
              <w:rPr>
                <w:rFonts w:hint="eastAsia"/>
              </w:rPr>
              <w:t>0%</w:t>
            </w:r>
          </w:p>
        </w:tc>
        <w:tc>
          <w:tcPr>
            <w:tcW w:w="593" w:type="dxa"/>
            <w:vAlign w:val="center"/>
          </w:tcPr>
          <w:p w14:paraId="4494C170">
            <w:pPr>
              <w:pStyle w:val="15"/>
              <w:widowControl w:val="0"/>
            </w:pPr>
            <w:r>
              <w:rPr>
                <w:rFonts w:hint="eastAsia"/>
                <w:lang w:val="en-US" w:eastAsia="zh-CN"/>
              </w:rPr>
              <w:t>10%</w:t>
            </w:r>
          </w:p>
        </w:tc>
        <w:tc>
          <w:tcPr>
            <w:tcW w:w="706" w:type="dxa"/>
            <w:tcBorders>
              <w:right w:val="single" w:color="auto" w:sz="12" w:space="0"/>
            </w:tcBorders>
            <w:vAlign w:val="center"/>
          </w:tcPr>
          <w:p w14:paraId="6C712B6E">
            <w:pPr>
              <w:pStyle w:val="15"/>
              <w:widowControl w:val="0"/>
            </w:pPr>
            <w:r>
              <w:rPr>
                <w:rFonts w:hint="eastAsia"/>
              </w:rPr>
              <w:t>1</w:t>
            </w:r>
            <w:r>
              <w:t>00</w:t>
            </w:r>
          </w:p>
        </w:tc>
      </w:tr>
      <w:tr w14:paraId="0E380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9D3651F">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4</w:t>
            </w:r>
          </w:p>
        </w:tc>
        <w:tc>
          <w:tcPr>
            <w:tcW w:w="709" w:type="dxa"/>
            <w:vAlign w:val="center"/>
          </w:tcPr>
          <w:p w14:paraId="5E511D3B">
            <w:pPr>
              <w:pStyle w:val="15"/>
              <w:widowControl w:val="0"/>
              <w:rPr>
                <w:rFonts w:hint="default" w:eastAsia="宋体"/>
                <w:lang w:val="en-US" w:eastAsia="zh-CN"/>
              </w:rPr>
            </w:pPr>
            <w:r>
              <w:rPr>
                <w:rFonts w:hint="eastAsia"/>
                <w:lang w:val="en-US" w:eastAsia="zh-CN"/>
              </w:rPr>
              <w:t>20</w:t>
            </w:r>
          </w:p>
        </w:tc>
        <w:tc>
          <w:tcPr>
            <w:tcW w:w="2353" w:type="dxa"/>
            <w:tcBorders>
              <w:right w:val="double" w:color="auto" w:sz="4" w:space="0"/>
            </w:tcBorders>
            <w:vAlign w:val="center"/>
          </w:tcPr>
          <w:p w14:paraId="47872C9D">
            <w:pPr>
              <w:pStyle w:val="15"/>
              <w:widowControl w:val="0"/>
              <w:rPr>
                <w:rFonts w:hint="eastAsia" w:eastAsia="宋体"/>
                <w:lang w:val="en-US" w:eastAsia="zh-CN"/>
              </w:rPr>
            </w:pPr>
            <w:r>
              <w:rPr>
                <w:rFonts w:hint="eastAsia"/>
                <w:lang w:val="en-US" w:eastAsia="zh-CN"/>
              </w:rPr>
              <w:t>平时表现（出勤率、课堂表现）</w:t>
            </w:r>
          </w:p>
        </w:tc>
        <w:tc>
          <w:tcPr>
            <w:tcW w:w="913" w:type="dxa"/>
            <w:tcBorders>
              <w:left w:val="double" w:color="auto" w:sz="4" w:space="0"/>
            </w:tcBorders>
            <w:vAlign w:val="center"/>
          </w:tcPr>
          <w:p w14:paraId="1C549A2C">
            <w:pPr>
              <w:pStyle w:val="15"/>
              <w:widowControl w:val="0"/>
            </w:pPr>
            <w:r>
              <w:rPr>
                <w:rFonts w:hint="eastAsia"/>
                <w:lang w:val="en-US" w:eastAsia="zh-CN"/>
              </w:rPr>
              <w:t>5</w:t>
            </w:r>
            <w:r>
              <w:rPr>
                <w:rFonts w:hint="eastAsia"/>
              </w:rPr>
              <w:t>0%</w:t>
            </w:r>
          </w:p>
        </w:tc>
        <w:tc>
          <w:tcPr>
            <w:tcW w:w="809" w:type="dxa"/>
            <w:vAlign w:val="center"/>
          </w:tcPr>
          <w:p w14:paraId="0F5FFE9A">
            <w:pPr>
              <w:pStyle w:val="15"/>
              <w:widowControl w:val="0"/>
            </w:pPr>
            <w:r>
              <w:rPr>
                <w:rFonts w:hint="eastAsia"/>
                <w:lang w:val="en-US" w:eastAsia="zh-CN"/>
              </w:rPr>
              <w:t>2</w:t>
            </w:r>
            <w:r>
              <w:rPr>
                <w:rFonts w:hint="eastAsia"/>
              </w:rPr>
              <w:t>0%</w:t>
            </w:r>
          </w:p>
        </w:tc>
        <w:tc>
          <w:tcPr>
            <w:tcW w:w="753" w:type="dxa"/>
            <w:vAlign w:val="center"/>
          </w:tcPr>
          <w:p w14:paraId="7C33F869">
            <w:pPr>
              <w:pStyle w:val="15"/>
              <w:widowControl w:val="0"/>
            </w:pPr>
            <w:r>
              <w:rPr>
                <w:rFonts w:hint="eastAsia"/>
                <w:lang w:val="en-US" w:eastAsia="zh-CN"/>
              </w:rPr>
              <w:t>15</w:t>
            </w:r>
            <w:r>
              <w:rPr>
                <w:rFonts w:hint="eastAsia"/>
              </w:rPr>
              <w:t>%</w:t>
            </w:r>
          </w:p>
        </w:tc>
        <w:tc>
          <w:tcPr>
            <w:tcW w:w="604" w:type="dxa"/>
            <w:vAlign w:val="center"/>
          </w:tcPr>
          <w:p w14:paraId="26E8AE02">
            <w:pPr>
              <w:pStyle w:val="15"/>
              <w:widowControl w:val="0"/>
            </w:pPr>
            <w:r>
              <w:rPr>
                <w:rFonts w:hint="eastAsia"/>
                <w:lang w:val="en-US" w:eastAsia="zh-CN"/>
              </w:rPr>
              <w:t>15</w:t>
            </w:r>
            <w:r>
              <w:rPr>
                <w:rFonts w:hint="eastAsia"/>
              </w:rPr>
              <w:t>%</w:t>
            </w:r>
          </w:p>
        </w:tc>
        <w:tc>
          <w:tcPr>
            <w:tcW w:w="593" w:type="dxa"/>
            <w:vAlign w:val="center"/>
          </w:tcPr>
          <w:p w14:paraId="41EA0501">
            <w:pPr>
              <w:pStyle w:val="15"/>
              <w:widowControl w:val="0"/>
            </w:pPr>
            <w:r>
              <w:rPr>
                <w:rFonts w:hint="eastAsia"/>
                <w:lang w:val="en-US" w:eastAsia="zh-CN"/>
              </w:rPr>
              <w:t>0</w:t>
            </w:r>
          </w:p>
        </w:tc>
        <w:tc>
          <w:tcPr>
            <w:tcW w:w="706" w:type="dxa"/>
            <w:tcBorders>
              <w:right w:val="single" w:color="auto" w:sz="12" w:space="0"/>
            </w:tcBorders>
            <w:vAlign w:val="center"/>
          </w:tcPr>
          <w:p w14:paraId="1420A2A2">
            <w:pPr>
              <w:pStyle w:val="15"/>
              <w:widowControl w:val="0"/>
            </w:pPr>
            <w:r>
              <w:rPr>
                <w:rFonts w:hint="eastAsia"/>
              </w:rPr>
              <w:t>1</w:t>
            </w:r>
            <w:r>
              <w:t>00</w:t>
            </w:r>
          </w:p>
        </w:tc>
      </w:tr>
    </w:tbl>
    <w:p w14:paraId="63553586">
      <w:pPr>
        <w:pStyle w:val="17"/>
        <w:spacing w:before="326" w:beforeLines="100" w:line="360" w:lineRule="auto"/>
        <w:rPr>
          <w:rFonts w:ascii="黑体" w:hAnsi="宋体"/>
        </w:rPr>
      </w:pPr>
      <w:r>
        <w:rPr>
          <w:rFonts w:hint="eastAsia" w:ascii="黑体" w:hAnsi="宋体"/>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1840100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55115CED">
            <w:pPr>
              <w:pStyle w:val="15"/>
              <w:widowControl w:val="0"/>
              <w:jc w:val="left"/>
              <w:rPr>
                <w:rFonts w:ascii="仿宋" w:hAnsi="仿宋" w:eastAsia="仿宋" w:cs="仿宋"/>
              </w:rPr>
            </w:pPr>
          </w:p>
          <w:p w14:paraId="6E935245">
            <w:pPr>
              <w:pStyle w:val="15"/>
              <w:widowControl w:val="0"/>
              <w:jc w:val="left"/>
              <w:rPr>
                <w:rFonts w:ascii="宋体" w:hAnsi="宋体"/>
                <w:bCs/>
              </w:rPr>
            </w:pPr>
          </w:p>
          <w:p w14:paraId="68DB3EB8">
            <w:pPr>
              <w:pStyle w:val="15"/>
              <w:widowControl w:val="0"/>
              <w:jc w:val="left"/>
              <w:rPr>
                <w:rFonts w:hint="eastAsia" w:ascii="黑体" w:eastAsia="宋体"/>
                <w:lang w:val="en-US" w:eastAsia="zh-CN"/>
              </w:rPr>
            </w:pPr>
            <w:r>
              <w:rPr>
                <w:rFonts w:hint="eastAsia" w:ascii="黑体"/>
                <w:lang w:val="en-US" w:eastAsia="zh-CN"/>
              </w:rPr>
              <w:t>暂无</w:t>
            </w:r>
          </w:p>
        </w:tc>
      </w:tr>
    </w:tbl>
    <w:p w14:paraId="6E91FFC4">
      <w:pPr>
        <w:pStyle w:val="17"/>
        <w:rPr>
          <w:rFonts w:hint="eastAsia" w:ascii="黑体" w:hAnsi="宋体"/>
          <w:sz w:val="18"/>
          <w:szCs w:val="16"/>
        </w:rPr>
      </w:pPr>
    </w:p>
    <w:sectPr>
      <w:headerReference r:id="rId3"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8D8E9">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5C67826F">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5C67826F">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D8F32E"/>
    <w:multiLevelType w:val="singleLevel"/>
    <w:tmpl w:val="D9D8F32E"/>
    <w:lvl w:ilvl="0" w:tentative="0">
      <w:start w:val="1"/>
      <w:numFmt w:val="decimal"/>
      <w:lvlText w:val="%1."/>
      <w:lvlJc w:val="left"/>
      <w:pPr>
        <w:tabs>
          <w:tab w:val="left" w:pos="312"/>
        </w:tabs>
      </w:pPr>
    </w:lvl>
  </w:abstractNum>
  <w:abstractNum w:abstractNumId="1">
    <w:nsid w:val="E941C3B6"/>
    <w:multiLevelType w:val="singleLevel"/>
    <w:tmpl w:val="E941C3B6"/>
    <w:lvl w:ilvl="0" w:tentative="0">
      <w:start w:val="1"/>
      <w:numFmt w:val="decimal"/>
      <w:lvlText w:val="%1."/>
      <w:lvlJc w:val="left"/>
      <w:pPr>
        <w:tabs>
          <w:tab w:val="left" w:pos="312"/>
        </w:tabs>
      </w:pPr>
    </w:lvl>
  </w:abstractNum>
  <w:abstractNum w:abstractNumId="2">
    <w:nsid w:val="09C8064D"/>
    <w:multiLevelType w:val="singleLevel"/>
    <w:tmpl w:val="09C8064D"/>
    <w:lvl w:ilvl="0" w:tentative="0">
      <w:start w:val="1"/>
      <w:numFmt w:val="decimal"/>
      <w:lvlText w:val="%1."/>
      <w:lvlJc w:val="left"/>
      <w:pPr>
        <w:tabs>
          <w:tab w:val="left" w:pos="312"/>
        </w:tabs>
      </w:pPr>
    </w:lvl>
  </w:abstractNum>
  <w:abstractNum w:abstractNumId="3">
    <w:nsid w:val="141A755E"/>
    <w:multiLevelType w:val="singleLevel"/>
    <w:tmpl w:val="141A755E"/>
    <w:lvl w:ilvl="0" w:tentative="0">
      <w:start w:val="2"/>
      <w:numFmt w:val="chineseCounting"/>
      <w:suff w:val="nothing"/>
      <w:lvlText w:val="（%1）"/>
      <w:lvlJc w:val="left"/>
      <w:rPr>
        <w:rFonts w:hint="eastAsia"/>
      </w:rPr>
    </w:lvl>
  </w:abstractNum>
  <w:abstractNum w:abstractNumId="4">
    <w:nsid w:val="40B4032A"/>
    <w:multiLevelType w:val="singleLevel"/>
    <w:tmpl w:val="40B4032A"/>
    <w:lvl w:ilvl="0" w:tentative="0">
      <w:start w:val="5"/>
      <w:numFmt w:val="decimal"/>
      <w:lvlText w:val="%1."/>
      <w:lvlJc w:val="left"/>
      <w:pPr>
        <w:tabs>
          <w:tab w:val="left" w:pos="312"/>
        </w:tabs>
      </w:pPr>
    </w:lvl>
  </w:abstractNum>
  <w:abstractNum w:abstractNumId="5">
    <w:nsid w:val="48B35152"/>
    <w:multiLevelType w:val="singleLevel"/>
    <w:tmpl w:val="48B35152"/>
    <w:lvl w:ilvl="0" w:tentative="0">
      <w:start w:val="1"/>
      <w:numFmt w:val="decimal"/>
      <w:lvlText w:val="%1."/>
      <w:lvlJc w:val="left"/>
      <w:pPr>
        <w:tabs>
          <w:tab w:val="left" w:pos="312"/>
        </w:tabs>
      </w:p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jOWJhMzE0MjU3OTU2YWM2N2E3ZGI5ZjJmYTI1NmI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12B20FB8"/>
    <w:rsid w:val="199452E2"/>
    <w:rsid w:val="1DAD4DB1"/>
    <w:rsid w:val="1FC26C43"/>
    <w:rsid w:val="22987C80"/>
    <w:rsid w:val="24192CCC"/>
    <w:rsid w:val="245C386C"/>
    <w:rsid w:val="26F4679D"/>
    <w:rsid w:val="33735364"/>
    <w:rsid w:val="39A66CD4"/>
    <w:rsid w:val="3CD52CE1"/>
    <w:rsid w:val="3E3742BD"/>
    <w:rsid w:val="410F2E6A"/>
    <w:rsid w:val="43BF28C2"/>
    <w:rsid w:val="4430136C"/>
    <w:rsid w:val="447B6A12"/>
    <w:rsid w:val="4AB0382B"/>
    <w:rsid w:val="569868B5"/>
    <w:rsid w:val="5D1665B6"/>
    <w:rsid w:val="611F6817"/>
    <w:rsid w:val="66CA1754"/>
    <w:rsid w:val="67457F18"/>
    <w:rsid w:val="6AB758C4"/>
    <w:rsid w:val="6CE93F71"/>
    <w:rsid w:val="6DC80DBF"/>
    <w:rsid w:val="6F1E65D4"/>
    <w:rsid w:val="6F266C86"/>
    <w:rsid w:val="6F5042C2"/>
    <w:rsid w:val="74316312"/>
    <w:rsid w:val="752D79AE"/>
    <w:rsid w:val="760E2441"/>
    <w:rsid w:val="780F13C8"/>
    <w:rsid w:val="7B1D6B81"/>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1"/>
    <w:autoRedefine/>
    <w:qFormat/>
    <w:uiPriority w:val="99"/>
    <w:pPr>
      <w:widowControl w:val="0"/>
    </w:pPr>
    <w:rPr>
      <w:rFonts w:ascii="Times New Roman" w:hAnsi="Times New Roman" w:cs="Times New Roman"/>
      <w:kern w:val="2"/>
      <w:sz w:val="21"/>
    </w:rPr>
  </w:style>
  <w:style w:type="paragraph" w:styleId="4">
    <w:name w:val="Body Text"/>
    <w:basedOn w:val="1"/>
    <w:autoRedefine/>
    <w:qFormat/>
    <w:uiPriority w:val="1"/>
    <w:rPr>
      <w:rFonts w:ascii="黑体" w:hAnsi="黑体" w:eastAsia="黑体" w:cs="黑体"/>
      <w:sz w:val="36"/>
      <w:szCs w:val="36"/>
    </w:rPr>
  </w:style>
  <w:style w:type="paragraph" w:styleId="5">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customStyle="1" w:styleId="12">
    <w:name w:val="页眉 字符"/>
    <w:basedOn w:val="10"/>
    <w:link w:val="6"/>
    <w:autoRedefine/>
    <w:semiHidden/>
    <w:qFormat/>
    <w:uiPriority w:val="99"/>
    <w:rPr>
      <w:sz w:val="18"/>
      <w:szCs w:val="18"/>
    </w:rPr>
  </w:style>
  <w:style w:type="character" w:customStyle="1" w:styleId="13">
    <w:name w:val="页脚 字符"/>
    <w:basedOn w:val="10"/>
    <w:link w:val="5"/>
    <w:autoRedefine/>
    <w:semiHidden/>
    <w:qFormat/>
    <w:uiPriority w:val="99"/>
    <w:rPr>
      <w:sz w:val="18"/>
      <w:szCs w:val="18"/>
    </w:rPr>
  </w:style>
  <w:style w:type="paragraph" w:customStyle="1" w:styleId="14">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5">
    <w:name w:val="表格正文DG"/>
    <w:basedOn w:val="1"/>
    <w:autoRedefine/>
    <w:qFormat/>
    <w:uiPriority w:val="0"/>
    <w:pPr>
      <w:jc w:val="center"/>
    </w:pPr>
    <w:rPr>
      <w:rFonts w:ascii="Times New Roman" w:hAnsi="Times New Roman"/>
      <w:color w:val="000000"/>
      <w:sz w:val="21"/>
      <w:szCs w:val="21"/>
    </w:rPr>
  </w:style>
  <w:style w:type="paragraph" w:styleId="16">
    <w:name w:val="List Paragraph"/>
    <w:basedOn w:val="1"/>
    <w:autoRedefine/>
    <w:unhideWhenUsed/>
    <w:qFormat/>
    <w:uiPriority w:val="99"/>
    <w:pPr>
      <w:ind w:firstLine="420" w:firstLineChars="200"/>
    </w:pPr>
  </w:style>
  <w:style w:type="paragraph" w:customStyle="1" w:styleId="17">
    <w:name w:val="一级标题DG"/>
    <w:basedOn w:val="1"/>
    <w:autoRedefine/>
    <w:qFormat/>
    <w:uiPriority w:val="0"/>
    <w:pPr>
      <w:spacing w:line="480" w:lineRule="auto"/>
      <w:outlineLvl w:val="0"/>
    </w:pPr>
    <w:rPr>
      <w:rFonts w:ascii="Arial" w:hAnsi="Arial" w:eastAsia="黑体"/>
      <w:sz w:val="28"/>
    </w:rPr>
  </w:style>
  <w:style w:type="paragraph" w:customStyle="1" w:styleId="18">
    <w:name w:val="二级标题DG"/>
    <w:basedOn w:val="7"/>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10"/>
    <w:link w:val="2"/>
    <w:autoRedefine/>
    <w:qFormat/>
    <w:uiPriority w:val="9"/>
    <w:rPr>
      <w:rFonts w:ascii="Calibri" w:hAnsi="Calibri" w:eastAsia="宋体" w:cs="Times New Roman"/>
      <w:b/>
      <w:bCs/>
      <w:kern w:val="44"/>
      <w:sz w:val="44"/>
      <w:szCs w:val="44"/>
    </w:rPr>
  </w:style>
  <w:style w:type="character" w:customStyle="1" w:styleId="21">
    <w:name w:val="批注文字 字符"/>
    <w:basedOn w:val="10"/>
    <w:link w:val="3"/>
    <w:autoRedefine/>
    <w:qFormat/>
    <w:uiPriority w:val="99"/>
    <w:rPr>
      <w:rFonts w:ascii="Times New Roman" w:hAnsi="Times New Roman" w:eastAsia="宋体" w:cs="Times New Roman"/>
      <w:kern w:val="2"/>
      <w:sz w:val="21"/>
      <w:szCs w:val="24"/>
    </w:rPr>
  </w:style>
  <w:style w:type="character" w:customStyle="1" w:styleId="22">
    <w:name w:val="editor-text-node"/>
    <w:basedOn w:val="10"/>
    <w:autoRedefine/>
    <w:qFormat/>
    <w:uiPriority w:val="0"/>
  </w:style>
  <w:style w:type="character" w:styleId="23">
    <w:name w:val="Placeholder Text"/>
    <w:basedOn w:val="10"/>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8</Pages>
  <Words>767</Words>
  <Characters>845</Characters>
  <Lines>6</Lines>
  <Paragraphs>1</Paragraphs>
  <TotalTime>1</TotalTime>
  <ScaleCrop>false</ScaleCrop>
  <LinksUpToDate>false</LinksUpToDate>
  <CharactersWithSpaces>848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你谁呢2</cp:lastModifiedBy>
  <cp:lastPrinted>2023-11-21T00:52:00Z</cp:lastPrinted>
  <dcterms:modified xsi:type="dcterms:W3CDTF">2025-09-11T01:52:25Z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8F6CF288B6AF417DB971826E7DB59650_13</vt:lpwstr>
  </property>
  <property fmtid="{D5CDD505-2E9C-101B-9397-08002B2CF9AE}" pid="4" name="KSOTemplateDocerSaveRecord">
    <vt:lpwstr>eyJoZGlkIjoiODRmMmFiODM0YTRiNzRlZWJkMGEyNDBjMTc3ZWNlYTgiLCJ1c2VySWQiOiIyNTg1MDc3NzcifQ==</vt:lpwstr>
  </property>
</Properties>
</file>