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33A75">
      <w:pPr>
        <w:jc w:val="center"/>
        <w:rPr>
          <w:rFonts w:ascii="黑体" w:hAnsi="黑体" w:eastAsia="黑体"/>
          <w:bCs/>
          <w:sz w:val="32"/>
          <w:szCs w:val="32"/>
        </w:rPr>
      </w:pPr>
      <w:r>
        <w:rPr>
          <w:rFonts w:hint="eastAsia" w:ascii="黑体" w:hAnsi="黑体" w:eastAsia="黑体"/>
          <w:bCs/>
          <w:sz w:val="32"/>
          <w:szCs w:val="32"/>
        </w:rPr>
        <w:t>《保险医学基础》本科课程教学大纲</w:t>
      </w:r>
    </w:p>
    <w:p w14:paraId="4896A113">
      <w:pPr>
        <w:pStyle w:val="18"/>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0181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55AE386F">
            <w:pPr>
              <w:widowControl w:val="0"/>
              <w:jc w:val="center"/>
              <w:rPr>
                <w:rFonts w:ascii="黑体" w:hAnsi="黑体" w:eastAsia="黑体"/>
                <w:color w:val="000000"/>
                <w:sz w:val="21"/>
                <w:szCs w:val="21"/>
              </w:rPr>
            </w:pPr>
            <w:r>
              <w:rPr>
                <w:rFonts w:hint="eastAsia" w:ascii="黑体" w:hAnsi="黑体" w:eastAsia="黑体"/>
                <w:color w:val="000000"/>
                <w:sz w:val="21"/>
                <w:szCs w:val="21"/>
              </w:rPr>
              <w:t>课程名称</w:t>
            </w:r>
          </w:p>
        </w:tc>
        <w:tc>
          <w:tcPr>
            <w:tcW w:w="6585" w:type="dxa"/>
            <w:gridSpan w:val="6"/>
            <w:tcBorders>
              <w:top w:val="single" w:color="auto" w:sz="12" w:space="0"/>
              <w:right w:val="single" w:color="auto" w:sz="12" w:space="0"/>
            </w:tcBorders>
            <w:shd w:val="clear" w:color="auto" w:fill="auto"/>
            <w:vAlign w:val="center"/>
          </w:tcPr>
          <w:p w14:paraId="17B7CEB2">
            <w:pPr>
              <w:widowControl w:val="0"/>
              <w:rPr>
                <w:rFonts w:ascii="黑体" w:hAnsi="黑体" w:eastAsia="黑体"/>
                <w:color w:val="000000"/>
                <w:sz w:val="21"/>
                <w:szCs w:val="21"/>
              </w:rPr>
            </w:pPr>
            <w:r>
              <w:rPr>
                <w:rFonts w:hint="eastAsia" w:ascii="黑体" w:hAnsi="黑体" w:eastAsia="黑体"/>
                <w:color w:val="000000"/>
                <w:sz w:val="21"/>
                <w:szCs w:val="21"/>
              </w:rPr>
              <w:t>慢病管理理论与实践</w:t>
            </w:r>
          </w:p>
        </w:tc>
      </w:tr>
      <w:tr w14:paraId="1A28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80EF1D5">
            <w:pPr>
              <w:widowControl w:val="0"/>
              <w:jc w:val="center"/>
              <w:rPr>
                <w:rFonts w:ascii="黑体" w:hAnsi="黑体" w:eastAsia="黑体"/>
                <w:color w:val="000000"/>
                <w:sz w:val="21"/>
                <w:szCs w:val="18"/>
              </w:rPr>
            </w:pPr>
          </w:p>
        </w:tc>
        <w:tc>
          <w:tcPr>
            <w:tcW w:w="6585" w:type="dxa"/>
            <w:gridSpan w:val="6"/>
            <w:tcBorders>
              <w:right w:val="single" w:color="auto" w:sz="12" w:space="0"/>
            </w:tcBorders>
            <w:shd w:val="clear" w:color="auto" w:fill="auto"/>
            <w:vAlign w:val="center"/>
          </w:tcPr>
          <w:p w14:paraId="5060519E">
            <w:pPr>
              <w:widowControl w:val="0"/>
              <w:rPr>
                <w:rFonts w:ascii="黑体" w:hAnsi="黑体" w:eastAsia="黑体"/>
                <w:color w:val="000000"/>
                <w:sz w:val="21"/>
                <w:szCs w:val="21"/>
              </w:rPr>
            </w:pPr>
            <w:r>
              <w:rPr>
                <w:rFonts w:hint="eastAsia" w:ascii="Times New Roman" w:hAnsi="Times New Roman" w:eastAsia="黑体" w:cs="Times New Roman"/>
                <w:color w:val="000000"/>
                <w:sz w:val="21"/>
                <w:szCs w:val="21"/>
              </w:rPr>
              <w:t>Theory and practice of chronic disease management</w:t>
            </w:r>
          </w:p>
        </w:tc>
      </w:tr>
      <w:tr w14:paraId="0B98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D74EFEF">
            <w:pPr>
              <w:widowControl w:val="0"/>
              <w:jc w:val="center"/>
              <w:rPr>
                <w:rFonts w:ascii="黑体" w:hAnsi="黑体" w:eastAsia="黑体"/>
                <w:color w:val="000000"/>
                <w:sz w:val="21"/>
                <w:szCs w:val="18"/>
              </w:rPr>
            </w:pPr>
            <w:r>
              <w:rPr>
                <w:rFonts w:ascii="黑体" w:hAnsi="黑体" w:eastAsia="黑体"/>
                <w:color w:val="000000"/>
                <w:sz w:val="21"/>
                <w:szCs w:val="18"/>
              </w:rPr>
              <w:t>课程代码</w:t>
            </w:r>
          </w:p>
        </w:tc>
        <w:tc>
          <w:tcPr>
            <w:tcW w:w="2260" w:type="dxa"/>
            <w:shd w:val="clear" w:color="auto" w:fill="auto"/>
            <w:vAlign w:val="center"/>
          </w:tcPr>
          <w:p w14:paraId="5A255E58">
            <w:pPr>
              <w:widowControl w:val="0"/>
              <w:rPr>
                <w:color w:val="000000"/>
                <w:sz w:val="21"/>
                <w:szCs w:val="21"/>
              </w:rPr>
            </w:pPr>
            <w:r>
              <w:rPr>
                <w:rFonts w:hint="eastAsia"/>
                <w:color w:val="000000"/>
                <w:sz w:val="21"/>
                <w:szCs w:val="21"/>
              </w:rPr>
              <w:t>21700</w:t>
            </w:r>
            <w:r>
              <w:rPr>
                <w:color w:val="000000"/>
                <w:sz w:val="21"/>
                <w:szCs w:val="21"/>
              </w:rPr>
              <w:t>44</w:t>
            </w:r>
          </w:p>
        </w:tc>
        <w:tc>
          <w:tcPr>
            <w:tcW w:w="2126" w:type="dxa"/>
            <w:gridSpan w:val="2"/>
            <w:shd w:val="clear" w:color="auto" w:fill="auto"/>
            <w:vAlign w:val="center"/>
          </w:tcPr>
          <w:p w14:paraId="66A12A7C">
            <w:pPr>
              <w:widowControl w:val="0"/>
              <w:jc w:val="center"/>
              <w:rPr>
                <w:rFonts w:ascii="黑体" w:hAnsi="黑体" w:eastAsia="黑体"/>
                <w:color w:val="000000"/>
                <w:sz w:val="21"/>
                <w:szCs w:val="21"/>
              </w:rPr>
            </w:pPr>
            <w:r>
              <w:rPr>
                <w:rFonts w:hint="eastAsia" w:ascii="黑体" w:hAnsi="黑体" w:eastAsia="黑体"/>
                <w:color w:val="000000"/>
                <w:sz w:val="21"/>
                <w:szCs w:val="21"/>
              </w:rPr>
              <w:t>课程学分</w:t>
            </w:r>
          </w:p>
        </w:tc>
        <w:tc>
          <w:tcPr>
            <w:tcW w:w="2199" w:type="dxa"/>
            <w:gridSpan w:val="3"/>
            <w:tcBorders>
              <w:right w:val="single" w:color="auto" w:sz="12" w:space="0"/>
            </w:tcBorders>
            <w:shd w:val="clear" w:color="auto" w:fill="auto"/>
            <w:vAlign w:val="center"/>
          </w:tcPr>
          <w:p w14:paraId="4FE7D30D">
            <w:pPr>
              <w:widowControl w:val="0"/>
              <w:rPr>
                <w:rFonts w:ascii="黑体" w:hAnsi="黑体" w:eastAsia="黑体"/>
                <w:color w:val="000000"/>
                <w:sz w:val="21"/>
                <w:szCs w:val="21"/>
              </w:rPr>
            </w:pPr>
            <w:r>
              <w:rPr>
                <w:rFonts w:hint="eastAsia"/>
                <w:color w:val="000000"/>
                <w:sz w:val="21"/>
                <w:szCs w:val="21"/>
              </w:rPr>
              <w:t>2</w:t>
            </w:r>
          </w:p>
        </w:tc>
      </w:tr>
      <w:tr w14:paraId="0D64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61FA43E">
            <w:pPr>
              <w:widowControl w:val="0"/>
              <w:jc w:val="center"/>
              <w:rPr>
                <w:sz w:val="21"/>
                <w:szCs w:val="18"/>
              </w:rPr>
            </w:pPr>
            <w:r>
              <w:rPr>
                <w:rFonts w:hint="eastAsia" w:ascii="黑体" w:hAnsi="黑体" w:eastAsia="黑体"/>
                <w:color w:val="000000"/>
                <w:sz w:val="21"/>
                <w:szCs w:val="18"/>
              </w:rPr>
              <w:t>课程学时</w:t>
            </w:r>
            <w:r>
              <w:rPr>
                <w:rFonts w:hint="eastAsia"/>
                <w:sz w:val="21"/>
                <w:szCs w:val="18"/>
              </w:rPr>
              <w:t xml:space="preserve"> </w:t>
            </w:r>
          </w:p>
        </w:tc>
        <w:tc>
          <w:tcPr>
            <w:tcW w:w="2260" w:type="dxa"/>
            <w:shd w:val="clear" w:color="auto" w:fill="auto"/>
            <w:vAlign w:val="center"/>
          </w:tcPr>
          <w:p w14:paraId="36ECE47F">
            <w:pPr>
              <w:widowControl w:val="0"/>
              <w:rPr>
                <w:color w:val="000000"/>
                <w:sz w:val="21"/>
                <w:szCs w:val="21"/>
              </w:rPr>
            </w:pPr>
            <w:r>
              <w:rPr>
                <w:rFonts w:hint="eastAsia"/>
                <w:color w:val="000000"/>
                <w:sz w:val="21"/>
                <w:szCs w:val="21"/>
              </w:rPr>
              <w:t>32</w:t>
            </w:r>
          </w:p>
        </w:tc>
        <w:tc>
          <w:tcPr>
            <w:tcW w:w="1272" w:type="dxa"/>
            <w:shd w:val="clear" w:color="auto" w:fill="auto"/>
            <w:vAlign w:val="center"/>
          </w:tcPr>
          <w:p w14:paraId="3906AD49">
            <w:pPr>
              <w:widowControl w:val="0"/>
              <w:jc w:val="center"/>
              <w:rPr>
                <w:rFonts w:ascii="黑体" w:hAnsi="黑体" w:eastAsia="黑体"/>
                <w:color w:val="000000"/>
                <w:sz w:val="21"/>
                <w:szCs w:val="21"/>
              </w:rPr>
            </w:pPr>
            <w:r>
              <w:rPr>
                <w:rFonts w:hint="eastAsia" w:ascii="黑体" w:hAnsi="黑体" w:eastAsia="黑体"/>
                <w:color w:val="000000"/>
                <w:sz w:val="21"/>
                <w:szCs w:val="21"/>
              </w:rPr>
              <w:t>理论学时</w:t>
            </w:r>
          </w:p>
        </w:tc>
        <w:tc>
          <w:tcPr>
            <w:tcW w:w="854" w:type="dxa"/>
            <w:shd w:val="clear" w:color="auto" w:fill="auto"/>
            <w:vAlign w:val="center"/>
          </w:tcPr>
          <w:p w14:paraId="5032987E">
            <w:pPr>
              <w:widowControl w:val="0"/>
              <w:rPr>
                <w:rFonts w:ascii="黑体" w:hAnsi="黑体" w:eastAsia="黑体"/>
                <w:color w:val="000000"/>
                <w:sz w:val="21"/>
                <w:szCs w:val="21"/>
              </w:rPr>
            </w:pPr>
            <w:r>
              <w:rPr>
                <w:color w:val="000000"/>
                <w:sz w:val="21"/>
                <w:szCs w:val="21"/>
              </w:rPr>
              <w:t>24</w:t>
            </w:r>
          </w:p>
        </w:tc>
        <w:tc>
          <w:tcPr>
            <w:tcW w:w="1413" w:type="dxa"/>
            <w:gridSpan w:val="2"/>
            <w:shd w:val="clear" w:color="auto" w:fill="auto"/>
            <w:vAlign w:val="center"/>
          </w:tcPr>
          <w:p w14:paraId="401104D9">
            <w:pPr>
              <w:widowControl w:val="0"/>
              <w:jc w:val="center"/>
              <w:rPr>
                <w:rFonts w:ascii="黑体" w:hAnsi="黑体" w:eastAsia="黑体"/>
                <w:color w:val="000000"/>
                <w:sz w:val="21"/>
                <w:szCs w:val="21"/>
              </w:rPr>
            </w:pPr>
            <w:r>
              <w:rPr>
                <w:rFonts w:hint="eastAsia" w:ascii="黑体" w:hAnsi="黑体" w:eastAsia="黑体"/>
                <w:color w:val="000000"/>
                <w:sz w:val="21"/>
                <w:szCs w:val="21"/>
              </w:rPr>
              <w:t>实践学时</w:t>
            </w:r>
          </w:p>
        </w:tc>
        <w:tc>
          <w:tcPr>
            <w:tcW w:w="786" w:type="dxa"/>
            <w:tcBorders>
              <w:right w:val="single" w:color="auto" w:sz="12" w:space="0"/>
            </w:tcBorders>
            <w:shd w:val="clear" w:color="auto" w:fill="auto"/>
            <w:vAlign w:val="center"/>
          </w:tcPr>
          <w:p w14:paraId="67F3C1F6">
            <w:pPr>
              <w:widowControl w:val="0"/>
              <w:rPr>
                <w:rFonts w:ascii="黑体" w:hAnsi="黑体" w:eastAsia="黑体"/>
                <w:color w:val="000000"/>
                <w:sz w:val="21"/>
                <w:szCs w:val="21"/>
              </w:rPr>
            </w:pPr>
            <w:r>
              <w:rPr>
                <w:color w:val="000000"/>
                <w:sz w:val="21"/>
                <w:szCs w:val="21"/>
              </w:rPr>
              <w:t>8</w:t>
            </w:r>
          </w:p>
        </w:tc>
      </w:tr>
      <w:tr w14:paraId="285D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691" w:type="dxa"/>
            <w:tcBorders>
              <w:left w:val="single" w:color="auto" w:sz="12" w:space="0"/>
            </w:tcBorders>
            <w:shd w:val="clear" w:color="auto" w:fill="auto"/>
            <w:vAlign w:val="center"/>
          </w:tcPr>
          <w:p w14:paraId="71CBB44D">
            <w:pPr>
              <w:widowControl w:val="0"/>
              <w:jc w:val="center"/>
              <w:rPr>
                <w:rFonts w:ascii="黑体" w:hAnsi="黑体" w:eastAsia="黑体"/>
                <w:color w:val="000000"/>
                <w:sz w:val="21"/>
                <w:szCs w:val="18"/>
              </w:rPr>
            </w:pPr>
            <w:r>
              <w:rPr>
                <w:rFonts w:ascii="黑体" w:hAnsi="黑体" w:eastAsia="黑体"/>
                <w:color w:val="000000"/>
                <w:sz w:val="21"/>
                <w:szCs w:val="18"/>
              </w:rPr>
              <w:t>开课</w:t>
            </w:r>
            <w:r>
              <w:rPr>
                <w:rFonts w:hint="eastAsia" w:ascii="黑体" w:hAnsi="黑体" w:eastAsia="黑体"/>
                <w:color w:val="000000"/>
                <w:sz w:val="21"/>
                <w:szCs w:val="18"/>
              </w:rPr>
              <w:t>学院</w:t>
            </w:r>
          </w:p>
        </w:tc>
        <w:tc>
          <w:tcPr>
            <w:tcW w:w="2260" w:type="dxa"/>
            <w:shd w:val="clear" w:color="auto" w:fill="auto"/>
            <w:vAlign w:val="center"/>
          </w:tcPr>
          <w:p w14:paraId="2ED0DBBE">
            <w:pPr>
              <w:widowControl w:val="0"/>
              <w:rPr>
                <w:color w:val="000000"/>
                <w:sz w:val="21"/>
                <w:szCs w:val="21"/>
              </w:rPr>
            </w:pPr>
            <w:r>
              <w:rPr>
                <w:rFonts w:hint="eastAsia"/>
                <w:color w:val="000000"/>
                <w:sz w:val="21"/>
                <w:szCs w:val="21"/>
              </w:rPr>
              <w:t>健康管理学院</w:t>
            </w:r>
          </w:p>
        </w:tc>
        <w:tc>
          <w:tcPr>
            <w:tcW w:w="2126" w:type="dxa"/>
            <w:gridSpan w:val="2"/>
            <w:shd w:val="clear" w:color="auto" w:fill="auto"/>
            <w:vAlign w:val="center"/>
          </w:tcPr>
          <w:p w14:paraId="1D8AE5E9">
            <w:pPr>
              <w:widowControl w:val="0"/>
              <w:jc w:val="center"/>
              <w:rPr>
                <w:rFonts w:ascii="黑体" w:hAnsi="黑体" w:eastAsia="黑体"/>
                <w:color w:val="000000"/>
                <w:sz w:val="21"/>
                <w:szCs w:val="21"/>
              </w:rPr>
            </w:pPr>
            <w:r>
              <w:rPr>
                <w:rFonts w:hint="eastAsia" w:ascii="黑体" w:hAnsi="黑体" w:eastAsia="黑体"/>
                <w:color w:val="000000"/>
                <w:sz w:val="21"/>
                <w:szCs w:val="21"/>
              </w:rPr>
              <w:t>适用专业与年级</w:t>
            </w:r>
          </w:p>
        </w:tc>
        <w:tc>
          <w:tcPr>
            <w:tcW w:w="2199" w:type="dxa"/>
            <w:gridSpan w:val="3"/>
            <w:tcBorders>
              <w:right w:val="single" w:color="auto" w:sz="12" w:space="0"/>
            </w:tcBorders>
            <w:shd w:val="clear" w:color="auto" w:fill="auto"/>
            <w:vAlign w:val="center"/>
          </w:tcPr>
          <w:p w14:paraId="550B80F6">
            <w:pPr>
              <w:jc w:val="center"/>
              <w:rPr>
                <w:rFonts w:ascii="黑体" w:hAnsi="黑体" w:eastAsia="黑体"/>
                <w:color w:val="000000"/>
                <w:sz w:val="21"/>
                <w:szCs w:val="21"/>
              </w:rPr>
            </w:pPr>
            <w:r>
              <w:rPr>
                <w:rFonts w:hint="eastAsia" w:ascii="黑体" w:hAnsi="黑体" w:eastAsia="黑体"/>
                <w:color w:val="000000"/>
                <w:sz w:val="21"/>
                <w:szCs w:val="21"/>
              </w:rPr>
              <w:t>健康服务与管理</w:t>
            </w:r>
          </w:p>
          <w:p w14:paraId="74A2E5F8">
            <w:pPr>
              <w:widowControl w:val="0"/>
              <w:rPr>
                <w:color w:val="000000"/>
                <w:sz w:val="21"/>
                <w:szCs w:val="21"/>
              </w:rPr>
            </w:pPr>
            <w:r>
              <w:rPr>
                <w:rFonts w:hint="eastAsia" w:ascii="黑体" w:hAnsi="黑体" w:eastAsia="黑体"/>
                <w:color w:val="000000"/>
                <w:sz w:val="21"/>
                <w:szCs w:val="21"/>
              </w:rPr>
              <w:t>202</w:t>
            </w:r>
            <w:r>
              <w:rPr>
                <w:rFonts w:ascii="黑体" w:hAnsi="黑体" w:eastAsia="黑体"/>
                <w:color w:val="000000"/>
                <w:sz w:val="21"/>
                <w:szCs w:val="21"/>
              </w:rPr>
              <w:t>2</w:t>
            </w:r>
            <w:r>
              <w:rPr>
                <w:rFonts w:hint="eastAsia" w:ascii="黑体" w:hAnsi="黑体" w:eastAsia="黑体"/>
                <w:color w:val="000000"/>
                <w:sz w:val="21"/>
                <w:szCs w:val="21"/>
              </w:rPr>
              <w:t>级</w:t>
            </w:r>
          </w:p>
        </w:tc>
      </w:tr>
      <w:tr w14:paraId="5177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19837F1">
            <w:pPr>
              <w:widowControl w:val="0"/>
              <w:jc w:val="center"/>
              <w:rPr>
                <w:rFonts w:ascii="黑体" w:hAnsi="黑体" w:eastAsia="黑体"/>
                <w:color w:val="000000"/>
                <w:sz w:val="21"/>
                <w:szCs w:val="18"/>
              </w:rPr>
            </w:pPr>
            <w:r>
              <w:rPr>
                <w:rFonts w:hint="eastAsia" w:ascii="黑体" w:hAnsi="黑体" w:eastAsia="黑体"/>
                <w:color w:val="000000"/>
                <w:sz w:val="21"/>
                <w:szCs w:val="18"/>
              </w:rPr>
              <w:t>课程类别与性质</w:t>
            </w:r>
          </w:p>
        </w:tc>
        <w:tc>
          <w:tcPr>
            <w:tcW w:w="2260" w:type="dxa"/>
            <w:shd w:val="clear" w:color="auto" w:fill="auto"/>
            <w:vAlign w:val="center"/>
          </w:tcPr>
          <w:p w14:paraId="67A6ECEB">
            <w:pPr>
              <w:widowControl w:val="0"/>
              <w:rPr>
                <w:color w:val="000000"/>
                <w:sz w:val="21"/>
                <w:szCs w:val="21"/>
              </w:rPr>
            </w:pPr>
            <w:r>
              <w:rPr>
                <w:rFonts w:hint="eastAsia"/>
                <w:color w:val="000000"/>
                <w:sz w:val="21"/>
                <w:szCs w:val="21"/>
              </w:rPr>
              <w:t>专业选修</w:t>
            </w:r>
          </w:p>
        </w:tc>
        <w:tc>
          <w:tcPr>
            <w:tcW w:w="2126" w:type="dxa"/>
            <w:gridSpan w:val="2"/>
            <w:shd w:val="clear" w:color="auto" w:fill="auto"/>
            <w:vAlign w:val="center"/>
          </w:tcPr>
          <w:p w14:paraId="09DBE172">
            <w:pPr>
              <w:widowControl w:val="0"/>
              <w:jc w:val="center"/>
              <w:rPr>
                <w:rFonts w:ascii="黑体" w:hAnsi="黑体" w:eastAsia="黑体"/>
                <w:color w:val="000000"/>
                <w:sz w:val="21"/>
                <w:szCs w:val="21"/>
              </w:rPr>
            </w:pPr>
            <w:r>
              <w:rPr>
                <w:rFonts w:hint="eastAsia" w:ascii="黑体" w:hAnsi="黑体" w:eastAsia="黑体"/>
                <w:color w:val="000000"/>
                <w:sz w:val="21"/>
                <w:szCs w:val="21"/>
              </w:rPr>
              <w:t>考核方式</w:t>
            </w:r>
          </w:p>
        </w:tc>
        <w:tc>
          <w:tcPr>
            <w:tcW w:w="2199" w:type="dxa"/>
            <w:gridSpan w:val="3"/>
            <w:tcBorders>
              <w:right w:val="single" w:color="auto" w:sz="12" w:space="0"/>
            </w:tcBorders>
            <w:shd w:val="clear" w:color="auto" w:fill="auto"/>
            <w:vAlign w:val="center"/>
          </w:tcPr>
          <w:p w14:paraId="53647F5F">
            <w:pPr>
              <w:widowControl w:val="0"/>
              <w:rPr>
                <w:color w:val="000000"/>
                <w:sz w:val="21"/>
                <w:szCs w:val="21"/>
              </w:rPr>
            </w:pPr>
            <w:r>
              <w:rPr>
                <w:rFonts w:hint="eastAsia"/>
                <w:color w:val="000000"/>
                <w:sz w:val="21"/>
                <w:szCs w:val="21"/>
              </w:rPr>
              <w:t>考查</w:t>
            </w:r>
          </w:p>
        </w:tc>
      </w:tr>
      <w:tr w14:paraId="2A2F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2" w:hRule="atLeast"/>
        </w:trPr>
        <w:tc>
          <w:tcPr>
            <w:tcW w:w="1691" w:type="dxa"/>
            <w:tcBorders>
              <w:left w:val="single" w:color="auto" w:sz="12" w:space="0"/>
            </w:tcBorders>
            <w:shd w:val="clear" w:color="auto" w:fill="auto"/>
            <w:vAlign w:val="center"/>
          </w:tcPr>
          <w:p w14:paraId="65C90466">
            <w:pPr>
              <w:widowControl w:val="0"/>
              <w:jc w:val="center"/>
              <w:rPr>
                <w:rFonts w:ascii="黑体" w:hAnsi="黑体" w:eastAsia="黑体"/>
                <w:color w:val="000000"/>
                <w:sz w:val="21"/>
                <w:szCs w:val="18"/>
              </w:rPr>
            </w:pPr>
            <w:r>
              <w:rPr>
                <w:rFonts w:hint="eastAsia" w:ascii="黑体" w:hAnsi="黑体" w:eastAsia="黑体"/>
                <w:color w:val="000000"/>
                <w:sz w:val="21"/>
                <w:szCs w:val="18"/>
              </w:rPr>
              <w:t>选</w:t>
            </w:r>
            <w:r>
              <w:rPr>
                <w:rFonts w:ascii="黑体" w:hAnsi="黑体" w:eastAsia="黑体"/>
                <w:color w:val="000000"/>
                <w:sz w:val="21"/>
                <w:szCs w:val="18"/>
              </w:rPr>
              <w:t>用教材</w:t>
            </w:r>
          </w:p>
        </w:tc>
        <w:tc>
          <w:tcPr>
            <w:tcW w:w="4386" w:type="dxa"/>
            <w:gridSpan w:val="3"/>
            <w:shd w:val="clear" w:color="auto" w:fill="auto"/>
            <w:vAlign w:val="center"/>
          </w:tcPr>
          <w:p w14:paraId="6BBAB769">
            <w:pPr>
              <w:widowControl w:val="0"/>
              <w:rPr>
                <w:rFonts w:ascii="黑体" w:hAnsi="黑体" w:eastAsia="黑体"/>
                <w:color w:val="000000"/>
                <w:sz w:val="21"/>
                <w:szCs w:val="21"/>
              </w:rPr>
            </w:pPr>
            <w:r>
              <w:rPr>
                <w:rFonts w:hint="eastAsia"/>
                <w:bCs/>
                <w:sz w:val="18"/>
                <w:szCs w:val="18"/>
              </w:rPr>
              <w:t>慢性病社区防控与健康管理  主编 张帆 王凌云  化学工业出版社</w:t>
            </w:r>
          </w:p>
        </w:tc>
        <w:tc>
          <w:tcPr>
            <w:tcW w:w="1413" w:type="dxa"/>
            <w:gridSpan w:val="2"/>
            <w:shd w:val="clear" w:color="auto" w:fill="auto"/>
            <w:vAlign w:val="center"/>
          </w:tcPr>
          <w:p w14:paraId="751B28BC">
            <w:pPr>
              <w:widowControl w:val="0"/>
              <w:jc w:val="center"/>
              <w:rPr>
                <w:rFonts w:ascii="黑体" w:hAnsi="黑体" w:eastAsia="黑体"/>
                <w:color w:val="000000"/>
                <w:sz w:val="21"/>
                <w:szCs w:val="21"/>
              </w:rPr>
            </w:pPr>
            <w:r>
              <w:rPr>
                <w:rFonts w:hint="eastAsia" w:ascii="黑体" w:hAnsi="黑体" w:eastAsia="黑体"/>
                <w:color w:val="000000"/>
                <w:sz w:val="21"/>
                <w:szCs w:val="21"/>
              </w:rPr>
              <w:t>是否为</w:t>
            </w:r>
          </w:p>
          <w:p w14:paraId="2DF69C39">
            <w:pPr>
              <w:widowControl w:val="0"/>
              <w:jc w:val="center"/>
              <w:rPr>
                <w:rFonts w:ascii="黑体" w:hAnsi="黑体" w:eastAsia="黑体"/>
                <w:color w:val="000000"/>
                <w:sz w:val="21"/>
                <w:szCs w:val="21"/>
              </w:rPr>
            </w:pPr>
            <w:r>
              <w:rPr>
                <w:rFonts w:hint="eastAsia" w:ascii="黑体" w:hAnsi="黑体" w:eastAsia="黑体"/>
                <w:color w:val="000000"/>
                <w:sz w:val="21"/>
                <w:szCs w:val="21"/>
              </w:rPr>
              <w:t>马工程教材</w:t>
            </w:r>
          </w:p>
        </w:tc>
        <w:tc>
          <w:tcPr>
            <w:tcW w:w="786" w:type="dxa"/>
            <w:tcBorders>
              <w:right w:val="single" w:color="auto" w:sz="12" w:space="0"/>
            </w:tcBorders>
            <w:shd w:val="clear" w:color="auto" w:fill="auto"/>
            <w:vAlign w:val="center"/>
          </w:tcPr>
          <w:p w14:paraId="68D40E25">
            <w:pPr>
              <w:widowControl w:val="0"/>
              <w:rPr>
                <w:color w:val="000000"/>
                <w:sz w:val="21"/>
                <w:szCs w:val="21"/>
              </w:rPr>
            </w:pPr>
            <w:r>
              <w:rPr>
                <w:rFonts w:hint="eastAsia"/>
                <w:color w:val="000000"/>
                <w:sz w:val="21"/>
                <w:szCs w:val="21"/>
              </w:rPr>
              <w:t>否</w:t>
            </w:r>
          </w:p>
        </w:tc>
      </w:tr>
      <w:tr w14:paraId="2B833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6" w:hRule="atLeast"/>
        </w:trPr>
        <w:tc>
          <w:tcPr>
            <w:tcW w:w="1691" w:type="dxa"/>
            <w:tcBorders>
              <w:left w:val="single" w:color="auto" w:sz="12" w:space="0"/>
            </w:tcBorders>
            <w:shd w:val="clear" w:color="auto" w:fill="auto"/>
            <w:vAlign w:val="center"/>
          </w:tcPr>
          <w:p w14:paraId="0033AA4C">
            <w:pPr>
              <w:keepNext w:val="0"/>
              <w:keepLines w:val="0"/>
              <w:pageBreakBefore w:val="0"/>
              <w:widowControl w:val="0"/>
              <w:kinsoku/>
              <w:wordWrap/>
              <w:overflowPunct/>
              <w:topLinePunct w:val="0"/>
              <w:autoSpaceDE/>
              <w:autoSpaceDN/>
              <w:bidi w:val="0"/>
              <w:adjustRightInd/>
              <w:spacing w:line="220" w:lineRule="exact"/>
              <w:jc w:val="center"/>
              <w:textAlignment w:val="auto"/>
              <w:rPr>
                <w:rFonts w:ascii="黑体" w:hAnsi="黑体" w:eastAsia="黑体"/>
                <w:color w:val="000000"/>
                <w:sz w:val="21"/>
                <w:szCs w:val="18"/>
              </w:rPr>
            </w:pPr>
            <w:bookmarkStart w:id="4" w:name="_GoBack" w:colFirst="0" w:colLast="5"/>
            <w:r>
              <w:rPr>
                <w:rFonts w:ascii="黑体" w:hAnsi="黑体" w:eastAsia="黑体"/>
                <w:color w:val="000000"/>
                <w:sz w:val="21"/>
                <w:szCs w:val="18"/>
              </w:rPr>
              <w:t>先修课程</w:t>
            </w:r>
          </w:p>
        </w:tc>
        <w:tc>
          <w:tcPr>
            <w:tcW w:w="6585" w:type="dxa"/>
            <w:gridSpan w:val="6"/>
            <w:tcBorders>
              <w:right w:val="single" w:color="auto" w:sz="12" w:space="0"/>
            </w:tcBorders>
            <w:shd w:val="clear" w:color="auto" w:fill="auto"/>
            <w:vAlign w:val="center"/>
          </w:tcPr>
          <w:p w14:paraId="5918E7D8">
            <w:pPr>
              <w:keepNext w:val="0"/>
              <w:keepLines w:val="0"/>
              <w:pageBreakBefore w:val="0"/>
              <w:widowControl w:val="0"/>
              <w:kinsoku/>
              <w:wordWrap/>
              <w:overflowPunct/>
              <w:topLinePunct w:val="0"/>
              <w:autoSpaceDE/>
              <w:autoSpaceDN/>
              <w:bidi w:val="0"/>
              <w:adjustRightInd/>
              <w:snapToGrid w:val="0"/>
              <w:spacing w:line="220" w:lineRule="exact"/>
              <w:jc w:val="both"/>
              <w:textAlignment w:val="auto"/>
              <w:rPr>
                <w:color w:val="000000"/>
                <w:sz w:val="20"/>
                <w:szCs w:val="20"/>
              </w:rPr>
            </w:pPr>
            <w:r>
              <w:rPr>
                <w:rFonts w:hint="eastAsia" w:ascii="仿宋" w:hAnsi="仿宋" w:eastAsia="仿宋" w:cs="仿宋"/>
              </w:rPr>
              <w:t>正常人体结构学21700001（3）、正常人体功能学2170002（3）、疾病学基础2170003（4）、《临床医学概要》2170006（4）</w:t>
            </w:r>
          </w:p>
        </w:tc>
      </w:tr>
      <w:tr w14:paraId="6BAA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6435C7FE">
            <w:pPr>
              <w:keepNext w:val="0"/>
              <w:keepLines w:val="0"/>
              <w:pageBreakBefore w:val="0"/>
              <w:widowControl w:val="0"/>
              <w:kinsoku/>
              <w:wordWrap/>
              <w:overflowPunct/>
              <w:topLinePunct w:val="0"/>
              <w:autoSpaceDE/>
              <w:autoSpaceDN/>
              <w:bidi w:val="0"/>
              <w:adjustRightInd/>
              <w:spacing w:line="220" w:lineRule="exact"/>
              <w:jc w:val="center"/>
              <w:textAlignment w:val="auto"/>
              <w:rPr>
                <w:rFonts w:ascii="黑体" w:hAnsi="黑体" w:eastAsia="黑体"/>
                <w:color w:val="000000"/>
                <w:sz w:val="21"/>
                <w:szCs w:val="18"/>
              </w:rPr>
            </w:pPr>
            <w:r>
              <w:rPr>
                <w:rFonts w:ascii="黑体" w:hAnsi="黑体" w:eastAsia="黑体"/>
                <w:color w:val="000000"/>
                <w:sz w:val="21"/>
                <w:szCs w:val="18"/>
              </w:rPr>
              <w:t>课程简介</w:t>
            </w:r>
          </w:p>
        </w:tc>
        <w:tc>
          <w:tcPr>
            <w:tcW w:w="6585" w:type="dxa"/>
            <w:gridSpan w:val="6"/>
            <w:tcBorders>
              <w:right w:val="single" w:color="auto" w:sz="12" w:space="0"/>
            </w:tcBorders>
            <w:shd w:val="clear" w:color="auto" w:fill="auto"/>
          </w:tcPr>
          <w:p w14:paraId="7E464824">
            <w:pPr>
              <w:keepNext w:val="0"/>
              <w:keepLines w:val="0"/>
              <w:pageBreakBefore w:val="0"/>
              <w:widowControl w:val="0"/>
              <w:kinsoku/>
              <w:wordWrap/>
              <w:overflowPunct/>
              <w:topLinePunct w:val="0"/>
              <w:autoSpaceDE/>
              <w:autoSpaceDN/>
              <w:bidi w:val="0"/>
              <w:adjustRightInd/>
              <w:snapToGrid w:val="0"/>
              <w:spacing w:line="220" w:lineRule="exact"/>
              <w:ind w:firstLine="400" w:firstLineChars="200"/>
              <w:jc w:val="both"/>
              <w:textAlignment w:val="auto"/>
              <w:rPr>
                <w:color w:val="000000"/>
                <w:sz w:val="20"/>
                <w:szCs w:val="20"/>
              </w:rPr>
            </w:pPr>
            <w:r>
              <w:rPr>
                <w:rFonts w:hint="eastAsia"/>
                <w:color w:val="000000"/>
                <w:sz w:val="20"/>
                <w:szCs w:val="20"/>
              </w:rPr>
              <w:t>本课程以人身保险行业的相关岗位职责和任务要求为基准，分别介绍了保险医学相关的知识，具体包括：保险医学的起源、发展、概念和应用；疾病、衰老与健康；人体结构基础和生理功能，包括运动系统、呼吸系统、消化系统、循环系统、血液系统、内分泌系统、泌尿系统、生殖系统、神经系统的相关医学基础知识；常用医学术语；体检在保险业务中的应用，包括常规检验、普通生化检验、其他专科检验；人体常见疾病，包括呼吸系统疾病、循环系统疾病、消化系统疾病、血液系统疾病、泌尿系统疾病、内分泌系统疾病、代谢性疾病、结缔组织病、神经系统疾病、常见外科相关疾病、妇科疾病和常见的特定疾病、传染病、常见的传染病、肿瘤以及营养相关性疾病在保险业务中的应用；病例文书在保险业务中的应用；人身意外伤害、残疾和死亡鉴定。</w:t>
            </w:r>
          </w:p>
          <w:p w14:paraId="694A8A5B">
            <w:pPr>
              <w:keepNext w:val="0"/>
              <w:keepLines w:val="0"/>
              <w:pageBreakBefore w:val="0"/>
              <w:widowControl w:val="0"/>
              <w:kinsoku/>
              <w:wordWrap/>
              <w:overflowPunct/>
              <w:topLinePunct w:val="0"/>
              <w:autoSpaceDE/>
              <w:autoSpaceDN/>
              <w:bidi w:val="0"/>
              <w:adjustRightInd/>
              <w:snapToGrid w:val="0"/>
              <w:spacing w:line="220" w:lineRule="exact"/>
              <w:ind w:firstLine="400" w:firstLineChars="200"/>
              <w:jc w:val="both"/>
              <w:textAlignment w:val="auto"/>
              <w:rPr>
                <w:color w:val="000000"/>
                <w:sz w:val="20"/>
                <w:szCs w:val="20"/>
              </w:rPr>
            </w:pPr>
            <w:r>
              <w:rPr>
                <w:rFonts w:hint="eastAsia"/>
                <w:color w:val="000000"/>
                <w:sz w:val="20"/>
                <w:szCs w:val="20"/>
              </w:rPr>
              <w:t>通过《新编保险医学基础》课程的学习，学生具备保险医学的基本理论知识的能力，具备健康保险职业中所需的医学术语、体检指标、医学文书、伤残鉴定等综合医学知识。通过课程的学习，学生具备健康保险的专业技能，能够利用所学保险、医学知识解决健康保险实际工作中的风险选择与控制问题，在健康保险实务中具备与医院、鉴定机构、司法机关等机构的职业沟通和协调能力、具备团队协作精神、保险职业诚信品格、肩负为保险业发展贡献自己力量的社会责任感。</w:t>
            </w:r>
          </w:p>
        </w:tc>
      </w:tr>
      <w:tr w14:paraId="3B0A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17" w:hRule="atLeast"/>
        </w:trPr>
        <w:tc>
          <w:tcPr>
            <w:tcW w:w="1691" w:type="dxa"/>
            <w:tcBorders>
              <w:left w:val="single" w:color="auto" w:sz="12" w:space="0"/>
              <w:bottom w:val="double" w:color="auto" w:sz="4" w:space="0"/>
            </w:tcBorders>
            <w:shd w:val="clear" w:color="auto" w:fill="auto"/>
            <w:vAlign w:val="center"/>
          </w:tcPr>
          <w:p w14:paraId="0FA980AC">
            <w:pPr>
              <w:keepNext w:val="0"/>
              <w:keepLines w:val="0"/>
              <w:pageBreakBefore w:val="0"/>
              <w:widowControl w:val="0"/>
              <w:kinsoku/>
              <w:wordWrap/>
              <w:overflowPunct/>
              <w:topLinePunct w:val="0"/>
              <w:autoSpaceDE/>
              <w:autoSpaceDN/>
              <w:bidi w:val="0"/>
              <w:adjustRightInd/>
              <w:spacing w:line="220" w:lineRule="exact"/>
              <w:jc w:val="center"/>
              <w:textAlignment w:val="auto"/>
              <w:rPr>
                <w:rFonts w:ascii="黑体" w:hAnsi="黑体" w:eastAsia="黑体"/>
                <w:color w:val="000000"/>
                <w:sz w:val="21"/>
                <w:szCs w:val="18"/>
              </w:rPr>
            </w:pPr>
            <w:r>
              <w:rPr>
                <w:rFonts w:ascii="黑体" w:hAnsi="黑体" w:eastAsia="黑体"/>
                <w:color w:val="000000"/>
                <w:sz w:val="21"/>
                <w:szCs w:val="18"/>
              </w:rPr>
              <w:t>选课建议</w:t>
            </w:r>
            <w:r>
              <w:rPr>
                <w:rFonts w:hint="eastAsia" w:ascii="黑体" w:hAnsi="黑体" w:eastAsia="黑体"/>
                <w:color w:val="000000"/>
                <w:sz w:val="21"/>
                <w:szCs w:val="18"/>
              </w:rPr>
              <w:t>与学习要求</w:t>
            </w:r>
          </w:p>
        </w:tc>
        <w:tc>
          <w:tcPr>
            <w:tcW w:w="6585" w:type="dxa"/>
            <w:gridSpan w:val="6"/>
            <w:tcBorders>
              <w:bottom w:val="double" w:color="auto" w:sz="4" w:space="0"/>
              <w:right w:val="single" w:color="auto" w:sz="12" w:space="0"/>
            </w:tcBorders>
            <w:shd w:val="clear" w:color="auto" w:fill="auto"/>
          </w:tcPr>
          <w:p w14:paraId="1F8E8ED5">
            <w:pPr>
              <w:keepNext w:val="0"/>
              <w:keepLines w:val="0"/>
              <w:pageBreakBefore w:val="0"/>
              <w:widowControl w:val="0"/>
              <w:kinsoku/>
              <w:wordWrap/>
              <w:overflowPunct/>
              <w:topLinePunct w:val="0"/>
              <w:autoSpaceDE/>
              <w:autoSpaceDN/>
              <w:bidi w:val="0"/>
              <w:adjustRightInd/>
              <w:snapToGrid w:val="0"/>
              <w:spacing w:line="220" w:lineRule="exact"/>
              <w:ind w:firstLine="400" w:firstLineChars="200"/>
              <w:jc w:val="both"/>
              <w:textAlignment w:val="auto"/>
              <w:rPr>
                <w:color w:val="000000"/>
                <w:sz w:val="20"/>
                <w:szCs w:val="20"/>
              </w:rPr>
            </w:pPr>
            <w:r>
              <w:rPr>
                <w:rFonts w:hint="eastAsia"/>
                <w:color w:val="000000"/>
                <w:sz w:val="20"/>
                <w:szCs w:val="20"/>
              </w:rPr>
              <w:t>学习《慢性病社区防控与健康管理》，需要在学习医学基础各课程（如全科学，流行病学、诊断学、生理学、病理学与病理生理学、药理学、计算机，健康评估等）的基础上才能学习</w:t>
            </w:r>
            <w:r>
              <w:rPr>
                <w:color w:val="000000"/>
                <w:sz w:val="20"/>
                <w:szCs w:val="20"/>
              </w:rPr>
              <w:t>。</w:t>
            </w:r>
            <w:r>
              <w:rPr>
                <w:rFonts w:hint="eastAsia"/>
                <w:color w:val="000000"/>
                <w:sz w:val="20"/>
                <w:szCs w:val="20"/>
              </w:rPr>
              <w:t>建议安排在在健康服务与管理专业第三学年第二学期开设</w:t>
            </w:r>
          </w:p>
        </w:tc>
      </w:tr>
      <w:bookmarkEnd w:id="4"/>
      <w:tr w14:paraId="592B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13C26E67">
            <w:pPr>
              <w:widowControl w:val="0"/>
              <w:jc w:val="center"/>
              <w:rPr>
                <w:rFonts w:ascii="黑体" w:hAnsi="黑体" w:eastAsia="黑体"/>
                <w:color w:val="000000"/>
                <w:sz w:val="21"/>
                <w:szCs w:val="21"/>
              </w:rPr>
            </w:pPr>
            <w:r>
              <w:rPr>
                <w:rFonts w:hint="eastAsia" w:ascii="黑体" w:hAnsi="黑体" w:eastAsia="黑体"/>
                <w:color w:val="000000"/>
                <w:sz w:val="21"/>
                <w:szCs w:val="21"/>
              </w:rPr>
              <w:t>大纲编写人</w:t>
            </w:r>
          </w:p>
        </w:tc>
        <w:tc>
          <w:tcPr>
            <w:tcW w:w="3532" w:type="dxa"/>
            <w:gridSpan w:val="2"/>
            <w:tcBorders>
              <w:top w:val="double" w:color="auto" w:sz="4" w:space="0"/>
            </w:tcBorders>
            <w:shd w:val="clear" w:color="auto" w:fill="auto"/>
            <w:vAlign w:val="center"/>
          </w:tcPr>
          <w:p w14:paraId="251226D5">
            <w:pPr>
              <w:widowControl w:val="0"/>
              <w:jc w:val="right"/>
              <w:rPr>
                <w:rFonts w:ascii="黑体" w:hAnsi="黑体" w:eastAsia="黑体"/>
                <w:color w:val="000000"/>
                <w:sz w:val="21"/>
                <w:szCs w:val="21"/>
              </w:rPr>
            </w:pPr>
            <w:r>
              <w:rPr>
                <w:rFonts w:ascii="黑体" w:hAnsi="黑体" w:eastAsia="黑体"/>
                <w:color w:val="000000" w:themeColor="text1"/>
                <w:sz w:val="21"/>
                <w:szCs w:val="21"/>
                <w14:textFill>
                  <w14:solidFill>
                    <w14:schemeClr w14:val="tx1"/>
                  </w14:solidFill>
                </w14:textFill>
              </w:rPr>
              <w:drawing>
                <wp:anchor distT="0" distB="0" distL="114300" distR="114300" simplePos="0" relativeHeight="251660288" behindDoc="0" locked="0" layoutInCell="1" allowOverlap="1">
                  <wp:simplePos x="0" y="0"/>
                  <wp:positionH relativeFrom="column">
                    <wp:posOffset>1676400</wp:posOffset>
                  </wp:positionH>
                  <wp:positionV relativeFrom="paragraph">
                    <wp:posOffset>-190500</wp:posOffset>
                  </wp:positionV>
                  <wp:extent cx="264795" cy="493395"/>
                  <wp:effectExtent l="0" t="0" r="1905" b="1905"/>
                  <wp:wrapNone/>
                  <wp:docPr id="4" name="图片 4" descr="F:\WeChat Files\wxid_mgxwpy43j3jh22\FileStorage\Temp\9fa2e30b647be331045fc1dade3ea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WeChat Files\wxid_mgxwpy43j3jh22\FileStorage\Temp\9fa2e30b647be331045fc1dade3ea72.png"/>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5000" contrast="70000"/>
                                    </a14:imgEffect>
                                    <a14:imgEffect>
                                      <a14:sharpenSoften amount="100000"/>
                                    </a14:imgEffect>
                                  </a14:imgLayer>
                                </a14:imgProps>
                              </a:ext>
                              <a:ext uri="{28A0092B-C50C-407E-A947-70E740481C1C}">
                                <a14:useLocalDpi xmlns:a14="http://schemas.microsoft.com/office/drawing/2010/main" val="0"/>
                              </a:ext>
                            </a:extLst>
                          </a:blip>
                          <a:srcRect/>
                          <a:stretch>
                            <a:fillRect/>
                          </a:stretch>
                        </pic:blipFill>
                        <pic:spPr>
                          <a:xfrm rot="16200000">
                            <a:off x="0" y="0"/>
                            <a:ext cx="264795" cy="493395"/>
                          </a:xfrm>
                          <a:prstGeom prst="rect">
                            <a:avLst/>
                          </a:prstGeom>
                          <a:noFill/>
                          <a:ln>
                            <a:noFill/>
                          </a:ln>
                        </pic:spPr>
                      </pic:pic>
                    </a:graphicData>
                  </a:graphic>
                </wp:anchor>
              </w:drawing>
            </w:r>
          </w:p>
        </w:tc>
        <w:tc>
          <w:tcPr>
            <w:tcW w:w="1425" w:type="dxa"/>
            <w:gridSpan w:val="2"/>
            <w:tcBorders>
              <w:top w:val="double" w:color="auto" w:sz="4" w:space="0"/>
            </w:tcBorders>
            <w:shd w:val="clear" w:color="auto" w:fill="auto"/>
            <w:vAlign w:val="center"/>
          </w:tcPr>
          <w:p w14:paraId="446882CF">
            <w:pPr>
              <w:widowControl w:val="0"/>
              <w:jc w:val="center"/>
              <w:rPr>
                <w:sz w:val="21"/>
                <w:szCs w:val="21"/>
              </w:rPr>
            </w:pPr>
            <w:r>
              <w:rPr>
                <w:rFonts w:hint="eastAsia" w:ascii="黑体" w:hAnsi="黑体" w:eastAsia="黑体"/>
                <w:color w:val="000000"/>
                <w:sz w:val="21"/>
                <w:szCs w:val="21"/>
              </w:rPr>
              <w:t>制/修订时间</w:t>
            </w:r>
          </w:p>
        </w:tc>
        <w:tc>
          <w:tcPr>
            <w:tcW w:w="1628" w:type="dxa"/>
            <w:gridSpan w:val="2"/>
            <w:tcBorders>
              <w:top w:val="double" w:color="auto" w:sz="4" w:space="0"/>
              <w:right w:val="single" w:color="auto" w:sz="12" w:space="0"/>
            </w:tcBorders>
            <w:shd w:val="clear" w:color="auto" w:fill="auto"/>
            <w:vAlign w:val="center"/>
          </w:tcPr>
          <w:p w14:paraId="786F1956">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ascii="Times New Roman" w:hAnsi="Times New Roman"/>
                <w:color w:val="000000"/>
                <w:sz w:val="21"/>
                <w:szCs w:val="21"/>
              </w:rPr>
              <w:t>5</w:t>
            </w:r>
            <w:r>
              <w:rPr>
                <w:rFonts w:hint="eastAsia" w:ascii="Times New Roman" w:hAnsi="Times New Roman"/>
                <w:color w:val="000000"/>
                <w:sz w:val="21"/>
                <w:szCs w:val="21"/>
              </w:rPr>
              <w:t>.0</w:t>
            </w:r>
            <w:r>
              <w:rPr>
                <w:rFonts w:ascii="Times New Roman" w:hAnsi="Times New Roman"/>
                <w:color w:val="000000"/>
                <w:sz w:val="21"/>
                <w:szCs w:val="21"/>
              </w:rPr>
              <w:t>1</w:t>
            </w:r>
          </w:p>
        </w:tc>
      </w:tr>
      <w:tr w14:paraId="26CB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041B3F71">
            <w:pPr>
              <w:widowControl w:val="0"/>
              <w:jc w:val="center"/>
              <w:rPr>
                <w:rFonts w:ascii="黑体" w:hAnsi="黑体" w:eastAsia="黑体"/>
                <w:color w:val="000000"/>
                <w:sz w:val="21"/>
                <w:szCs w:val="21"/>
              </w:rPr>
            </w:pPr>
            <w:r>
              <w:rPr>
                <w:rFonts w:hint="eastAsia" w:ascii="黑体" w:hAnsi="黑体" w:eastAsia="黑体"/>
                <w:color w:val="000000"/>
                <w:sz w:val="21"/>
                <w:szCs w:val="21"/>
              </w:rPr>
              <w:t>专业负责人</w:t>
            </w:r>
          </w:p>
        </w:tc>
        <w:tc>
          <w:tcPr>
            <w:tcW w:w="3532" w:type="dxa"/>
            <w:gridSpan w:val="2"/>
            <w:shd w:val="clear" w:color="auto" w:fill="auto"/>
            <w:vAlign w:val="center"/>
          </w:tcPr>
          <w:p w14:paraId="245D895A">
            <w:pPr>
              <w:widowControl w:val="0"/>
              <w:jc w:val="right"/>
              <w:rPr>
                <w:rFonts w:ascii="黑体" w:hAnsi="黑体" w:eastAsia="黑体"/>
                <w:color w:val="000000"/>
                <w:sz w:val="21"/>
                <w:szCs w:val="21"/>
              </w:rPr>
            </w:pPr>
            <w:r>
              <w:drawing>
                <wp:anchor distT="0" distB="0" distL="114300" distR="114300" simplePos="0" relativeHeight="251661312" behindDoc="0" locked="0" layoutInCell="1" allowOverlap="1">
                  <wp:simplePos x="0" y="0"/>
                  <wp:positionH relativeFrom="column">
                    <wp:posOffset>1543050</wp:posOffset>
                  </wp:positionH>
                  <wp:positionV relativeFrom="paragraph">
                    <wp:posOffset>-83185</wp:posOffset>
                  </wp:positionV>
                  <wp:extent cx="592455" cy="34988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92455" cy="349885"/>
                          </a:xfrm>
                          <a:prstGeom prst="rect">
                            <a:avLst/>
                          </a:prstGeom>
                          <a:noFill/>
                          <a:ln>
                            <a:noFill/>
                          </a:ln>
                        </pic:spPr>
                      </pic:pic>
                    </a:graphicData>
                  </a:graphic>
                </wp:anchor>
              </w:drawing>
            </w:r>
          </w:p>
        </w:tc>
        <w:tc>
          <w:tcPr>
            <w:tcW w:w="1425" w:type="dxa"/>
            <w:gridSpan w:val="2"/>
            <w:shd w:val="clear" w:color="auto" w:fill="auto"/>
            <w:vAlign w:val="center"/>
          </w:tcPr>
          <w:p w14:paraId="336AF71F">
            <w:pPr>
              <w:widowControl w:val="0"/>
              <w:jc w:val="center"/>
              <w:rPr>
                <w:sz w:val="21"/>
                <w:szCs w:val="21"/>
              </w:rPr>
            </w:pPr>
            <w:r>
              <w:rPr>
                <w:rFonts w:hint="eastAsia" w:ascii="黑体" w:hAnsi="黑体" w:eastAsia="黑体"/>
                <w:color w:val="000000"/>
                <w:sz w:val="21"/>
                <w:szCs w:val="21"/>
              </w:rPr>
              <w:t>审定时间</w:t>
            </w:r>
          </w:p>
        </w:tc>
        <w:tc>
          <w:tcPr>
            <w:tcW w:w="1628" w:type="dxa"/>
            <w:gridSpan w:val="2"/>
            <w:tcBorders>
              <w:right w:val="single" w:color="auto" w:sz="12" w:space="0"/>
            </w:tcBorders>
            <w:shd w:val="clear" w:color="auto" w:fill="auto"/>
            <w:vAlign w:val="center"/>
          </w:tcPr>
          <w:p w14:paraId="2997274C">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ascii="Times New Roman" w:hAnsi="Times New Roman"/>
                <w:color w:val="000000"/>
                <w:sz w:val="21"/>
                <w:szCs w:val="21"/>
              </w:rPr>
              <w:t>5</w:t>
            </w:r>
            <w:r>
              <w:rPr>
                <w:rFonts w:hint="eastAsia" w:ascii="Times New Roman" w:hAnsi="Times New Roman"/>
                <w:color w:val="000000"/>
                <w:sz w:val="21"/>
                <w:szCs w:val="21"/>
              </w:rPr>
              <w:t>.0</w:t>
            </w:r>
            <w:r>
              <w:rPr>
                <w:rFonts w:ascii="Times New Roman" w:hAnsi="Times New Roman"/>
                <w:color w:val="000000"/>
                <w:sz w:val="21"/>
                <w:szCs w:val="21"/>
              </w:rPr>
              <w:t>1</w:t>
            </w:r>
          </w:p>
        </w:tc>
      </w:tr>
      <w:tr w14:paraId="54F6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FD28ABB">
            <w:pPr>
              <w:widowControl w:val="0"/>
              <w:jc w:val="center"/>
              <w:rPr>
                <w:rFonts w:ascii="黑体" w:hAnsi="黑体" w:eastAsia="黑体"/>
                <w:color w:val="000000"/>
                <w:sz w:val="21"/>
                <w:szCs w:val="21"/>
              </w:rPr>
            </w:pPr>
            <w:r>
              <w:rPr>
                <w:rFonts w:hint="eastAsia" w:ascii="黑体" w:hAnsi="黑体" w:eastAsia="黑体"/>
                <w:color w:val="000000"/>
                <w:sz w:val="21"/>
                <w:szCs w:val="21"/>
              </w:rPr>
              <w:t>学院负责人</w:t>
            </w:r>
          </w:p>
        </w:tc>
        <w:tc>
          <w:tcPr>
            <w:tcW w:w="3532" w:type="dxa"/>
            <w:gridSpan w:val="2"/>
            <w:tcBorders>
              <w:bottom w:val="single" w:color="auto" w:sz="12" w:space="0"/>
            </w:tcBorders>
            <w:shd w:val="clear" w:color="auto" w:fill="auto"/>
            <w:vAlign w:val="center"/>
          </w:tcPr>
          <w:p w14:paraId="2B210B37">
            <w:pPr>
              <w:widowControl w:val="0"/>
              <w:jc w:val="right"/>
              <w:rPr>
                <w:rFonts w:ascii="黑体" w:hAnsi="黑体" w:eastAsia="黑体"/>
                <w:color w:val="000000"/>
                <w:sz w:val="21"/>
                <w:szCs w:val="21"/>
              </w:rPr>
            </w:pPr>
            <w:r>
              <w:rPr>
                <w:sz w:val="21"/>
                <w:szCs w:val="21"/>
              </w:rPr>
              <w:drawing>
                <wp:inline distT="0" distB="0" distL="0" distR="0">
                  <wp:extent cx="542925" cy="368935"/>
                  <wp:effectExtent l="0" t="0" r="0" b="0"/>
                  <wp:docPr id="1" name="图片 1" descr="G:\WeChat Files\wxid_mgxwpy43j3jh22\FileStorage\Temp\adef364cadea4d082c52ad0b595e3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WeChat Files\wxid_mgxwpy43j3jh22\FileStorage\Temp\adef364cadea4d082c52ad0b595e3f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65354" cy="384367"/>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shd w:val="clear" w:color="auto" w:fill="auto"/>
            <w:vAlign w:val="center"/>
          </w:tcPr>
          <w:p w14:paraId="2DB80A4F">
            <w:pPr>
              <w:widowControl w:val="0"/>
              <w:jc w:val="center"/>
              <w:rPr>
                <w:sz w:val="21"/>
                <w:szCs w:val="21"/>
              </w:rPr>
            </w:pPr>
            <w:r>
              <w:rPr>
                <w:rFonts w:hint="eastAsia" w:ascii="黑体" w:hAnsi="黑体" w:eastAsia="黑体"/>
                <w:color w:val="000000"/>
                <w:sz w:val="21"/>
                <w:szCs w:val="21"/>
              </w:rPr>
              <w:t>批准时间</w:t>
            </w:r>
          </w:p>
        </w:tc>
        <w:tc>
          <w:tcPr>
            <w:tcW w:w="1628" w:type="dxa"/>
            <w:gridSpan w:val="2"/>
            <w:tcBorders>
              <w:bottom w:val="single" w:color="auto" w:sz="12" w:space="0"/>
              <w:right w:val="single" w:color="auto" w:sz="12" w:space="0"/>
            </w:tcBorders>
            <w:shd w:val="clear" w:color="auto" w:fill="auto"/>
            <w:vAlign w:val="center"/>
          </w:tcPr>
          <w:p w14:paraId="08703D90">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025.1</w:t>
            </w:r>
          </w:p>
        </w:tc>
      </w:tr>
    </w:tbl>
    <w:p w14:paraId="0CE76BD8">
      <w:pPr>
        <w:spacing w:line="100" w:lineRule="exact"/>
        <w:rPr>
          <w:rFonts w:ascii="Arial" w:hAnsi="Arial" w:eastAsia="黑体"/>
        </w:rPr>
      </w:pPr>
      <w:r>
        <w:br w:type="page"/>
      </w:r>
    </w:p>
    <w:p w14:paraId="2520EF86">
      <w:pPr>
        <w:pStyle w:val="18"/>
        <w:spacing w:before="326" w:beforeLines="100" w:line="360" w:lineRule="auto"/>
        <w:rPr>
          <w:rFonts w:ascii="黑体" w:hAnsi="宋体"/>
        </w:rPr>
      </w:pPr>
      <w:r>
        <w:rPr>
          <w:rFonts w:hint="eastAsia" w:ascii="黑体" w:hAnsi="宋体"/>
        </w:rPr>
        <w:t>二、课程目标与毕业要求</w:t>
      </w:r>
    </w:p>
    <w:p w14:paraId="7B91A80A">
      <w:pPr>
        <w:pStyle w:val="19"/>
        <w:spacing w:before="81" w:after="163"/>
      </w:pPr>
      <w:r>
        <w:rPr>
          <w:rFonts w:hint="eastAsia"/>
        </w:rPr>
        <w:t xml:space="preserve">（一）课程目标 </w:t>
      </w:r>
    </w:p>
    <w:tbl>
      <w:tblPr>
        <w:tblStyle w:val="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49"/>
      </w:tblGrid>
      <w:tr w14:paraId="213E99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1DE888F6">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vAlign w:val="center"/>
          </w:tcPr>
          <w:p w14:paraId="7CDB0C9F">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6" w:type="dxa"/>
            <w:vAlign w:val="center"/>
          </w:tcPr>
          <w:p w14:paraId="7A8025FF">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2D96BC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069" w:hRule="atLeast"/>
          <w:jc w:val="center"/>
        </w:trPr>
        <w:tc>
          <w:tcPr>
            <w:tcW w:w="1235" w:type="dxa"/>
            <w:vMerge w:val="restart"/>
            <w:vAlign w:val="center"/>
          </w:tcPr>
          <w:p w14:paraId="799D4D2A">
            <w:pPr>
              <w:snapToGrid w:val="0"/>
              <w:jc w:val="center"/>
            </w:pPr>
            <w:r>
              <w:rPr>
                <w:rFonts w:hint="eastAsia" w:ascii="黑体" w:hAnsi="黑体" w:eastAsia="黑体"/>
                <w:bCs/>
                <w:color w:val="000000"/>
                <w:sz w:val="21"/>
                <w:szCs w:val="18"/>
              </w:rPr>
              <w:t>知识目标</w:t>
            </w:r>
          </w:p>
        </w:tc>
        <w:tc>
          <w:tcPr>
            <w:tcW w:w="782" w:type="dxa"/>
            <w:vAlign w:val="center"/>
          </w:tcPr>
          <w:p w14:paraId="22A62C1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1</w:t>
            </w:r>
          </w:p>
        </w:tc>
        <w:tc>
          <w:tcPr>
            <w:tcW w:w="6456" w:type="dxa"/>
            <w:vAlign w:val="center"/>
          </w:tcPr>
          <w:p w14:paraId="5BF6FEB8">
            <w:pPr>
              <w:pStyle w:val="16"/>
              <w:jc w:val="left"/>
              <w:rPr>
                <w:rFonts w:cs="Times New Roman"/>
              </w:rPr>
            </w:pPr>
            <w:r>
              <w:rPr>
                <w:rFonts w:hint="eastAsia"/>
              </w:rPr>
              <w:t>1.健康保健：掌握基本健康保健知识和技能。2.健康检测：掌握基本健康检测知识和技能。3</w:t>
            </w:r>
            <w:r>
              <w:t>.</w:t>
            </w:r>
            <w:r>
              <w:rPr>
                <w:rFonts w:hint="eastAsia"/>
              </w:rPr>
              <w:t xml:space="preserve"> 健康咨询：掌握健康保健专业知识，为服务对象提供健康咨询服务。能确定服务对象的健康需求，并采用合适的健康教育方法。4</w:t>
            </w:r>
            <w:r>
              <w:t>.</w:t>
            </w:r>
            <w:r>
              <w:rPr>
                <w:rFonts w:hint="eastAsia"/>
              </w:rPr>
              <w:t xml:space="preserve"> 健康促进：掌握慢性病管理相关知识，协助医生开展慢性病病人社区健康管理，包括健康干预方案的跟踪随访。</w:t>
            </w:r>
          </w:p>
        </w:tc>
      </w:tr>
      <w:tr w14:paraId="0E722B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867" w:hRule="atLeast"/>
          <w:jc w:val="center"/>
        </w:trPr>
        <w:tc>
          <w:tcPr>
            <w:tcW w:w="1235" w:type="dxa"/>
            <w:vAlign w:val="center"/>
          </w:tcPr>
          <w:p w14:paraId="0AD5C3CA">
            <w:pPr>
              <w:snapToGrid w:val="0"/>
              <w:jc w:val="center"/>
            </w:pPr>
            <w:r>
              <w:rPr>
                <w:rFonts w:hint="eastAsia" w:ascii="黑体" w:hAnsi="黑体" w:eastAsia="黑体"/>
                <w:bCs/>
                <w:color w:val="000000"/>
                <w:sz w:val="21"/>
                <w:szCs w:val="18"/>
              </w:rPr>
              <w:t>技能目标</w:t>
            </w:r>
          </w:p>
        </w:tc>
        <w:tc>
          <w:tcPr>
            <w:tcW w:w="782" w:type="dxa"/>
            <w:vAlign w:val="center"/>
          </w:tcPr>
          <w:p w14:paraId="45C4E28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456" w:type="dxa"/>
          </w:tcPr>
          <w:p w14:paraId="2D32BC65">
            <w:pPr>
              <w:pStyle w:val="16"/>
              <w:jc w:val="left"/>
              <w:rPr>
                <w:rFonts w:cs="Times New Roman"/>
              </w:rPr>
            </w:pPr>
            <w:r>
              <w:rPr>
                <w:rFonts w:hint="eastAsia"/>
              </w:rPr>
              <w:t>健康管理：掌握对个人或人群的健康风险因素进行全面管理的能力，开展健康管理服务。</w:t>
            </w:r>
          </w:p>
        </w:tc>
      </w:tr>
      <w:tr w14:paraId="7B7950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54" w:hRule="atLeast"/>
          <w:jc w:val="center"/>
        </w:trPr>
        <w:tc>
          <w:tcPr>
            <w:tcW w:w="1235" w:type="dxa"/>
            <w:vAlign w:val="center"/>
          </w:tcPr>
          <w:p w14:paraId="4CF72D6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1950030">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vAlign w:val="center"/>
          </w:tcPr>
          <w:p w14:paraId="0C35076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456" w:type="dxa"/>
            <w:vAlign w:val="center"/>
          </w:tcPr>
          <w:p w14:paraId="6968FB30">
            <w:pPr>
              <w:pStyle w:val="16"/>
              <w:jc w:val="left"/>
              <w:rPr>
                <w:rFonts w:cs="Times New Roman"/>
              </w:rPr>
            </w:pPr>
            <w:r>
              <w:rPr>
                <w:rFonts w:hint="eastAsia" w:cs="Times New Roman"/>
              </w:rPr>
              <w:t>富有爱心，懂得感恩，诚信尽责，为人诚实，信守承诺，勤奋努力，精益求精，勇于担责。具备助人为乐的品质。做好运用保险医学知识和健康风险因素与健康管理的服务。具有服务企业和社会的意愿和行为能力。具备终生学习的意识和能力。</w:t>
            </w:r>
            <w:r>
              <w:rPr>
                <w:rFonts w:hint="eastAsia"/>
              </w:rPr>
              <w:t>理解他人的观点，尊重他人的价值观，能在不同场合用书面或口头形式进行有效沟通。</w:t>
            </w:r>
          </w:p>
        </w:tc>
      </w:tr>
    </w:tbl>
    <w:p w14:paraId="780AA171">
      <w:pPr>
        <w:pStyle w:val="19"/>
        <w:spacing w:before="163" w:beforeLines="50" w:after="163"/>
      </w:pPr>
      <w:r>
        <w:rPr>
          <w:rFonts w:hint="eastAsia"/>
        </w:rPr>
        <w:t>（二）课程支撑的毕业要求</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65D9AA0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shd w:val="clear" w:color="auto" w:fill="auto"/>
          </w:tcPr>
          <w:p w14:paraId="4AE05579">
            <w:pPr>
              <w:pStyle w:val="16"/>
              <w:widowControl w:val="0"/>
              <w:jc w:val="left"/>
              <w:rPr>
                <w:rFonts w:cs="Times New Roman"/>
              </w:rPr>
            </w:pPr>
            <w:r>
              <w:rPr>
                <w:rFonts w:hint="eastAsia" w:cs="Times New Roman"/>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1B3BF2AD">
            <w:pPr>
              <w:pStyle w:val="16"/>
              <w:widowControl w:val="0"/>
              <w:jc w:val="left"/>
              <w:rPr>
                <w:rFonts w:cs="Times New Roman"/>
              </w:rPr>
            </w:pPr>
            <w:r>
              <w:rPr>
                <w:rFonts w:hint="eastAsia" w:cs="Times New Roman"/>
              </w:rPr>
              <w:t>④诚信尽责，为人诚实，信守承诺，勤奋努力，精益求精，勇于担责。</w:t>
            </w:r>
          </w:p>
        </w:tc>
      </w:tr>
      <w:tr w14:paraId="20FF4CF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shd w:val="clear" w:color="auto" w:fill="auto"/>
          </w:tcPr>
          <w:p w14:paraId="6A5C4D1E">
            <w:pPr>
              <w:pStyle w:val="16"/>
              <w:widowControl w:val="0"/>
              <w:jc w:val="left"/>
              <w:rPr>
                <w:rFonts w:cs="Times New Roman"/>
              </w:rPr>
            </w:pPr>
            <w:r>
              <w:rPr>
                <w:rFonts w:cs="Times New Roman"/>
              </w:rPr>
              <w:t>LO2专业能力：</w:t>
            </w:r>
            <w:r>
              <w:rPr>
                <w:rFonts w:hint="eastAsia" w:cs="Times New Roman"/>
              </w:rPr>
              <w:t>掌握管理学、社会学、护理学等学科基础理论和专门知识，能够熟练运用养老机构经营管理、老年健康管理、老年照护等专业技能，具备现代养老服务管理的理念和素养。</w:t>
            </w:r>
          </w:p>
          <w:p w14:paraId="720766CA">
            <w:pPr>
              <w:pStyle w:val="16"/>
              <w:widowControl w:val="0"/>
              <w:jc w:val="left"/>
              <w:rPr>
                <w:rFonts w:cs="Times New Roman"/>
              </w:rPr>
            </w:pPr>
            <w:r>
              <w:rPr>
                <w:rFonts w:hint="eastAsia" w:cs="Times New Roman"/>
              </w:rPr>
              <w:t>②健康评估能力：能全面评估老年人的身心、社会及精神方面的健康状态，具有健康监测、健康风险评估能力。</w:t>
            </w:r>
          </w:p>
        </w:tc>
      </w:tr>
      <w:tr w14:paraId="2D23E5B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shd w:val="clear" w:color="auto" w:fill="auto"/>
          </w:tcPr>
          <w:p w14:paraId="7D397E9E">
            <w:pPr>
              <w:pStyle w:val="16"/>
              <w:widowControl w:val="0"/>
              <w:jc w:val="left"/>
              <w:rPr>
                <w:rFonts w:cs="Times New Roman"/>
              </w:rPr>
            </w:pPr>
            <w:r>
              <w:rPr>
                <w:rFonts w:cs="Times New Roman"/>
              </w:rPr>
              <w:t>LO6协同创新：同群体保持良好的合作关系，做集体中的积极成员，善于自我管理和团队管理；善于从多个维度思考问题，利用自己的知识与实践来提出新设想。</w:t>
            </w:r>
          </w:p>
          <w:p w14:paraId="21BB6524">
            <w:pPr>
              <w:pStyle w:val="16"/>
              <w:widowControl w:val="0"/>
              <w:jc w:val="left"/>
              <w:rPr>
                <w:rFonts w:cs="Times New Roman"/>
              </w:rPr>
            </w:pPr>
            <w:r>
              <w:rPr>
                <w:rFonts w:hint="eastAsia" w:cs="Times New Roman"/>
              </w:rPr>
              <w:t>④</w:t>
            </w:r>
            <w:r>
              <w:rPr>
                <w:rFonts w:cs="Times New Roman"/>
              </w:rPr>
              <w:t>了解行业前沿知识技术。</w:t>
            </w:r>
          </w:p>
        </w:tc>
      </w:tr>
    </w:tbl>
    <w:p w14:paraId="5530EDA1">
      <w:pPr>
        <w:pStyle w:val="19"/>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5D18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vAlign w:val="center"/>
          </w:tcPr>
          <w:p w14:paraId="51192A41">
            <w:pPr>
              <w:pStyle w:val="15"/>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4D76E79D">
            <w:pPr>
              <w:pStyle w:val="15"/>
              <w:rPr>
                <w:szCs w:val="16"/>
              </w:rPr>
            </w:pPr>
            <w:r>
              <w:rPr>
                <w:rFonts w:hint="eastAsia"/>
                <w:szCs w:val="16"/>
              </w:rPr>
              <w:t>指标点</w:t>
            </w:r>
          </w:p>
        </w:tc>
        <w:tc>
          <w:tcPr>
            <w:tcW w:w="794" w:type="dxa"/>
            <w:tcBorders>
              <w:top w:val="single" w:color="auto" w:sz="12" w:space="0"/>
              <w:right w:val="double" w:color="auto" w:sz="4" w:space="0"/>
            </w:tcBorders>
            <w:vAlign w:val="center"/>
          </w:tcPr>
          <w:p w14:paraId="65A0505E">
            <w:pPr>
              <w:pStyle w:val="15"/>
              <w:rPr>
                <w:szCs w:val="16"/>
              </w:rPr>
            </w:pPr>
            <w:r>
              <w:rPr>
                <w:rFonts w:hint="eastAsia"/>
                <w:szCs w:val="16"/>
              </w:rPr>
              <w:t>支撑度</w:t>
            </w:r>
          </w:p>
        </w:tc>
        <w:tc>
          <w:tcPr>
            <w:tcW w:w="4763" w:type="dxa"/>
            <w:tcBorders>
              <w:top w:val="single" w:color="auto" w:sz="12" w:space="0"/>
            </w:tcBorders>
            <w:vAlign w:val="center"/>
          </w:tcPr>
          <w:p w14:paraId="52381A49">
            <w:pPr>
              <w:pStyle w:val="15"/>
              <w:rPr>
                <w:szCs w:val="16"/>
              </w:rPr>
            </w:pPr>
            <w:r>
              <w:rPr>
                <w:rFonts w:hint="eastAsia"/>
                <w:szCs w:val="16"/>
              </w:rPr>
              <w:t>课程目标</w:t>
            </w:r>
          </w:p>
        </w:tc>
        <w:tc>
          <w:tcPr>
            <w:tcW w:w="1348" w:type="dxa"/>
            <w:tcBorders>
              <w:top w:val="single" w:color="auto" w:sz="12" w:space="0"/>
              <w:right w:val="single" w:color="auto" w:sz="12" w:space="0"/>
            </w:tcBorders>
            <w:vAlign w:val="center"/>
          </w:tcPr>
          <w:p w14:paraId="4D555130">
            <w:pPr>
              <w:pStyle w:val="15"/>
              <w:rPr>
                <w:szCs w:val="16"/>
              </w:rPr>
            </w:pPr>
            <w:r>
              <w:rPr>
                <w:rFonts w:hint="eastAsia"/>
                <w:szCs w:val="16"/>
              </w:rPr>
              <w:t>对指标点的贡献度</w:t>
            </w:r>
          </w:p>
        </w:tc>
      </w:tr>
      <w:tr w14:paraId="6C94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53" w:hRule="atLeast"/>
          <w:jc w:val="center"/>
        </w:trPr>
        <w:tc>
          <w:tcPr>
            <w:tcW w:w="777" w:type="dxa"/>
            <w:tcBorders>
              <w:left w:val="single" w:color="auto" w:sz="12" w:space="0"/>
              <w:right w:val="single" w:color="auto" w:sz="4" w:space="0"/>
            </w:tcBorders>
            <w:vAlign w:val="center"/>
          </w:tcPr>
          <w:p w14:paraId="106BDAB7">
            <w:pPr>
              <w:pStyle w:val="16"/>
            </w:pPr>
            <w:r>
              <w:rPr>
                <w:rFonts w:cs="Times New Roman"/>
                <w:b/>
              </w:rPr>
              <w:t>LO1</w:t>
            </w:r>
          </w:p>
        </w:tc>
        <w:tc>
          <w:tcPr>
            <w:tcW w:w="794" w:type="dxa"/>
            <w:tcBorders>
              <w:left w:val="single" w:color="auto" w:sz="4" w:space="0"/>
            </w:tcBorders>
            <w:vAlign w:val="center"/>
          </w:tcPr>
          <w:p w14:paraId="14B261C5">
            <w:pPr>
              <w:pStyle w:val="16"/>
              <w:rPr>
                <w:rFonts w:cs="Times New Roman"/>
                <w:bCs/>
              </w:rPr>
            </w:pPr>
            <w:r>
              <w:rPr>
                <w:rFonts w:ascii="Cambria Math" w:hAnsi="Cambria Math" w:cs="Cambria Math"/>
                <w:bCs/>
              </w:rPr>
              <w:t>④</w:t>
            </w:r>
          </w:p>
        </w:tc>
        <w:tc>
          <w:tcPr>
            <w:tcW w:w="794" w:type="dxa"/>
            <w:tcBorders>
              <w:right w:val="double" w:color="auto" w:sz="4" w:space="0"/>
            </w:tcBorders>
            <w:vAlign w:val="center"/>
          </w:tcPr>
          <w:p w14:paraId="1A5D7A64">
            <w:pPr>
              <w:pStyle w:val="16"/>
              <w:rPr>
                <w:rFonts w:ascii="宋体" w:hAnsi="宋体"/>
              </w:rPr>
            </w:pPr>
            <w:r>
              <w:rPr>
                <w:rFonts w:cs="Times New Roman"/>
              </w:rPr>
              <w:t>M</w:t>
            </w:r>
          </w:p>
        </w:tc>
        <w:tc>
          <w:tcPr>
            <w:tcW w:w="4763" w:type="dxa"/>
            <w:vAlign w:val="center"/>
          </w:tcPr>
          <w:p w14:paraId="0F2D0E2C">
            <w:pPr>
              <w:pStyle w:val="16"/>
              <w:jc w:val="left"/>
              <w:rPr>
                <w:rFonts w:cs="Times New Roman"/>
              </w:rPr>
            </w:pPr>
            <w:r>
              <w:rPr>
                <w:rFonts w:hint="eastAsia" w:cs="Times New Roman"/>
              </w:rPr>
              <w:t>富有爱心，懂得感恩，诚信尽责，为人诚实，信守承诺，勤奋努力，精益求精，勇于担责。具备助人为乐的品质。做好运用保险医学知识和健康风险因素与健康管理的服务。具有服务企业和社会的意愿和行为能力。具备终生学习的意识和能力。具备良好的政治、法律和道德的人文素养。</w:t>
            </w:r>
          </w:p>
        </w:tc>
        <w:tc>
          <w:tcPr>
            <w:tcW w:w="1348" w:type="dxa"/>
            <w:tcBorders>
              <w:right w:val="single" w:color="auto" w:sz="12" w:space="0"/>
            </w:tcBorders>
            <w:vAlign w:val="center"/>
          </w:tcPr>
          <w:p w14:paraId="4E85582B">
            <w:pPr>
              <w:pStyle w:val="16"/>
              <w:rPr>
                <w:rFonts w:ascii="宋体" w:hAnsi="宋体"/>
                <w:bCs/>
              </w:rPr>
            </w:pPr>
            <w:r>
              <w:rPr>
                <w:rFonts w:hint="eastAsia" w:ascii="宋体" w:hAnsi="宋体"/>
                <w:bCs/>
              </w:rPr>
              <w:t>100%</w:t>
            </w:r>
          </w:p>
        </w:tc>
      </w:tr>
      <w:tr w14:paraId="3FFD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694" w:hRule="atLeast"/>
          <w:jc w:val="center"/>
        </w:trPr>
        <w:tc>
          <w:tcPr>
            <w:tcW w:w="777" w:type="dxa"/>
            <w:tcBorders>
              <w:left w:val="single" w:color="auto" w:sz="12" w:space="0"/>
              <w:right w:val="single" w:color="auto" w:sz="4" w:space="0"/>
            </w:tcBorders>
            <w:vAlign w:val="center"/>
          </w:tcPr>
          <w:p w14:paraId="1070E615">
            <w:pPr>
              <w:pStyle w:val="16"/>
            </w:pPr>
            <w:r>
              <w:rPr>
                <w:rFonts w:cs="Times New Roman"/>
                <w:b/>
              </w:rPr>
              <w:t>LO2</w:t>
            </w:r>
          </w:p>
        </w:tc>
        <w:tc>
          <w:tcPr>
            <w:tcW w:w="794" w:type="dxa"/>
            <w:tcBorders>
              <w:left w:val="single" w:color="auto" w:sz="4" w:space="0"/>
            </w:tcBorders>
            <w:vAlign w:val="center"/>
          </w:tcPr>
          <w:p w14:paraId="563779D6">
            <w:pPr>
              <w:pStyle w:val="16"/>
              <w:rPr>
                <w:rFonts w:ascii="Cambria Math" w:hAnsi="Cambria Math" w:cs="Cambria Math"/>
                <w:bCs/>
              </w:rPr>
            </w:pPr>
            <w:r>
              <w:rPr>
                <w:rFonts w:hint="eastAsia" w:ascii="Cambria Math" w:hAnsi="Cambria Math" w:cs="Cambria Math"/>
                <w:bCs/>
              </w:rPr>
              <w:t>②</w:t>
            </w:r>
          </w:p>
        </w:tc>
        <w:tc>
          <w:tcPr>
            <w:tcW w:w="794" w:type="dxa"/>
            <w:tcBorders>
              <w:right w:val="double" w:color="auto" w:sz="4" w:space="0"/>
            </w:tcBorders>
            <w:vAlign w:val="center"/>
          </w:tcPr>
          <w:p w14:paraId="2949E827">
            <w:pPr>
              <w:pStyle w:val="16"/>
              <w:rPr>
                <w:rFonts w:ascii="宋体" w:hAnsi="宋体"/>
              </w:rPr>
            </w:pPr>
            <w:r>
              <w:rPr>
                <w:rFonts w:cs="Times New Roman"/>
              </w:rPr>
              <w:t>H</w:t>
            </w:r>
          </w:p>
        </w:tc>
        <w:tc>
          <w:tcPr>
            <w:tcW w:w="4763" w:type="dxa"/>
          </w:tcPr>
          <w:p w14:paraId="135BD8BE">
            <w:pPr>
              <w:pStyle w:val="16"/>
              <w:jc w:val="left"/>
              <w:rPr>
                <w:rFonts w:cs="Times New Roman"/>
              </w:rPr>
            </w:pPr>
            <w:r>
              <w:rPr>
                <w:rFonts w:hint="eastAsia" w:ascii="宋体" w:hAnsi="宋体"/>
                <w:sz w:val="20"/>
                <w:szCs w:val="20"/>
              </w:rPr>
              <w:t>能根据需要确定学习目标，并设计学习计划。能搜集、获取达到目标所需要的学习资源，实施学习计划、反思学习计划、持续改进，达到学习目标。</w:t>
            </w:r>
          </w:p>
        </w:tc>
        <w:tc>
          <w:tcPr>
            <w:tcW w:w="1348" w:type="dxa"/>
            <w:tcBorders>
              <w:right w:val="single" w:color="auto" w:sz="12" w:space="0"/>
            </w:tcBorders>
            <w:vAlign w:val="center"/>
          </w:tcPr>
          <w:p w14:paraId="4596A9D2">
            <w:pPr>
              <w:pStyle w:val="16"/>
              <w:rPr>
                <w:rFonts w:ascii="宋体" w:hAnsi="宋体"/>
                <w:bCs/>
              </w:rPr>
            </w:pPr>
            <w:r>
              <w:rPr>
                <w:rFonts w:hint="eastAsia" w:ascii="宋体" w:hAnsi="宋体"/>
                <w:bCs/>
              </w:rPr>
              <w:t>100%</w:t>
            </w:r>
          </w:p>
        </w:tc>
      </w:tr>
      <w:tr w14:paraId="057D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vAlign w:val="center"/>
          </w:tcPr>
          <w:p w14:paraId="0195939D">
            <w:pPr>
              <w:pStyle w:val="16"/>
            </w:pPr>
            <w:r>
              <w:rPr>
                <w:rFonts w:cs="Times New Roman"/>
                <w:b/>
              </w:rPr>
              <w:t>LO6</w:t>
            </w:r>
          </w:p>
        </w:tc>
        <w:tc>
          <w:tcPr>
            <w:tcW w:w="794" w:type="dxa"/>
            <w:tcBorders>
              <w:left w:val="single" w:color="auto" w:sz="4" w:space="0"/>
              <w:bottom w:val="single" w:color="auto" w:sz="12" w:space="0"/>
            </w:tcBorders>
            <w:vAlign w:val="center"/>
          </w:tcPr>
          <w:p w14:paraId="624CB07F">
            <w:pPr>
              <w:pStyle w:val="16"/>
              <w:rPr>
                <w:rFonts w:ascii="Cambria Math" w:hAnsi="Cambria Math" w:cs="Cambria Math"/>
                <w:bCs/>
              </w:rPr>
            </w:pPr>
            <w:r>
              <w:rPr>
                <w:rFonts w:hint="eastAsia" w:ascii="Cambria Math" w:hAnsi="Cambria Math" w:cs="Cambria Math"/>
                <w:bCs/>
              </w:rPr>
              <w:t>④</w:t>
            </w:r>
          </w:p>
        </w:tc>
        <w:tc>
          <w:tcPr>
            <w:tcW w:w="794" w:type="dxa"/>
            <w:tcBorders>
              <w:bottom w:val="single" w:color="auto" w:sz="12" w:space="0"/>
              <w:right w:val="double" w:color="auto" w:sz="4" w:space="0"/>
            </w:tcBorders>
            <w:vAlign w:val="center"/>
          </w:tcPr>
          <w:p w14:paraId="331BD666">
            <w:pPr>
              <w:pStyle w:val="16"/>
              <w:rPr>
                <w:rFonts w:ascii="宋体" w:hAnsi="宋体"/>
              </w:rPr>
            </w:pPr>
            <w:r>
              <w:rPr>
                <w:rFonts w:cs="Times New Roman"/>
              </w:rPr>
              <w:t>M</w:t>
            </w:r>
          </w:p>
        </w:tc>
        <w:tc>
          <w:tcPr>
            <w:tcW w:w="4763" w:type="dxa"/>
            <w:tcBorders>
              <w:bottom w:val="single" w:color="auto" w:sz="12" w:space="0"/>
            </w:tcBorders>
          </w:tcPr>
          <w:p w14:paraId="4DFCD953">
            <w:pPr>
              <w:pStyle w:val="16"/>
              <w:jc w:val="left"/>
              <w:rPr>
                <w:rFonts w:cs="Times New Roman"/>
              </w:rPr>
            </w:pPr>
            <w:r>
              <w:rPr>
                <w:rFonts w:hint="eastAsia" w:ascii="宋体" w:hAnsi="宋体"/>
                <w:sz w:val="20"/>
                <w:szCs w:val="20"/>
              </w:rPr>
              <w:t>熟练使用计算机，掌握常用办公软件。运用现代信息技术，开展健康评估和健康改活动</w:t>
            </w:r>
            <w:r>
              <w:rPr>
                <w:rFonts w:hint="eastAsia" w:cs="Times New Roman"/>
              </w:rPr>
              <w:t>。诚实，承诺，努力，能够了解行业前沿科学技术，具备运用该学科知识和技术解决复杂问题的能力。</w:t>
            </w:r>
          </w:p>
        </w:tc>
        <w:tc>
          <w:tcPr>
            <w:tcW w:w="1348" w:type="dxa"/>
            <w:tcBorders>
              <w:bottom w:val="single" w:color="auto" w:sz="12" w:space="0"/>
              <w:right w:val="single" w:color="auto" w:sz="12" w:space="0"/>
            </w:tcBorders>
            <w:vAlign w:val="center"/>
          </w:tcPr>
          <w:p w14:paraId="782A2FEC">
            <w:pPr>
              <w:pStyle w:val="16"/>
              <w:rPr>
                <w:rFonts w:ascii="宋体" w:hAnsi="宋体"/>
                <w:bCs/>
              </w:rPr>
            </w:pPr>
            <w:r>
              <w:rPr>
                <w:rFonts w:hint="eastAsia" w:ascii="宋体" w:hAnsi="宋体"/>
                <w:bCs/>
              </w:rPr>
              <w:t>100%</w:t>
            </w:r>
          </w:p>
        </w:tc>
      </w:tr>
    </w:tbl>
    <w:p w14:paraId="3773E398">
      <w:pPr>
        <w:pStyle w:val="18"/>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73EF1462">
      <w:pPr>
        <w:pStyle w:val="19"/>
        <w:spacing w:before="81" w:after="163"/>
      </w:pPr>
      <w:r>
        <w:rPr>
          <w:rFonts w:hint="eastAsia"/>
        </w:rPr>
        <w:t>（一）各教学单元预期学习成果与教学内容</w:t>
      </w:r>
    </w:p>
    <w:tbl>
      <w:tblPr>
        <w:tblStyle w:val="7"/>
        <w:tblW w:w="0" w:type="auto"/>
        <w:tblInd w:w="1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62"/>
      </w:tblGrid>
      <w:tr w14:paraId="4E43370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62" w:type="dxa"/>
            <w:shd w:val="clear" w:color="auto" w:fill="auto"/>
          </w:tcPr>
          <w:p w14:paraId="35EDEF75">
            <w:pPr>
              <w:pStyle w:val="16"/>
              <w:widowControl w:val="0"/>
              <w:jc w:val="left"/>
              <w:rPr>
                <w:rFonts w:cs="Times New Roman"/>
              </w:rPr>
            </w:pPr>
            <w:r>
              <w:rPr>
                <w:rFonts w:hint="eastAsia" w:cs="Times New Roman"/>
              </w:rPr>
              <w:t xml:space="preserve">第一单元  </w:t>
            </w:r>
            <w:r>
              <w:rPr>
                <w:rFonts w:hint="eastAsia" w:ascii="仿宋" w:hAnsi="仿宋" w:eastAsia="仿宋" w:cs="仿宋"/>
                <w:sz w:val="24"/>
                <w:szCs w:val="24"/>
              </w:rPr>
              <w:t>慢性病概述</w:t>
            </w:r>
          </w:p>
          <w:p w14:paraId="231C21B7">
            <w:pPr>
              <w:pStyle w:val="16"/>
              <w:widowControl w:val="0"/>
              <w:jc w:val="left"/>
              <w:rPr>
                <w:rFonts w:cs="Times New Roman"/>
              </w:rPr>
            </w:pPr>
            <w:r>
              <w:rPr>
                <w:rFonts w:hint="eastAsia" w:cs="Times New Roman"/>
              </w:rPr>
              <w:t>知识点：</w:t>
            </w:r>
          </w:p>
          <w:p w14:paraId="671E77A2">
            <w:pPr>
              <w:snapToGrid w:val="0"/>
              <w:spacing w:line="300" w:lineRule="exact"/>
              <w:rPr>
                <w:rFonts w:ascii="仿宋" w:hAnsi="仿宋" w:eastAsia="仿宋" w:cs="仿宋"/>
              </w:rPr>
            </w:pPr>
            <w:r>
              <w:rPr>
                <w:rFonts w:hint="eastAsia" w:ascii="仿宋" w:hAnsi="仿宋" w:eastAsia="仿宋" w:cs="仿宋"/>
              </w:rPr>
              <w:t>1、慢性病概念。</w:t>
            </w:r>
          </w:p>
          <w:p w14:paraId="16E066A2">
            <w:pPr>
              <w:snapToGrid w:val="0"/>
              <w:spacing w:line="300" w:lineRule="exact"/>
              <w:rPr>
                <w:rFonts w:ascii="仿宋" w:hAnsi="仿宋" w:eastAsia="仿宋" w:cs="仿宋"/>
              </w:rPr>
            </w:pPr>
            <w:r>
              <w:rPr>
                <w:rFonts w:hint="eastAsia" w:ascii="仿宋" w:hAnsi="仿宋" w:eastAsia="仿宋" w:cs="仿宋"/>
              </w:rPr>
              <w:t>2.慢性病特点，危险因素，流行现状，危害。</w:t>
            </w:r>
          </w:p>
          <w:p w14:paraId="7DDFF14F">
            <w:pPr>
              <w:pStyle w:val="16"/>
              <w:widowControl w:val="0"/>
              <w:jc w:val="left"/>
              <w:rPr>
                <w:rFonts w:cs="Times New Roman"/>
              </w:rPr>
            </w:pPr>
            <w:r>
              <w:rPr>
                <w:rFonts w:hint="eastAsia" w:ascii="仿宋" w:hAnsi="仿宋" w:eastAsia="仿宋" w:cs="仿宋"/>
                <w:sz w:val="24"/>
                <w:szCs w:val="24"/>
              </w:rPr>
              <w:t>3.慢性病防控的财政和健康收益。</w:t>
            </w:r>
            <w:r>
              <w:rPr>
                <w:rFonts w:hint="eastAsia" w:cs="Times New Roman"/>
              </w:rPr>
              <w:tab/>
            </w:r>
          </w:p>
          <w:p w14:paraId="13066316">
            <w:pPr>
              <w:pStyle w:val="16"/>
              <w:widowControl w:val="0"/>
              <w:jc w:val="left"/>
              <w:rPr>
                <w:rFonts w:cs="Times New Roman"/>
              </w:rPr>
            </w:pPr>
            <w:r>
              <w:rPr>
                <w:rFonts w:hint="eastAsia" w:cs="Times New Roman"/>
              </w:rPr>
              <w:t>能力要求：</w:t>
            </w:r>
          </w:p>
          <w:p w14:paraId="5305D539">
            <w:pPr>
              <w:snapToGrid w:val="0"/>
              <w:spacing w:line="300" w:lineRule="exact"/>
              <w:rPr>
                <w:rFonts w:ascii="仿宋" w:hAnsi="仿宋" w:eastAsia="仿宋" w:cs="仿宋"/>
              </w:rPr>
            </w:pPr>
            <w:r>
              <w:rPr>
                <w:rFonts w:hint="eastAsia" w:ascii="仿宋" w:hAnsi="仿宋" w:eastAsia="仿宋" w:cs="仿宋"/>
              </w:rPr>
              <w:t>1.知道什么是慢性病，包括哪些，能初步判断慢性病。</w:t>
            </w:r>
          </w:p>
          <w:p w14:paraId="190885B5">
            <w:pPr>
              <w:pStyle w:val="16"/>
              <w:widowControl w:val="0"/>
              <w:jc w:val="left"/>
              <w:rPr>
                <w:rFonts w:cs="Times New Roman"/>
              </w:rPr>
            </w:pPr>
            <w:r>
              <w:rPr>
                <w:rFonts w:hint="eastAsia" w:ascii="仿宋" w:hAnsi="仿宋" w:eastAsia="仿宋" w:cs="仿宋"/>
                <w:sz w:val="24"/>
                <w:szCs w:val="24"/>
              </w:rPr>
              <w:t>2.使学生通过对慢性病特点，危险因素，流行现状，危害而认识到慢性病预防与管理在健康管理工作中的重要意义。</w:t>
            </w:r>
            <w:r>
              <w:rPr>
                <w:rFonts w:hint="eastAsia" w:cs="Times New Roman"/>
              </w:rPr>
              <w:tab/>
            </w:r>
          </w:p>
          <w:p w14:paraId="0E78E058">
            <w:pPr>
              <w:pStyle w:val="16"/>
              <w:widowControl w:val="0"/>
              <w:jc w:val="left"/>
              <w:rPr>
                <w:rFonts w:hint="eastAsia" w:cs="Times New Roman"/>
              </w:rPr>
            </w:pPr>
            <w:r>
              <w:rPr>
                <w:rFonts w:hint="eastAsia" w:cs="Times New Roman"/>
              </w:rPr>
              <w:t>教学难点：</w:t>
            </w:r>
            <w:r>
              <w:rPr>
                <w:rFonts w:hint="eastAsia" w:ascii="仿宋" w:hAnsi="仿宋" w:eastAsia="仿宋" w:cs="仿宋"/>
                <w:sz w:val="24"/>
                <w:szCs w:val="24"/>
              </w:rPr>
              <w:t>慢性病基础知识要掌握，对慢性病的特点，危害性要充分认识</w:t>
            </w:r>
          </w:p>
        </w:tc>
      </w:tr>
      <w:tr w14:paraId="63CCF3E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62" w:type="dxa"/>
            <w:shd w:val="clear" w:color="auto" w:fill="auto"/>
          </w:tcPr>
          <w:p w14:paraId="03A2138F">
            <w:pPr>
              <w:pStyle w:val="16"/>
              <w:widowControl w:val="0"/>
              <w:jc w:val="left"/>
              <w:rPr>
                <w:rFonts w:cs="Times New Roman"/>
              </w:rPr>
            </w:pPr>
            <w:r>
              <w:rPr>
                <w:rFonts w:hint="eastAsia" w:cs="Times New Roman"/>
              </w:rPr>
              <w:t>第二单元</w:t>
            </w:r>
            <w:r>
              <w:rPr>
                <w:rFonts w:hint="eastAsia" w:cs="Times New Roman"/>
              </w:rPr>
              <w:tab/>
            </w:r>
            <w:r>
              <w:rPr>
                <w:rFonts w:hint="eastAsia" w:ascii="仿宋" w:hAnsi="仿宋" w:eastAsia="仿宋" w:cs="仿宋"/>
                <w:sz w:val="24"/>
                <w:szCs w:val="24"/>
              </w:rPr>
              <w:t>慢性病社区防治与管理</w:t>
            </w:r>
          </w:p>
          <w:p w14:paraId="765FFE37">
            <w:pPr>
              <w:pStyle w:val="16"/>
              <w:widowControl w:val="0"/>
              <w:jc w:val="left"/>
              <w:rPr>
                <w:rFonts w:cs="Times New Roman"/>
              </w:rPr>
            </w:pPr>
            <w:r>
              <w:rPr>
                <w:rFonts w:hint="eastAsia" w:cs="Times New Roman"/>
              </w:rPr>
              <w:t>知识点：</w:t>
            </w:r>
          </w:p>
          <w:p w14:paraId="51C73603">
            <w:pPr>
              <w:widowControl w:val="0"/>
              <w:numPr>
                <w:ilvl w:val="0"/>
                <w:numId w:val="1"/>
              </w:numPr>
              <w:snapToGrid w:val="0"/>
              <w:spacing w:line="300" w:lineRule="exact"/>
              <w:jc w:val="both"/>
              <w:rPr>
                <w:rFonts w:ascii="仿宋" w:hAnsi="仿宋" w:eastAsia="仿宋" w:cs="仿宋"/>
              </w:rPr>
            </w:pPr>
            <w:r>
              <w:rPr>
                <w:rFonts w:hint="eastAsia" w:ascii="仿宋" w:hAnsi="仿宋" w:eastAsia="仿宋" w:cs="仿宋"/>
              </w:rPr>
              <w:t>慢性病社区管理的基础，原则，内容，主体</w:t>
            </w:r>
          </w:p>
          <w:p w14:paraId="62700467">
            <w:pPr>
              <w:widowControl w:val="0"/>
              <w:numPr>
                <w:ilvl w:val="0"/>
                <w:numId w:val="1"/>
              </w:numPr>
              <w:snapToGrid w:val="0"/>
              <w:spacing w:line="300" w:lineRule="exact"/>
              <w:jc w:val="both"/>
              <w:rPr>
                <w:rFonts w:ascii="仿宋" w:hAnsi="仿宋" w:eastAsia="仿宋" w:cs="仿宋"/>
              </w:rPr>
            </w:pPr>
            <w:r>
              <w:rPr>
                <w:rFonts w:hint="eastAsia" w:ascii="仿宋" w:hAnsi="仿宋" w:eastAsia="仿宋" w:cs="仿宋"/>
              </w:rPr>
              <w:t>社区管理的优势，核心要义</w:t>
            </w:r>
          </w:p>
          <w:p w14:paraId="5D6B4743">
            <w:pPr>
              <w:pStyle w:val="16"/>
              <w:widowControl w:val="0"/>
              <w:jc w:val="left"/>
              <w:rPr>
                <w:rFonts w:ascii="仿宋" w:hAnsi="仿宋" w:eastAsia="仿宋" w:cs="仿宋"/>
                <w:sz w:val="24"/>
                <w:szCs w:val="24"/>
              </w:rPr>
            </w:pPr>
            <w:r>
              <w:rPr>
                <w:rFonts w:hint="eastAsia" w:ascii="仿宋" w:hAnsi="仿宋" w:eastAsia="仿宋" w:cs="仿宋"/>
                <w:sz w:val="24"/>
                <w:szCs w:val="24"/>
              </w:rPr>
              <w:t>慢性病管理的流程及模式</w:t>
            </w:r>
          </w:p>
          <w:p w14:paraId="61008127">
            <w:pPr>
              <w:snapToGrid w:val="0"/>
              <w:spacing w:line="300" w:lineRule="exact"/>
              <w:rPr>
                <w:rFonts w:cs="Times New Roman"/>
              </w:rPr>
            </w:pPr>
            <w:r>
              <w:rPr>
                <w:rFonts w:hint="eastAsia" w:cs="Times New Roman"/>
              </w:rPr>
              <w:t>能力要求：</w:t>
            </w:r>
          </w:p>
          <w:p w14:paraId="772BD70C">
            <w:pPr>
              <w:snapToGrid w:val="0"/>
              <w:spacing w:line="300" w:lineRule="exact"/>
              <w:ind w:firstLine="480" w:firstLineChars="200"/>
              <w:rPr>
                <w:rFonts w:ascii="仿宋" w:hAnsi="仿宋" w:eastAsia="仿宋" w:cs="仿宋"/>
              </w:rPr>
            </w:pPr>
            <w:r>
              <w:rPr>
                <w:rFonts w:ascii="仿宋" w:hAnsi="仿宋" w:eastAsia="仿宋" w:cs="仿宋"/>
              </w:rPr>
              <w:t>1.</w:t>
            </w:r>
            <w:r>
              <w:rPr>
                <w:rFonts w:hint="eastAsia" w:ascii="仿宋" w:hAnsi="仿宋" w:eastAsia="仿宋" w:cs="仿宋"/>
              </w:rPr>
              <w:t>能够根据慢性病患者的病史及临床表现做出初步判断做出是否要实行慢性病管理及健康教育。</w:t>
            </w:r>
          </w:p>
          <w:p w14:paraId="43134606">
            <w:pPr>
              <w:pStyle w:val="16"/>
              <w:widowControl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2.能够掌握慢性管理的流程。</w:t>
            </w:r>
          </w:p>
          <w:p w14:paraId="68E70B6A">
            <w:pPr>
              <w:pStyle w:val="16"/>
              <w:widowControl w:val="0"/>
              <w:jc w:val="left"/>
              <w:rPr>
                <w:rFonts w:cs="Times New Roman"/>
              </w:rPr>
            </w:pPr>
            <w:r>
              <w:rPr>
                <w:rFonts w:hint="eastAsia" w:cs="Times New Roman"/>
              </w:rPr>
              <w:t>教学难点：</w:t>
            </w:r>
            <w:r>
              <w:rPr>
                <w:rFonts w:hint="eastAsia" w:ascii="仿宋" w:hAnsi="仿宋" w:eastAsia="仿宋" w:cs="仿宋"/>
                <w:sz w:val="24"/>
                <w:szCs w:val="24"/>
              </w:rPr>
              <w:t>慢性病管理的流程，如何定期随访</w:t>
            </w:r>
            <w:r>
              <w:rPr>
                <w:rFonts w:hint="eastAsia" w:cs="Times New Roman"/>
              </w:rPr>
              <w:t>。</w:t>
            </w:r>
          </w:p>
          <w:p w14:paraId="02ADE23D">
            <w:pPr>
              <w:pStyle w:val="16"/>
              <w:widowControl w:val="0"/>
              <w:jc w:val="left"/>
              <w:rPr>
                <w:rFonts w:cs="Times New Roman"/>
              </w:rPr>
            </w:pPr>
          </w:p>
        </w:tc>
      </w:tr>
      <w:tr w14:paraId="2AD1E66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62" w:type="dxa"/>
            <w:shd w:val="clear" w:color="auto" w:fill="auto"/>
          </w:tcPr>
          <w:p w14:paraId="016FFAA7">
            <w:pPr>
              <w:pStyle w:val="16"/>
              <w:widowControl w:val="0"/>
              <w:jc w:val="left"/>
              <w:rPr>
                <w:rFonts w:ascii="仿宋" w:hAnsi="仿宋" w:eastAsia="仿宋" w:cs="仿宋"/>
                <w:sz w:val="24"/>
                <w:szCs w:val="24"/>
              </w:rPr>
            </w:pPr>
            <w:r>
              <w:rPr>
                <w:rFonts w:hint="eastAsia" w:cs="Times New Roman"/>
              </w:rPr>
              <w:t>第三单元</w:t>
            </w:r>
            <w:r>
              <w:rPr>
                <w:rFonts w:hint="eastAsia" w:cs="Times New Roman"/>
              </w:rPr>
              <w:tab/>
            </w:r>
            <w:r>
              <w:rPr>
                <w:rFonts w:hint="eastAsia" w:ascii="仿宋" w:hAnsi="仿宋" w:eastAsia="仿宋" w:cs="仿宋"/>
                <w:sz w:val="24"/>
                <w:szCs w:val="24"/>
              </w:rPr>
              <w:t>慢性病社区健康教育</w:t>
            </w:r>
          </w:p>
          <w:p w14:paraId="4004AE2E">
            <w:pPr>
              <w:widowControl w:val="0"/>
              <w:tabs>
                <w:tab w:val="left" w:pos="312"/>
              </w:tabs>
              <w:snapToGrid w:val="0"/>
              <w:spacing w:line="300" w:lineRule="exact"/>
              <w:jc w:val="both"/>
              <w:rPr>
                <w:rFonts w:ascii="仿宋" w:hAnsi="仿宋" w:eastAsia="仿宋" w:cs="仿宋"/>
              </w:rPr>
            </w:pPr>
            <w:r>
              <w:rPr>
                <w:rFonts w:hint="eastAsia" w:cs="Times New Roman"/>
              </w:rPr>
              <w:t>知识点：</w:t>
            </w:r>
          </w:p>
          <w:p w14:paraId="6F18B125">
            <w:pPr>
              <w:widowControl w:val="0"/>
              <w:numPr>
                <w:ilvl w:val="0"/>
                <w:numId w:val="2"/>
              </w:numPr>
              <w:snapToGrid w:val="0"/>
              <w:spacing w:line="300" w:lineRule="exact"/>
              <w:jc w:val="both"/>
              <w:rPr>
                <w:rFonts w:ascii="仿宋" w:hAnsi="仿宋" w:eastAsia="仿宋" w:cs="仿宋"/>
              </w:rPr>
            </w:pPr>
            <w:r>
              <w:rPr>
                <w:rFonts w:hint="eastAsia" w:ascii="仿宋" w:hAnsi="仿宋" w:eastAsia="仿宋" w:cs="仿宋"/>
              </w:rPr>
              <w:t>了解健康教育的概念及要求。教育的对象，评估，实施，</w:t>
            </w:r>
          </w:p>
          <w:p w14:paraId="5140A14A">
            <w:pPr>
              <w:pStyle w:val="16"/>
              <w:widowControl w:val="0"/>
              <w:jc w:val="left"/>
              <w:rPr>
                <w:rFonts w:cs="Times New Roman"/>
              </w:rPr>
            </w:pPr>
            <w:r>
              <w:rPr>
                <w:rFonts w:hint="eastAsia" w:ascii="仿宋" w:hAnsi="仿宋" w:eastAsia="仿宋" w:cs="仿宋"/>
                <w:sz w:val="24"/>
                <w:szCs w:val="24"/>
              </w:rPr>
              <w:t>2</w:t>
            </w:r>
            <w:r>
              <w:rPr>
                <w:rFonts w:ascii="仿宋" w:hAnsi="仿宋" w:eastAsia="仿宋" w:cs="仿宋"/>
                <w:sz w:val="24"/>
                <w:szCs w:val="24"/>
              </w:rPr>
              <w:t>.</w:t>
            </w:r>
            <w:r>
              <w:rPr>
                <w:rFonts w:hint="eastAsia" w:ascii="仿宋" w:hAnsi="仿宋" w:eastAsia="仿宋" w:cs="仿宋"/>
                <w:sz w:val="24"/>
                <w:szCs w:val="24"/>
              </w:rPr>
              <w:t>慢性病社区健康教育的制定，流程原则</w:t>
            </w:r>
          </w:p>
          <w:p w14:paraId="60752CE6">
            <w:pPr>
              <w:snapToGrid w:val="0"/>
              <w:spacing w:line="300" w:lineRule="exact"/>
              <w:rPr>
                <w:rFonts w:cs="Times New Roman"/>
              </w:rPr>
            </w:pPr>
            <w:r>
              <w:rPr>
                <w:rFonts w:hint="eastAsia" w:cs="Times New Roman"/>
              </w:rPr>
              <w:t>能力要求：</w:t>
            </w:r>
          </w:p>
          <w:p w14:paraId="24420436">
            <w:pPr>
              <w:snapToGrid w:val="0"/>
              <w:spacing w:line="300" w:lineRule="exact"/>
              <w:rPr>
                <w:rFonts w:ascii="仿宋" w:hAnsi="仿宋" w:eastAsia="仿宋" w:cs="仿宋"/>
              </w:rPr>
            </w:pPr>
            <w:r>
              <w:rPr>
                <w:rFonts w:hint="eastAsia" w:ascii="仿宋" w:hAnsi="仿宋" w:eastAsia="仿宋" w:cs="仿宋"/>
              </w:rPr>
              <w:t>1.能够根据社区慢性病的情况，做出社区需要那种慢性病相关的健康教育，并且制定实施。</w:t>
            </w:r>
          </w:p>
          <w:p w14:paraId="37786EEC">
            <w:pPr>
              <w:pStyle w:val="16"/>
              <w:widowControl w:val="0"/>
              <w:jc w:val="left"/>
              <w:rPr>
                <w:rFonts w:cs="Times New Roman"/>
              </w:rPr>
            </w:pPr>
            <w:r>
              <w:rPr>
                <w:rFonts w:hint="eastAsia" w:ascii="仿宋" w:hAnsi="仿宋" w:eastAsia="仿宋" w:cs="仿宋"/>
                <w:sz w:val="24"/>
                <w:szCs w:val="24"/>
              </w:rPr>
              <w:t>2.能够掌握制作健康教育内容。</w:t>
            </w:r>
          </w:p>
          <w:p w14:paraId="4907E9B0">
            <w:pPr>
              <w:pStyle w:val="16"/>
              <w:widowControl w:val="0"/>
              <w:jc w:val="left"/>
              <w:rPr>
                <w:rFonts w:cs="Times New Roman"/>
              </w:rPr>
            </w:pPr>
            <w:r>
              <w:rPr>
                <w:rFonts w:hint="eastAsia" w:cs="Times New Roman"/>
              </w:rPr>
              <w:t>教学难点：</w:t>
            </w:r>
          </w:p>
          <w:p w14:paraId="4F9CD1BD">
            <w:pPr>
              <w:snapToGrid w:val="0"/>
              <w:spacing w:line="300" w:lineRule="exact"/>
              <w:rPr>
                <w:rFonts w:ascii="仿宋" w:hAnsi="仿宋" w:eastAsia="仿宋" w:cs="仿宋"/>
              </w:rPr>
            </w:pPr>
            <w:r>
              <w:rPr>
                <w:rFonts w:hint="eastAsia" w:ascii="仿宋" w:hAnsi="仿宋" w:eastAsia="仿宋" w:cs="仿宋"/>
              </w:rPr>
              <w:t>1.哪些慢性病要制定随访与管理</w:t>
            </w:r>
          </w:p>
          <w:p w14:paraId="224421D0">
            <w:pPr>
              <w:snapToGrid w:val="0"/>
              <w:spacing w:line="300" w:lineRule="exact"/>
              <w:rPr>
                <w:rFonts w:hint="eastAsia" w:ascii="仿宋" w:hAnsi="仿宋" w:eastAsia="仿宋" w:cs="仿宋"/>
              </w:rPr>
            </w:pPr>
            <w:r>
              <w:rPr>
                <w:rFonts w:hint="eastAsia" w:ascii="仿宋" w:hAnsi="仿宋" w:eastAsia="仿宋" w:cs="仿宋"/>
              </w:rPr>
              <w:t>2、根据社区的情况，制定健康教育方案，进行实施</w:t>
            </w:r>
          </w:p>
        </w:tc>
      </w:tr>
      <w:tr w14:paraId="62E3018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52" w:hRule="atLeast"/>
        </w:trPr>
        <w:tc>
          <w:tcPr>
            <w:tcW w:w="8262" w:type="dxa"/>
            <w:shd w:val="clear" w:color="auto" w:fill="auto"/>
          </w:tcPr>
          <w:p w14:paraId="517FEB75">
            <w:pPr>
              <w:pStyle w:val="16"/>
              <w:widowControl w:val="0"/>
              <w:jc w:val="left"/>
              <w:rPr>
                <w:rFonts w:cs="Times New Roman"/>
              </w:rPr>
            </w:pPr>
            <w:r>
              <w:rPr>
                <w:rFonts w:hint="eastAsia" w:cs="Times New Roman"/>
              </w:rPr>
              <w:t>第四单元</w:t>
            </w:r>
            <w:r>
              <w:rPr>
                <w:rFonts w:hint="eastAsia" w:cs="Times New Roman"/>
              </w:rPr>
              <w:tab/>
            </w:r>
            <w:r>
              <w:rPr>
                <w:rFonts w:hint="eastAsia" w:ascii="仿宋" w:hAnsi="仿宋" w:eastAsia="仿宋" w:cs="仿宋"/>
                <w:sz w:val="24"/>
                <w:szCs w:val="24"/>
              </w:rPr>
              <w:t>健康管理概述</w:t>
            </w:r>
          </w:p>
          <w:p w14:paraId="3ED43DA4">
            <w:pPr>
              <w:snapToGrid w:val="0"/>
              <w:spacing w:line="300" w:lineRule="exact"/>
              <w:rPr>
                <w:rFonts w:cs="Times New Roman"/>
              </w:rPr>
            </w:pPr>
            <w:r>
              <w:rPr>
                <w:rFonts w:hint="eastAsia" w:cs="Times New Roman"/>
              </w:rPr>
              <w:t>知识点：</w:t>
            </w:r>
          </w:p>
          <w:p w14:paraId="0C240CD3">
            <w:pPr>
              <w:snapToGrid w:val="0"/>
              <w:spacing w:line="300" w:lineRule="exact"/>
              <w:rPr>
                <w:rFonts w:ascii="仿宋" w:hAnsi="仿宋" w:eastAsia="仿宋" w:cs="仿宋"/>
              </w:rPr>
            </w:pPr>
            <w:r>
              <w:rPr>
                <w:rFonts w:hint="eastAsia" w:ascii="仿宋" w:hAnsi="仿宋" w:eastAsia="仿宋" w:cs="仿宋"/>
              </w:rPr>
              <w:t>1.健康管理相关概念，发展</w:t>
            </w:r>
          </w:p>
          <w:p w14:paraId="0C151521">
            <w:pPr>
              <w:pStyle w:val="16"/>
              <w:widowControl w:val="0"/>
              <w:jc w:val="left"/>
              <w:rPr>
                <w:rFonts w:ascii="仿宋" w:hAnsi="仿宋" w:eastAsia="仿宋" w:cs="仿宋"/>
                <w:sz w:val="24"/>
                <w:szCs w:val="24"/>
              </w:rPr>
            </w:pPr>
            <w:r>
              <w:rPr>
                <w:rFonts w:hint="eastAsia" w:ascii="仿宋" w:hAnsi="仿宋" w:eastAsia="仿宋" w:cs="仿宋"/>
                <w:sz w:val="24"/>
                <w:szCs w:val="24"/>
              </w:rPr>
              <w:t>2.健康管理基本步骤，工作流程及我国现状。</w:t>
            </w:r>
          </w:p>
          <w:p w14:paraId="458766C0">
            <w:pPr>
              <w:pStyle w:val="16"/>
              <w:widowControl w:val="0"/>
              <w:jc w:val="left"/>
              <w:rPr>
                <w:rFonts w:cs="Times New Roman"/>
              </w:rPr>
            </w:pPr>
            <w:r>
              <w:rPr>
                <w:rFonts w:hint="eastAsia" w:cs="Times New Roman"/>
              </w:rPr>
              <w:t>能力要求：</w:t>
            </w:r>
          </w:p>
          <w:p w14:paraId="44104BE7">
            <w:pPr>
              <w:pStyle w:val="16"/>
              <w:widowControl w:val="0"/>
              <w:jc w:val="left"/>
              <w:rPr>
                <w:rFonts w:ascii="仿宋" w:hAnsi="仿宋" w:eastAsia="仿宋" w:cs="仿宋"/>
                <w:sz w:val="24"/>
                <w:szCs w:val="24"/>
              </w:rPr>
            </w:pPr>
            <w:r>
              <w:rPr>
                <w:rFonts w:hint="eastAsia" w:ascii="仿宋" w:hAnsi="仿宋" w:eastAsia="仿宋" w:cs="仿宋"/>
                <w:sz w:val="24"/>
                <w:szCs w:val="24"/>
              </w:rPr>
              <w:t>1.能够认识健康管理重要性，能将所学知识点用于今后的健康管理工作中。</w:t>
            </w:r>
          </w:p>
          <w:p w14:paraId="735EAC1B">
            <w:pPr>
              <w:pStyle w:val="16"/>
              <w:widowControl w:val="0"/>
              <w:jc w:val="left"/>
              <w:rPr>
                <w:rFonts w:cs="Times New Roman"/>
              </w:rPr>
            </w:pPr>
            <w:r>
              <w:rPr>
                <w:rFonts w:hint="eastAsia" w:cs="Times New Roman"/>
              </w:rPr>
              <w:t>教学难点：</w:t>
            </w:r>
          </w:p>
          <w:p w14:paraId="370C032F">
            <w:pPr>
              <w:snapToGrid w:val="0"/>
              <w:spacing w:line="300" w:lineRule="exact"/>
              <w:rPr>
                <w:rFonts w:hint="eastAsia" w:ascii="仿宋" w:hAnsi="仿宋" w:eastAsia="仿宋" w:cs="仿宋"/>
              </w:rPr>
            </w:pPr>
            <w:r>
              <w:rPr>
                <w:rFonts w:hint="eastAsia" w:ascii="仿宋" w:hAnsi="仿宋" w:eastAsia="仿宋" w:cs="仿宋"/>
              </w:rPr>
              <w:t>1.慢性病管理工作流程</w:t>
            </w:r>
          </w:p>
        </w:tc>
      </w:tr>
      <w:tr w14:paraId="345F4D9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62" w:type="dxa"/>
            <w:shd w:val="clear" w:color="auto" w:fill="auto"/>
          </w:tcPr>
          <w:p w14:paraId="39BEA7FB">
            <w:pPr>
              <w:pStyle w:val="16"/>
              <w:widowControl w:val="0"/>
              <w:jc w:val="left"/>
              <w:rPr>
                <w:rFonts w:cs="Times New Roman"/>
              </w:rPr>
            </w:pPr>
            <w:r>
              <w:rPr>
                <w:rFonts w:hint="eastAsia" w:cs="Times New Roman"/>
              </w:rPr>
              <w:t>第五单元</w:t>
            </w:r>
            <w:r>
              <w:rPr>
                <w:rFonts w:hint="eastAsia" w:cs="Times New Roman"/>
              </w:rPr>
              <w:tab/>
            </w:r>
            <w:r>
              <w:rPr>
                <w:rFonts w:hint="eastAsia" w:ascii="仿宋" w:hAnsi="仿宋" w:eastAsia="仿宋" w:cs="仿宋"/>
                <w:sz w:val="24"/>
                <w:szCs w:val="24"/>
              </w:rPr>
              <w:t>健康体检</w:t>
            </w:r>
          </w:p>
          <w:p w14:paraId="7D726F77">
            <w:pPr>
              <w:widowControl w:val="0"/>
              <w:tabs>
                <w:tab w:val="left" w:pos="312"/>
              </w:tabs>
              <w:snapToGrid w:val="0"/>
              <w:spacing w:line="300" w:lineRule="exact"/>
              <w:rPr>
                <w:rFonts w:cs="Times New Roman"/>
              </w:rPr>
            </w:pPr>
            <w:r>
              <w:rPr>
                <w:rFonts w:hint="eastAsia" w:cs="Times New Roman"/>
              </w:rPr>
              <w:t>知识点：</w:t>
            </w:r>
          </w:p>
          <w:p w14:paraId="73809E9E">
            <w:pPr>
              <w:widowControl w:val="0"/>
              <w:numPr>
                <w:ilvl w:val="0"/>
                <w:numId w:val="3"/>
              </w:numPr>
              <w:snapToGrid w:val="0"/>
              <w:spacing w:line="300" w:lineRule="exact"/>
              <w:rPr>
                <w:rFonts w:cs="Times New Roman"/>
              </w:rPr>
            </w:pPr>
            <w:r>
              <w:rPr>
                <w:rFonts w:hint="eastAsia" w:ascii="仿宋" w:hAnsi="仿宋" w:eastAsia="仿宋" w:cs="仿宋"/>
              </w:rPr>
              <w:t>健康体检的概念，基本内容，项目选择，信息采集，异常结果的认识，体检注意事项</w:t>
            </w:r>
          </w:p>
          <w:p w14:paraId="2770970E">
            <w:pPr>
              <w:snapToGrid w:val="0"/>
              <w:spacing w:line="300" w:lineRule="exact"/>
              <w:rPr>
                <w:rFonts w:ascii="仿宋" w:hAnsi="仿宋" w:eastAsia="仿宋" w:cs="仿宋"/>
              </w:rPr>
            </w:pPr>
            <w:r>
              <w:rPr>
                <w:rFonts w:hint="eastAsia" w:cs="Times New Roman"/>
              </w:rPr>
              <w:t>能力要求：</w:t>
            </w:r>
            <w:r>
              <w:rPr>
                <w:rFonts w:hint="eastAsia" w:ascii="仿宋" w:hAnsi="仿宋" w:eastAsia="仿宋" w:cs="仿宋"/>
              </w:rPr>
              <w:t>1.认识体检的重要性，能采集信息，异常结果能认识，并且给予建议。</w:t>
            </w:r>
          </w:p>
          <w:p w14:paraId="28520DAF">
            <w:pPr>
              <w:pStyle w:val="16"/>
              <w:widowControl w:val="0"/>
              <w:jc w:val="left"/>
              <w:rPr>
                <w:rFonts w:cs="Times New Roman"/>
              </w:rPr>
            </w:pPr>
            <w:r>
              <w:rPr>
                <w:rFonts w:hint="eastAsia" w:ascii="仿宋" w:hAnsi="仿宋" w:eastAsia="仿宋" w:cs="仿宋"/>
                <w:sz w:val="24"/>
                <w:szCs w:val="24"/>
              </w:rPr>
              <w:t>2.能将所学知识点用于今后的健康管理工的健康管理工作中</w:t>
            </w:r>
          </w:p>
          <w:p w14:paraId="5530D848">
            <w:pPr>
              <w:pStyle w:val="16"/>
              <w:widowControl w:val="0"/>
              <w:jc w:val="left"/>
              <w:rPr>
                <w:rFonts w:cs="Times New Roman"/>
              </w:rPr>
            </w:pPr>
            <w:r>
              <w:rPr>
                <w:rFonts w:hint="eastAsia" w:cs="Times New Roman"/>
              </w:rPr>
              <w:t>教学难点：</w:t>
            </w:r>
          </w:p>
          <w:p w14:paraId="6EE3CDE9">
            <w:pPr>
              <w:pStyle w:val="16"/>
              <w:widowControl w:val="0"/>
              <w:jc w:val="left"/>
              <w:rPr>
                <w:rFonts w:cs="Times New Roman"/>
              </w:rPr>
            </w:pPr>
            <w:r>
              <w:rPr>
                <w:rFonts w:hint="eastAsia" w:ascii="仿宋" w:hAnsi="仿宋" w:eastAsia="仿宋" w:cs="仿宋"/>
                <w:sz w:val="24"/>
                <w:szCs w:val="24"/>
              </w:rPr>
              <w:t>1.对体检异常结果的判断，认识，2.体检注意事项</w:t>
            </w:r>
          </w:p>
        </w:tc>
      </w:tr>
      <w:tr w14:paraId="4322966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62" w:type="dxa"/>
            <w:shd w:val="clear" w:color="auto" w:fill="auto"/>
          </w:tcPr>
          <w:p w14:paraId="47309410">
            <w:pPr>
              <w:pStyle w:val="16"/>
              <w:widowControl w:val="0"/>
              <w:jc w:val="left"/>
              <w:rPr>
                <w:rFonts w:cs="Times New Roman"/>
              </w:rPr>
            </w:pPr>
            <w:r>
              <w:rPr>
                <w:rFonts w:hint="eastAsia" w:cs="Times New Roman"/>
              </w:rPr>
              <w:t>第六单元</w:t>
            </w:r>
            <w:r>
              <w:rPr>
                <w:rFonts w:hint="eastAsia" w:cs="Times New Roman"/>
              </w:rPr>
              <w:tab/>
            </w:r>
            <w:r>
              <w:rPr>
                <w:rFonts w:hint="eastAsia" w:ascii="仿宋" w:hAnsi="仿宋" w:eastAsia="仿宋" w:cs="仿宋"/>
                <w:sz w:val="24"/>
                <w:szCs w:val="24"/>
              </w:rPr>
              <w:t>高血压</w:t>
            </w:r>
          </w:p>
          <w:p w14:paraId="12CE5499">
            <w:pPr>
              <w:widowControl w:val="0"/>
              <w:numPr>
                <w:ilvl w:val="0"/>
                <w:numId w:val="4"/>
              </w:numPr>
              <w:snapToGrid w:val="0"/>
              <w:spacing w:line="300" w:lineRule="exact"/>
              <w:jc w:val="both"/>
              <w:rPr>
                <w:rFonts w:ascii="仿宋" w:hAnsi="仿宋" w:eastAsia="仿宋" w:cs="仿宋"/>
              </w:rPr>
            </w:pPr>
            <w:r>
              <w:rPr>
                <w:rFonts w:hint="eastAsia" w:cs="Times New Roman"/>
              </w:rPr>
              <w:t>知识点：</w:t>
            </w:r>
            <w:r>
              <w:rPr>
                <w:rFonts w:hint="eastAsia" w:ascii="仿宋" w:hAnsi="仿宋" w:eastAsia="仿宋" w:cs="仿宋"/>
              </w:rPr>
              <w:t>知道高血压概念，分类，分级，症状，危害</w:t>
            </w:r>
          </w:p>
          <w:p w14:paraId="10903BFD">
            <w:pPr>
              <w:widowControl w:val="0"/>
              <w:numPr>
                <w:ilvl w:val="0"/>
                <w:numId w:val="4"/>
              </w:numPr>
              <w:snapToGrid w:val="0"/>
              <w:spacing w:line="300" w:lineRule="exact"/>
              <w:jc w:val="both"/>
              <w:rPr>
                <w:rFonts w:ascii="仿宋" w:hAnsi="仿宋" w:eastAsia="仿宋" w:cs="仿宋"/>
              </w:rPr>
            </w:pPr>
            <w:r>
              <w:rPr>
                <w:rFonts w:hint="eastAsia" w:ascii="仿宋" w:hAnsi="仿宋" w:eastAsia="仿宋" w:cs="仿宋"/>
              </w:rPr>
              <w:t>高血压的社区管理及流程</w:t>
            </w:r>
          </w:p>
          <w:p w14:paraId="76868AF0">
            <w:pPr>
              <w:pStyle w:val="16"/>
              <w:widowControl w:val="0"/>
              <w:jc w:val="left"/>
              <w:rPr>
                <w:rFonts w:ascii="仿宋" w:hAnsi="仿宋" w:eastAsia="仿宋" w:cs="仿宋"/>
                <w:sz w:val="24"/>
                <w:szCs w:val="24"/>
              </w:rPr>
            </w:pPr>
            <w:r>
              <w:rPr>
                <w:rFonts w:hint="eastAsia" w:ascii="仿宋" w:hAnsi="仿宋" w:eastAsia="仿宋" w:cs="仿宋"/>
                <w:sz w:val="24"/>
                <w:szCs w:val="24"/>
              </w:rPr>
              <w:t>高血压的药物治疗管理，健康教育</w:t>
            </w:r>
          </w:p>
          <w:p w14:paraId="17734157">
            <w:pPr>
              <w:pStyle w:val="16"/>
              <w:widowControl w:val="0"/>
              <w:jc w:val="left"/>
              <w:rPr>
                <w:rFonts w:cs="Times New Roman"/>
              </w:rPr>
            </w:pPr>
            <w:r>
              <w:rPr>
                <w:rFonts w:hint="eastAsia" w:cs="Times New Roman"/>
              </w:rPr>
              <w:t>能力要求：</w:t>
            </w:r>
          </w:p>
          <w:p w14:paraId="589E61C6">
            <w:pPr>
              <w:snapToGrid w:val="0"/>
              <w:spacing w:line="300" w:lineRule="exact"/>
              <w:rPr>
                <w:rFonts w:ascii="仿宋" w:hAnsi="仿宋" w:eastAsia="仿宋" w:cs="仿宋"/>
              </w:rPr>
            </w:pPr>
            <w:r>
              <w:rPr>
                <w:rFonts w:hint="eastAsia" w:ascii="仿宋" w:hAnsi="仿宋" w:eastAsia="仿宋" w:cs="仿宋"/>
              </w:rPr>
              <w:t>能够根据病史，症状，临床表现做出高血压初步判断，分级。</w:t>
            </w:r>
          </w:p>
          <w:p w14:paraId="4F19CEC2">
            <w:pPr>
              <w:snapToGrid w:val="0"/>
              <w:spacing w:line="300" w:lineRule="exact"/>
              <w:rPr>
                <w:rFonts w:ascii="仿宋" w:hAnsi="仿宋" w:eastAsia="仿宋" w:cs="仿宋"/>
              </w:rPr>
            </w:pPr>
            <w:r>
              <w:rPr>
                <w:rFonts w:hint="eastAsia" w:ascii="仿宋" w:hAnsi="仿宋" w:eastAsia="仿宋" w:cs="仿宋"/>
              </w:rPr>
              <w:t>2.能将所学知识点用于今后的高血压健康管理工作中。</w:t>
            </w:r>
          </w:p>
          <w:p w14:paraId="55E911E4">
            <w:pPr>
              <w:pStyle w:val="16"/>
              <w:widowControl w:val="0"/>
              <w:jc w:val="left"/>
              <w:rPr>
                <w:rFonts w:ascii="仿宋" w:hAnsi="仿宋" w:eastAsia="仿宋" w:cs="仿宋"/>
                <w:sz w:val="24"/>
                <w:szCs w:val="24"/>
              </w:rPr>
            </w:pPr>
            <w:r>
              <w:rPr>
                <w:rFonts w:hint="eastAsia" w:ascii="仿宋" w:hAnsi="仿宋" w:eastAsia="仿宋" w:cs="仿宋"/>
                <w:sz w:val="24"/>
                <w:szCs w:val="24"/>
              </w:rPr>
              <w:t>3.进行高血压健康教育</w:t>
            </w:r>
          </w:p>
          <w:p w14:paraId="51EE32EF">
            <w:pPr>
              <w:pStyle w:val="16"/>
              <w:widowControl w:val="0"/>
              <w:jc w:val="left"/>
              <w:rPr>
                <w:rFonts w:cs="Times New Roman"/>
              </w:rPr>
            </w:pPr>
            <w:r>
              <w:rPr>
                <w:rFonts w:hint="eastAsia" w:cs="Times New Roman"/>
              </w:rPr>
              <w:t>教学难点：</w:t>
            </w:r>
          </w:p>
          <w:p w14:paraId="30302C5C">
            <w:pPr>
              <w:pStyle w:val="16"/>
              <w:widowControl w:val="0"/>
              <w:jc w:val="left"/>
              <w:rPr>
                <w:rFonts w:cs="Times New Roman"/>
              </w:rPr>
            </w:pPr>
            <w:r>
              <w:rPr>
                <w:rFonts w:hint="eastAsia" w:ascii="仿宋" w:hAnsi="仿宋" w:eastAsia="仿宋" w:cs="仿宋"/>
                <w:sz w:val="24"/>
                <w:szCs w:val="24"/>
              </w:rPr>
              <w:t>高血压的症状及临床表现与严重程度评估。分类，分级，高血压药物治疗及管理</w:t>
            </w:r>
          </w:p>
        </w:tc>
      </w:tr>
      <w:tr w14:paraId="3BCEA59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07" w:hRule="atLeast"/>
        </w:trPr>
        <w:tc>
          <w:tcPr>
            <w:tcW w:w="8262" w:type="dxa"/>
            <w:shd w:val="clear" w:color="auto" w:fill="auto"/>
          </w:tcPr>
          <w:p w14:paraId="5DA11D2E">
            <w:pPr>
              <w:pStyle w:val="16"/>
              <w:widowControl w:val="0"/>
              <w:jc w:val="left"/>
              <w:rPr>
                <w:rFonts w:ascii="仿宋" w:hAnsi="仿宋" w:eastAsia="仿宋" w:cs="仿宋"/>
                <w:sz w:val="24"/>
                <w:szCs w:val="24"/>
              </w:rPr>
            </w:pPr>
            <w:r>
              <w:rPr>
                <w:rFonts w:hint="eastAsia" w:cs="Times New Roman"/>
              </w:rPr>
              <w:t>第七单元</w:t>
            </w:r>
            <w:r>
              <w:rPr>
                <w:rFonts w:hint="eastAsia" w:cs="Times New Roman"/>
              </w:rPr>
              <w:tab/>
            </w:r>
            <w:r>
              <w:rPr>
                <w:rFonts w:hint="eastAsia" w:ascii="仿宋" w:hAnsi="仿宋" w:eastAsia="仿宋" w:cs="仿宋"/>
                <w:sz w:val="24"/>
                <w:szCs w:val="24"/>
              </w:rPr>
              <w:t>冠心病与经皮冠状动脉介入治疗术后</w:t>
            </w:r>
          </w:p>
          <w:p w14:paraId="3C688D34">
            <w:pPr>
              <w:widowControl w:val="0"/>
              <w:tabs>
                <w:tab w:val="left" w:pos="312"/>
              </w:tabs>
              <w:snapToGrid w:val="0"/>
              <w:spacing w:line="300" w:lineRule="exact"/>
              <w:jc w:val="both"/>
              <w:rPr>
                <w:rFonts w:cs="Times New Roman"/>
              </w:rPr>
            </w:pPr>
            <w:r>
              <w:rPr>
                <w:rFonts w:hint="eastAsia" w:cs="Times New Roman"/>
              </w:rPr>
              <w:t>知识点：</w:t>
            </w:r>
          </w:p>
          <w:p w14:paraId="446A9BFD">
            <w:pPr>
              <w:widowControl w:val="0"/>
              <w:tabs>
                <w:tab w:val="left" w:pos="312"/>
              </w:tabs>
              <w:snapToGrid w:val="0"/>
              <w:spacing w:line="300" w:lineRule="exact"/>
              <w:jc w:val="both"/>
              <w:rPr>
                <w:rFonts w:ascii="仿宋" w:hAnsi="仿宋" w:eastAsia="仿宋" w:cs="仿宋"/>
              </w:rPr>
            </w:pPr>
            <w:r>
              <w:rPr>
                <w:rFonts w:ascii="仿宋" w:hAnsi="仿宋" w:eastAsia="仿宋" w:cs="仿宋"/>
              </w:rPr>
              <w:t>1.</w:t>
            </w:r>
            <w:r>
              <w:rPr>
                <w:rFonts w:hint="eastAsia" w:ascii="仿宋" w:hAnsi="仿宋" w:eastAsia="仿宋" w:cs="仿宋"/>
              </w:rPr>
              <w:t>知道冠心病的概念及临床表现，分类，危险因素，冠心病的社区健康管理，</w:t>
            </w:r>
          </w:p>
          <w:p w14:paraId="004DD6B5">
            <w:pPr>
              <w:widowControl w:val="0"/>
              <w:tabs>
                <w:tab w:val="left" w:pos="312"/>
              </w:tabs>
              <w:snapToGrid w:val="0"/>
              <w:spacing w:line="300" w:lineRule="exact"/>
              <w:jc w:val="both"/>
              <w:rPr>
                <w:rFonts w:ascii="仿宋" w:hAnsi="仿宋" w:eastAsia="仿宋" w:cs="仿宋"/>
              </w:rPr>
            </w:pPr>
            <w:r>
              <w:rPr>
                <w:rFonts w:hint="eastAsia" w:ascii="仿宋" w:hAnsi="仿宋" w:eastAsia="仿宋" w:cs="仿宋"/>
              </w:rPr>
              <w:t>2</w:t>
            </w:r>
            <w:r>
              <w:rPr>
                <w:rFonts w:ascii="仿宋" w:hAnsi="仿宋" w:eastAsia="仿宋" w:cs="仿宋"/>
              </w:rPr>
              <w:t>.</w:t>
            </w:r>
            <w:r>
              <w:rPr>
                <w:rFonts w:hint="eastAsia" w:ascii="仿宋" w:hAnsi="仿宋" w:eastAsia="仿宋" w:cs="仿宋"/>
              </w:rPr>
              <w:t>冠心病的社区健康管理，药物治疗管理，了解什么是经皮冠状动脉介入治疗及如何社区管理随访，健康教育</w:t>
            </w:r>
          </w:p>
          <w:p w14:paraId="401CD48E">
            <w:pPr>
              <w:widowControl w:val="0"/>
              <w:tabs>
                <w:tab w:val="left" w:pos="312"/>
              </w:tabs>
              <w:snapToGrid w:val="0"/>
              <w:spacing w:line="300" w:lineRule="exact"/>
              <w:jc w:val="both"/>
              <w:rPr>
                <w:rFonts w:cs="Times New Roman"/>
              </w:rPr>
            </w:pPr>
            <w:r>
              <w:rPr>
                <w:rFonts w:hint="eastAsia" w:cs="Times New Roman"/>
              </w:rPr>
              <w:t>能力要求：</w:t>
            </w:r>
          </w:p>
          <w:p w14:paraId="3904AFB5">
            <w:pPr>
              <w:snapToGrid w:val="0"/>
              <w:spacing w:line="300" w:lineRule="exact"/>
              <w:rPr>
                <w:rFonts w:ascii="仿宋" w:hAnsi="仿宋" w:eastAsia="仿宋" w:cs="仿宋"/>
              </w:rPr>
            </w:pPr>
            <w:r>
              <w:rPr>
                <w:rFonts w:hint="eastAsia" w:ascii="仿宋" w:hAnsi="仿宋" w:eastAsia="仿宋" w:cs="仿宋"/>
              </w:rPr>
              <w:t>1.能够根据冠心病的概念及的临床表现做出初步判断。及时给予建议；</w:t>
            </w:r>
          </w:p>
          <w:p w14:paraId="03D5955D">
            <w:pPr>
              <w:snapToGrid w:val="0"/>
              <w:spacing w:line="300" w:lineRule="exact"/>
              <w:rPr>
                <w:rFonts w:ascii="仿宋" w:hAnsi="仿宋" w:eastAsia="仿宋" w:cs="仿宋"/>
              </w:rPr>
            </w:pPr>
            <w:r>
              <w:rPr>
                <w:rFonts w:hint="eastAsia" w:ascii="仿宋" w:hAnsi="仿宋" w:eastAsia="仿宋" w:cs="仿宋"/>
              </w:rPr>
              <w:t>2.能对冠心病患者进行用药物指导，社区管理，将所学知识点用于今后的健康管理工作中。</w:t>
            </w:r>
          </w:p>
          <w:p w14:paraId="4258624B">
            <w:pPr>
              <w:pStyle w:val="16"/>
              <w:widowControl w:val="0"/>
              <w:jc w:val="left"/>
              <w:rPr>
                <w:rFonts w:ascii="仿宋" w:hAnsi="仿宋" w:eastAsia="仿宋" w:cs="仿宋"/>
                <w:sz w:val="24"/>
                <w:szCs w:val="24"/>
              </w:rPr>
            </w:pPr>
            <w:r>
              <w:rPr>
                <w:rFonts w:hint="eastAsia" w:ascii="仿宋" w:hAnsi="仿宋" w:eastAsia="仿宋" w:cs="仿宋"/>
                <w:sz w:val="24"/>
                <w:szCs w:val="24"/>
              </w:rPr>
              <w:t>3.对于经皮冠状动脉介入治疗的患者能社区管理随访</w:t>
            </w:r>
          </w:p>
          <w:p w14:paraId="7B5B51C6">
            <w:pPr>
              <w:pStyle w:val="16"/>
              <w:widowControl w:val="0"/>
              <w:jc w:val="left"/>
              <w:rPr>
                <w:rFonts w:cs="Times New Roman"/>
              </w:rPr>
            </w:pPr>
            <w:r>
              <w:rPr>
                <w:rFonts w:hint="eastAsia" w:cs="Times New Roman"/>
              </w:rPr>
              <w:t>教学难点：</w:t>
            </w:r>
          </w:p>
          <w:p w14:paraId="26202F98">
            <w:pPr>
              <w:pStyle w:val="16"/>
              <w:widowControl w:val="0"/>
              <w:jc w:val="left"/>
              <w:rPr>
                <w:rFonts w:cs="Times New Roman"/>
              </w:rPr>
            </w:pPr>
            <w:r>
              <w:rPr>
                <w:rFonts w:hint="eastAsia" w:ascii="仿宋" w:hAnsi="仿宋" w:eastAsia="仿宋" w:cs="仿宋"/>
                <w:sz w:val="24"/>
                <w:szCs w:val="24"/>
              </w:rPr>
              <w:t>1.冠心病的概念及临床表现，分类，危险因素。冠心病的药物治疗；2.对冠心病中的心肌梗死要充分认识，同时要有基本的“心肺复苏”技能。</w:t>
            </w:r>
          </w:p>
        </w:tc>
      </w:tr>
      <w:tr w14:paraId="3DA6D7A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62" w:type="dxa"/>
            <w:shd w:val="clear" w:color="auto" w:fill="auto"/>
          </w:tcPr>
          <w:p w14:paraId="01B3AE16">
            <w:pPr>
              <w:pStyle w:val="16"/>
              <w:widowControl w:val="0"/>
              <w:jc w:val="left"/>
              <w:rPr>
                <w:rFonts w:cs="Times New Roman"/>
              </w:rPr>
            </w:pPr>
            <w:r>
              <w:rPr>
                <w:rFonts w:hint="eastAsia" w:cs="Times New Roman"/>
              </w:rPr>
              <w:t>第八单元</w:t>
            </w:r>
            <w:r>
              <w:rPr>
                <w:rFonts w:hint="eastAsia" w:cs="Times New Roman"/>
              </w:rPr>
              <w:tab/>
            </w:r>
            <w:r>
              <w:rPr>
                <w:rFonts w:hint="eastAsia" w:ascii="仿宋" w:hAnsi="仿宋" w:eastAsia="仿宋" w:cs="仿宋"/>
                <w:sz w:val="24"/>
                <w:szCs w:val="24"/>
              </w:rPr>
              <w:t>血脂异常</w:t>
            </w:r>
          </w:p>
          <w:p w14:paraId="2C663761">
            <w:pPr>
              <w:pStyle w:val="16"/>
              <w:widowControl w:val="0"/>
              <w:jc w:val="left"/>
              <w:rPr>
                <w:rFonts w:cs="Times New Roman"/>
              </w:rPr>
            </w:pPr>
            <w:r>
              <w:rPr>
                <w:rFonts w:hint="eastAsia" w:cs="Times New Roman"/>
              </w:rPr>
              <w:t>知识点：</w:t>
            </w:r>
          </w:p>
          <w:p w14:paraId="7206B128">
            <w:pPr>
              <w:pStyle w:val="16"/>
              <w:widowControl w:val="0"/>
              <w:jc w:val="left"/>
              <w:rPr>
                <w:rFonts w:cs="Times New Roman"/>
              </w:rPr>
            </w:pPr>
            <w:r>
              <w:rPr>
                <w:rFonts w:hint="eastAsia" w:ascii="仿宋" w:hAnsi="仿宋" w:eastAsia="仿宋" w:cs="仿宋"/>
                <w:sz w:val="24"/>
                <w:szCs w:val="24"/>
              </w:rPr>
              <w:t>知道血脂异常的 概念及分类，症状，致病因素，危害。血脂异常的社区管理及预防，药物治疗及非药物治疗及社区管理随访，健康教育</w:t>
            </w:r>
          </w:p>
          <w:p w14:paraId="01D338F5">
            <w:pPr>
              <w:pStyle w:val="16"/>
              <w:widowControl w:val="0"/>
              <w:jc w:val="left"/>
              <w:rPr>
                <w:rFonts w:cs="Times New Roman"/>
              </w:rPr>
            </w:pPr>
            <w:r>
              <w:rPr>
                <w:rFonts w:hint="eastAsia" w:cs="Times New Roman"/>
              </w:rPr>
              <w:t>能力要求：</w:t>
            </w:r>
          </w:p>
          <w:p w14:paraId="1F3CC7F4">
            <w:pPr>
              <w:snapToGrid w:val="0"/>
              <w:spacing w:line="300" w:lineRule="exact"/>
              <w:rPr>
                <w:rFonts w:ascii="仿宋" w:hAnsi="仿宋" w:eastAsia="仿宋" w:cs="仿宋"/>
              </w:rPr>
            </w:pPr>
            <w:r>
              <w:rPr>
                <w:rFonts w:hint="eastAsia" w:ascii="仿宋" w:hAnsi="仿宋" w:eastAsia="仿宋" w:cs="仿宋"/>
              </w:rPr>
              <w:t xml:space="preserve">1.能够根据症状，化验检查结果对患者药物治疗及非药物治疗给予指导，建议及管理临 </w:t>
            </w:r>
          </w:p>
          <w:p w14:paraId="6DE3772D">
            <w:pPr>
              <w:pStyle w:val="16"/>
              <w:widowControl w:val="0"/>
              <w:jc w:val="left"/>
              <w:rPr>
                <w:rFonts w:ascii="仿宋" w:hAnsi="仿宋" w:eastAsia="仿宋" w:cs="仿宋"/>
                <w:sz w:val="24"/>
                <w:szCs w:val="24"/>
              </w:rPr>
            </w:pPr>
            <w:r>
              <w:rPr>
                <w:rFonts w:hint="eastAsia" w:ascii="仿宋" w:hAnsi="仿宋" w:eastAsia="仿宋" w:cs="仿宋"/>
                <w:sz w:val="24"/>
                <w:szCs w:val="24"/>
              </w:rPr>
              <w:t>2.能将所学知识点用于今后的健康管理工作中。</w:t>
            </w:r>
          </w:p>
          <w:p w14:paraId="2A54CFAC">
            <w:pPr>
              <w:snapToGrid w:val="0"/>
              <w:spacing w:line="300" w:lineRule="exact"/>
              <w:rPr>
                <w:rFonts w:cs="Times New Roman"/>
              </w:rPr>
            </w:pPr>
            <w:r>
              <w:rPr>
                <w:rFonts w:hint="eastAsia" w:cs="Times New Roman"/>
              </w:rPr>
              <w:t>教学难点：</w:t>
            </w:r>
          </w:p>
          <w:p w14:paraId="2DE21559">
            <w:pPr>
              <w:snapToGrid w:val="0"/>
              <w:spacing w:line="300" w:lineRule="exact"/>
              <w:rPr>
                <w:rFonts w:ascii="仿宋" w:hAnsi="仿宋" w:eastAsia="仿宋" w:cs="仿宋"/>
              </w:rPr>
            </w:pPr>
            <w:r>
              <w:rPr>
                <w:rFonts w:hint="eastAsia" w:ascii="仿宋" w:hAnsi="仿宋" w:eastAsia="仿宋" w:cs="仿宋"/>
              </w:rPr>
              <w:t>1.血脂异常的 概念及分类，。</w:t>
            </w:r>
          </w:p>
          <w:p w14:paraId="4769B739">
            <w:pPr>
              <w:pStyle w:val="16"/>
              <w:widowControl w:val="0"/>
              <w:jc w:val="left"/>
              <w:rPr>
                <w:rFonts w:cs="Times New Roman"/>
              </w:rPr>
            </w:pPr>
            <w:r>
              <w:rPr>
                <w:rFonts w:hint="eastAsia" w:ascii="仿宋" w:hAnsi="仿宋" w:eastAsia="仿宋" w:cs="仿宋"/>
                <w:sz w:val="24"/>
                <w:szCs w:val="24"/>
              </w:rPr>
              <w:t>2.血脂异常的药物治疗及非药物治疗，跟日语指导，建议</w:t>
            </w:r>
          </w:p>
        </w:tc>
      </w:tr>
      <w:tr w14:paraId="5B3905B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62" w:type="dxa"/>
            <w:shd w:val="clear" w:color="auto" w:fill="auto"/>
          </w:tcPr>
          <w:p w14:paraId="63C7E20E">
            <w:pPr>
              <w:pStyle w:val="16"/>
              <w:widowControl w:val="0"/>
              <w:jc w:val="left"/>
              <w:rPr>
                <w:rFonts w:ascii="仿宋" w:hAnsi="仿宋" w:eastAsia="仿宋" w:cs="仿宋"/>
                <w:sz w:val="22"/>
              </w:rPr>
            </w:pPr>
            <w:r>
              <w:rPr>
                <w:rFonts w:hint="eastAsia" w:ascii="仿宋" w:hAnsi="仿宋" w:eastAsia="仿宋" w:cs="仿宋"/>
                <w:sz w:val="22"/>
              </w:rPr>
              <w:t>第九单元 脑卒中</w:t>
            </w:r>
          </w:p>
          <w:p w14:paraId="3411BB32">
            <w:pPr>
              <w:pStyle w:val="16"/>
              <w:widowControl w:val="0"/>
              <w:jc w:val="left"/>
              <w:rPr>
                <w:rFonts w:cs="Times New Roman"/>
              </w:rPr>
            </w:pPr>
            <w:r>
              <w:rPr>
                <w:rFonts w:hint="eastAsia" w:cs="Times New Roman"/>
              </w:rPr>
              <w:t>知识点：</w:t>
            </w:r>
          </w:p>
          <w:p w14:paraId="1937D375">
            <w:pPr>
              <w:pStyle w:val="16"/>
              <w:widowControl w:val="0"/>
              <w:jc w:val="left"/>
              <w:rPr>
                <w:rFonts w:hint="eastAsia" w:cs="Times New Roman"/>
              </w:rPr>
            </w:pPr>
            <w:r>
              <w:rPr>
                <w:rFonts w:hint="eastAsia" w:ascii="仿宋" w:hAnsi="仿宋" w:eastAsia="仿宋" w:cs="仿宋"/>
                <w:sz w:val="24"/>
                <w:szCs w:val="24"/>
              </w:rPr>
              <w:t>知道脑卒中的概念，脑卒中的常见临床表现及类型，常见的并发症及处理。脑卒中的评估，预防及危险因因素，康复，家庭康复的指导，药物治疗及非药物治疗及社区管理随访，健康教育</w:t>
            </w:r>
          </w:p>
          <w:p w14:paraId="49257C84">
            <w:pPr>
              <w:pStyle w:val="16"/>
              <w:widowControl w:val="0"/>
              <w:jc w:val="left"/>
              <w:rPr>
                <w:rFonts w:cs="Times New Roman"/>
              </w:rPr>
            </w:pPr>
            <w:r>
              <w:rPr>
                <w:rFonts w:hint="eastAsia" w:cs="Times New Roman"/>
              </w:rPr>
              <w:t>能力要求：</w:t>
            </w:r>
          </w:p>
          <w:p w14:paraId="318ABB0C">
            <w:pPr>
              <w:widowControl w:val="0"/>
              <w:numPr>
                <w:ilvl w:val="0"/>
                <w:numId w:val="5"/>
              </w:numPr>
              <w:snapToGrid w:val="0"/>
              <w:spacing w:line="300" w:lineRule="exact"/>
              <w:jc w:val="both"/>
              <w:rPr>
                <w:rFonts w:ascii="仿宋" w:hAnsi="仿宋" w:eastAsia="仿宋" w:cs="仿宋"/>
              </w:rPr>
            </w:pPr>
            <w:r>
              <w:rPr>
                <w:rFonts w:hint="eastAsia" w:ascii="仿宋" w:hAnsi="仿宋" w:eastAsia="仿宋" w:cs="仿宋"/>
              </w:rPr>
              <w:t>能够根据脑卒中的概念做出初步判断及正确的预处理。常见的并发症及处理。脑卒中的评估，预防及危险因素，康复，家庭康复的指导，对药物治疗及非药物治疗指导及社区管理随访</w:t>
            </w:r>
          </w:p>
          <w:p w14:paraId="63210221">
            <w:pPr>
              <w:pStyle w:val="16"/>
              <w:widowControl w:val="0"/>
              <w:jc w:val="left"/>
              <w:rPr>
                <w:rFonts w:hint="eastAsia" w:cs="Times New Roman"/>
              </w:rPr>
            </w:pPr>
            <w:r>
              <w:rPr>
                <w:rFonts w:hint="eastAsia" w:ascii="仿宋" w:hAnsi="仿宋" w:eastAsia="仿宋" w:cs="仿宋"/>
                <w:sz w:val="24"/>
                <w:szCs w:val="24"/>
              </w:rPr>
              <w:t>脑卒中的家庭康复指导，能将所学知识点用于今后的健康管理工作中。</w:t>
            </w:r>
          </w:p>
          <w:p w14:paraId="23496210">
            <w:pPr>
              <w:pStyle w:val="16"/>
              <w:widowControl w:val="0"/>
              <w:jc w:val="left"/>
              <w:rPr>
                <w:rFonts w:hint="eastAsia" w:cs="Times New Roman"/>
              </w:rPr>
            </w:pPr>
            <w:r>
              <w:rPr>
                <w:rFonts w:hint="eastAsia" w:cs="Times New Roman"/>
              </w:rPr>
              <w:t>教学难念：</w:t>
            </w:r>
          </w:p>
          <w:p w14:paraId="1A20E951">
            <w:pPr>
              <w:widowControl w:val="0"/>
              <w:tabs>
                <w:tab w:val="left" w:pos="312"/>
              </w:tabs>
              <w:snapToGrid w:val="0"/>
              <w:spacing w:line="300" w:lineRule="exact"/>
              <w:jc w:val="both"/>
              <w:rPr>
                <w:rFonts w:ascii="仿宋" w:hAnsi="仿宋" w:eastAsia="仿宋" w:cs="仿宋"/>
              </w:rPr>
            </w:pPr>
            <w:r>
              <w:rPr>
                <w:rFonts w:hint="eastAsia" w:ascii="仿宋" w:hAnsi="仿宋" w:eastAsia="仿宋" w:cs="仿宋"/>
              </w:rPr>
              <w:t>脑卒中疾病的预防。药物治疗及非药物治疗及社区管理随访</w:t>
            </w:r>
          </w:p>
          <w:p w14:paraId="7281D9CB">
            <w:pPr>
              <w:pStyle w:val="16"/>
              <w:widowControl w:val="0"/>
              <w:jc w:val="left"/>
              <w:rPr>
                <w:rFonts w:cs="Times New Roman"/>
              </w:rPr>
            </w:pPr>
            <w:r>
              <w:rPr>
                <w:rFonts w:hint="eastAsia" w:ascii="仿宋" w:hAnsi="仿宋" w:eastAsia="仿宋" w:cs="仿宋"/>
                <w:sz w:val="24"/>
                <w:szCs w:val="24"/>
              </w:rPr>
              <w:t>家庭康复的指导，</w:t>
            </w:r>
          </w:p>
          <w:p w14:paraId="0931EC0B">
            <w:pPr>
              <w:pStyle w:val="16"/>
              <w:widowControl w:val="0"/>
              <w:jc w:val="left"/>
              <w:rPr>
                <w:rFonts w:hint="eastAsia" w:cs="Times New Roman"/>
              </w:rPr>
            </w:pPr>
          </w:p>
        </w:tc>
      </w:tr>
      <w:tr w14:paraId="622558B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62" w:type="dxa"/>
            <w:shd w:val="clear" w:color="auto" w:fill="auto"/>
          </w:tcPr>
          <w:p w14:paraId="385BB9F5">
            <w:pPr>
              <w:pStyle w:val="16"/>
              <w:widowControl w:val="0"/>
              <w:jc w:val="left"/>
              <w:rPr>
                <w:rFonts w:ascii="仿宋" w:hAnsi="仿宋" w:eastAsia="仿宋" w:cs="仿宋"/>
                <w:sz w:val="22"/>
              </w:rPr>
            </w:pPr>
            <w:r>
              <w:rPr>
                <w:rFonts w:hint="eastAsia" w:ascii="仿宋" w:hAnsi="仿宋" w:eastAsia="仿宋" w:cs="仿宋"/>
                <w:sz w:val="22"/>
              </w:rPr>
              <w:t xml:space="preserve">第十单元 </w:t>
            </w:r>
            <w:r>
              <w:rPr>
                <w:rFonts w:ascii="仿宋" w:hAnsi="仿宋" w:eastAsia="仿宋" w:cs="仿宋"/>
                <w:sz w:val="22"/>
              </w:rPr>
              <w:t xml:space="preserve">   </w:t>
            </w:r>
            <w:r>
              <w:rPr>
                <w:rFonts w:hint="eastAsia" w:ascii="仿宋" w:hAnsi="仿宋" w:eastAsia="仿宋" w:cs="仿宋"/>
                <w:sz w:val="24"/>
                <w:szCs w:val="24"/>
              </w:rPr>
              <w:t>糖尿病</w:t>
            </w:r>
          </w:p>
          <w:p w14:paraId="31F9B942">
            <w:pPr>
              <w:pStyle w:val="16"/>
              <w:widowControl w:val="0"/>
              <w:jc w:val="left"/>
              <w:rPr>
                <w:rFonts w:cs="Times New Roman"/>
              </w:rPr>
            </w:pPr>
            <w:r>
              <w:rPr>
                <w:rFonts w:hint="eastAsia" w:cs="Times New Roman"/>
              </w:rPr>
              <w:t>知识点：</w:t>
            </w:r>
          </w:p>
          <w:p w14:paraId="0D183ED6">
            <w:pPr>
              <w:snapToGrid w:val="0"/>
              <w:spacing w:line="300" w:lineRule="exact"/>
              <w:rPr>
                <w:rFonts w:ascii="仿宋" w:hAnsi="仿宋" w:eastAsia="仿宋" w:cs="仿宋"/>
              </w:rPr>
            </w:pPr>
            <w:r>
              <w:rPr>
                <w:rFonts w:hint="eastAsia" w:ascii="仿宋" w:hAnsi="仿宋" w:eastAsia="仿宋" w:cs="仿宋"/>
              </w:rPr>
              <w:t>知道糖尿病的概念，分类，危险因素危害，临床表现及并发症。糖尿病的药物治疗及非药物治疗</w:t>
            </w:r>
          </w:p>
          <w:p w14:paraId="5444D6DE">
            <w:pPr>
              <w:pStyle w:val="16"/>
              <w:widowControl w:val="0"/>
              <w:jc w:val="left"/>
              <w:rPr>
                <w:rFonts w:hint="eastAsia" w:cs="Times New Roman"/>
              </w:rPr>
            </w:pPr>
            <w:r>
              <w:rPr>
                <w:rFonts w:hint="eastAsia" w:ascii="仿宋" w:hAnsi="仿宋" w:eastAsia="仿宋" w:cs="仿宋"/>
                <w:sz w:val="24"/>
                <w:szCs w:val="24"/>
              </w:rPr>
              <w:t>糖尿病的社区管理的内容及随访，健康教育</w:t>
            </w:r>
          </w:p>
          <w:p w14:paraId="6FF3DDD5">
            <w:pPr>
              <w:pStyle w:val="16"/>
              <w:widowControl w:val="0"/>
              <w:jc w:val="left"/>
              <w:rPr>
                <w:rFonts w:cs="Times New Roman"/>
              </w:rPr>
            </w:pPr>
            <w:r>
              <w:rPr>
                <w:rFonts w:hint="eastAsia" w:cs="Times New Roman"/>
              </w:rPr>
              <w:t>能力要求：</w:t>
            </w:r>
          </w:p>
          <w:p w14:paraId="229E0C23">
            <w:pPr>
              <w:snapToGrid w:val="0"/>
              <w:spacing w:line="300" w:lineRule="exact"/>
              <w:rPr>
                <w:rFonts w:ascii="仿宋" w:hAnsi="仿宋" w:eastAsia="仿宋" w:cs="仿宋"/>
              </w:rPr>
            </w:pPr>
            <w:r>
              <w:rPr>
                <w:rFonts w:hint="eastAsia" w:ascii="仿宋" w:hAnsi="仿宋" w:eastAsia="仿宋" w:cs="仿宋"/>
              </w:rPr>
              <w:t>1.能够根据糖尿病的临床表现做出初步判断，分类，对药物治疗及非药物治疗指导及社区管理随访</w:t>
            </w:r>
          </w:p>
          <w:p w14:paraId="2444705C">
            <w:pPr>
              <w:snapToGrid w:val="0"/>
              <w:spacing w:line="300" w:lineRule="exact"/>
              <w:rPr>
                <w:rFonts w:ascii="仿宋" w:hAnsi="仿宋" w:eastAsia="仿宋" w:cs="仿宋"/>
              </w:rPr>
            </w:pPr>
            <w:r>
              <w:rPr>
                <w:rFonts w:hint="eastAsia" w:ascii="仿宋" w:hAnsi="仿宋" w:eastAsia="仿宋" w:cs="仿宋"/>
              </w:rPr>
              <w:t xml:space="preserve"> </w:t>
            </w:r>
          </w:p>
          <w:p w14:paraId="799236C0">
            <w:pPr>
              <w:pStyle w:val="16"/>
              <w:widowControl w:val="0"/>
              <w:jc w:val="left"/>
              <w:rPr>
                <w:rFonts w:hint="eastAsia" w:cs="Times New Roman"/>
              </w:rPr>
            </w:pPr>
            <w:r>
              <w:rPr>
                <w:rFonts w:hint="eastAsia" w:ascii="仿宋" w:hAnsi="仿宋" w:eastAsia="仿宋" w:cs="仿宋"/>
                <w:sz w:val="24"/>
                <w:szCs w:val="24"/>
              </w:rPr>
              <w:t>2.能将所学知识点用于今后的健康管理工作中。</w:t>
            </w:r>
          </w:p>
          <w:p w14:paraId="794B660C">
            <w:pPr>
              <w:pStyle w:val="16"/>
              <w:widowControl w:val="0"/>
              <w:jc w:val="left"/>
              <w:rPr>
                <w:rFonts w:hint="eastAsia" w:cs="Times New Roman"/>
              </w:rPr>
            </w:pPr>
            <w:r>
              <w:rPr>
                <w:rFonts w:hint="eastAsia" w:cs="Times New Roman"/>
              </w:rPr>
              <w:t>教学难念：</w:t>
            </w:r>
          </w:p>
          <w:p w14:paraId="14C2CB78">
            <w:pPr>
              <w:snapToGrid w:val="0"/>
              <w:spacing w:line="300" w:lineRule="exact"/>
              <w:rPr>
                <w:rFonts w:ascii="仿宋" w:hAnsi="仿宋" w:eastAsia="仿宋" w:cs="仿宋"/>
              </w:rPr>
            </w:pPr>
            <w:r>
              <w:rPr>
                <w:rFonts w:hint="eastAsia" w:ascii="仿宋" w:hAnsi="仿宋" w:eastAsia="仿宋" w:cs="仿宋"/>
              </w:rPr>
              <w:t>1.糖尿病的典型症状。药物治疗及非药物治疗指导及社区管理随访</w:t>
            </w:r>
          </w:p>
          <w:p w14:paraId="5FA543C2">
            <w:pPr>
              <w:pStyle w:val="16"/>
              <w:widowControl w:val="0"/>
              <w:jc w:val="left"/>
              <w:rPr>
                <w:rFonts w:hint="eastAsia" w:cs="Times New Roman"/>
              </w:rPr>
            </w:pPr>
            <w:r>
              <w:rPr>
                <w:rFonts w:hint="eastAsia" w:ascii="仿宋" w:hAnsi="仿宋" w:eastAsia="仿宋" w:cs="仿宋"/>
                <w:sz w:val="24"/>
                <w:szCs w:val="24"/>
              </w:rPr>
              <w:t xml:space="preserve"> 2.根据糖尿病的危害进行健康教育，</w:t>
            </w:r>
            <w:r>
              <w:rPr>
                <w:rFonts w:hint="eastAsia" w:ascii="仿宋" w:hAnsi="仿宋" w:eastAsia="仿宋" w:cs="仿宋"/>
                <w:sz w:val="22"/>
              </w:rPr>
              <w:t>运动指导</w:t>
            </w:r>
          </w:p>
        </w:tc>
      </w:tr>
      <w:tr w14:paraId="50B1798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62" w:type="dxa"/>
            <w:shd w:val="clear" w:color="auto" w:fill="auto"/>
          </w:tcPr>
          <w:p w14:paraId="5C96D5C4">
            <w:pPr>
              <w:pStyle w:val="16"/>
              <w:widowControl w:val="0"/>
              <w:jc w:val="left"/>
              <w:rPr>
                <w:rFonts w:ascii="仿宋" w:hAnsi="仿宋" w:eastAsia="仿宋" w:cs="仿宋"/>
                <w:sz w:val="22"/>
              </w:rPr>
            </w:pPr>
            <w:r>
              <w:rPr>
                <w:rFonts w:hint="eastAsia" w:ascii="仿宋" w:hAnsi="仿宋" w:eastAsia="仿宋" w:cs="仿宋"/>
                <w:sz w:val="22"/>
              </w:rPr>
              <w:t>第十一单元 高尿酸症及痛风</w:t>
            </w:r>
          </w:p>
          <w:p w14:paraId="2193A057">
            <w:pPr>
              <w:pStyle w:val="16"/>
              <w:widowControl w:val="0"/>
              <w:jc w:val="left"/>
              <w:rPr>
                <w:rFonts w:cs="Times New Roman"/>
              </w:rPr>
            </w:pPr>
            <w:r>
              <w:rPr>
                <w:rFonts w:hint="eastAsia" w:cs="Times New Roman"/>
              </w:rPr>
              <w:t>知识点：</w:t>
            </w:r>
          </w:p>
          <w:p w14:paraId="377ADECE">
            <w:pPr>
              <w:pStyle w:val="16"/>
              <w:widowControl w:val="0"/>
              <w:jc w:val="left"/>
              <w:rPr>
                <w:rFonts w:hint="eastAsia" w:cs="Times New Roman"/>
              </w:rPr>
            </w:pPr>
            <w:r>
              <w:rPr>
                <w:rFonts w:hint="eastAsia" w:ascii="仿宋" w:hAnsi="仿宋" w:eastAsia="仿宋" w:cs="仿宋"/>
                <w:sz w:val="24"/>
                <w:szCs w:val="24"/>
              </w:rPr>
              <w:t>知道</w:t>
            </w:r>
            <w:r>
              <w:rPr>
                <w:rFonts w:hint="eastAsia" w:ascii="仿宋" w:hAnsi="仿宋" w:eastAsia="仿宋" w:cs="仿宋"/>
                <w:sz w:val="22"/>
              </w:rPr>
              <w:t>高尿酸症及痛风的</w:t>
            </w:r>
            <w:r>
              <w:rPr>
                <w:rFonts w:hint="eastAsia" w:ascii="仿宋" w:hAnsi="仿宋" w:eastAsia="仿宋" w:cs="仿宋"/>
                <w:sz w:val="24"/>
                <w:szCs w:val="24"/>
              </w:rPr>
              <w:t>概念及临床表现。危险因素及危害药物治疗及非药物治疗；痛风的分期，</w:t>
            </w:r>
            <w:r>
              <w:rPr>
                <w:rFonts w:hint="eastAsia" w:ascii="仿宋" w:hAnsi="仿宋" w:eastAsia="仿宋" w:cs="仿宋"/>
                <w:sz w:val="22"/>
              </w:rPr>
              <w:t>高尿酸症及痛风社区健康管理的基本流程，主要内容及原则。</w:t>
            </w:r>
          </w:p>
          <w:p w14:paraId="7FC25D53">
            <w:pPr>
              <w:pStyle w:val="16"/>
              <w:widowControl w:val="0"/>
              <w:jc w:val="left"/>
              <w:rPr>
                <w:rFonts w:cs="Times New Roman"/>
              </w:rPr>
            </w:pPr>
            <w:r>
              <w:rPr>
                <w:rFonts w:hint="eastAsia" w:cs="Times New Roman"/>
              </w:rPr>
              <w:t>能力要求：</w:t>
            </w:r>
          </w:p>
          <w:p w14:paraId="5E6BB2CB">
            <w:pPr>
              <w:snapToGrid w:val="0"/>
              <w:spacing w:line="300" w:lineRule="exact"/>
              <w:rPr>
                <w:rFonts w:ascii="仿宋" w:hAnsi="仿宋" w:eastAsia="仿宋" w:cs="仿宋"/>
              </w:rPr>
            </w:pPr>
            <w:r>
              <w:rPr>
                <w:rFonts w:hint="eastAsia" w:ascii="仿宋" w:hAnsi="仿宋" w:eastAsia="仿宋" w:cs="仿宋"/>
              </w:rPr>
              <w:t>1.能够根据</w:t>
            </w:r>
            <w:r>
              <w:rPr>
                <w:rFonts w:hint="eastAsia" w:ascii="仿宋" w:hAnsi="仿宋" w:eastAsia="仿宋" w:cs="仿宋"/>
                <w:sz w:val="22"/>
              </w:rPr>
              <w:t>高尿酸症及痛风的常见症状</w:t>
            </w:r>
            <w:r>
              <w:rPr>
                <w:rFonts w:hint="eastAsia" w:ascii="仿宋" w:hAnsi="仿宋" w:eastAsia="仿宋" w:cs="仿宋"/>
              </w:rPr>
              <w:t>做出初步判断。对药物治疗及非药物治疗指导及社区管理随访</w:t>
            </w:r>
          </w:p>
          <w:p w14:paraId="5E8326D9">
            <w:pPr>
              <w:pStyle w:val="16"/>
              <w:widowControl w:val="0"/>
              <w:jc w:val="left"/>
              <w:rPr>
                <w:rFonts w:hint="eastAsia" w:cs="Times New Roman"/>
              </w:rPr>
            </w:pPr>
            <w:r>
              <w:rPr>
                <w:rFonts w:hint="eastAsia" w:ascii="仿宋" w:hAnsi="仿宋" w:eastAsia="仿宋" w:cs="仿宋"/>
                <w:sz w:val="24"/>
                <w:szCs w:val="24"/>
              </w:rPr>
              <w:t>2.能将所学知识点用于今后的健康管理工作中。</w:t>
            </w:r>
          </w:p>
          <w:p w14:paraId="687629AC">
            <w:pPr>
              <w:pStyle w:val="16"/>
              <w:widowControl w:val="0"/>
              <w:jc w:val="left"/>
              <w:rPr>
                <w:rFonts w:hint="eastAsia" w:cs="Times New Roman"/>
              </w:rPr>
            </w:pPr>
            <w:r>
              <w:rPr>
                <w:rFonts w:hint="eastAsia" w:cs="Times New Roman"/>
              </w:rPr>
              <w:t>教学难念：</w:t>
            </w:r>
          </w:p>
          <w:p w14:paraId="6EC0918D">
            <w:pPr>
              <w:widowControl w:val="0"/>
              <w:tabs>
                <w:tab w:val="left" w:pos="312"/>
              </w:tabs>
              <w:snapToGrid w:val="0"/>
              <w:spacing w:line="300" w:lineRule="exact"/>
              <w:jc w:val="both"/>
              <w:rPr>
                <w:rFonts w:ascii="仿宋" w:hAnsi="仿宋" w:eastAsia="仿宋" w:cs="仿宋"/>
                <w:sz w:val="22"/>
              </w:rPr>
            </w:pPr>
            <w:r>
              <w:rPr>
                <w:rFonts w:hint="eastAsia" w:ascii="仿宋" w:hAnsi="仿宋" w:eastAsia="仿宋" w:cs="仿宋"/>
                <w:sz w:val="22"/>
              </w:rPr>
              <w:t>高尿酸症及痛风的常见症状。</w:t>
            </w:r>
            <w:r>
              <w:rPr>
                <w:rFonts w:hint="eastAsia" w:ascii="仿宋" w:hAnsi="仿宋" w:eastAsia="仿宋" w:cs="仿宋"/>
              </w:rPr>
              <w:t>药物治疗及非药物治疗指导</w:t>
            </w:r>
          </w:p>
          <w:p w14:paraId="186E0B3A">
            <w:pPr>
              <w:pStyle w:val="16"/>
              <w:widowControl w:val="0"/>
              <w:jc w:val="left"/>
              <w:rPr>
                <w:rFonts w:hint="eastAsia" w:cs="Times New Roman"/>
              </w:rPr>
            </w:pPr>
            <w:r>
              <w:rPr>
                <w:rFonts w:hint="eastAsia" w:ascii="仿宋" w:hAnsi="仿宋" w:eastAsia="仿宋" w:cs="仿宋"/>
                <w:sz w:val="24"/>
                <w:szCs w:val="24"/>
              </w:rPr>
              <w:t>根据</w:t>
            </w:r>
            <w:r>
              <w:rPr>
                <w:rFonts w:hint="eastAsia" w:ascii="仿宋" w:hAnsi="仿宋" w:eastAsia="仿宋" w:cs="仿宋"/>
                <w:sz w:val="22"/>
              </w:rPr>
              <w:t>高尿酸症及痛风</w:t>
            </w:r>
            <w:r>
              <w:rPr>
                <w:rFonts w:hint="eastAsia" w:ascii="仿宋" w:hAnsi="仿宋" w:eastAsia="仿宋" w:cs="仿宋"/>
                <w:sz w:val="24"/>
                <w:szCs w:val="24"/>
              </w:rPr>
              <w:t>的危害进行健康教育。</w:t>
            </w:r>
          </w:p>
        </w:tc>
      </w:tr>
      <w:tr w14:paraId="2D4852F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62" w:type="dxa"/>
            <w:shd w:val="clear" w:color="auto" w:fill="auto"/>
          </w:tcPr>
          <w:p w14:paraId="18299955">
            <w:pPr>
              <w:pStyle w:val="16"/>
              <w:widowControl w:val="0"/>
              <w:jc w:val="left"/>
              <w:rPr>
                <w:rFonts w:ascii="仿宋" w:hAnsi="仿宋" w:eastAsia="仿宋" w:cs="仿宋"/>
                <w:sz w:val="22"/>
              </w:rPr>
            </w:pPr>
            <w:r>
              <w:rPr>
                <w:rFonts w:hint="eastAsia" w:ascii="仿宋" w:hAnsi="仿宋" w:eastAsia="仿宋" w:cs="仿宋"/>
                <w:sz w:val="22"/>
              </w:rPr>
              <w:t>第十二单元 肥胖症</w:t>
            </w:r>
          </w:p>
          <w:p w14:paraId="0EEC104C">
            <w:pPr>
              <w:pStyle w:val="16"/>
              <w:widowControl w:val="0"/>
              <w:jc w:val="left"/>
              <w:rPr>
                <w:rFonts w:cs="Times New Roman"/>
              </w:rPr>
            </w:pPr>
            <w:r>
              <w:rPr>
                <w:rFonts w:hint="eastAsia" w:cs="Times New Roman"/>
              </w:rPr>
              <w:t>知识点：</w:t>
            </w:r>
          </w:p>
          <w:p w14:paraId="1139F2DA">
            <w:pPr>
              <w:pStyle w:val="16"/>
              <w:widowControl w:val="0"/>
              <w:jc w:val="left"/>
              <w:rPr>
                <w:rFonts w:hint="eastAsia" w:cs="Times New Roman"/>
              </w:rPr>
            </w:pPr>
            <w:r>
              <w:rPr>
                <w:rFonts w:hint="eastAsia" w:ascii="仿宋" w:hAnsi="仿宋" w:eastAsia="仿宋" w:cs="仿宋"/>
                <w:sz w:val="24"/>
                <w:szCs w:val="24"/>
              </w:rPr>
              <w:t>知道</w:t>
            </w:r>
            <w:r>
              <w:rPr>
                <w:rFonts w:hint="eastAsia" w:ascii="仿宋" w:hAnsi="仿宋" w:eastAsia="仿宋" w:cs="仿宋"/>
                <w:sz w:val="22"/>
              </w:rPr>
              <w:t>肥胖症的</w:t>
            </w:r>
            <w:r>
              <w:rPr>
                <w:rFonts w:hint="eastAsia" w:ascii="仿宋" w:hAnsi="仿宋" w:eastAsia="仿宋" w:cs="仿宋"/>
                <w:sz w:val="24"/>
                <w:szCs w:val="24"/>
              </w:rPr>
              <w:t>概念及症状。危险因素及危害，药物治疗及非药物治疗，</w:t>
            </w:r>
            <w:r>
              <w:rPr>
                <w:rFonts w:hint="eastAsia" w:ascii="仿宋" w:hAnsi="仿宋" w:eastAsia="仿宋" w:cs="仿宋"/>
                <w:sz w:val="22"/>
              </w:rPr>
              <w:t>社区健康管理的基本流程，主要内容及原则，管理目标</w:t>
            </w:r>
          </w:p>
          <w:p w14:paraId="7726545B">
            <w:pPr>
              <w:pStyle w:val="16"/>
              <w:widowControl w:val="0"/>
              <w:jc w:val="left"/>
              <w:rPr>
                <w:rFonts w:cs="Times New Roman"/>
              </w:rPr>
            </w:pPr>
            <w:r>
              <w:rPr>
                <w:rFonts w:hint="eastAsia" w:cs="Times New Roman"/>
              </w:rPr>
              <w:t>能力要求：</w:t>
            </w:r>
          </w:p>
          <w:p w14:paraId="147F2BFC">
            <w:pPr>
              <w:widowControl w:val="0"/>
              <w:numPr>
                <w:ilvl w:val="0"/>
                <w:numId w:val="6"/>
              </w:numPr>
              <w:snapToGrid w:val="0"/>
              <w:spacing w:line="300" w:lineRule="exact"/>
              <w:jc w:val="both"/>
              <w:rPr>
                <w:rFonts w:hint="eastAsia" w:ascii="仿宋" w:hAnsi="仿宋" w:eastAsia="仿宋" w:cs="仿宋"/>
              </w:rPr>
            </w:pPr>
            <w:r>
              <w:rPr>
                <w:rFonts w:hint="eastAsia" w:ascii="仿宋" w:hAnsi="仿宋" w:eastAsia="仿宋" w:cs="仿宋"/>
              </w:rPr>
              <w:t>能够根据</w:t>
            </w:r>
            <w:r>
              <w:rPr>
                <w:rFonts w:hint="eastAsia" w:ascii="仿宋" w:hAnsi="仿宋" w:eastAsia="仿宋" w:cs="仿宋"/>
                <w:sz w:val="22"/>
              </w:rPr>
              <w:t>肥胖症的</w:t>
            </w:r>
            <w:r>
              <w:rPr>
                <w:rFonts w:hint="eastAsia" w:ascii="仿宋" w:hAnsi="仿宋" w:eastAsia="仿宋" w:cs="仿宋"/>
              </w:rPr>
              <w:t>概念及症状做出初步判断。 对药物治疗及非药物治疗指导及社区管理随访；能将所学知识点用于今后的健康管理工作中</w:t>
            </w:r>
          </w:p>
          <w:p w14:paraId="6DC71F03">
            <w:pPr>
              <w:pStyle w:val="16"/>
              <w:widowControl w:val="0"/>
              <w:jc w:val="left"/>
              <w:rPr>
                <w:rFonts w:hint="eastAsia" w:cs="Times New Roman"/>
              </w:rPr>
            </w:pPr>
            <w:r>
              <w:rPr>
                <w:rFonts w:hint="eastAsia" w:cs="Times New Roman"/>
              </w:rPr>
              <w:t>教学难念：</w:t>
            </w:r>
          </w:p>
          <w:p w14:paraId="24A6C7B6">
            <w:pPr>
              <w:pStyle w:val="16"/>
              <w:widowControl w:val="0"/>
              <w:jc w:val="left"/>
              <w:rPr>
                <w:rFonts w:hint="eastAsia" w:cs="Times New Roman"/>
              </w:rPr>
            </w:pPr>
            <w:r>
              <w:rPr>
                <w:rFonts w:hint="eastAsia" w:ascii="仿宋" w:hAnsi="仿宋" w:eastAsia="仿宋" w:cs="仿宋"/>
                <w:sz w:val="22"/>
              </w:rPr>
              <w:t>肥胖症的</w:t>
            </w:r>
            <w:r>
              <w:rPr>
                <w:rFonts w:hint="eastAsia" w:ascii="仿宋" w:hAnsi="仿宋" w:eastAsia="仿宋" w:cs="仿宋"/>
                <w:sz w:val="24"/>
                <w:szCs w:val="24"/>
              </w:rPr>
              <w:t>概念及症状。危险因素及危害药物治疗及非药物治疗；</w:t>
            </w:r>
            <w:r>
              <w:rPr>
                <w:rFonts w:hint="eastAsia" w:ascii="仿宋" w:hAnsi="仿宋" w:eastAsia="仿宋" w:cs="仿宋"/>
                <w:sz w:val="22"/>
              </w:rPr>
              <w:t>肥胖症的管理目标及预防</w:t>
            </w:r>
            <w:r>
              <w:rPr>
                <w:rFonts w:hint="eastAsia" w:ascii="仿宋" w:hAnsi="仿宋" w:eastAsia="仿宋" w:cs="仿宋"/>
                <w:sz w:val="24"/>
                <w:szCs w:val="24"/>
              </w:rPr>
              <w:t>，</w:t>
            </w:r>
            <w:r>
              <w:rPr>
                <w:rFonts w:hint="eastAsia" w:ascii="仿宋" w:hAnsi="仿宋" w:eastAsia="仿宋" w:cs="仿宋"/>
                <w:sz w:val="22"/>
              </w:rPr>
              <w:t>运动指导</w:t>
            </w:r>
          </w:p>
        </w:tc>
      </w:tr>
      <w:tr w14:paraId="2B2CE9F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62" w:type="dxa"/>
            <w:shd w:val="clear" w:color="auto" w:fill="auto"/>
          </w:tcPr>
          <w:p w14:paraId="0AFDA656">
            <w:pPr>
              <w:pStyle w:val="16"/>
              <w:widowControl w:val="0"/>
              <w:jc w:val="left"/>
              <w:rPr>
                <w:rFonts w:ascii="仿宋" w:hAnsi="仿宋" w:eastAsia="仿宋" w:cs="仿宋"/>
                <w:sz w:val="22"/>
              </w:rPr>
            </w:pPr>
            <w:r>
              <w:rPr>
                <w:rFonts w:hint="eastAsia" w:ascii="仿宋" w:hAnsi="仿宋" w:eastAsia="仿宋" w:cs="仿宋"/>
                <w:sz w:val="22"/>
              </w:rPr>
              <w:t>第十三单元 慢性阻塞性肺疾病</w:t>
            </w:r>
          </w:p>
          <w:p w14:paraId="3FE2E89D">
            <w:pPr>
              <w:pStyle w:val="16"/>
              <w:widowControl w:val="0"/>
              <w:jc w:val="left"/>
              <w:rPr>
                <w:rFonts w:cs="Times New Roman"/>
              </w:rPr>
            </w:pPr>
            <w:r>
              <w:rPr>
                <w:rFonts w:hint="eastAsia" w:cs="Times New Roman"/>
              </w:rPr>
              <w:t>知识点：</w:t>
            </w:r>
          </w:p>
          <w:p w14:paraId="7F02B1CA">
            <w:pPr>
              <w:pStyle w:val="16"/>
              <w:widowControl w:val="0"/>
              <w:jc w:val="left"/>
              <w:rPr>
                <w:rFonts w:hint="eastAsia" w:cs="Times New Roman"/>
              </w:rPr>
            </w:pPr>
            <w:r>
              <w:rPr>
                <w:rFonts w:hint="eastAsia" w:ascii="仿宋" w:hAnsi="仿宋" w:eastAsia="仿宋" w:cs="仿宋"/>
                <w:sz w:val="24"/>
                <w:szCs w:val="24"/>
              </w:rPr>
              <w:t>知道</w:t>
            </w:r>
            <w:r>
              <w:rPr>
                <w:rFonts w:hint="eastAsia" w:ascii="仿宋" w:hAnsi="仿宋" w:eastAsia="仿宋" w:cs="仿宋"/>
                <w:sz w:val="22"/>
              </w:rPr>
              <w:t>慢性阻塞性肺疾病的概念，临床表现，诊断标准，及治疗原则</w:t>
            </w:r>
            <w:r>
              <w:rPr>
                <w:rFonts w:hint="eastAsia" w:ascii="仿宋" w:hAnsi="仿宋" w:eastAsia="仿宋" w:cs="仿宋"/>
                <w:sz w:val="24"/>
                <w:szCs w:val="24"/>
              </w:rPr>
              <w:t>。慢阻肺的社区管理，包括药物治疗及非药物治疗，健康教育，并发症的应急处理及预防指导等。</w:t>
            </w:r>
          </w:p>
          <w:p w14:paraId="256B7BA9">
            <w:pPr>
              <w:pStyle w:val="16"/>
              <w:widowControl w:val="0"/>
              <w:jc w:val="left"/>
              <w:rPr>
                <w:rFonts w:cs="Times New Roman"/>
              </w:rPr>
            </w:pPr>
            <w:r>
              <w:rPr>
                <w:rFonts w:hint="eastAsia" w:cs="Times New Roman"/>
              </w:rPr>
              <w:t>能力要求：</w:t>
            </w:r>
          </w:p>
          <w:p w14:paraId="79C23FC8">
            <w:pPr>
              <w:widowControl w:val="0"/>
              <w:tabs>
                <w:tab w:val="left" w:pos="312"/>
              </w:tabs>
              <w:snapToGrid w:val="0"/>
              <w:spacing w:line="300" w:lineRule="exact"/>
              <w:jc w:val="both"/>
              <w:rPr>
                <w:rFonts w:ascii="仿宋" w:hAnsi="仿宋" w:eastAsia="仿宋" w:cs="仿宋"/>
              </w:rPr>
            </w:pPr>
            <w:r>
              <w:rPr>
                <w:rFonts w:hint="eastAsia" w:ascii="仿宋" w:hAnsi="仿宋" w:eastAsia="仿宋" w:cs="仿宋"/>
              </w:rPr>
              <w:t>能够根据</w:t>
            </w:r>
            <w:r>
              <w:rPr>
                <w:rFonts w:hint="eastAsia" w:ascii="仿宋" w:hAnsi="仿宋" w:eastAsia="仿宋" w:cs="仿宋"/>
                <w:sz w:val="22"/>
              </w:rPr>
              <w:t>慢性阻塞性肺疾病的</w:t>
            </w:r>
            <w:r>
              <w:rPr>
                <w:rFonts w:hint="eastAsia" w:ascii="仿宋" w:hAnsi="仿宋" w:eastAsia="仿宋" w:cs="仿宋"/>
              </w:rPr>
              <w:t>概念及症状做出初步判断。 对药物治疗及非药物治疗指导及社区管理随访，进行健康教育，</w:t>
            </w:r>
          </w:p>
          <w:p w14:paraId="2773BDD1">
            <w:pPr>
              <w:pStyle w:val="16"/>
              <w:widowControl w:val="0"/>
              <w:jc w:val="left"/>
              <w:rPr>
                <w:rFonts w:hint="eastAsia" w:cs="Times New Roman"/>
              </w:rPr>
            </w:pPr>
            <w:r>
              <w:rPr>
                <w:rFonts w:hint="eastAsia" w:ascii="仿宋" w:hAnsi="仿宋" w:eastAsia="仿宋" w:cs="仿宋"/>
                <w:sz w:val="24"/>
                <w:szCs w:val="24"/>
              </w:rPr>
              <w:t>能将所学知识点用于今后的健康管理工作中</w:t>
            </w:r>
          </w:p>
          <w:p w14:paraId="1E45AFFA">
            <w:pPr>
              <w:pStyle w:val="16"/>
              <w:widowControl w:val="0"/>
              <w:jc w:val="left"/>
              <w:rPr>
                <w:rFonts w:hint="eastAsia" w:cs="Times New Roman"/>
              </w:rPr>
            </w:pPr>
            <w:r>
              <w:rPr>
                <w:rFonts w:hint="eastAsia" w:cs="Times New Roman"/>
              </w:rPr>
              <w:t>教学难念：</w:t>
            </w:r>
          </w:p>
          <w:p w14:paraId="4EB9C1BA">
            <w:pPr>
              <w:tabs>
                <w:tab w:val="left" w:pos="312"/>
              </w:tabs>
              <w:snapToGrid w:val="0"/>
              <w:spacing w:line="300" w:lineRule="exact"/>
              <w:ind w:right="-46" w:rightChars="-19"/>
              <w:rPr>
                <w:rFonts w:ascii="仿宋" w:hAnsi="仿宋" w:eastAsia="仿宋" w:cs="仿宋"/>
              </w:rPr>
            </w:pPr>
            <w:r>
              <w:rPr>
                <w:rFonts w:hint="eastAsia" w:ascii="仿宋" w:hAnsi="仿宋" w:eastAsia="仿宋" w:cs="仿宋"/>
                <w:sz w:val="22"/>
              </w:rPr>
              <w:t>慢性阻塞性肺疾病的</w:t>
            </w:r>
            <w:r>
              <w:rPr>
                <w:rFonts w:hint="eastAsia" w:ascii="仿宋" w:hAnsi="仿宋" w:eastAsia="仿宋" w:cs="仿宋"/>
              </w:rPr>
              <w:t>概念。危险因素及危害药物治疗及非药物治疗</w:t>
            </w:r>
          </w:p>
          <w:p w14:paraId="1AEDADB0">
            <w:pPr>
              <w:pStyle w:val="16"/>
              <w:widowControl w:val="0"/>
              <w:tabs>
                <w:tab w:val="left" w:pos="870"/>
              </w:tabs>
              <w:jc w:val="left"/>
              <w:rPr>
                <w:rFonts w:hint="eastAsia" w:cs="Times New Roman"/>
              </w:rPr>
            </w:pPr>
            <w:r>
              <w:rPr>
                <w:rFonts w:hint="eastAsia" w:ascii="仿宋" w:hAnsi="仿宋" w:eastAsia="仿宋" w:cs="仿宋"/>
                <w:sz w:val="24"/>
                <w:szCs w:val="24"/>
              </w:rPr>
              <w:t>慢阻肺</w:t>
            </w:r>
            <w:r>
              <w:rPr>
                <w:rFonts w:hint="eastAsia" w:ascii="仿宋" w:hAnsi="仿宋" w:eastAsia="仿宋" w:cs="仿宋"/>
                <w:sz w:val="22"/>
              </w:rPr>
              <w:t>的社区管理，健康教育及预防</w:t>
            </w:r>
            <w:r>
              <w:rPr>
                <w:rFonts w:hint="eastAsia" w:ascii="仿宋" w:hAnsi="仿宋" w:eastAsia="仿宋" w:cs="仿宋"/>
                <w:sz w:val="24"/>
                <w:szCs w:val="24"/>
              </w:rPr>
              <w:t>。</w:t>
            </w:r>
          </w:p>
        </w:tc>
      </w:tr>
      <w:tr w14:paraId="3096C03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62" w:type="dxa"/>
            <w:shd w:val="clear" w:color="auto" w:fill="auto"/>
          </w:tcPr>
          <w:p w14:paraId="727CD45F">
            <w:pPr>
              <w:pStyle w:val="16"/>
              <w:widowControl w:val="0"/>
              <w:jc w:val="left"/>
              <w:rPr>
                <w:rFonts w:ascii="仿宋" w:hAnsi="仿宋" w:eastAsia="仿宋" w:cs="仿宋"/>
                <w:sz w:val="22"/>
              </w:rPr>
            </w:pPr>
            <w:r>
              <w:rPr>
                <w:rFonts w:hint="eastAsia" w:ascii="仿宋" w:hAnsi="仿宋" w:eastAsia="仿宋" w:cs="仿宋"/>
                <w:sz w:val="22"/>
              </w:rPr>
              <w:t>第十四单元 慢性肾脏病</w:t>
            </w:r>
          </w:p>
          <w:p w14:paraId="39EC3673">
            <w:pPr>
              <w:pStyle w:val="16"/>
              <w:widowControl w:val="0"/>
              <w:jc w:val="left"/>
              <w:rPr>
                <w:rFonts w:cs="Times New Roman"/>
              </w:rPr>
            </w:pPr>
            <w:r>
              <w:rPr>
                <w:rFonts w:hint="eastAsia" w:cs="Times New Roman"/>
              </w:rPr>
              <w:t>知识点：</w:t>
            </w:r>
          </w:p>
          <w:p w14:paraId="35F1B005">
            <w:pPr>
              <w:widowControl w:val="0"/>
              <w:snapToGrid w:val="0"/>
              <w:spacing w:line="300" w:lineRule="exact"/>
              <w:jc w:val="both"/>
              <w:rPr>
                <w:rFonts w:hint="eastAsia" w:ascii="仿宋" w:hAnsi="仿宋" w:eastAsia="仿宋" w:cs="仿宋"/>
              </w:rPr>
            </w:pPr>
            <w:r>
              <w:rPr>
                <w:rFonts w:hint="eastAsia" w:ascii="仿宋" w:hAnsi="仿宋" w:eastAsia="仿宋" w:cs="仿宋"/>
              </w:rPr>
              <w:t>知道</w:t>
            </w:r>
            <w:r>
              <w:rPr>
                <w:rFonts w:hint="eastAsia" w:ascii="仿宋" w:hAnsi="仿宋" w:eastAsia="仿宋" w:cs="仿宋"/>
                <w:sz w:val="22"/>
              </w:rPr>
              <w:t>慢性肾脏病的概念及分期，临床表现，危险因素，及治疗原则</w:t>
            </w:r>
            <w:r>
              <w:rPr>
                <w:rFonts w:hint="eastAsia" w:ascii="仿宋" w:hAnsi="仿宋" w:eastAsia="仿宋" w:cs="仿宋"/>
              </w:rPr>
              <w:t>。药物治疗及非药物治疗，</w:t>
            </w:r>
            <w:r>
              <w:rPr>
                <w:rFonts w:hint="eastAsia" w:ascii="仿宋" w:hAnsi="仿宋" w:eastAsia="仿宋" w:cs="仿宋"/>
                <w:sz w:val="22"/>
              </w:rPr>
              <w:t>社区健康管理的基本流程，主要内容，防控，健康教育，运动指导。</w:t>
            </w:r>
          </w:p>
          <w:p w14:paraId="13FA8C48">
            <w:pPr>
              <w:pStyle w:val="16"/>
              <w:widowControl w:val="0"/>
              <w:jc w:val="left"/>
              <w:rPr>
                <w:rFonts w:cs="Times New Roman"/>
              </w:rPr>
            </w:pPr>
            <w:r>
              <w:rPr>
                <w:rFonts w:hint="eastAsia" w:cs="Times New Roman"/>
              </w:rPr>
              <w:t>能力要求：</w:t>
            </w:r>
          </w:p>
          <w:p w14:paraId="0510CEFA">
            <w:pPr>
              <w:widowControl w:val="0"/>
              <w:tabs>
                <w:tab w:val="left" w:pos="312"/>
              </w:tabs>
              <w:snapToGrid w:val="0"/>
              <w:spacing w:line="300" w:lineRule="exact"/>
              <w:jc w:val="both"/>
              <w:rPr>
                <w:rFonts w:ascii="仿宋" w:hAnsi="仿宋" w:eastAsia="仿宋" w:cs="仿宋"/>
              </w:rPr>
            </w:pPr>
            <w:r>
              <w:rPr>
                <w:rFonts w:hint="eastAsia" w:ascii="仿宋" w:hAnsi="仿宋" w:eastAsia="仿宋" w:cs="仿宋"/>
              </w:rPr>
              <w:t>1.能够根据</w:t>
            </w:r>
            <w:r>
              <w:rPr>
                <w:rFonts w:hint="eastAsia" w:ascii="仿宋" w:hAnsi="仿宋" w:eastAsia="仿宋" w:cs="仿宋"/>
                <w:sz w:val="22"/>
              </w:rPr>
              <w:t>肾脏病的</w:t>
            </w:r>
            <w:r>
              <w:rPr>
                <w:rFonts w:hint="eastAsia" w:ascii="仿宋" w:hAnsi="仿宋" w:eastAsia="仿宋" w:cs="仿宋"/>
              </w:rPr>
              <w:t>概念及临床表现做出初步判断。 对药物治疗及非药物治疗指导及社区管理 ，进行健康教育，</w:t>
            </w:r>
            <w:r>
              <w:rPr>
                <w:rFonts w:hint="eastAsia" w:ascii="仿宋" w:hAnsi="仿宋" w:eastAsia="仿宋" w:cs="仿宋"/>
                <w:sz w:val="22"/>
              </w:rPr>
              <w:t>运动指导。</w:t>
            </w:r>
          </w:p>
          <w:p w14:paraId="0DE45F2E">
            <w:pPr>
              <w:snapToGrid w:val="0"/>
              <w:spacing w:line="300" w:lineRule="exact"/>
              <w:rPr>
                <w:rFonts w:hint="eastAsia" w:ascii="仿宋" w:hAnsi="仿宋" w:eastAsia="仿宋" w:cs="仿宋"/>
              </w:rPr>
            </w:pPr>
            <w:r>
              <w:rPr>
                <w:rFonts w:hint="eastAsia" w:ascii="仿宋" w:hAnsi="仿宋" w:eastAsia="仿宋" w:cs="仿宋"/>
              </w:rPr>
              <w:t>2.能将所学知识点用于今后的健康管理工作中</w:t>
            </w:r>
          </w:p>
          <w:p w14:paraId="0D2423F5">
            <w:pPr>
              <w:pStyle w:val="16"/>
              <w:widowControl w:val="0"/>
              <w:jc w:val="left"/>
              <w:rPr>
                <w:rFonts w:hint="eastAsia" w:cs="Times New Roman"/>
              </w:rPr>
            </w:pPr>
            <w:r>
              <w:rPr>
                <w:rFonts w:hint="eastAsia" w:cs="Times New Roman"/>
              </w:rPr>
              <w:t>教学难念：</w:t>
            </w:r>
          </w:p>
          <w:p w14:paraId="09C50579">
            <w:pPr>
              <w:snapToGrid w:val="0"/>
              <w:spacing w:line="300" w:lineRule="exact"/>
              <w:ind w:right="-46" w:rightChars="-19"/>
              <w:rPr>
                <w:rFonts w:ascii="仿宋" w:hAnsi="仿宋" w:eastAsia="仿宋" w:cs="仿宋"/>
              </w:rPr>
            </w:pPr>
            <w:r>
              <w:rPr>
                <w:rFonts w:hint="eastAsia" w:ascii="仿宋" w:hAnsi="仿宋" w:eastAsia="仿宋" w:cs="仿宋"/>
                <w:sz w:val="22"/>
              </w:rPr>
              <w:t>1.慢性肾脏病的概念及分期，，</w:t>
            </w:r>
            <w:r>
              <w:rPr>
                <w:rFonts w:hint="eastAsia" w:ascii="仿宋" w:hAnsi="仿宋" w:eastAsia="仿宋" w:cs="仿宋"/>
              </w:rPr>
              <w:t>药物治疗及非药物治疗</w:t>
            </w:r>
          </w:p>
          <w:p w14:paraId="27F657E5">
            <w:pPr>
              <w:pStyle w:val="16"/>
              <w:widowControl w:val="0"/>
              <w:jc w:val="left"/>
              <w:rPr>
                <w:rFonts w:hint="eastAsia" w:cs="Times New Roman"/>
              </w:rPr>
            </w:pPr>
            <w:r>
              <w:rPr>
                <w:rFonts w:hint="eastAsia" w:ascii="仿宋" w:hAnsi="仿宋" w:eastAsia="仿宋" w:cs="仿宋"/>
                <w:sz w:val="22"/>
              </w:rPr>
              <w:t>2.慢性肾脏病的社区管理，健康教育及预防</w:t>
            </w:r>
            <w:r>
              <w:rPr>
                <w:rFonts w:hint="eastAsia" w:ascii="仿宋" w:hAnsi="仿宋" w:eastAsia="仿宋" w:cs="仿宋"/>
                <w:sz w:val="24"/>
                <w:szCs w:val="24"/>
              </w:rPr>
              <w:t>，</w:t>
            </w:r>
            <w:r>
              <w:rPr>
                <w:rFonts w:hint="eastAsia" w:ascii="仿宋" w:hAnsi="仿宋" w:eastAsia="仿宋" w:cs="仿宋"/>
                <w:sz w:val="22"/>
              </w:rPr>
              <w:t>运动指导</w:t>
            </w:r>
          </w:p>
        </w:tc>
      </w:tr>
      <w:tr w14:paraId="50951DE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62" w:type="dxa"/>
            <w:shd w:val="clear" w:color="auto" w:fill="auto"/>
          </w:tcPr>
          <w:p w14:paraId="3E8422FB">
            <w:pPr>
              <w:pStyle w:val="16"/>
              <w:widowControl w:val="0"/>
              <w:jc w:val="left"/>
              <w:rPr>
                <w:rFonts w:ascii="仿宋" w:hAnsi="仿宋" w:eastAsia="仿宋" w:cs="仿宋"/>
                <w:sz w:val="22"/>
              </w:rPr>
            </w:pPr>
            <w:r>
              <w:rPr>
                <w:rFonts w:hint="eastAsia" w:ascii="仿宋" w:hAnsi="仿宋" w:eastAsia="仿宋" w:cs="仿宋"/>
                <w:sz w:val="22"/>
              </w:rPr>
              <w:t xml:space="preserve">第十五单元 </w:t>
            </w:r>
            <w:r>
              <w:rPr>
                <w:rFonts w:hint="eastAsia" w:ascii="仿宋" w:hAnsi="仿宋" w:eastAsia="仿宋" w:cs="仿宋"/>
                <w:sz w:val="24"/>
                <w:szCs w:val="24"/>
              </w:rPr>
              <w:t>膝骨关节炎</w:t>
            </w:r>
          </w:p>
          <w:p w14:paraId="6E3EBAC4">
            <w:pPr>
              <w:pStyle w:val="16"/>
              <w:widowControl w:val="0"/>
              <w:jc w:val="left"/>
              <w:rPr>
                <w:rFonts w:cs="Times New Roman"/>
              </w:rPr>
            </w:pPr>
            <w:r>
              <w:rPr>
                <w:rFonts w:hint="eastAsia" w:cs="Times New Roman"/>
              </w:rPr>
              <w:t>知识点：</w:t>
            </w:r>
          </w:p>
          <w:p w14:paraId="778FEB42">
            <w:pPr>
              <w:pStyle w:val="16"/>
              <w:widowControl w:val="0"/>
              <w:ind w:firstLine="480" w:firstLineChars="200"/>
              <w:jc w:val="left"/>
              <w:rPr>
                <w:rFonts w:hint="eastAsia" w:cs="Times New Roman"/>
              </w:rPr>
            </w:pPr>
            <w:r>
              <w:rPr>
                <w:rFonts w:hint="eastAsia" w:ascii="仿宋" w:hAnsi="仿宋" w:eastAsia="仿宋" w:cs="仿宋"/>
                <w:sz w:val="24"/>
                <w:szCs w:val="24"/>
              </w:rPr>
              <w:t>知道膝骨关节炎</w:t>
            </w:r>
            <w:r>
              <w:rPr>
                <w:rFonts w:hint="eastAsia" w:ascii="仿宋" w:hAnsi="仿宋" w:eastAsia="仿宋" w:cs="仿宋"/>
                <w:sz w:val="22"/>
              </w:rPr>
              <w:t>的定义，流行情况，危险因素，诊断，类型及分期，药物治疗和手术治疗的原则</w:t>
            </w:r>
            <w:r>
              <w:rPr>
                <w:rFonts w:hint="eastAsia" w:ascii="仿宋" w:hAnsi="仿宋" w:eastAsia="仿宋" w:cs="仿宋"/>
                <w:sz w:val="24"/>
                <w:szCs w:val="24"/>
              </w:rPr>
              <w:t>。膝骨关节炎健康管理</w:t>
            </w:r>
          </w:p>
          <w:p w14:paraId="67413F21">
            <w:pPr>
              <w:pStyle w:val="16"/>
              <w:widowControl w:val="0"/>
              <w:jc w:val="left"/>
              <w:rPr>
                <w:rFonts w:cs="Times New Roman"/>
              </w:rPr>
            </w:pPr>
            <w:r>
              <w:rPr>
                <w:rFonts w:hint="eastAsia" w:cs="Times New Roman"/>
              </w:rPr>
              <w:t>能力要求：</w:t>
            </w:r>
          </w:p>
          <w:p w14:paraId="7ABA04D2">
            <w:pPr>
              <w:snapToGrid w:val="0"/>
              <w:spacing w:line="300" w:lineRule="exact"/>
              <w:rPr>
                <w:rFonts w:ascii="仿宋" w:hAnsi="仿宋" w:eastAsia="仿宋" w:cs="仿宋"/>
              </w:rPr>
            </w:pPr>
            <w:r>
              <w:rPr>
                <w:rFonts w:hint="eastAsia" w:ascii="仿宋" w:hAnsi="仿宋" w:eastAsia="仿宋" w:cs="仿宋"/>
              </w:rPr>
              <w:t>能够根据</w:t>
            </w:r>
            <w:r>
              <w:rPr>
                <w:rFonts w:hint="eastAsia" w:ascii="仿宋" w:hAnsi="仿宋" w:eastAsia="仿宋" w:cs="仿宋"/>
                <w:sz w:val="22"/>
              </w:rPr>
              <w:t>慢性</w:t>
            </w:r>
            <w:r>
              <w:rPr>
                <w:rFonts w:hint="eastAsia" w:ascii="仿宋" w:hAnsi="仿宋" w:eastAsia="仿宋" w:cs="仿宋"/>
              </w:rPr>
              <w:t>膝骨关节炎</w:t>
            </w:r>
            <w:r>
              <w:rPr>
                <w:rFonts w:hint="eastAsia" w:ascii="仿宋" w:hAnsi="仿宋" w:eastAsia="仿宋" w:cs="仿宋"/>
                <w:sz w:val="22"/>
              </w:rPr>
              <w:t>的</w:t>
            </w:r>
            <w:r>
              <w:rPr>
                <w:rFonts w:hint="eastAsia" w:ascii="仿宋" w:hAnsi="仿宋" w:eastAsia="仿宋" w:cs="仿宋"/>
              </w:rPr>
              <w:t xml:space="preserve">概念及症状做出初步判断。 对药物治疗给予指导及手术治疗的原则了解， </w:t>
            </w:r>
          </w:p>
          <w:p w14:paraId="4D1FD471">
            <w:pPr>
              <w:pStyle w:val="16"/>
              <w:widowControl w:val="0"/>
              <w:ind w:firstLine="480" w:firstLineChars="200"/>
              <w:jc w:val="left"/>
              <w:rPr>
                <w:rFonts w:hint="eastAsia" w:cs="Times New Roman"/>
              </w:rPr>
            </w:pPr>
            <w:r>
              <w:rPr>
                <w:rFonts w:hint="eastAsia" w:ascii="仿宋" w:hAnsi="仿宋" w:eastAsia="仿宋" w:cs="仿宋"/>
                <w:sz w:val="24"/>
                <w:szCs w:val="24"/>
              </w:rPr>
              <w:t>能将所学知识点用于今后的健康管理工作中，能开展健康教育。</w:t>
            </w:r>
          </w:p>
          <w:p w14:paraId="5925CBC4">
            <w:pPr>
              <w:pStyle w:val="16"/>
              <w:widowControl w:val="0"/>
              <w:jc w:val="left"/>
              <w:rPr>
                <w:rFonts w:hint="eastAsia" w:cs="Times New Roman"/>
              </w:rPr>
            </w:pPr>
            <w:r>
              <w:rPr>
                <w:rFonts w:hint="eastAsia" w:cs="Times New Roman"/>
              </w:rPr>
              <w:t>教学难念：</w:t>
            </w:r>
          </w:p>
          <w:p w14:paraId="6BEEC87C">
            <w:pPr>
              <w:snapToGrid w:val="0"/>
              <w:spacing w:line="300" w:lineRule="exact"/>
              <w:ind w:right="-46" w:rightChars="-19"/>
              <w:rPr>
                <w:rFonts w:ascii="仿宋" w:hAnsi="仿宋" w:eastAsia="仿宋" w:cs="仿宋"/>
              </w:rPr>
            </w:pPr>
            <w:r>
              <w:rPr>
                <w:rFonts w:hint="eastAsia" w:ascii="仿宋" w:hAnsi="仿宋" w:eastAsia="仿宋" w:cs="仿宋"/>
              </w:rPr>
              <w:t>膝骨关节炎</w:t>
            </w:r>
            <w:r>
              <w:rPr>
                <w:rFonts w:hint="eastAsia" w:ascii="仿宋" w:hAnsi="仿宋" w:eastAsia="仿宋" w:cs="仿宋"/>
                <w:sz w:val="22"/>
              </w:rPr>
              <w:t>的定义， 诊断，类型及分期，</w:t>
            </w:r>
            <w:r>
              <w:rPr>
                <w:rFonts w:hint="eastAsia" w:ascii="仿宋" w:hAnsi="仿宋" w:eastAsia="仿宋" w:cs="仿宋"/>
              </w:rPr>
              <w:t>药物治疗，手术治疗的原则</w:t>
            </w:r>
          </w:p>
          <w:p w14:paraId="70BE5378">
            <w:pPr>
              <w:pStyle w:val="16"/>
              <w:widowControl w:val="0"/>
              <w:jc w:val="left"/>
              <w:rPr>
                <w:rFonts w:hint="eastAsia" w:cs="Times New Roman"/>
              </w:rPr>
            </w:pPr>
            <w:r>
              <w:rPr>
                <w:rFonts w:hint="eastAsia" w:ascii="仿宋" w:hAnsi="仿宋" w:eastAsia="仿宋" w:cs="仿宋"/>
                <w:sz w:val="24"/>
                <w:szCs w:val="24"/>
              </w:rPr>
              <w:t>膝骨关节炎</w:t>
            </w:r>
            <w:r>
              <w:rPr>
                <w:rFonts w:hint="eastAsia" w:ascii="仿宋" w:hAnsi="仿宋" w:eastAsia="仿宋" w:cs="仿宋"/>
                <w:sz w:val="22"/>
              </w:rPr>
              <w:t>社区健康管理，及预防</w:t>
            </w:r>
            <w:r>
              <w:rPr>
                <w:rFonts w:hint="eastAsia" w:ascii="仿宋" w:hAnsi="仿宋" w:eastAsia="仿宋" w:cs="仿宋"/>
                <w:sz w:val="24"/>
                <w:szCs w:val="24"/>
              </w:rPr>
              <w:t>。</w:t>
            </w:r>
          </w:p>
        </w:tc>
      </w:tr>
      <w:tr w14:paraId="691DA5E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62" w:type="dxa"/>
            <w:shd w:val="clear" w:color="auto" w:fill="auto"/>
          </w:tcPr>
          <w:p w14:paraId="1A06FA71">
            <w:pPr>
              <w:pStyle w:val="16"/>
              <w:widowControl w:val="0"/>
              <w:jc w:val="left"/>
              <w:rPr>
                <w:rFonts w:ascii="仿宋" w:hAnsi="仿宋" w:eastAsia="仿宋" w:cs="仿宋"/>
                <w:sz w:val="22"/>
              </w:rPr>
            </w:pPr>
            <w:r>
              <w:rPr>
                <w:rFonts w:hint="eastAsia" w:ascii="仿宋" w:hAnsi="仿宋" w:eastAsia="仿宋" w:cs="仿宋"/>
                <w:sz w:val="22"/>
              </w:rPr>
              <w:t xml:space="preserve">第十六单元 </w:t>
            </w:r>
            <w:r>
              <w:rPr>
                <w:rFonts w:hint="eastAsia" w:ascii="仿宋" w:hAnsi="仿宋" w:eastAsia="仿宋" w:cs="仿宋"/>
                <w:sz w:val="24"/>
                <w:szCs w:val="24"/>
              </w:rPr>
              <w:t>安宁疗护</w:t>
            </w:r>
          </w:p>
          <w:p w14:paraId="18C28B88">
            <w:pPr>
              <w:pStyle w:val="16"/>
              <w:widowControl w:val="0"/>
              <w:jc w:val="left"/>
              <w:rPr>
                <w:rFonts w:cs="Times New Roman"/>
              </w:rPr>
            </w:pPr>
            <w:r>
              <w:rPr>
                <w:rFonts w:hint="eastAsia" w:cs="Times New Roman"/>
              </w:rPr>
              <w:t>知识点：</w:t>
            </w:r>
          </w:p>
          <w:p w14:paraId="31121098">
            <w:pPr>
              <w:widowControl w:val="0"/>
              <w:snapToGrid w:val="0"/>
              <w:spacing w:line="300" w:lineRule="exact"/>
              <w:jc w:val="both"/>
              <w:rPr>
                <w:rFonts w:ascii="仿宋" w:hAnsi="仿宋" w:eastAsia="仿宋" w:cs="仿宋"/>
              </w:rPr>
            </w:pPr>
            <w:r>
              <w:rPr>
                <w:rFonts w:hint="eastAsia" w:ascii="仿宋" w:hAnsi="仿宋" w:eastAsia="仿宋" w:cs="仿宋"/>
              </w:rPr>
              <w:t>知道安宁疗护</w:t>
            </w:r>
            <w:r>
              <w:rPr>
                <w:rFonts w:hint="eastAsia" w:ascii="仿宋" w:hAnsi="仿宋" w:eastAsia="仿宋" w:cs="仿宋"/>
                <w:sz w:val="22"/>
              </w:rPr>
              <w:t>的概念，发展，服务理念，社区</w:t>
            </w:r>
            <w:r>
              <w:rPr>
                <w:rFonts w:hint="eastAsia" w:ascii="仿宋" w:hAnsi="仿宋" w:eastAsia="仿宋" w:cs="仿宋"/>
              </w:rPr>
              <w:t>安宁疗护（临终关怀）服务的内容；</w:t>
            </w:r>
          </w:p>
          <w:p w14:paraId="7A6FA902">
            <w:pPr>
              <w:pStyle w:val="16"/>
              <w:widowControl w:val="0"/>
              <w:jc w:val="left"/>
              <w:rPr>
                <w:rFonts w:hint="eastAsia" w:cs="Times New Roman"/>
              </w:rPr>
            </w:pPr>
            <w:r>
              <w:rPr>
                <w:rFonts w:hint="eastAsia" w:ascii="仿宋" w:hAnsi="仿宋" w:eastAsia="仿宋" w:cs="仿宋"/>
                <w:sz w:val="24"/>
                <w:szCs w:val="24"/>
              </w:rPr>
              <w:t>安宁疗护的症状控制技术，舒适照护，心灵关怀常用照护技术的内容有哪些</w:t>
            </w:r>
          </w:p>
          <w:p w14:paraId="28B3B24E">
            <w:pPr>
              <w:pStyle w:val="16"/>
              <w:widowControl w:val="0"/>
              <w:jc w:val="left"/>
              <w:rPr>
                <w:rFonts w:cs="Times New Roman"/>
              </w:rPr>
            </w:pPr>
            <w:r>
              <w:rPr>
                <w:rFonts w:hint="eastAsia" w:cs="Times New Roman"/>
              </w:rPr>
              <w:t>能力要求：</w:t>
            </w:r>
          </w:p>
          <w:p w14:paraId="5F433EFF">
            <w:pPr>
              <w:snapToGrid w:val="0"/>
              <w:spacing w:line="300" w:lineRule="exact"/>
              <w:rPr>
                <w:rFonts w:ascii="仿宋" w:hAnsi="仿宋" w:eastAsia="仿宋" w:cs="仿宋"/>
              </w:rPr>
            </w:pPr>
            <w:r>
              <w:rPr>
                <w:rFonts w:hint="eastAsia" w:ascii="仿宋" w:hAnsi="仿宋" w:eastAsia="仿宋" w:cs="仿宋"/>
              </w:rPr>
              <w:t>1.能够知道安宁疗护</w:t>
            </w:r>
            <w:r>
              <w:rPr>
                <w:rFonts w:hint="eastAsia" w:ascii="仿宋" w:hAnsi="仿宋" w:eastAsia="仿宋" w:cs="仿宋"/>
                <w:sz w:val="22"/>
              </w:rPr>
              <w:t>的概念，发展，服务理念，社区</w:t>
            </w:r>
            <w:r>
              <w:rPr>
                <w:rFonts w:hint="eastAsia" w:ascii="仿宋" w:hAnsi="仿宋" w:eastAsia="仿宋" w:cs="仿宋"/>
              </w:rPr>
              <w:t xml:space="preserve">安宁疗护（临终关怀）服务的内容； </w:t>
            </w:r>
          </w:p>
          <w:p w14:paraId="10CC287D">
            <w:pPr>
              <w:pStyle w:val="16"/>
              <w:widowControl w:val="0"/>
              <w:jc w:val="left"/>
              <w:rPr>
                <w:rFonts w:hint="eastAsia" w:cs="Times New Roman"/>
              </w:rPr>
            </w:pPr>
            <w:r>
              <w:rPr>
                <w:rFonts w:hint="eastAsia" w:ascii="仿宋" w:hAnsi="仿宋" w:eastAsia="仿宋" w:cs="仿宋"/>
                <w:sz w:val="24"/>
                <w:szCs w:val="24"/>
              </w:rPr>
              <w:t>2.能将掌握安宁疗护的症状控制技术，舒适照护，心灵关怀常用照护技术3.能将所学知识点用于今后的安宁疗护工作中去。</w:t>
            </w:r>
          </w:p>
          <w:p w14:paraId="033A0833">
            <w:pPr>
              <w:pStyle w:val="16"/>
              <w:widowControl w:val="0"/>
              <w:jc w:val="left"/>
              <w:rPr>
                <w:rFonts w:hint="eastAsia" w:cs="Times New Roman"/>
              </w:rPr>
            </w:pPr>
            <w:r>
              <w:rPr>
                <w:rFonts w:hint="eastAsia" w:cs="Times New Roman"/>
              </w:rPr>
              <w:t>教学难念：</w:t>
            </w:r>
          </w:p>
          <w:p w14:paraId="06A4F544">
            <w:pPr>
              <w:snapToGrid w:val="0"/>
              <w:spacing w:line="300" w:lineRule="exact"/>
              <w:ind w:right="-46" w:rightChars="-19"/>
              <w:rPr>
                <w:rFonts w:ascii="仿宋" w:hAnsi="仿宋" w:eastAsia="仿宋" w:cs="仿宋"/>
              </w:rPr>
            </w:pPr>
            <w:r>
              <w:rPr>
                <w:rFonts w:hint="eastAsia" w:ascii="仿宋" w:hAnsi="仿宋" w:eastAsia="仿宋" w:cs="仿宋"/>
                <w:sz w:val="22"/>
              </w:rPr>
              <w:t>1.</w:t>
            </w:r>
            <w:r>
              <w:rPr>
                <w:rFonts w:hint="eastAsia" w:ascii="仿宋" w:hAnsi="仿宋" w:eastAsia="仿宋" w:cs="仿宋"/>
              </w:rPr>
              <w:t>安宁疗护</w:t>
            </w:r>
            <w:r>
              <w:rPr>
                <w:rFonts w:hint="eastAsia" w:ascii="仿宋" w:hAnsi="仿宋" w:eastAsia="仿宋" w:cs="仿宋"/>
                <w:sz w:val="22"/>
              </w:rPr>
              <w:t>的概念，发展，服务理念，社区</w:t>
            </w:r>
            <w:r>
              <w:rPr>
                <w:rFonts w:hint="eastAsia" w:ascii="仿宋" w:hAnsi="仿宋" w:eastAsia="仿宋" w:cs="仿宋"/>
              </w:rPr>
              <w:t>安宁疗护（临终关怀）服务的内容；</w:t>
            </w:r>
          </w:p>
          <w:p w14:paraId="117FA65B">
            <w:pPr>
              <w:pStyle w:val="16"/>
              <w:widowControl w:val="0"/>
              <w:jc w:val="left"/>
              <w:rPr>
                <w:rFonts w:hint="eastAsia" w:cs="Times New Roman"/>
              </w:rPr>
            </w:pPr>
            <w:r>
              <w:rPr>
                <w:rFonts w:hint="eastAsia" w:ascii="仿宋" w:hAnsi="仿宋" w:eastAsia="仿宋" w:cs="仿宋"/>
                <w:sz w:val="24"/>
                <w:szCs w:val="24"/>
              </w:rPr>
              <w:t>2.安宁疗护的症状控制技术，舒适照护，心灵关怀常用照护技术</w:t>
            </w:r>
          </w:p>
        </w:tc>
      </w:tr>
    </w:tbl>
    <w:p w14:paraId="4D8388D9">
      <w:pPr>
        <w:pStyle w:val="19"/>
        <w:spacing w:before="81" w:after="163"/>
      </w:pPr>
    </w:p>
    <w:p w14:paraId="2971018F">
      <w:pPr>
        <w:pStyle w:val="19"/>
        <w:spacing w:before="81" w:after="163"/>
      </w:pPr>
    </w:p>
    <w:p w14:paraId="44ACFD1C">
      <w:pPr>
        <w:pStyle w:val="19"/>
        <w:spacing w:before="81" w:after="163"/>
      </w:pPr>
      <w:r>
        <w:rPr>
          <w:rFonts w:hint="eastAsia"/>
        </w:rPr>
        <w:t>（二）教学单元对课程目标的支撑关系</w:t>
      </w:r>
    </w:p>
    <w:tbl>
      <w:tblPr>
        <w:tblStyle w:val="7"/>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074"/>
        <w:gridCol w:w="1801"/>
        <w:gridCol w:w="1801"/>
        <w:gridCol w:w="1801"/>
      </w:tblGrid>
      <w:tr w14:paraId="2E2D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26" w:hRule="atLeast"/>
          <w:jc w:val="center"/>
        </w:trPr>
        <w:tc>
          <w:tcPr>
            <w:tcW w:w="3005" w:type="dxa"/>
            <w:tcBorders>
              <w:top w:val="single" w:color="auto" w:sz="12" w:space="0"/>
              <w:left w:val="single" w:color="auto" w:sz="12" w:space="0"/>
              <w:tl2br w:val="single" w:color="auto" w:sz="4" w:space="0"/>
            </w:tcBorders>
          </w:tcPr>
          <w:p w14:paraId="3B76FF47">
            <w:pPr>
              <w:pStyle w:val="15"/>
              <w:ind w:firstLine="489"/>
              <w:jc w:val="right"/>
              <w:rPr>
                <w:szCs w:val="16"/>
              </w:rPr>
            </w:pPr>
            <w:r>
              <w:rPr>
                <w:rFonts w:hint="eastAsia"/>
                <w:szCs w:val="16"/>
              </w:rPr>
              <w:t>课程目标</w:t>
            </w:r>
          </w:p>
          <w:p w14:paraId="5F2C140B">
            <w:pPr>
              <w:pStyle w:val="15"/>
              <w:ind w:right="210"/>
              <w:jc w:val="left"/>
              <w:rPr>
                <w:szCs w:val="16"/>
              </w:rPr>
            </w:pPr>
          </w:p>
          <w:p w14:paraId="3909CE40">
            <w:pPr>
              <w:pStyle w:val="15"/>
              <w:ind w:right="210"/>
              <w:jc w:val="left"/>
              <w:rPr>
                <w:szCs w:val="16"/>
              </w:rPr>
            </w:pPr>
            <w:r>
              <w:rPr>
                <w:rFonts w:hint="eastAsia"/>
                <w:szCs w:val="16"/>
              </w:rPr>
              <w:t>教学单元</w:t>
            </w:r>
          </w:p>
        </w:tc>
        <w:tc>
          <w:tcPr>
            <w:tcW w:w="1761" w:type="dxa"/>
            <w:tcBorders>
              <w:top w:val="single" w:color="auto" w:sz="12" w:space="0"/>
            </w:tcBorders>
            <w:vAlign w:val="center"/>
          </w:tcPr>
          <w:p w14:paraId="483A4870">
            <w:pPr>
              <w:pStyle w:val="15"/>
              <w:rPr>
                <w:szCs w:val="16"/>
              </w:rPr>
            </w:pPr>
            <w:r>
              <w:rPr>
                <w:rFonts w:hint="eastAsia"/>
                <w:szCs w:val="16"/>
              </w:rPr>
              <w:t>1</w:t>
            </w:r>
          </w:p>
        </w:tc>
        <w:tc>
          <w:tcPr>
            <w:tcW w:w="1761" w:type="dxa"/>
            <w:tcBorders>
              <w:top w:val="single" w:color="auto" w:sz="12" w:space="0"/>
            </w:tcBorders>
            <w:vAlign w:val="center"/>
          </w:tcPr>
          <w:p w14:paraId="7EF9CCB2">
            <w:pPr>
              <w:pStyle w:val="15"/>
              <w:rPr>
                <w:szCs w:val="16"/>
              </w:rPr>
            </w:pPr>
            <w:r>
              <w:rPr>
                <w:rFonts w:hint="eastAsia"/>
                <w:szCs w:val="16"/>
              </w:rPr>
              <w:t>2</w:t>
            </w:r>
          </w:p>
        </w:tc>
        <w:tc>
          <w:tcPr>
            <w:tcW w:w="1761" w:type="dxa"/>
            <w:tcBorders>
              <w:top w:val="single" w:color="auto" w:sz="12" w:space="0"/>
            </w:tcBorders>
            <w:vAlign w:val="center"/>
          </w:tcPr>
          <w:p w14:paraId="502ECAF7">
            <w:pPr>
              <w:pStyle w:val="15"/>
              <w:rPr>
                <w:szCs w:val="16"/>
              </w:rPr>
            </w:pPr>
            <w:r>
              <w:rPr>
                <w:rFonts w:hint="eastAsia"/>
                <w:szCs w:val="16"/>
              </w:rPr>
              <w:t>3</w:t>
            </w:r>
          </w:p>
        </w:tc>
      </w:tr>
      <w:tr w14:paraId="0684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9" w:hRule="atLeast"/>
          <w:jc w:val="center"/>
        </w:trPr>
        <w:tc>
          <w:tcPr>
            <w:tcW w:w="3005" w:type="dxa"/>
            <w:tcBorders>
              <w:left w:val="single" w:color="auto" w:sz="12" w:space="0"/>
            </w:tcBorders>
          </w:tcPr>
          <w:p w14:paraId="102BB9F9">
            <w:pPr>
              <w:pStyle w:val="16"/>
              <w:widowControl w:val="0"/>
              <w:rPr>
                <w:rFonts w:cs="Times New Roman"/>
              </w:rPr>
            </w:pPr>
            <w:r>
              <w:rPr>
                <w:rFonts w:hint="eastAsia" w:ascii="仿宋" w:hAnsi="仿宋" w:eastAsia="仿宋" w:cs="仿宋"/>
                <w:sz w:val="24"/>
                <w:szCs w:val="24"/>
              </w:rPr>
              <w:t>慢性病概述</w:t>
            </w:r>
          </w:p>
          <w:p w14:paraId="0B8EDF16">
            <w:pPr>
              <w:snapToGrid w:val="0"/>
              <w:jc w:val="center"/>
              <w:rPr>
                <w:rFonts w:ascii="Times New Roman" w:hAnsi="Times New Roman"/>
                <w:sz w:val="21"/>
              </w:rPr>
            </w:pPr>
          </w:p>
        </w:tc>
        <w:tc>
          <w:tcPr>
            <w:tcW w:w="1761" w:type="dxa"/>
          </w:tcPr>
          <w:p w14:paraId="03110385">
            <w:pPr>
              <w:pStyle w:val="16"/>
              <w:rPr>
                <w:rFonts w:ascii="宋体" w:hAnsi="宋体"/>
              </w:rPr>
            </w:pPr>
            <w:r>
              <w:rPr>
                <w:rFonts w:ascii="宋体" w:hAnsi="宋体"/>
              </w:rPr>
              <w:t>√</w:t>
            </w:r>
          </w:p>
        </w:tc>
        <w:tc>
          <w:tcPr>
            <w:tcW w:w="1761" w:type="dxa"/>
          </w:tcPr>
          <w:p w14:paraId="3EC0C575">
            <w:pPr>
              <w:pStyle w:val="16"/>
              <w:rPr>
                <w:rFonts w:ascii="宋体" w:hAnsi="宋体"/>
              </w:rPr>
            </w:pPr>
          </w:p>
        </w:tc>
        <w:tc>
          <w:tcPr>
            <w:tcW w:w="1761" w:type="dxa"/>
          </w:tcPr>
          <w:p w14:paraId="0463DF91">
            <w:pPr>
              <w:pStyle w:val="16"/>
              <w:rPr>
                <w:rFonts w:ascii="宋体" w:hAnsi="宋体"/>
              </w:rPr>
            </w:pPr>
            <w:r>
              <w:rPr>
                <w:rFonts w:ascii="宋体" w:hAnsi="宋体"/>
              </w:rPr>
              <w:t>√</w:t>
            </w:r>
          </w:p>
        </w:tc>
      </w:tr>
      <w:tr w14:paraId="3D34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24" w:hRule="atLeast"/>
          <w:jc w:val="center"/>
        </w:trPr>
        <w:tc>
          <w:tcPr>
            <w:tcW w:w="3005" w:type="dxa"/>
            <w:tcBorders>
              <w:left w:val="single" w:color="auto" w:sz="12" w:space="0"/>
            </w:tcBorders>
          </w:tcPr>
          <w:p w14:paraId="2BD07389">
            <w:pPr>
              <w:snapToGrid w:val="0"/>
              <w:jc w:val="center"/>
              <w:rPr>
                <w:rFonts w:ascii="Times New Roman" w:hAnsi="Times New Roman"/>
                <w:sz w:val="21"/>
              </w:rPr>
            </w:pPr>
            <w:r>
              <w:rPr>
                <w:rFonts w:hint="eastAsia" w:ascii="仿宋" w:hAnsi="仿宋" w:eastAsia="仿宋" w:cs="仿宋"/>
              </w:rPr>
              <w:t>慢性病社区防治与管理</w:t>
            </w:r>
          </w:p>
        </w:tc>
        <w:tc>
          <w:tcPr>
            <w:tcW w:w="1761" w:type="dxa"/>
          </w:tcPr>
          <w:p w14:paraId="76ED1D11">
            <w:pPr>
              <w:pStyle w:val="16"/>
              <w:rPr>
                <w:rFonts w:ascii="宋体" w:hAnsi="宋体"/>
              </w:rPr>
            </w:pPr>
            <w:r>
              <w:rPr>
                <w:rFonts w:ascii="宋体" w:hAnsi="宋体"/>
              </w:rPr>
              <w:t>√</w:t>
            </w:r>
          </w:p>
        </w:tc>
        <w:tc>
          <w:tcPr>
            <w:tcW w:w="1761" w:type="dxa"/>
          </w:tcPr>
          <w:p w14:paraId="01810E44">
            <w:pPr>
              <w:pStyle w:val="16"/>
              <w:rPr>
                <w:rFonts w:ascii="宋体" w:hAnsi="宋体"/>
              </w:rPr>
            </w:pPr>
          </w:p>
        </w:tc>
        <w:tc>
          <w:tcPr>
            <w:tcW w:w="1761" w:type="dxa"/>
          </w:tcPr>
          <w:p w14:paraId="4F0CE832">
            <w:pPr>
              <w:pStyle w:val="16"/>
              <w:rPr>
                <w:rFonts w:ascii="宋体" w:hAnsi="宋体"/>
              </w:rPr>
            </w:pPr>
            <w:r>
              <w:rPr>
                <w:rFonts w:ascii="宋体" w:hAnsi="宋体"/>
              </w:rPr>
              <w:t>√</w:t>
            </w:r>
          </w:p>
        </w:tc>
      </w:tr>
      <w:tr w14:paraId="5F16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48" w:hRule="atLeast"/>
          <w:jc w:val="center"/>
        </w:trPr>
        <w:tc>
          <w:tcPr>
            <w:tcW w:w="3005" w:type="dxa"/>
            <w:tcBorders>
              <w:left w:val="single" w:color="auto" w:sz="12" w:space="0"/>
            </w:tcBorders>
          </w:tcPr>
          <w:p w14:paraId="5721774C">
            <w:pPr>
              <w:snapToGrid w:val="0"/>
              <w:jc w:val="center"/>
              <w:rPr>
                <w:rFonts w:ascii="Times New Roman" w:hAnsi="Times New Roman"/>
                <w:sz w:val="21"/>
              </w:rPr>
            </w:pPr>
            <w:r>
              <w:rPr>
                <w:rFonts w:hint="eastAsia" w:ascii="仿宋" w:hAnsi="仿宋" w:eastAsia="仿宋" w:cs="仿宋"/>
              </w:rPr>
              <w:t>慢性病社区健康教育</w:t>
            </w:r>
          </w:p>
        </w:tc>
        <w:tc>
          <w:tcPr>
            <w:tcW w:w="1761" w:type="dxa"/>
          </w:tcPr>
          <w:p w14:paraId="39EA7E98">
            <w:pPr>
              <w:pStyle w:val="16"/>
              <w:rPr>
                <w:rFonts w:ascii="宋体" w:hAnsi="宋体"/>
              </w:rPr>
            </w:pPr>
            <w:r>
              <w:rPr>
                <w:rFonts w:ascii="宋体" w:hAnsi="宋体"/>
              </w:rPr>
              <w:t>√</w:t>
            </w:r>
          </w:p>
        </w:tc>
        <w:tc>
          <w:tcPr>
            <w:tcW w:w="1761" w:type="dxa"/>
          </w:tcPr>
          <w:p w14:paraId="74075AD7">
            <w:pPr>
              <w:pStyle w:val="16"/>
              <w:rPr>
                <w:rFonts w:ascii="宋体" w:hAnsi="宋体"/>
              </w:rPr>
            </w:pPr>
          </w:p>
        </w:tc>
        <w:tc>
          <w:tcPr>
            <w:tcW w:w="1761" w:type="dxa"/>
          </w:tcPr>
          <w:p w14:paraId="5934F133">
            <w:pPr>
              <w:pStyle w:val="16"/>
              <w:rPr>
                <w:rFonts w:ascii="宋体" w:hAnsi="宋体"/>
              </w:rPr>
            </w:pPr>
          </w:p>
        </w:tc>
      </w:tr>
      <w:tr w14:paraId="774B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83" w:hRule="atLeast"/>
          <w:jc w:val="center"/>
        </w:trPr>
        <w:tc>
          <w:tcPr>
            <w:tcW w:w="3005" w:type="dxa"/>
            <w:tcBorders>
              <w:left w:val="single" w:color="auto" w:sz="12" w:space="0"/>
            </w:tcBorders>
          </w:tcPr>
          <w:p w14:paraId="21C62629">
            <w:pPr>
              <w:snapToGrid w:val="0"/>
              <w:jc w:val="center"/>
              <w:rPr>
                <w:rFonts w:ascii="Times New Roman" w:hAnsi="Times New Roman"/>
                <w:sz w:val="21"/>
              </w:rPr>
            </w:pPr>
            <w:r>
              <w:rPr>
                <w:rFonts w:hint="eastAsia" w:ascii="仿宋" w:hAnsi="仿宋" w:eastAsia="仿宋" w:cs="仿宋"/>
              </w:rPr>
              <w:t>健康管理概述</w:t>
            </w:r>
          </w:p>
        </w:tc>
        <w:tc>
          <w:tcPr>
            <w:tcW w:w="1761" w:type="dxa"/>
          </w:tcPr>
          <w:p w14:paraId="49B2B80E">
            <w:pPr>
              <w:pStyle w:val="16"/>
              <w:rPr>
                <w:rFonts w:ascii="宋体" w:hAnsi="宋体"/>
              </w:rPr>
            </w:pPr>
            <w:r>
              <w:rPr>
                <w:rFonts w:ascii="宋体" w:hAnsi="宋体"/>
              </w:rPr>
              <w:t>√</w:t>
            </w:r>
          </w:p>
        </w:tc>
        <w:tc>
          <w:tcPr>
            <w:tcW w:w="1761" w:type="dxa"/>
          </w:tcPr>
          <w:p w14:paraId="684BBDA9">
            <w:pPr>
              <w:pStyle w:val="16"/>
              <w:rPr>
                <w:rFonts w:ascii="宋体" w:hAnsi="宋体"/>
              </w:rPr>
            </w:pPr>
          </w:p>
        </w:tc>
        <w:tc>
          <w:tcPr>
            <w:tcW w:w="1761" w:type="dxa"/>
          </w:tcPr>
          <w:p w14:paraId="3CB7EEA9">
            <w:pPr>
              <w:pStyle w:val="16"/>
              <w:rPr>
                <w:rFonts w:ascii="宋体" w:hAnsi="宋体"/>
              </w:rPr>
            </w:pPr>
          </w:p>
        </w:tc>
      </w:tr>
      <w:tr w14:paraId="08C4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66" w:hRule="atLeast"/>
          <w:jc w:val="center"/>
        </w:trPr>
        <w:tc>
          <w:tcPr>
            <w:tcW w:w="3005" w:type="dxa"/>
            <w:tcBorders>
              <w:left w:val="single" w:color="auto" w:sz="12" w:space="0"/>
            </w:tcBorders>
          </w:tcPr>
          <w:p w14:paraId="47FA0528">
            <w:pPr>
              <w:snapToGrid w:val="0"/>
              <w:jc w:val="center"/>
              <w:rPr>
                <w:rFonts w:ascii="Times New Roman" w:hAnsi="Times New Roman"/>
                <w:sz w:val="21"/>
              </w:rPr>
            </w:pPr>
            <w:r>
              <w:rPr>
                <w:rFonts w:hint="eastAsia" w:ascii="仿宋" w:hAnsi="仿宋" w:eastAsia="仿宋" w:cs="仿宋"/>
              </w:rPr>
              <w:t>健康体检</w:t>
            </w:r>
          </w:p>
          <w:p w14:paraId="3AF08C2A">
            <w:pPr>
              <w:jc w:val="center"/>
              <w:rPr>
                <w:rFonts w:ascii="Times New Roman" w:hAnsi="Times New Roman"/>
                <w:sz w:val="21"/>
              </w:rPr>
            </w:pPr>
          </w:p>
        </w:tc>
        <w:tc>
          <w:tcPr>
            <w:tcW w:w="1761" w:type="dxa"/>
          </w:tcPr>
          <w:p w14:paraId="5DA4B31C">
            <w:pPr>
              <w:pStyle w:val="16"/>
              <w:rPr>
                <w:rFonts w:ascii="宋体" w:hAnsi="宋体"/>
              </w:rPr>
            </w:pPr>
            <w:r>
              <w:rPr>
                <w:rFonts w:ascii="宋体" w:hAnsi="宋体"/>
              </w:rPr>
              <w:t>√</w:t>
            </w:r>
          </w:p>
        </w:tc>
        <w:tc>
          <w:tcPr>
            <w:tcW w:w="1761" w:type="dxa"/>
          </w:tcPr>
          <w:p w14:paraId="12782260">
            <w:pPr>
              <w:pStyle w:val="16"/>
              <w:rPr>
                <w:rFonts w:ascii="宋体" w:hAnsi="宋体"/>
              </w:rPr>
            </w:pPr>
            <w:r>
              <w:rPr>
                <w:rFonts w:ascii="宋体" w:hAnsi="宋体"/>
              </w:rPr>
              <w:t>√</w:t>
            </w:r>
          </w:p>
        </w:tc>
        <w:tc>
          <w:tcPr>
            <w:tcW w:w="1761" w:type="dxa"/>
          </w:tcPr>
          <w:p w14:paraId="25CB7140">
            <w:pPr>
              <w:pStyle w:val="16"/>
              <w:rPr>
                <w:rFonts w:ascii="宋体" w:hAnsi="宋体"/>
              </w:rPr>
            </w:pPr>
          </w:p>
        </w:tc>
      </w:tr>
      <w:tr w14:paraId="2F31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48" w:hRule="atLeast"/>
          <w:jc w:val="center"/>
        </w:trPr>
        <w:tc>
          <w:tcPr>
            <w:tcW w:w="3005" w:type="dxa"/>
            <w:tcBorders>
              <w:left w:val="single" w:color="auto" w:sz="12" w:space="0"/>
            </w:tcBorders>
          </w:tcPr>
          <w:p w14:paraId="633AF9D1">
            <w:pPr>
              <w:snapToGrid w:val="0"/>
              <w:ind w:firstLine="480" w:firstLineChars="200"/>
              <w:jc w:val="center"/>
              <w:rPr>
                <w:rFonts w:ascii="Times New Roman" w:hAnsi="Times New Roman"/>
                <w:sz w:val="21"/>
              </w:rPr>
            </w:pPr>
            <w:r>
              <w:rPr>
                <w:rFonts w:hint="eastAsia" w:ascii="仿宋" w:hAnsi="仿宋" w:eastAsia="仿宋" w:cs="仿宋"/>
              </w:rPr>
              <w:t>高血压</w:t>
            </w:r>
          </w:p>
        </w:tc>
        <w:tc>
          <w:tcPr>
            <w:tcW w:w="1761" w:type="dxa"/>
          </w:tcPr>
          <w:p w14:paraId="688EC4BA">
            <w:pPr>
              <w:pStyle w:val="16"/>
              <w:rPr>
                <w:rFonts w:ascii="宋体" w:hAnsi="宋体"/>
              </w:rPr>
            </w:pPr>
            <w:r>
              <w:rPr>
                <w:rFonts w:ascii="宋体" w:hAnsi="宋体"/>
              </w:rPr>
              <w:t>√</w:t>
            </w:r>
          </w:p>
        </w:tc>
        <w:tc>
          <w:tcPr>
            <w:tcW w:w="1761" w:type="dxa"/>
          </w:tcPr>
          <w:p w14:paraId="481E12CC">
            <w:pPr>
              <w:pStyle w:val="16"/>
              <w:rPr>
                <w:rFonts w:ascii="宋体" w:hAnsi="宋体"/>
              </w:rPr>
            </w:pPr>
            <w:r>
              <w:rPr>
                <w:rFonts w:ascii="宋体" w:hAnsi="宋体"/>
              </w:rPr>
              <w:t>√</w:t>
            </w:r>
          </w:p>
        </w:tc>
        <w:tc>
          <w:tcPr>
            <w:tcW w:w="1761" w:type="dxa"/>
          </w:tcPr>
          <w:p w14:paraId="44C40648">
            <w:pPr>
              <w:pStyle w:val="16"/>
              <w:rPr>
                <w:rFonts w:ascii="宋体" w:hAnsi="宋体"/>
              </w:rPr>
            </w:pPr>
          </w:p>
        </w:tc>
      </w:tr>
      <w:tr w14:paraId="5210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42" w:hRule="atLeast"/>
          <w:jc w:val="center"/>
        </w:trPr>
        <w:tc>
          <w:tcPr>
            <w:tcW w:w="3005" w:type="dxa"/>
            <w:tcBorders>
              <w:left w:val="single" w:color="auto" w:sz="12" w:space="0"/>
            </w:tcBorders>
          </w:tcPr>
          <w:p w14:paraId="35F93DDC">
            <w:pPr>
              <w:snapToGrid w:val="0"/>
              <w:jc w:val="center"/>
              <w:rPr>
                <w:rFonts w:ascii="Times New Roman" w:hAnsi="Times New Roman"/>
                <w:sz w:val="21"/>
              </w:rPr>
            </w:pPr>
            <w:r>
              <w:rPr>
                <w:rFonts w:hint="eastAsia" w:ascii="仿宋" w:hAnsi="仿宋" w:eastAsia="仿宋" w:cs="仿宋"/>
              </w:rPr>
              <w:t>冠心病与经皮冠状动脉介入治疗术后</w:t>
            </w:r>
          </w:p>
        </w:tc>
        <w:tc>
          <w:tcPr>
            <w:tcW w:w="1761" w:type="dxa"/>
          </w:tcPr>
          <w:p w14:paraId="35C6F00C">
            <w:pPr>
              <w:pStyle w:val="16"/>
              <w:rPr>
                <w:rFonts w:ascii="宋体" w:hAnsi="宋体"/>
              </w:rPr>
            </w:pPr>
          </w:p>
        </w:tc>
        <w:tc>
          <w:tcPr>
            <w:tcW w:w="1761" w:type="dxa"/>
          </w:tcPr>
          <w:p w14:paraId="2BF3CF02">
            <w:pPr>
              <w:pStyle w:val="16"/>
              <w:rPr>
                <w:rFonts w:ascii="宋体" w:hAnsi="宋体"/>
              </w:rPr>
            </w:pPr>
            <w:r>
              <w:rPr>
                <w:rFonts w:ascii="宋体" w:hAnsi="宋体"/>
              </w:rPr>
              <w:t>√</w:t>
            </w:r>
          </w:p>
        </w:tc>
        <w:tc>
          <w:tcPr>
            <w:tcW w:w="1761" w:type="dxa"/>
          </w:tcPr>
          <w:p w14:paraId="4359409D">
            <w:pPr>
              <w:pStyle w:val="16"/>
              <w:rPr>
                <w:rFonts w:ascii="宋体" w:hAnsi="宋体"/>
              </w:rPr>
            </w:pPr>
            <w:r>
              <w:rPr>
                <w:rFonts w:ascii="宋体" w:hAnsi="宋体"/>
              </w:rPr>
              <w:t>√</w:t>
            </w:r>
          </w:p>
        </w:tc>
      </w:tr>
      <w:tr w14:paraId="7C1F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92" w:hRule="atLeast"/>
          <w:jc w:val="center"/>
        </w:trPr>
        <w:tc>
          <w:tcPr>
            <w:tcW w:w="3005" w:type="dxa"/>
            <w:tcBorders>
              <w:left w:val="single" w:color="auto" w:sz="12" w:space="0"/>
            </w:tcBorders>
          </w:tcPr>
          <w:p w14:paraId="09C4D83B">
            <w:pPr>
              <w:snapToGrid w:val="0"/>
              <w:ind w:firstLine="480" w:firstLineChars="200"/>
              <w:jc w:val="center"/>
              <w:rPr>
                <w:rFonts w:ascii="Times New Roman" w:hAnsi="Times New Roman"/>
                <w:sz w:val="21"/>
              </w:rPr>
            </w:pPr>
            <w:r>
              <w:rPr>
                <w:rFonts w:hint="eastAsia" w:ascii="仿宋" w:hAnsi="仿宋" w:eastAsia="仿宋" w:cs="仿宋"/>
              </w:rPr>
              <w:t>血脂异常</w:t>
            </w:r>
          </w:p>
        </w:tc>
        <w:tc>
          <w:tcPr>
            <w:tcW w:w="1761" w:type="dxa"/>
          </w:tcPr>
          <w:p w14:paraId="5FA80CCC">
            <w:pPr>
              <w:pStyle w:val="16"/>
              <w:rPr>
                <w:rFonts w:ascii="宋体" w:hAnsi="宋体"/>
              </w:rPr>
            </w:pPr>
            <w:r>
              <w:rPr>
                <w:rFonts w:ascii="宋体" w:hAnsi="宋体"/>
              </w:rPr>
              <w:t>√</w:t>
            </w:r>
          </w:p>
        </w:tc>
        <w:tc>
          <w:tcPr>
            <w:tcW w:w="1761" w:type="dxa"/>
          </w:tcPr>
          <w:p w14:paraId="4CFFE53F">
            <w:pPr>
              <w:pStyle w:val="16"/>
              <w:rPr>
                <w:rFonts w:ascii="宋体" w:hAnsi="宋体"/>
              </w:rPr>
            </w:pPr>
          </w:p>
        </w:tc>
        <w:tc>
          <w:tcPr>
            <w:tcW w:w="1761" w:type="dxa"/>
          </w:tcPr>
          <w:p w14:paraId="100A7463">
            <w:pPr>
              <w:pStyle w:val="16"/>
              <w:rPr>
                <w:rFonts w:ascii="宋体" w:hAnsi="宋体"/>
              </w:rPr>
            </w:pPr>
          </w:p>
        </w:tc>
      </w:tr>
      <w:tr w14:paraId="2BB8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46" w:hRule="atLeast"/>
          <w:jc w:val="center"/>
        </w:trPr>
        <w:tc>
          <w:tcPr>
            <w:tcW w:w="3005" w:type="dxa"/>
            <w:tcBorders>
              <w:left w:val="single" w:color="auto" w:sz="12" w:space="0"/>
            </w:tcBorders>
          </w:tcPr>
          <w:p w14:paraId="4A775AD6">
            <w:pPr>
              <w:snapToGrid w:val="0"/>
              <w:ind w:firstLine="440" w:firstLineChars="200"/>
              <w:jc w:val="center"/>
              <w:rPr>
                <w:rFonts w:ascii="Times New Roman" w:hAnsi="Times New Roman"/>
                <w:sz w:val="21"/>
              </w:rPr>
            </w:pPr>
            <w:r>
              <w:rPr>
                <w:rFonts w:hint="eastAsia" w:ascii="仿宋" w:hAnsi="仿宋" w:eastAsia="仿宋" w:cs="仿宋"/>
                <w:sz w:val="22"/>
              </w:rPr>
              <w:t>脑卒中</w:t>
            </w:r>
          </w:p>
        </w:tc>
        <w:tc>
          <w:tcPr>
            <w:tcW w:w="1761" w:type="dxa"/>
          </w:tcPr>
          <w:p w14:paraId="5FE4AEF7">
            <w:pPr>
              <w:pStyle w:val="16"/>
              <w:rPr>
                <w:rFonts w:ascii="宋体" w:hAnsi="宋体"/>
              </w:rPr>
            </w:pPr>
            <w:r>
              <w:rPr>
                <w:rFonts w:ascii="宋体" w:hAnsi="宋体"/>
              </w:rPr>
              <w:t>√</w:t>
            </w:r>
          </w:p>
        </w:tc>
        <w:tc>
          <w:tcPr>
            <w:tcW w:w="1761" w:type="dxa"/>
          </w:tcPr>
          <w:p w14:paraId="631910CC">
            <w:pPr>
              <w:pStyle w:val="16"/>
              <w:rPr>
                <w:rFonts w:ascii="宋体" w:hAnsi="宋体"/>
              </w:rPr>
            </w:pPr>
          </w:p>
        </w:tc>
        <w:tc>
          <w:tcPr>
            <w:tcW w:w="1761" w:type="dxa"/>
          </w:tcPr>
          <w:p w14:paraId="53A63E7F">
            <w:pPr>
              <w:pStyle w:val="16"/>
              <w:rPr>
                <w:rFonts w:ascii="宋体" w:hAnsi="宋体"/>
              </w:rPr>
            </w:pPr>
          </w:p>
        </w:tc>
      </w:tr>
      <w:tr w14:paraId="7377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39" w:hRule="atLeast"/>
          <w:jc w:val="center"/>
        </w:trPr>
        <w:tc>
          <w:tcPr>
            <w:tcW w:w="3005" w:type="dxa"/>
            <w:tcBorders>
              <w:left w:val="single" w:color="auto" w:sz="12" w:space="0"/>
            </w:tcBorders>
          </w:tcPr>
          <w:p w14:paraId="6A237A4E">
            <w:pPr>
              <w:snapToGrid w:val="0"/>
              <w:jc w:val="center"/>
              <w:rPr>
                <w:rFonts w:ascii="Times New Roman" w:hAnsi="Times New Roman"/>
                <w:sz w:val="21"/>
              </w:rPr>
            </w:pPr>
            <w:r>
              <w:rPr>
                <w:rFonts w:hint="eastAsia" w:ascii="仿宋" w:hAnsi="仿宋" w:eastAsia="仿宋" w:cs="仿宋"/>
              </w:rPr>
              <w:t>糖尿病</w:t>
            </w:r>
          </w:p>
        </w:tc>
        <w:tc>
          <w:tcPr>
            <w:tcW w:w="1761" w:type="dxa"/>
          </w:tcPr>
          <w:p w14:paraId="6E17F7BF">
            <w:pPr>
              <w:pStyle w:val="16"/>
              <w:rPr>
                <w:rFonts w:ascii="宋体" w:hAnsi="宋体"/>
              </w:rPr>
            </w:pPr>
            <w:r>
              <w:rPr>
                <w:rFonts w:ascii="宋体" w:hAnsi="宋体"/>
              </w:rPr>
              <w:t>√</w:t>
            </w:r>
          </w:p>
        </w:tc>
        <w:tc>
          <w:tcPr>
            <w:tcW w:w="1761" w:type="dxa"/>
          </w:tcPr>
          <w:p w14:paraId="28884C6E">
            <w:pPr>
              <w:pStyle w:val="16"/>
              <w:rPr>
                <w:rFonts w:ascii="宋体" w:hAnsi="宋体"/>
              </w:rPr>
            </w:pPr>
            <w:r>
              <w:rPr>
                <w:rFonts w:ascii="宋体" w:hAnsi="宋体"/>
              </w:rPr>
              <w:t>√</w:t>
            </w:r>
          </w:p>
        </w:tc>
        <w:tc>
          <w:tcPr>
            <w:tcW w:w="1761" w:type="dxa"/>
          </w:tcPr>
          <w:p w14:paraId="0FE8DD1F">
            <w:pPr>
              <w:pStyle w:val="16"/>
              <w:rPr>
                <w:rFonts w:ascii="宋体" w:hAnsi="宋体"/>
              </w:rPr>
            </w:pPr>
          </w:p>
        </w:tc>
      </w:tr>
      <w:tr w14:paraId="37AC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34" w:hRule="atLeast"/>
          <w:jc w:val="center"/>
        </w:trPr>
        <w:tc>
          <w:tcPr>
            <w:tcW w:w="3005" w:type="dxa"/>
            <w:tcBorders>
              <w:left w:val="single" w:color="auto" w:sz="12" w:space="0"/>
            </w:tcBorders>
          </w:tcPr>
          <w:p w14:paraId="627042F2">
            <w:pPr>
              <w:snapToGrid w:val="0"/>
              <w:jc w:val="center"/>
              <w:rPr>
                <w:rFonts w:ascii="Times New Roman" w:hAnsi="Times New Roman"/>
                <w:sz w:val="21"/>
              </w:rPr>
            </w:pPr>
            <w:r>
              <w:rPr>
                <w:rFonts w:hint="eastAsia" w:ascii="仿宋" w:hAnsi="仿宋" w:eastAsia="仿宋" w:cs="仿宋"/>
                <w:sz w:val="22"/>
              </w:rPr>
              <w:t>高尿酸症及痛风</w:t>
            </w:r>
          </w:p>
        </w:tc>
        <w:tc>
          <w:tcPr>
            <w:tcW w:w="1761" w:type="dxa"/>
          </w:tcPr>
          <w:p w14:paraId="07C532A8">
            <w:pPr>
              <w:pStyle w:val="16"/>
              <w:rPr>
                <w:rFonts w:ascii="宋体" w:hAnsi="宋体"/>
              </w:rPr>
            </w:pPr>
            <w:r>
              <w:rPr>
                <w:rFonts w:ascii="宋体" w:hAnsi="宋体"/>
              </w:rPr>
              <w:t>√</w:t>
            </w:r>
          </w:p>
        </w:tc>
        <w:tc>
          <w:tcPr>
            <w:tcW w:w="1761" w:type="dxa"/>
          </w:tcPr>
          <w:p w14:paraId="33350A5C">
            <w:pPr>
              <w:pStyle w:val="16"/>
              <w:rPr>
                <w:rFonts w:ascii="宋体" w:hAnsi="宋体"/>
              </w:rPr>
            </w:pPr>
            <w:r>
              <w:rPr>
                <w:rFonts w:ascii="宋体" w:hAnsi="宋体"/>
              </w:rPr>
              <w:t>√</w:t>
            </w:r>
          </w:p>
        </w:tc>
        <w:tc>
          <w:tcPr>
            <w:tcW w:w="1761" w:type="dxa"/>
          </w:tcPr>
          <w:p w14:paraId="14DB2F29">
            <w:pPr>
              <w:pStyle w:val="16"/>
              <w:rPr>
                <w:rFonts w:ascii="宋体" w:hAnsi="宋体"/>
              </w:rPr>
            </w:pPr>
          </w:p>
        </w:tc>
      </w:tr>
      <w:tr w14:paraId="2734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97" w:hRule="atLeast"/>
          <w:jc w:val="center"/>
        </w:trPr>
        <w:tc>
          <w:tcPr>
            <w:tcW w:w="3005" w:type="dxa"/>
            <w:tcBorders>
              <w:left w:val="single" w:color="auto" w:sz="12" w:space="0"/>
            </w:tcBorders>
          </w:tcPr>
          <w:p w14:paraId="44D6223C">
            <w:pPr>
              <w:snapToGrid w:val="0"/>
              <w:jc w:val="center"/>
              <w:rPr>
                <w:rFonts w:ascii="Times New Roman" w:hAnsi="Times New Roman"/>
                <w:sz w:val="21"/>
              </w:rPr>
            </w:pPr>
            <w:r>
              <w:rPr>
                <w:rFonts w:hint="eastAsia" w:ascii="仿宋" w:hAnsi="仿宋" w:eastAsia="仿宋" w:cs="仿宋"/>
                <w:sz w:val="22"/>
              </w:rPr>
              <w:t>肥胖症</w:t>
            </w:r>
          </w:p>
        </w:tc>
        <w:tc>
          <w:tcPr>
            <w:tcW w:w="1761" w:type="dxa"/>
          </w:tcPr>
          <w:p w14:paraId="65EC35FB">
            <w:pPr>
              <w:pStyle w:val="16"/>
              <w:rPr>
                <w:rFonts w:ascii="宋体" w:hAnsi="宋体"/>
              </w:rPr>
            </w:pPr>
          </w:p>
        </w:tc>
        <w:tc>
          <w:tcPr>
            <w:tcW w:w="1761" w:type="dxa"/>
          </w:tcPr>
          <w:p w14:paraId="31DFC463">
            <w:pPr>
              <w:pStyle w:val="16"/>
              <w:rPr>
                <w:rFonts w:ascii="宋体" w:hAnsi="宋体"/>
              </w:rPr>
            </w:pPr>
            <w:r>
              <w:rPr>
                <w:rFonts w:ascii="宋体" w:hAnsi="宋体"/>
              </w:rPr>
              <w:t>√</w:t>
            </w:r>
          </w:p>
        </w:tc>
        <w:tc>
          <w:tcPr>
            <w:tcW w:w="1761" w:type="dxa"/>
          </w:tcPr>
          <w:p w14:paraId="707DDA83">
            <w:pPr>
              <w:pStyle w:val="16"/>
              <w:rPr>
                <w:rFonts w:ascii="宋体" w:hAnsi="宋体"/>
              </w:rPr>
            </w:pPr>
            <w:r>
              <w:rPr>
                <w:rFonts w:ascii="宋体" w:hAnsi="宋体"/>
              </w:rPr>
              <w:t>√</w:t>
            </w:r>
          </w:p>
        </w:tc>
      </w:tr>
      <w:tr w14:paraId="7B43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21" w:hRule="atLeast"/>
          <w:jc w:val="center"/>
        </w:trPr>
        <w:tc>
          <w:tcPr>
            <w:tcW w:w="3005" w:type="dxa"/>
            <w:tcBorders>
              <w:left w:val="single" w:color="auto" w:sz="12" w:space="0"/>
            </w:tcBorders>
          </w:tcPr>
          <w:p w14:paraId="43385127">
            <w:pPr>
              <w:tabs>
                <w:tab w:val="left" w:pos="900"/>
              </w:tabs>
              <w:snapToGrid w:val="0"/>
              <w:jc w:val="center"/>
              <w:rPr>
                <w:rFonts w:ascii="Times New Roman" w:hAnsi="Times New Roman"/>
                <w:sz w:val="21"/>
              </w:rPr>
            </w:pPr>
            <w:r>
              <w:rPr>
                <w:rFonts w:hint="eastAsia" w:ascii="仿宋" w:hAnsi="仿宋" w:eastAsia="仿宋" w:cs="仿宋"/>
                <w:sz w:val="22"/>
              </w:rPr>
              <w:t>慢性阻塞性肺疾病</w:t>
            </w:r>
          </w:p>
        </w:tc>
        <w:tc>
          <w:tcPr>
            <w:tcW w:w="1761" w:type="dxa"/>
          </w:tcPr>
          <w:p w14:paraId="628E0DC6">
            <w:pPr>
              <w:pStyle w:val="16"/>
              <w:rPr>
                <w:rFonts w:ascii="宋体" w:hAnsi="宋体"/>
              </w:rPr>
            </w:pPr>
            <w:r>
              <w:rPr>
                <w:rFonts w:ascii="宋体" w:hAnsi="宋体"/>
              </w:rPr>
              <w:t>√</w:t>
            </w:r>
          </w:p>
        </w:tc>
        <w:tc>
          <w:tcPr>
            <w:tcW w:w="1761" w:type="dxa"/>
          </w:tcPr>
          <w:p w14:paraId="7EB33F24">
            <w:pPr>
              <w:pStyle w:val="16"/>
              <w:rPr>
                <w:rFonts w:ascii="宋体" w:hAnsi="宋体"/>
              </w:rPr>
            </w:pPr>
          </w:p>
        </w:tc>
        <w:tc>
          <w:tcPr>
            <w:tcW w:w="1761" w:type="dxa"/>
          </w:tcPr>
          <w:p w14:paraId="3D8A3C98">
            <w:pPr>
              <w:pStyle w:val="16"/>
              <w:rPr>
                <w:rFonts w:ascii="宋体" w:hAnsi="宋体"/>
              </w:rPr>
            </w:pPr>
          </w:p>
        </w:tc>
      </w:tr>
      <w:tr w14:paraId="1FDE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92" w:hRule="atLeast"/>
          <w:jc w:val="center"/>
        </w:trPr>
        <w:tc>
          <w:tcPr>
            <w:tcW w:w="3005" w:type="dxa"/>
            <w:tcBorders>
              <w:left w:val="single" w:color="auto" w:sz="12" w:space="0"/>
            </w:tcBorders>
          </w:tcPr>
          <w:p w14:paraId="035133D8">
            <w:pPr>
              <w:snapToGrid w:val="0"/>
              <w:jc w:val="center"/>
              <w:rPr>
                <w:rFonts w:ascii="Times New Roman" w:hAnsi="Times New Roman"/>
                <w:sz w:val="21"/>
              </w:rPr>
            </w:pPr>
            <w:r>
              <w:rPr>
                <w:rFonts w:hint="eastAsia" w:ascii="仿宋" w:hAnsi="仿宋" w:eastAsia="仿宋" w:cs="仿宋"/>
                <w:sz w:val="22"/>
              </w:rPr>
              <w:t>慢性肾脏病</w:t>
            </w:r>
          </w:p>
          <w:p w14:paraId="4B12A339">
            <w:pPr>
              <w:ind w:firstLine="420" w:firstLineChars="200"/>
              <w:jc w:val="center"/>
              <w:rPr>
                <w:rFonts w:ascii="Times New Roman" w:hAnsi="Times New Roman"/>
                <w:sz w:val="21"/>
              </w:rPr>
            </w:pPr>
          </w:p>
        </w:tc>
        <w:tc>
          <w:tcPr>
            <w:tcW w:w="1761" w:type="dxa"/>
          </w:tcPr>
          <w:p w14:paraId="5D3E8E27">
            <w:pPr>
              <w:pStyle w:val="16"/>
              <w:rPr>
                <w:rFonts w:ascii="宋体" w:hAnsi="宋体"/>
              </w:rPr>
            </w:pPr>
            <w:r>
              <w:rPr>
                <w:rFonts w:ascii="宋体" w:hAnsi="宋体"/>
              </w:rPr>
              <w:t>√</w:t>
            </w:r>
          </w:p>
        </w:tc>
        <w:tc>
          <w:tcPr>
            <w:tcW w:w="1761" w:type="dxa"/>
          </w:tcPr>
          <w:p w14:paraId="43E06036">
            <w:pPr>
              <w:pStyle w:val="16"/>
              <w:rPr>
                <w:rFonts w:ascii="宋体" w:hAnsi="宋体"/>
              </w:rPr>
            </w:pPr>
          </w:p>
        </w:tc>
        <w:tc>
          <w:tcPr>
            <w:tcW w:w="1761" w:type="dxa"/>
          </w:tcPr>
          <w:p w14:paraId="11D7D3A2">
            <w:pPr>
              <w:pStyle w:val="16"/>
              <w:rPr>
                <w:rFonts w:ascii="宋体" w:hAnsi="宋体"/>
              </w:rPr>
            </w:pPr>
          </w:p>
        </w:tc>
      </w:tr>
      <w:tr w14:paraId="2071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31" w:hRule="atLeast"/>
          <w:jc w:val="center"/>
        </w:trPr>
        <w:tc>
          <w:tcPr>
            <w:tcW w:w="3005" w:type="dxa"/>
            <w:tcBorders>
              <w:left w:val="single" w:color="auto" w:sz="12" w:space="0"/>
            </w:tcBorders>
          </w:tcPr>
          <w:p w14:paraId="61FAE787">
            <w:pPr>
              <w:snapToGrid w:val="0"/>
              <w:jc w:val="center"/>
              <w:rPr>
                <w:rFonts w:ascii="Times New Roman" w:hAnsi="Times New Roman"/>
                <w:sz w:val="21"/>
              </w:rPr>
            </w:pPr>
            <w:r>
              <w:rPr>
                <w:rFonts w:hint="eastAsia" w:ascii="仿宋" w:hAnsi="仿宋" w:eastAsia="仿宋" w:cs="仿宋"/>
              </w:rPr>
              <w:t>膝骨关节炎</w:t>
            </w:r>
          </w:p>
        </w:tc>
        <w:tc>
          <w:tcPr>
            <w:tcW w:w="1761" w:type="dxa"/>
          </w:tcPr>
          <w:p w14:paraId="7190FEAE">
            <w:pPr>
              <w:pStyle w:val="16"/>
              <w:rPr>
                <w:rFonts w:ascii="宋体" w:hAnsi="宋体"/>
              </w:rPr>
            </w:pPr>
            <w:r>
              <w:rPr>
                <w:rFonts w:ascii="宋体" w:hAnsi="宋体"/>
              </w:rPr>
              <w:t>√</w:t>
            </w:r>
          </w:p>
        </w:tc>
        <w:tc>
          <w:tcPr>
            <w:tcW w:w="1761" w:type="dxa"/>
          </w:tcPr>
          <w:p w14:paraId="628754D7">
            <w:pPr>
              <w:pStyle w:val="16"/>
              <w:rPr>
                <w:rFonts w:ascii="宋体" w:hAnsi="宋体"/>
              </w:rPr>
            </w:pPr>
            <w:r>
              <w:rPr>
                <w:rFonts w:ascii="宋体" w:hAnsi="宋体"/>
              </w:rPr>
              <w:t>√</w:t>
            </w:r>
          </w:p>
        </w:tc>
        <w:tc>
          <w:tcPr>
            <w:tcW w:w="1761" w:type="dxa"/>
          </w:tcPr>
          <w:p w14:paraId="7CCEB137">
            <w:pPr>
              <w:pStyle w:val="16"/>
              <w:rPr>
                <w:rFonts w:ascii="宋体" w:hAnsi="宋体"/>
              </w:rPr>
            </w:pPr>
          </w:p>
        </w:tc>
      </w:tr>
      <w:tr w14:paraId="0BEE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43" w:hRule="atLeast"/>
          <w:jc w:val="center"/>
        </w:trPr>
        <w:tc>
          <w:tcPr>
            <w:tcW w:w="3005" w:type="dxa"/>
            <w:tcBorders>
              <w:left w:val="single" w:color="auto" w:sz="12" w:space="0"/>
            </w:tcBorders>
          </w:tcPr>
          <w:p w14:paraId="0DD80F87">
            <w:pPr>
              <w:snapToGrid w:val="0"/>
              <w:jc w:val="center"/>
              <w:rPr>
                <w:rFonts w:ascii="Times New Roman" w:hAnsi="Times New Roman"/>
                <w:sz w:val="21"/>
              </w:rPr>
            </w:pPr>
            <w:r>
              <w:rPr>
                <w:rFonts w:hint="eastAsia" w:ascii="仿宋" w:hAnsi="仿宋" w:eastAsia="仿宋" w:cs="仿宋"/>
              </w:rPr>
              <w:t>安宁疗护</w:t>
            </w:r>
          </w:p>
        </w:tc>
        <w:tc>
          <w:tcPr>
            <w:tcW w:w="1761" w:type="dxa"/>
          </w:tcPr>
          <w:p w14:paraId="34D858E7">
            <w:pPr>
              <w:pStyle w:val="16"/>
              <w:rPr>
                <w:rFonts w:ascii="宋体" w:hAnsi="宋体"/>
              </w:rPr>
            </w:pPr>
            <w:r>
              <w:rPr>
                <w:rFonts w:ascii="宋体" w:hAnsi="宋体"/>
              </w:rPr>
              <w:t>√</w:t>
            </w:r>
          </w:p>
        </w:tc>
        <w:tc>
          <w:tcPr>
            <w:tcW w:w="1761" w:type="dxa"/>
          </w:tcPr>
          <w:p w14:paraId="6AD76BDC">
            <w:pPr>
              <w:pStyle w:val="16"/>
              <w:rPr>
                <w:rFonts w:ascii="宋体" w:hAnsi="宋体"/>
              </w:rPr>
            </w:pPr>
            <w:r>
              <w:rPr>
                <w:rFonts w:ascii="宋体" w:hAnsi="宋体"/>
              </w:rPr>
              <w:t>√</w:t>
            </w:r>
          </w:p>
        </w:tc>
        <w:tc>
          <w:tcPr>
            <w:tcW w:w="1761" w:type="dxa"/>
          </w:tcPr>
          <w:p w14:paraId="6551BDDF">
            <w:pPr>
              <w:pStyle w:val="16"/>
              <w:rPr>
                <w:rFonts w:ascii="宋体" w:hAnsi="宋体"/>
              </w:rPr>
            </w:pPr>
          </w:p>
        </w:tc>
      </w:tr>
    </w:tbl>
    <w:p w14:paraId="465AA0AF">
      <w:pPr>
        <w:pStyle w:val="19"/>
        <w:spacing w:before="326" w:beforeLines="100" w:after="163"/>
      </w:pPr>
      <w:r>
        <w:rPr>
          <w:rFonts w:hint="eastAsia"/>
        </w:rPr>
        <w:t>（三）课程教学方法与学时分配</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68"/>
        <w:gridCol w:w="2743"/>
        <w:gridCol w:w="1735"/>
        <w:gridCol w:w="731"/>
        <w:gridCol w:w="676"/>
        <w:gridCol w:w="723"/>
      </w:tblGrid>
      <w:tr w14:paraId="33A6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4" w:type="dxa"/>
            <w:vMerge w:val="restart"/>
            <w:tcBorders>
              <w:top w:val="single" w:color="auto" w:sz="12" w:space="0"/>
              <w:left w:val="single" w:color="auto" w:sz="12" w:space="0"/>
            </w:tcBorders>
            <w:shd w:val="clear" w:color="auto" w:fill="auto"/>
            <w:vAlign w:val="center"/>
          </w:tcPr>
          <w:p w14:paraId="1DD32F98">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78" w:type="dxa"/>
            <w:vMerge w:val="restart"/>
            <w:tcBorders>
              <w:top w:val="single" w:color="auto" w:sz="12" w:space="0"/>
            </w:tcBorders>
            <w:shd w:val="clear" w:color="auto" w:fill="auto"/>
            <w:vAlign w:val="center"/>
          </w:tcPr>
          <w:p w14:paraId="49D5A1C6">
            <w:pPr>
              <w:pStyle w:val="15"/>
              <w:widowControl w:val="0"/>
              <w:rPr>
                <w:szCs w:val="21"/>
              </w:rPr>
            </w:pPr>
            <w:r>
              <w:rPr>
                <w:rFonts w:hint="eastAsia" w:ascii="黑体" w:hAnsi="黑体"/>
                <w:szCs w:val="21"/>
              </w:rPr>
              <w:t>教与学方式</w:t>
            </w:r>
          </w:p>
        </w:tc>
        <w:tc>
          <w:tcPr>
            <w:tcW w:w="1694" w:type="dxa"/>
            <w:vMerge w:val="restart"/>
            <w:tcBorders>
              <w:top w:val="single" w:color="auto" w:sz="12" w:space="0"/>
            </w:tcBorders>
            <w:shd w:val="clear" w:color="auto" w:fill="auto"/>
            <w:vAlign w:val="center"/>
          </w:tcPr>
          <w:p w14:paraId="23AC14AE">
            <w:pPr>
              <w:pStyle w:val="15"/>
              <w:widowControl w:val="0"/>
              <w:rPr>
                <w:rFonts w:ascii="黑体" w:hAnsi="黑体"/>
                <w:szCs w:val="21"/>
              </w:rPr>
            </w:pPr>
            <w:r>
              <w:rPr>
                <w:rFonts w:hint="eastAsia" w:ascii="黑体" w:hAnsi="黑体"/>
                <w:szCs w:val="21"/>
              </w:rPr>
              <w:t>评价方式</w:t>
            </w:r>
          </w:p>
        </w:tc>
        <w:tc>
          <w:tcPr>
            <w:tcW w:w="2080" w:type="dxa"/>
            <w:gridSpan w:val="3"/>
            <w:tcBorders>
              <w:top w:val="single" w:color="auto" w:sz="12" w:space="0"/>
              <w:right w:val="single" w:color="auto" w:sz="12" w:space="0"/>
            </w:tcBorders>
            <w:shd w:val="clear" w:color="auto" w:fill="auto"/>
            <w:vAlign w:val="center"/>
          </w:tcPr>
          <w:p w14:paraId="1BA21255">
            <w:pPr>
              <w:pStyle w:val="15"/>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38AF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4" w:type="dxa"/>
            <w:vMerge w:val="continue"/>
            <w:tcBorders>
              <w:left w:val="single" w:color="auto" w:sz="12" w:space="0"/>
            </w:tcBorders>
            <w:shd w:val="clear" w:color="auto" w:fill="auto"/>
          </w:tcPr>
          <w:p w14:paraId="035111EA">
            <w:pPr>
              <w:widowControl w:val="0"/>
              <w:snapToGrid w:val="0"/>
              <w:jc w:val="center"/>
              <w:rPr>
                <w:rFonts w:ascii="黑体" w:hAnsi="黑体" w:eastAsia="黑体"/>
                <w:bCs/>
                <w:sz w:val="21"/>
                <w:szCs w:val="21"/>
              </w:rPr>
            </w:pPr>
          </w:p>
        </w:tc>
        <w:tc>
          <w:tcPr>
            <w:tcW w:w="2678" w:type="dxa"/>
            <w:vMerge w:val="continue"/>
            <w:shd w:val="clear" w:color="auto" w:fill="auto"/>
          </w:tcPr>
          <w:p w14:paraId="5828E5B8">
            <w:pPr>
              <w:widowControl w:val="0"/>
              <w:snapToGrid w:val="0"/>
              <w:jc w:val="center"/>
              <w:rPr>
                <w:rFonts w:ascii="黑体" w:hAnsi="黑体" w:eastAsia="黑体"/>
                <w:bCs/>
                <w:sz w:val="21"/>
                <w:szCs w:val="21"/>
              </w:rPr>
            </w:pPr>
          </w:p>
        </w:tc>
        <w:tc>
          <w:tcPr>
            <w:tcW w:w="1694" w:type="dxa"/>
            <w:vMerge w:val="continue"/>
            <w:shd w:val="clear" w:color="auto" w:fill="auto"/>
          </w:tcPr>
          <w:p w14:paraId="3401A807">
            <w:pPr>
              <w:widowControl w:val="0"/>
              <w:snapToGrid w:val="0"/>
              <w:jc w:val="center"/>
              <w:rPr>
                <w:rFonts w:ascii="黑体" w:hAnsi="黑体" w:eastAsia="黑体"/>
                <w:bCs/>
                <w:sz w:val="21"/>
                <w:szCs w:val="21"/>
              </w:rPr>
            </w:pPr>
          </w:p>
        </w:tc>
        <w:tc>
          <w:tcPr>
            <w:tcW w:w="714" w:type="dxa"/>
            <w:shd w:val="clear" w:color="auto" w:fill="auto"/>
            <w:vAlign w:val="center"/>
          </w:tcPr>
          <w:p w14:paraId="3E97D967">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0" w:type="dxa"/>
            <w:shd w:val="clear" w:color="auto" w:fill="auto"/>
            <w:vAlign w:val="center"/>
          </w:tcPr>
          <w:p w14:paraId="627C1B7C">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6" w:type="dxa"/>
            <w:tcBorders>
              <w:right w:val="single" w:color="auto" w:sz="12" w:space="0"/>
            </w:tcBorders>
            <w:shd w:val="clear" w:color="auto" w:fill="auto"/>
            <w:vAlign w:val="center"/>
          </w:tcPr>
          <w:p w14:paraId="4E37406F">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6567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4" w:type="dxa"/>
            <w:tcBorders>
              <w:left w:val="single" w:color="auto" w:sz="12" w:space="0"/>
            </w:tcBorders>
            <w:shd w:val="clear" w:color="auto" w:fill="auto"/>
            <w:vAlign w:val="center"/>
          </w:tcPr>
          <w:p w14:paraId="1526456A">
            <w:pPr>
              <w:pStyle w:val="16"/>
              <w:widowControl w:val="0"/>
              <w:jc w:val="both"/>
            </w:pPr>
            <w:r>
              <w:rPr>
                <w:rFonts w:hint="eastAsia" w:ascii="仿宋" w:hAnsi="仿宋" w:eastAsia="仿宋" w:cs="仿宋"/>
                <w:sz w:val="24"/>
                <w:szCs w:val="24"/>
              </w:rPr>
              <w:t>慢性病概述</w:t>
            </w:r>
          </w:p>
        </w:tc>
        <w:tc>
          <w:tcPr>
            <w:tcW w:w="2678" w:type="dxa"/>
            <w:shd w:val="clear" w:color="auto" w:fill="auto"/>
          </w:tcPr>
          <w:p w14:paraId="7841BD4F">
            <w:pPr>
              <w:widowControl w:val="0"/>
              <w:jc w:val="center"/>
              <w:rPr>
                <w:sz w:val="21"/>
                <w:szCs w:val="21"/>
              </w:rPr>
            </w:pPr>
            <w:r>
              <w:rPr>
                <w:rFonts w:hint="eastAsia"/>
                <w:sz w:val="21"/>
                <w:szCs w:val="21"/>
              </w:rPr>
              <w:t>自主学习</w:t>
            </w:r>
          </w:p>
          <w:p w14:paraId="0D087CAF">
            <w:pPr>
              <w:widowControl w:val="0"/>
              <w:jc w:val="center"/>
              <w:rPr>
                <w:sz w:val="21"/>
                <w:szCs w:val="21"/>
              </w:rPr>
            </w:pPr>
            <w:r>
              <w:rPr>
                <w:rFonts w:hint="eastAsia"/>
                <w:sz w:val="21"/>
                <w:szCs w:val="21"/>
              </w:rPr>
              <w:t>理论讲授</w:t>
            </w:r>
          </w:p>
          <w:p w14:paraId="19A3F827">
            <w:pPr>
              <w:widowControl w:val="0"/>
              <w:jc w:val="center"/>
              <w:rPr>
                <w:sz w:val="21"/>
                <w:szCs w:val="21"/>
              </w:rPr>
            </w:pPr>
            <w:r>
              <w:rPr>
                <w:rFonts w:hint="eastAsia"/>
                <w:sz w:val="21"/>
                <w:szCs w:val="21"/>
              </w:rPr>
              <w:t>讨论教学</w:t>
            </w:r>
          </w:p>
          <w:p w14:paraId="4273BAF2">
            <w:pPr>
              <w:widowControl w:val="0"/>
              <w:jc w:val="center"/>
              <w:rPr>
                <w:sz w:val="21"/>
                <w:szCs w:val="21"/>
              </w:rPr>
            </w:pPr>
            <w:r>
              <w:rPr>
                <w:rFonts w:hint="eastAsia"/>
                <w:sz w:val="21"/>
                <w:szCs w:val="21"/>
              </w:rPr>
              <w:t>案例分析</w:t>
            </w:r>
          </w:p>
          <w:p w14:paraId="6CD7BA64">
            <w:pPr>
              <w:widowControl w:val="0"/>
              <w:jc w:val="center"/>
              <w:rPr>
                <w:sz w:val="21"/>
                <w:szCs w:val="21"/>
              </w:rPr>
            </w:pPr>
          </w:p>
        </w:tc>
        <w:tc>
          <w:tcPr>
            <w:tcW w:w="1694" w:type="dxa"/>
            <w:shd w:val="clear" w:color="auto" w:fill="auto"/>
          </w:tcPr>
          <w:p w14:paraId="2B167E6C">
            <w:pPr>
              <w:widowControl w:val="0"/>
              <w:jc w:val="center"/>
              <w:rPr>
                <w:sz w:val="21"/>
                <w:szCs w:val="21"/>
              </w:rPr>
            </w:pPr>
            <w:r>
              <w:rPr>
                <w:rFonts w:hint="eastAsia"/>
                <w:bCs/>
                <w:sz w:val="21"/>
                <w:szCs w:val="21"/>
              </w:rPr>
              <w:t>口头评价</w:t>
            </w:r>
          </w:p>
          <w:p w14:paraId="18FCC4E3">
            <w:pPr>
              <w:widowControl w:val="0"/>
              <w:jc w:val="center"/>
              <w:rPr>
                <w:sz w:val="21"/>
                <w:szCs w:val="21"/>
              </w:rPr>
            </w:pPr>
            <w:r>
              <w:rPr>
                <w:rFonts w:hint="eastAsia"/>
                <w:sz w:val="21"/>
                <w:szCs w:val="21"/>
              </w:rPr>
              <w:t>观察评价</w:t>
            </w:r>
          </w:p>
          <w:p w14:paraId="3419EF2A">
            <w:pPr>
              <w:jc w:val="center"/>
              <w:rPr>
                <w:sz w:val="21"/>
                <w:szCs w:val="21"/>
              </w:rPr>
            </w:pPr>
            <w:r>
              <w:rPr>
                <w:rFonts w:hint="eastAsia"/>
                <w:sz w:val="21"/>
                <w:szCs w:val="21"/>
              </w:rPr>
              <w:t>理论考试</w:t>
            </w:r>
          </w:p>
          <w:p w14:paraId="61F8E8A9">
            <w:pPr>
              <w:widowControl w:val="0"/>
              <w:jc w:val="center"/>
              <w:rPr>
                <w:sz w:val="21"/>
                <w:szCs w:val="21"/>
              </w:rPr>
            </w:pPr>
            <w:r>
              <w:rPr>
                <w:rFonts w:hint="eastAsia"/>
                <w:sz w:val="21"/>
                <w:szCs w:val="21"/>
              </w:rPr>
              <w:t>课堂表现</w:t>
            </w:r>
          </w:p>
          <w:p w14:paraId="25028366">
            <w:pPr>
              <w:widowControl w:val="0"/>
              <w:jc w:val="center"/>
              <w:rPr>
                <w:sz w:val="21"/>
                <w:szCs w:val="21"/>
              </w:rPr>
            </w:pPr>
          </w:p>
          <w:p w14:paraId="6C779806">
            <w:pPr>
              <w:widowControl w:val="0"/>
              <w:snapToGrid w:val="0"/>
              <w:spacing w:line="300" w:lineRule="exact"/>
              <w:jc w:val="center"/>
              <w:rPr>
                <w:bCs/>
                <w:sz w:val="21"/>
                <w:szCs w:val="21"/>
              </w:rPr>
            </w:pPr>
          </w:p>
          <w:p w14:paraId="43101252">
            <w:pPr>
              <w:widowControl w:val="0"/>
              <w:jc w:val="center"/>
              <w:rPr>
                <w:sz w:val="21"/>
                <w:szCs w:val="21"/>
              </w:rPr>
            </w:pPr>
          </w:p>
        </w:tc>
        <w:tc>
          <w:tcPr>
            <w:tcW w:w="714" w:type="dxa"/>
            <w:shd w:val="clear" w:color="auto" w:fill="auto"/>
            <w:vAlign w:val="center"/>
          </w:tcPr>
          <w:p w14:paraId="5A9B9C3E">
            <w:pPr>
              <w:widowControl w:val="0"/>
              <w:snapToGrid w:val="0"/>
              <w:spacing w:line="288" w:lineRule="auto"/>
              <w:jc w:val="center"/>
              <w:rPr>
                <w:rFonts w:ascii="Times New Roman" w:hAnsi="Times New Roman"/>
                <w:bCs/>
                <w:sz w:val="21"/>
                <w:szCs w:val="21"/>
              </w:rPr>
            </w:pPr>
            <w:r>
              <w:rPr>
                <w:rFonts w:ascii="仿宋" w:hAnsi="仿宋" w:eastAsia="仿宋" w:cs="仿宋"/>
              </w:rPr>
              <w:t>2</w:t>
            </w:r>
          </w:p>
        </w:tc>
        <w:tc>
          <w:tcPr>
            <w:tcW w:w="660" w:type="dxa"/>
            <w:shd w:val="clear" w:color="auto" w:fill="auto"/>
            <w:vAlign w:val="center"/>
          </w:tcPr>
          <w:p w14:paraId="1EC5E92B">
            <w:pPr>
              <w:widowControl w:val="0"/>
              <w:snapToGrid w:val="0"/>
              <w:spacing w:line="288" w:lineRule="auto"/>
              <w:jc w:val="center"/>
              <w:rPr>
                <w:rFonts w:ascii="Times New Roman" w:hAnsi="Times New Roman"/>
                <w:bCs/>
                <w:sz w:val="21"/>
                <w:szCs w:val="21"/>
              </w:rPr>
            </w:pPr>
            <w:r>
              <w:rPr>
                <w:rFonts w:hint="eastAsia" w:ascii="仿宋" w:hAnsi="仿宋" w:eastAsia="仿宋" w:cs="仿宋"/>
              </w:rPr>
              <w:t>0</w:t>
            </w:r>
          </w:p>
        </w:tc>
        <w:tc>
          <w:tcPr>
            <w:tcW w:w="706" w:type="dxa"/>
            <w:tcBorders>
              <w:right w:val="single" w:color="auto" w:sz="12" w:space="0"/>
            </w:tcBorders>
            <w:shd w:val="clear" w:color="auto" w:fill="auto"/>
            <w:vAlign w:val="center"/>
          </w:tcPr>
          <w:p w14:paraId="298EC6A7">
            <w:pPr>
              <w:widowControl w:val="0"/>
              <w:snapToGrid w:val="0"/>
              <w:spacing w:line="288" w:lineRule="auto"/>
              <w:jc w:val="center"/>
              <w:rPr>
                <w:rFonts w:ascii="Times New Roman" w:hAnsi="Times New Roman"/>
                <w:bCs/>
                <w:sz w:val="21"/>
                <w:szCs w:val="21"/>
              </w:rPr>
            </w:pPr>
            <w:r>
              <w:rPr>
                <w:rFonts w:ascii="仿宋" w:hAnsi="仿宋" w:eastAsia="仿宋" w:cs="仿宋"/>
              </w:rPr>
              <w:t>2</w:t>
            </w:r>
          </w:p>
        </w:tc>
      </w:tr>
      <w:tr w14:paraId="2E1E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4" w:type="dxa"/>
            <w:tcBorders>
              <w:left w:val="single" w:color="auto" w:sz="12" w:space="0"/>
            </w:tcBorders>
            <w:shd w:val="clear" w:color="auto" w:fill="auto"/>
            <w:vAlign w:val="center"/>
          </w:tcPr>
          <w:p w14:paraId="745CAB72">
            <w:pPr>
              <w:pStyle w:val="16"/>
              <w:widowControl w:val="0"/>
              <w:jc w:val="both"/>
            </w:pPr>
            <w:r>
              <w:rPr>
                <w:rFonts w:hint="eastAsia" w:ascii="仿宋" w:hAnsi="仿宋" w:eastAsia="仿宋" w:cs="仿宋"/>
                <w:sz w:val="24"/>
                <w:szCs w:val="24"/>
              </w:rPr>
              <w:t>慢性病社区防治与管理</w:t>
            </w:r>
          </w:p>
        </w:tc>
        <w:tc>
          <w:tcPr>
            <w:tcW w:w="2678" w:type="dxa"/>
            <w:shd w:val="clear" w:color="auto" w:fill="auto"/>
          </w:tcPr>
          <w:p w14:paraId="222A1D04">
            <w:pPr>
              <w:widowControl w:val="0"/>
              <w:jc w:val="center"/>
              <w:rPr>
                <w:sz w:val="21"/>
                <w:szCs w:val="21"/>
              </w:rPr>
            </w:pPr>
            <w:r>
              <w:rPr>
                <w:rFonts w:hint="eastAsia"/>
                <w:sz w:val="21"/>
                <w:szCs w:val="21"/>
              </w:rPr>
              <w:t>自主学习</w:t>
            </w:r>
          </w:p>
          <w:p w14:paraId="44A7EBCF">
            <w:pPr>
              <w:widowControl w:val="0"/>
              <w:jc w:val="center"/>
              <w:rPr>
                <w:sz w:val="21"/>
                <w:szCs w:val="21"/>
              </w:rPr>
            </w:pPr>
            <w:r>
              <w:rPr>
                <w:rFonts w:hint="eastAsia"/>
                <w:sz w:val="21"/>
                <w:szCs w:val="21"/>
              </w:rPr>
              <w:t>理论讲授</w:t>
            </w:r>
          </w:p>
          <w:p w14:paraId="790E375E">
            <w:pPr>
              <w:widowControl w:val="0"/>
              <w:jc w:val="center"/>
              <w:rPr>
                <w:sz w:val="21"/>
                <w:szCs w:val="21"/>
              </w:rPr>
            </w:pPr>
            <w:r>
              <w:rPr>
                <w:rFonts w:hint="eastAsia"/>
                <w:sz w:val="21"/>
                <w:szCs w:val="21"/>
              </w:rPr>
              <w:t>讨论教学</w:t>
            </w:r>
          </w:p>
          <w:p w14:paraId="316F02D1">
            <w:pPr>
              <w:widowControl w:val="0"/>
              <w:jc w:val="center"/>
              <w:rPr>
                <w:sz w:val="21"/>
                <w:szCs w:val="21"/>
              </w:rPr>
            </w:pPr>
            <w:r>
              <w:rPr>
                <w:rFonts w:hint="eastAsia"/>
                <w:sz w:val="21"/>
                <w:szCs w:val="21"/>
              </w:rPr>
              <w:t>案例分析</w:t>
            </w:r>
          </w:p>
          <w:p w14:paraId="0ACBD489">
            <w:pPr>
              <w:widowControl w:val="0"/>
              <w:jc w:val="center"/>
              <w:rPr>
                <w:bCs/>
                <w:sz w:val="21"/>
                <w:szCs w:val="21"/>
              </w:rPr>
            </w:pPr>
          </w:p>
        </w:tc>
        <w:tc>
          <w:tcPr>
            <w:tcW w:w="1694" w:type="dxa"/>
            <w:shd w:val="clear" w:color="auto" w:fill="auto"/>
          </w:tcPr>
          <w:p w14:paraId="48A53F9F">
            <w:pPr>
              <w:widowControl w:val="0"/>
              <w:jc w:val="center"/>
              <w:rPr>
                <w:sz w:val="21"/>
                <w:szCs w:val="21"/>
              </w:rPr>
            </w:pPr>
            <w:r>
              <w:rPr>
                <w:rFonts w:hint="eastAsia"/>
                <w:bCs/>
                <w:sz w:val="21"/>
                <w:szCs w:val="21"/>
              </w:rPr>
              <w:t>口头评价</w:t>
            </w:r>
          </w:p>
          <w:p w14:paraId="068684EA">
            <w:pPr>
              <w:widowControl w:val="0"/>
              <w:jc w:val="center"/>
              <w:rPr>
                <w:sz w:val="21"/>
                <w:szCs w:val="21"/>
              </w:rPr>
            </w:pPr>
            <w:r>
              <w:rPr>
                <w:rFonts w:hint="eastAsia"/>
                <w:sz w:val="21"/>
                <w:szCs w:val="21"/>
              </w:rPr>
              <w:t>观察评价</w:t>
            </w:r>
          </w:p>
          <w:p w14:paraId="71A5C9CA">
            <w:pPr>
              <w:jc w:val="center"/>
              <w:rPr>
                <w:sz w:val="21"/>
                <w:szCs w:val="21"/>
              </w:rPr>
            </w:pPr>
            <w:r>
              <w:rPr>
                <w:rFonts w:hint="eastAsia"/>
                <w:sz w:val="21"/>
                <w:szCs w:val="21"/>
              </w:rPr>
              <w:t>理论考试</w:t>
            </w:r>
          </w:p>
          <w:p w14:paraId="003B40D9">
            <w:pPr>
              <w:widowControl w:val="0"/>
              <w:jc w:val="center"/>
              <w:rPr>
                <w:sz w:val="21"/>
                <w:szCs w:val="21"/>
              </w:rPr>
            </w:pPr>
            <w:r>
              <w:rPr>
                <w:rFonts w:hint="eastAsia"/>
                <w:sz w:val="21"/>
                <w:szCs w:val="21"/>
              </w:rPr>
              <w:t>课堂表现</w:t>
            </w:r>
          </w:p>
          <w:p w14:paraId="7C337F0C">
            <w:pPr>
              <w:widowControl w:val="0"/>
              <w:jc w:val="center"/>
              <w:rPr>
                <w:sz w:val="21"/>
                <w:szCs w:val="21"/>
              </w:rPr>
            </w:pPr>
          </w:p>
          <w:p w14:paraId="5E9DF4BB">
            <w:pPr>
              <w:widowControl w:val="0"/>
              <w:snapToGrid w:val="0"/>
              <w:spacing w:line="300" w:lineRule="exact"/>
              <w:jc w:val="center"/>
              <w:rPr>
                <w:bCs/>
                <w:sz w:val="21"/>
                <w:szCs w:val="21"/>
              </w:rPr>
            </w:pPr>
          </w:p>
          <w:p w14:paraId="6CC29E72">
            <w:pPr>
              <w:widowControl w:val="0"/>
              <w:jc w:val="center"/>
              <w:rPr>
                <w:bCs/>
                <w:sz w:val="21"/>
                <w:szCs w:val="21"/>
              </w:rPr>
            </w:pPr>
          </w:p>
        </w:tc>
        <w:tc>
          <w:tcPr>
            <w:tcW w:w="714" w:type="dxa"/>
            <w:shd w:val="clear" w:color="auto" w:fill="auto"/>
            <w:vAlign w:val="center"/>
          </w:tcPr>
          <w:p w14:paraId="01456691">
            <w:pPr>
              <w:widowControl w:val="0"/>
              <w:snapToGrid w:val="0"/>
              <w:spacing w:line="288" w:lineRule="auto"/>
              <w:jc w:val="center"/>
              <w:rPr>
                <w:rFonts w:ascii="Times New Roman" w:hAnsi="Times New Roman"/>
                <w:bCs/>
                <w:sz w:val="21"/>
                <w:szCs w:val="21"/>
              </w:rPr>
            </w:pPr>
            <w:r>
              <w:rPr>
                <w:rFonts w:ascii="仿宋" w:hAnsi="仿宋" w:eastAsia="仿宋" w:cs="仿宋"/>
              </w:rPr>
              <w:t>2</w:t>
            </w:r>
          </w:p>
        </w:tc>
        <w:tc>
          <w:tcPr>
            <w:tcW w:w="660" w:type="dxa"/>
            <w:shd w:val="clear" w:color="auto" w:fill="auto"/>
            <w:vAlign w:val="center"/>
          </w:tcPr>
          <w:p w14:paraId="5E7C728F">
            <w:pPr>
              <w:widowControl w:val="0"/>
              <w:snapToGrid w:val="0"/>
              <w:spacing w:line="288" w:lineRule="auto"/>
              <w:jc w:val="center"/>
              <w:rPr>
                <w:rFonts w:ascii="Times New Roman" w:hAnsi="Times New Roman"/>
                <w:bCs/>
                <w:sz w:val="21"/>
                <w:szCs w:val="21"/>
              </w:rPr>
            </w:pPr>
            <w:r>
              <w:rPr>
                <w:rFonts w:hint="eastAsia" w:ascii="仿宋" w:hAnsi="仿宋" w:eastAsia="仿宋" w:cs="仿宋"/>
              </w:rPr>
              <w:t>0</w:t>
            </w:r>
          </w:p>
        </w:tc>
        <w:tc>
          <w:tcPr>
            <w:tcW w:w="706" w:type="dxa"/>
            <w:tcBorders>
              <w:right w:val="single" w:color="auto" w:sz="12" w:space="0"/>
            </w:tcBorders>
            <w:shd w:val="clear" w:color="auto" w:fill="auto"/>
            <w:vAlign w:val="center"/>
          </w:tcPr>
          <w:p w14:paraId="6743C665">
            <w:pPr>
              <w:widowControl w:val="0"/>
              <w:snapToGrid w:val="0"/>
              <w:spacing w:line="288" w:lineRule="auto"/>
              <w:jc w:val="center"/>
              <w:rPr>
                <w:rFonts w:ascii="Times New Roman" w:hAnsi="Times New Roman"/>
                <w:bCs/>
                <w:sz w:val="21"/>
                <w:szCs w:val="21"/>
              </w:rPr>
            </w:pPr>
            <w:r>
              <w:rPr>
                <w:rFonts w:ascii="仿宋" w:hAnsi="仿宋" w:eastAsia="仿宋" w:cs="仿宋"/>
              </w:rPr>
              <w:t>2</w:t>
            </w:r>
          </w:p>
        </w:tc>
      </w:tr>
      <w:tr w14:paraId="5092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4" w:type="dxa"/>
            <w:tcBorders>
              <w:left w:val="single" w:color="auto" w:sz="12" w:space="0"/>
            </w:tcBorders>
            <w:shd w:val="clear" w:color="auto" w:fill="auto"/>
            <w:vAlign w:val="center"/>
          </w:tcPr>
          <w:p w14:paraId="799FC61D">
            <w:pPr>
              <w:pStyle w:val="16"/>
              <w:widowControl w:val="0"/>
              <w:jc w:val="both"/>
              <w:rPr>
                <w:rFonts w:cs="Times New Roman"/>
              </w:rPr>
            </w:pPr>
            <w:r>
              <w:rPr>
                <w:rFonts w:hint="eastAsia" w:ascii="仿宋" w:hAnsi="仿宋" w:eastAsia="仿宋" w:cs="仿宋"/>
                <w:sz w:val="24"/>
                <w:szCs w:val="24"/>
              </w:rPr>
              <w:t>慢性病社区健康教育</w:t>
            </w:r>
          </w:p>
        </w:tc>
        <w:tc>
          <w:tcPr>
            <w:tcW w:w="2678" w:type="dxa"/>
            <w:shd w:val="clear" w:color="auto" w:fill="auto"/>
          </w:tcPr>
          <w:p w14:paraId="01802FBD">
            <w:pPr>
              <w:widowControl w:val="0"/>
              <w:jc w:val="center"/>
              <w:rPr>
                <w:sz w:val="21"/>
                <w:szCs w:val="21"/>
              </w:rPr>
            </w:pPr>
            <w:r>
              <w:rPr>
                <w:rFonts w:hint="eastAsia"/>
                <w:sz w:val="21"/>
                <w:szCs w:val="21"/>
              </w:rPr>
              <w:t>自主学习</w:t>
            </w:r>
          </w:p>
          <w:p w14:paraId="232554F2">
            <w:pPr>
              <w:widowControl w:val="0"/>
              <w:jc w:val="center"/>
              <w:rPr>
                <w:sz w:val="21"/>
                <w:szCs w:val="21"/>
              </w:rPr>
            </w:pPr>
            <w:r>
              <w:rPr>
                <w:rFonts w:hint="eastAsia"/>
                <w:sz w:val="21"/>
                <w:szCs w:val="21"/>
              </w:rPr>
              <w:t>理论讲授</w:t>
            </w:r>
          </w:p>
          <w:p w14:paraId="6A387FE2">
            <w:pPr>
              <w:widowControl w:val="0"/>
              <w:jc w:val="center"/>
              <w:rPr>
                <w:sz w:val="21"/>
                <w:szCs w:val="21"/>
              </w:rPr>
            </w:pPr>
            <w:r>
              <w:rPr>
                <w:rFonts w:hint="eastAsia"/>
                <w:sz w:val="21"/>
                <w:szCs w:val="21"/>
              </w:rPr>
              <w:t>讨论教学</w:t>
            </w:r>
          </w:p>
          <w:p w14:paraId="2DB41A09">
            <w:pPr>
              <w:widowControl w:val="0"/>
              <w:jc w:val="center"/>
              <w:rPr>
                <w:sz w:val="21"/>
                <w:szCs w:val="21"/>
              </w:rPr>
            </w:pPr>
          </w:p>
        </w:tc>
        <w:tc>
          <w:tcPr>
            <w:tcW w:w="1694" w:type="dxa"/>
            <w:shd w:val="clear" w:color="auto" w:fill="auto"/>
          </w:tcPr>
          <w:p w14:paraId="7157A3D5">
            <w:pPr>
              <w:widowControl w:val="0"/>
              <w:jc w:val="center"/>
              <w:rPr>
                <w:sz w:val="21"/>
                <w:szCs w:val="21"/>
              </w:rPr>
            </w:pPr>
            <w:r>
              <w:rPr>
                <w:rFonts w:hint="eastAsia"/>
                <w:bCs/>
                <w:sz w:val="21"/>
                <w:szCs w:val="21"/>
              </w:rPr>
              <w:t>口头评价</w:t>
            </w:r>
          </w:p>
          <w:p w14:paraId="4A35228B">
            <w:pPr>
              <w:widowControl w:val="0"/>
              <w:jc w:val="center"/>
              <w:rPr>
                <w:sz w:val="21"/>
                <w:szCs w:val="21"/>
              </w:rPr>
            </w:pPr>
            <w:r>
              <w:rPr>
                <w:rFonts w:hint="eastAsia"/>
                <w:sz w:val="21"/>
                <w:szCs w:val="21"/>
              </w:rPr>
              <w:t>观察评价</w:t>
            </w:r>
          </w:p>
          <w:p w14:paraId="737B0FFA">
            <w:pPr>
              <w:widowControl w:val="0"/>
              <w:jc w:val="center"/>
              <w:rPr>
                <w:sz w:val="21"/>
                <w:szCs w:val="21"/>
              </w:rPr>
            </w:pPr>
          </w:p>
          <w:p w14:paraId="5320CFB9">
            <w:pPr>
              <w:widowControl w:val="0"/>
              <w:snapToGrid w:val="0"/>
              <w:spacing w:line="300" w:lineRule="exact"/>
              <w:jc w:val="center"/>
              <w:rPr>
                <w:bCs/>
                <w:sz w:val="21"/>
                <w:szCs w:val="21"/>
              </w:rPr>
            </w:pPr>
          </w:p>
          <w:p w14:paraId="2CCDC73F">
            <w:pPr>
              <w:widowControl w:val="0"/>
              <w:jc w:val="center"/>
              <w:rPr>
                <w:sz w:val="21"/>
                <w:szCs w:val="21"/>
              </w:rPr>
            </w:pPr>
          </w:p>
        </w:tc>
        <w:tc>
          <w:tcPr>
            <w:tcW w:w="714" w:type="dxa"/>
            <w:shd w:val="clear" w:color="auto" w:fill="auto"/>
            <w:vAlign w:val="center"/>
          </w:tcPr>
          <w:p w14:paraId="6D6189F6">
            <w:pPr>
              <w:widowControl w:val="0"/>
              <w:snapToGrid w:val="0"/>
              <w:spacing w:line="288" w:lineRule="auto"/>
              <w:jc w:val="center"/>
              <w:rPr>
                <w:rFonts w:ascii="Times New Roman" w:hAnsi="Times New Roman"/>
                <w:bCs/>
                <w:sz w:val="21"/>
                <w:szCs w:val="21"/>
              </w:rPr>
            </w:pPr>
            <w:r>
              <w:rPr>
                <w:rFonts w:ascii="仿宋" w:hAnsi="仿宋" w:eastAsia="仿宋" w:cs="仿宋"/>
              </w:rPr>
              <w:t>2</w:t>
            </w:r>
          </w:p>
        </w:tc>
        <w:tc>
          <w:tcPr>
            <w:tcW w:w="660" w:type="dxa"/>
            <w:shd w:val="clear" w:color="auto" w:fill="auto"/>
            <w:vAlign w:val="center"/>
          </w:tcPr>
          <w:p w14:paraId="51F6868C">
            <w:pPr>
              <w:widowControl w:val="0"/>
              <w:snapToGrid w:val="0"/>
              <w:spacing w:line="288" w:lineRule="auto"/>
              <w:jc w:val="center"/>
              <w:rPr>
                <w:rFonts w:ascii="Times New Roman" w:hAnsi="Times New Roman"/>
                <w:bCs/>
                <w:sz w:val="21"/>
                <w:szCs w:val="21"/>
              </w:rPr>
            </w:pPr>
            <w:r>
              <w:rPr>
                <w:rFonts w:hint="eastAsia" w:ascii="仿宋" w:hAnsi="仿宋" w:eastAsia="仿宋" w:cs="仿宋"/>
              </w:rPr>
              <w:t>0</w:t>
            </w:r>
          </w:p>
        </w:tc>
        <w:tc>
          <w:tcPr>
            <w:tcW w:w="706" w:type="dxa"/>
            <w:tcBorders>
              <w:right w:val="single" w:color="auto" w:sz="12" w:space="0"/>
            </w:tcBorders>
            <w:shd w:val="clear" w:color="auto" w:fill="auto"/>
            <w:vAlign w:val="center"/>
          </w:tcPr>
          <w:p w14:paraId="79947D27">
            <w:pPr>
              <w:widowControl w:val="0"/>
              <w:snapToGrid w:val="0"/>
              <w:spacing w:line="288" w:lineRule="auto"/>
              <w:jc w:val="center"/>
              <w:rPr>
                <w:rFonts w:ascii="Times New Roman" w:hAnsi="Times New Roman"/>
                <w:bCs/>
                <w:sz w:val="21"/>
                <w:szCs w:val="21"/>
              </w:rPr>
            </w:pPr>
            <w:r>
              <w:rPr>
                <w:rFonts w:ascii="仿宋" w:hAnsi="仿宋" w:eastAsia="仿宋" w:cs="仿宋"/>
              </w:rPr>
              <w:t>2</w:t>
            </w:r>
          </w:p>
        </w:tc>
      </w:tr>
      <w:tr w14:paraId="2048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4" w:type="dxa"/>
            <w:tcBorders>
              <w:left w:val="single" w:color="auto" w:sz="12" w:space="0"/>
            </w:tcBorders>
            <w:shd w:val="clear" w:color="auto" w:fill="auto"/>
            <w:vAlign w:val="center"/>
          </w:tcPr>
          <w:p w14:paraId="182A38A3">
            <w:pPr>
              <w:pStyle w:val="16"/>
              <w:widowControl w:val="0"/>
              <w:jc w:val="both"/>
              <w:rPr>
                <w:rFonts w:cs="Times New Roman"/>
              </w:rPr>
            </w:pPr>
            <w:r>
              <w:rPr>
                <w:rFonts w:hint="eastAsia" w:ascii="仿宋" w:hAnsi="仿宋" w:eastAsia="仿宋" w:cs="仿宋"/>
                <w:sz w:val="24"/>
                <w:szCs w:val="24"/>
              </w:rPr>
              <w:t>健康管理概述</w:t>
            </w:r>
          </w:p>
        </w:tc>
        <w:tc>
          <w:tcPr>
            <w:tcW w:w="2678" w:type="dxa"/>
            <w:shd w:val="clear" w:color="auto" w:fill="auto"/>
          </w:tcPr>
          <w:p w14:paraId="26CB8A13">
            <w:pPr>
              <w:widowControl w:val="0"/>
              <w:jc w:val="center"/>
              <w:rPr>
                <w:sz w:val="21"/>
                <w:szCs w:val="21"/>
              </w:rPr>
            </w:pPr>
            <w:r>
              <w:rPr>
                <w:rFonts w:hint="eastAsia"/>
                <w:sz w:val="21"/>
                <w:szCs w:val="21"/>
              </w:rPr>
              <w:t>自主学习</w:t>
            </w:r>
          </w:p>
          <w:p w14:paraId="697CD1F8">
            <w:pPr>
              <w:widowControl w:val="0"/>
              <w:jc w:val="center"/>
              <w:rPr>
                <w:sz w:val="21"/>
                <w:szCs w:val="21"/>
              </w:rPr>
            </w:pPr>
          </w:p>
        </w:tc>
        <w:tc>
          <w:tcPr>
            <w:tcW w:w="1694" w:type="dxa"/>
            <w:shd w:val="clear" w:color="auto" w:fill="auto"/>
          </w:tcPr>
          <w:p w14:paraId="748FF37A">
            <w:pPr>
              <w:widowControl w:val="0"/>
              <w:jc w:val="center"/>
              <w:rPr>
                <w:sz w:val="21"/>
                <w:szCs w:val="21"/>
              </w:rPr>
            </w:pPr>
            <w:r>
              <w:rPr>
                <w:rFonts w:hint="eastAsia"/>
                <w:bCs/>
                <w:sz w:val="21"/>
                <w:szCs w:val="21"/>
              </w:rPr>
              <w:t>口头评价</w:t>
            </w:r>
          </w:p>
          <w:p w14:paraId="517C8E19">
            <w:pPr>
              <w:widowControl w:val="0"/>
              <w:jc w:val="center"/>
              <w:rPr>
                <w:sz w:val="21"/>
                <w:szCs w:val="21"/>
              </w:rPr>
            </w:pPr>
            <w:r>
              <w:rPr>
                <w:rFonts w:hint="eastAsia"/>
                <w:sz w:val="21"/>
                <w:szCs w:val="21"/>
              </w:rPr>
              <w:t>观察评价</w:t>
            </w:r>
          </w:p>
          <w:p w14:paraId="32643BCF">
            <w:pPr>
              <w:widowControl w:val="0"/>
              <w:jc w:val="center"/>
              <w:rPr>
                <w:sz w:val="21"/>
                <w:szCs w:val="21"/>
              </w:rPr>
            </w:pPr>
          </w:p>
          <w:p w14:paraId="4A574F29">
            <w:pPr>
              <w:widowControl w:val="0"/>
              <w:snapToGrid w:val="0"/>
              <w:spacing w:line="300" w:lineRule="exact"/>
              <w:jc w:val="center"/>
              <w:rPr>
                <w:bCs/>
                <w:sz w:val="21"/>
                <w:szCs w:val="21"/>
              </w:rPr>
            </w:pPr>
          </w:p>
          <w:p w14:paraId="1284C55E">
            <w:pPr>
              <w:widowControl w:val="0"/>
              <w:jc w:val="center"/>
              <w:rPr>
                <w:sz w:val="21"/>
                <w:szCs w:val="21"/>
              </w:rPr>
            </w:pPr>
          </w:p>
        </w:tc>
        <w:tc>
          <w:tcPr>
            <w:tcW w:w="714" w:type="dxa"/>
            <w:shd w:val="clear" w:color="auto" w:fill="auto"/>
            <w:vAlign w:val="center"/>
          </w:tcPr>
          <w:p w14:paraId="0A946917">
            <w:pPr>
              <w:widowControl w:val="0"/>
              <w:snapToGrid w:val="0"/>
              <w:spacing w:line="288" w:lineRule="auto"/>
              <w:jc w:val="center"/>
              <w:rPr>
                <w:rFonts w:ascii="Times New Roman" w:hAnsi="Times New Roman"/>
                <w:bCs/>
                <w:sz w:val="21"/>
                <w:szCs w:val="21"/>
              </w:rPr>
            </w:pPr>
            <w:r>
              <w:rPr>
                <w:rFonts w:ascii="仿宋" w:hAnsi="仿宋" w:eastAsia="仿宋" w:cs="仿宋"/>
              </w:rPr>
              <w:t>2</w:t>
            </w:r>
          </w:p>
        </w:tc>
        <w:tc>
          <w:tcPr>
            <w:tcW w:w="660" w:type="dxa"/>
            <w:shd w:val="clear" w:color="auto" w:fill="auto"/>
            <w:vAlign w:val="center"/>
          </w:tcPr>
          <w:p w14:paraId="7A9044D5">
            <w:pPr>
              <w:widowControl w:val="0"/>
              <w:snapToGrid w:val="0"/>
              <w:spacing w:line="288" w:lineRule="auto"/>
              <w:jc w:val="center"/>
              <w:rPr>
                <w:rFonts w:ascii="Times New Roman" w:hAnsi="Times New Roman"/>
                <w:bCs/>
                <w:sz w:val="21"/>
                <w:szCs w:val="21"/>
              </w:rPr>
            </w:pPr>
            <w:r>
              <w:rPr>
                <w:rFonts w:ascii="仿宋" w:hAnsi="仿宋" w:eastAsia="仿宋" w:cs="仿宋"/>
              </w:rPr>
              <w:t>0</w:t>
            </w:r>
          </w:p>
        </w:tc>
        <w:tc>
          <w:tcPr>
            <w:tcW w:w="706" w:type="dxa"/>
            <w:tcBorders>
              <w:right w:val="single" w:color="auto" w:sz="12" w:space="0"/>
            </w:tcBorders>
            <w:shd w:val="clear" w:color="auto" w:fill="auto"/>
            <w:vAlign w:val="center"/>
          </w:tcPr>
          <w:p w14:paraId="0BADA966">
            <w:pPr>
              <w:widowControl w:val="0"/>
              <w:snapToGrid w:val="0"/>
              <w:spacing w:line="288" w:lineRule="auto"/>
              <w:jc w:val="center"/>
              <w:rPr>
                <w:rFonts w:ascii="Times New Roman" w:hAnsi="Times New Roman"/>
                <w:bCs/>
                <w:sz w:val="21"/>
                <w:szCs w:val="21"/>
              </w:rPr>
            </w:pPr>
            <w:r>
              <w:rPr>
                <w:rFonts w:ascii="仿宋" w:hAnsi="仿宋" w:eastAsia="仿宋" w:cs="仿宋"/>
              </w:rPr>
              <w:t>2</w:t>
            </w:r>
          </w:p>
        </w:tc>
      </w:tr>
      <w:tr w14:paraId="7034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4" w:type="dxa"/>
            <w:tcBorders>
              <w:left w:val="single" w:color="auto" w:sz="12" w:space="0"/>
            </w:tcBorders>
            <w:shd w:val="clear" w:color="auto" w:fill="auto"/>
            <w:vAlign w:val="center"/>
          </w:tcPr>
          <w:p w14:paraId="5857CA7E">
            <w:pPr>
              <w:pStyle w:val="16"/>
              <w:widowControl w:val="0"/>
              <w:jc w:val="both"/>
              <w:rPr>
                <w:rFonts w:cs="Times New Roman"/>
              </w:rPr>
            </w:pPr>
            <w:r>
              <w:rPr>
                <w:rFonts w:hint="eastAsia" w:ascii="仿宋" w:hAnsi="仿宋" w:eastAsia="仿宋" w:cs="仿宋"/>
                <w:sz w:val="24"/>
                <w:szCs w:val="24"/>
              </w:rPr>
              <w:t>健康体检</w:t>
            </w:r>
          </w:p>
        </w:tc>
        <w:tc>
          <w:tcPr>
            <w:tcW w:w="2678" w:type="dxa"/>
            <w:shd w:val="clear" w:color="auto" w:fill="auto"/>
          </w:tcPr>
          <w:p w14:paraId="3B00264E">
            <w:pPr>
              <w:widowControl w:val="0"/>
              <w:jc w:val="center"/>
              <w:rPr>
                <w:sz w:val="21"/>
                <w:szCs w:val="21"/>
              </w:rPr>
            </w:pPr>
            <w:r>
              <w:rPr>
                <w:rFonts w:hint="eastAsia"/>
                <w:sz w:val="21"/>
                <w:szCs w:val="21"/>
              </w:rPr>
              <w:t>自主学习</w:t>
            </w:r>
          </w:p>
          <w:p w14:paraId="0FCA52B5">
            <w:pPr>
              <w:widowControl w:val="0"/>
              <w:jc w:val="center"/>
              <w:rPr>
                <w:sz w:val="21"/>
                <w:szCs w:val="21"/>
              </w:rPr>
            </w:pPr>
            <w:r>
              <w:rPr>
                <w:rFonts w:hint="eastAsia"/>
                <w:sz w:val="21"/>
                <w:szCs w:val="21"/>
              </w:rPr>
              <w:t>理论讲授</w:t>
            </w:r>
          </w:p>
          <w:p w14:paraId="5FD3B175">
            <w:pPr>
              <w:widowControl w:val="0"/>
              <w:jc w:val="center"/>
              <w:rPr>
                <w:sz w:val="21"/>
                <w:szCs w:val="21"/>
              </w:rPr>
            </w:pPr>
            <w:r>
              <w:rPr>
                <w:rFonts w:hint="eastAsia"/>
                <w:sz w:val="21"/>
                <w:szCs w:val="21"/>
              </w:rPr>
              <w:t>讨论教学</w:t>
            </w:r>
          </w:p>
          <w:p w14:paraId="574BCF30">
            <w:pPr>
              <w:widowControl w:val="0"/>
              <w:jc w:val="center"/>
              <w:rPr>
                <w:sz w:val="21"/>
                <w:szCs w:val="21"/>
              </w:rPr>
            </w:pPr>
            <w:r>
              <w:rPr>
                <w:rFonts w:hint="eastAsia"/>
                <w:sz w:val="21"/>
                <w:szCs w:val="21"/>
              </w:rPr>
              <w:t>案例分析</w:t>
            </w:r>
          </w:p>
          <w:p w14:paraId="12583DAE">
            <w:pPr>
              <w:widowControl w:val="0"/>
              <w:jc w:val="center"/>
              <w:rPr>
                <w:bCs/>
                <w:sz w:val="21"/>
                <w:szCs w:val="21"/>
              </w:rPr>
            </w:pPr>
          </w:p>
        </w:tc>
        <w:tc>
          <w:tcPr>
            <w:tcW w:w="1694" w:type="dxa"/>
            <w:shd w:val="clear" w:color="auto" w:fill="auto"/>
          </w:tcPr>
          <w:p w14:paraId="5E42FC7F">
            <w:pPr>
              <w:widowControl w:val="0"/>
              <w:jc w:val="center"/>
              <w:rPr>
                <w:sz w:val="21"/>
                <w:szCs w:val="21"/>
              </w:rPr>
            </w:pPr>
            <w:r>
              <w:rPr>
                <w:rFonts w:hint="eastAsia"/>
                <w:bCs/>
                <w:sz w:val="21"/>
                <w:szCs w:val="21"/>
              </w:rPr>
              <w:t>口头评价</w:t>
            </w:r>
          </w:p>
          <w:p w14:paraId="4ADD8E7F">
            <w:pPr>
              <w:widowControl w:val="0"/>
              <w:jc w:val="center"/>
              <w:rPr>
                <w:sz w:val="21"/>
                <w:szCs w:val="21"/>
              </w:rPr>
            </w:pPr>
            <w:r>
              <w:rPr>
                <w:rFonts w:hint="eastAsia"/>
                <w:sz w:val="21"/>
                <w:szCs w:val="21"/>
              </w:rPr>
              <w:t>观察评价</w:t>
            </w:r>
          </w:p>
          <w:p w14:paraId="30B0695E">
            <w:pPr>
              <w:jc w:val="center"/>
              <w:rPr>
                <w:sz w:val="21"/>
                <w:szCs w:val="21"/>
              </w:rPr>
            </w:pPr>
            <w:r>
              <w:rPr>
                <w:rFonts w:hint="eastAsia"/>
                <w:sz w:val="21"/>
                <w:szCs w:val="21"/>
              </w:rPr>
              <w:t>理论考试</w:t>
            </w:r>
          </w:p>
          <w:p w14:paraId="7AC6FCB5">
            <w:pPr>
              <w:widowControl w:val="0"/>
              <w:jc w:val="center"/>
              <w:rPr>
                <w:sz w:val="21"/>
                <w:szCs w:val="21"/>
              </w:rPr>
            </w:pPr>
            <w:r>
              <w:rPr>
                <w:rFonts w:hint="eastAsia"/>
                <w:sz w:val="21"/>
                <w:szCs w:val="21"/>
              </w:rPr>
              <w:t>课堂表现</w:t>
            </w:r>
          </w:p>
          <w:p w14:paraId="3ED9A97C">
            <w:pPr>
              <w:widowControl w:val="0"/>
              <w:jc w:val="center"/>
              <w:rPr>
                <w:sz w:val="21"/>
                <w:szCs w:val="21"/>
              </w:rPr>
            </w:pPr>
          </w:p>
          <w:p w14:paraId="3F47CC18">
            <w:pPr>
              <w:widowControl w:val="0"/>
              <w:snapToGrid w:val="0"/>
              <w:spacing w:line="300" w:lineRule="exact"/>
              <w:jc w:val="center"/>
              <w:rPr>
                <w:bCs/>
                <w:sz w:val="21"/>
                <w:szCs w:val="21"/>
              </w:rPr>
            </w:pPr>
          </w:p>
          <w:p w14:paraId="406D8A96">
            <w:pPr>
              <w:widowControl w:val="0"/>
              <w:jc w:val="center"/>
              <w:rPr>
                <w:bCs/>
                <w:sz w:val="21"/>
                <w:szCs w:val="21"/>
              </w:rPr>
            </w:pPr>
          </w:p>
        </w:tc>
        <w:tc>
          <w:tcPr>
            <w:tcW w:w="714" w:type="dxa"/>
            <w:shd w:val="clear" w:color="auto" w:fill="auto"/>
            <w:vAlign w:val="center"/>
          </w:tcPr>
          <w:p w14:paraId="456A7C7A">
            <w:pPr>
              <w:widowControl w:val="0"/>
              <w:snapToGrid w:val="0"/>
              <w:spacing w:line="288" w:lineRule="auto"/>
              <w:jc w:val="center"/>
              <w:rPr>
                <w:rFonts w:ascii="Times New Roman" w:hAnsi="Times New Roman"/>
                <w:bCs/>
                <w:sz w:val="21"/>
                <w:szCs w:val="21"/>
              </w:rPr>
            </w:pPr>
            <w:r>
              <w:rPr>
                <w:rFonts w:ascii="仿宋" w:hAnsi="仿宋" w:eastAsia="仿宋" w:cs="仿宋"/>
              </w:rPr>
              <w:t>1</w:t>
            </w:r>
          </w:p>
        </w:tc>
        <w:tc>
          <w:tcPr>
            <w:tcW w:w="660" w:type="dxa"/>
            <w:shd w:val="clear" w:color="auto" w:fill="auto"/>
            <w:vAlign w:val="center"/>
          </w:tcPr>
          <w:p w14:paraId="213621F3">
            <w:pPr>
              <w:widowControl w:val="0"/>
              <w:snapToGrid w:val="0"/>
              <w:spacing w:line="288" w:lineRule="auto"/>
              <w:jc w:val="center"/>
              <w:rPr>
                <w:rFonts w:ascii="Times New Roman" w:hAnsi="Times New Roman"/>
                <w:bCs/>
                <w:sz w:val="21"/>
                <w:szCs w:val="21"/>
              </w:rPr>
            </w:pPr>
            <w:r>
              <w:rPr>
                <w:rFonts w:ascii="仿宋" w:hAnsi="仿宋" w:eastAsia="仿宋" w:cs="仿宋"/>
              </w:rPr>
              <w:t>1</w:t>
            </w:r>
          </w:p>
        </w:tc>
        <w:tc>
          <w:tcPr>
            <w:tcW w:w="706" w:type="dxa"/>
            <w:tcBorders>
              <w:right w:val="single" w:color="auto" w:sz="12" w:space="0"/>
            </w:tcBorders>
            <w:shd w:val="clear" w:color="auto" w:fill="auto"/>
            <w:vAlign w:val="center"/>
          </w:tcPr>
          <w:p w14:paraId="34C121A6">
            <w:pPr>
              <w:widowControl w:val="0"/>
              <w:snapToGrid w:val="0"/>
              <w:spacing w:line="288" w:lineRule="auto"/>
              <w:jc w:val="center"/>
              <w:rPr>
                <w:rFonts w:ascii="Times New Roman" w:hAnsi="Times New Roman"/>
                <w:bCs/>
                <w:sz w:val="21"/>
                <w:szCs w:val="21"/>
              </w:rPr>
            </w:pPr>
            <w:r>
              <w:rPr>
                <w:rFonts w:ascii="仿宋" w:hAnsi="仿宋" w:eastAsia="仿宋" w:cs="仿宋"/>
              </w:rPr>
              <w:t>2</w:t>
            </w:r>
          </w:p>
        </w:tc>
      </w:tr>
      <w:tr w14:paraId="798C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4" w:type="dxa"/>
            <w:tcBorders>
              <w:left w:val="single" w:color="auto" w:sz="12" w:space="0"/>
            </w:tcBorders>
            <w:shd w:val="clear" w:color="auto" w:fill="auto"/>
            <w:vAlign w:val="center"/>
          </w:tcPr>
          <w:p w14:paraId="5A69D1C3">
            <w:pPr>
              <w:pStyle w:val="16"/>
              <w:widowControl w:val="0"/>
              <w:jc w:val="both"/>
              <w:rPr>
                <w:rFonts w:cs="Times New Roman"/>
              </w:rPr>
            </w:pPr>
            <w:r>
              <w:rPr>
                <w:rFonts w:hint="eastAsia" w:ascii="仿宋" w:hAnsi="仿宋" w:eastAsia="仿宋" w:cs="仿宋"/>
                <w:sz w:val="24"/>
                <w:szCs w:val="24"/>
              </w:rPr>
              <w:t>高血压</w:t>
            </w:r>
          </w:p>
        </w:tc>
        <w:tc>
          <w:tcPr>
            <w:tcW w:w="2678" w:type="dxa"/>
            <w:shd w:val="clear" w:color="auto" w:fill="auto"/>
          </w:tcPr>
          <w:p w14:paraId="28A109CC">
            <w:pPr>
              <w:widowControl w:val="0"/>
              <w:jc w:val="center"/>
              <w:rPr>
                <w:sz w:val="21"/>
                <w:szCs w:val="21"/>
              </w:rPr>
            </w:pPr>
            <w:r>
              <w:rPr>
                <w:rFonts w:hint="eastAsia"/>
                <w:sz w:val="21"/>
                <w:szCs w:val="21"/>
              </w:rPr>
              <w:t>自主学习</w:t>
            </w:r>
          </w:p>
          <w:p w14:paraId="4501966C">
            <w:pPr>
              <w:widowControl w:val="0"/>
              <w:jc w:val="center"/>
              <w:rPr>
                <w:sz w:val="21"/>
                <w:szCs w:val="21"/>
              </w:rPr>
            </w:pPr>
            <w:r>
              <w:rPr>
                <w:rFonts w:hint="eastAsia"/>
                <w:sz w:val="21"/>
                <w:szCs w:val="21"/>
              </w:rPr>
              <w:t>理论讲授</w:t>
            </w:r>
          </w:p>
          <w:p w14:paraId="68F499BA">
            <w:pPr>
              <w:widowControl w:val="0"/>
              <w:jc w:val="center"/>
              <w:rPr>
                <w:sz w:val="21"/>
                <w:szCs w:val="21"/>
              </w:rPr>
            </w:pPr>
            <w:r>
              <w:rPr>
                <w:rFonts w:hint="eastAsia"/>
                <w:sz w:val="21"/>
                <w:szCs w:val="21"/>
              </w:rPr>
              <w:t>讨论教学</w:t>
            </w:r>
          </w:p>
          <w:p w14:paraId="0ABA7560">
            <w:pPr>
              <w:widowControl w:val="0"/>
              <w:jc w:val="center"/>
              <w:rPr>
                <w:sz w:val="21"/>
                <w:szCs w:val="21"/>
              </w:rPr>
            </w:pPr>
            <w:r>
              <w:rPr>
                <w:rFonts w:hint="eastAsia"/>
                <w:sz w:val="21"/>
                <w:szCs w:val="21"/>
              </w:rPr>
              <w:t>案例分析</w:t>
            </w:r>
          </w:p>
          <w:p w14:paraId="2E35A091">
            <w:pPr>
              <w:widowControl w:val="0"/>
              <w:jc w:val="center"/>
              <w:rPr>
                <w:bCs/>
                <w:sz w:val="21"/>
                <w:szCs w:val="21"/>
              </w:rPr>
            </w:pPr>
          </w:p>
        </w:tc>
        <w:tc>
          <w:tcPr>
            <w:tcW w:w="1694" w:type="dxa"/>
            <w:shd w:val="clear" w:color="auto" w:fill="auto"/>
          </w:tcPr>
          <w:p w14:paraId="5A5DB975">
            <w:pPr>
              <w:widowControl w:val="0"/>
              <w:jc w:val="center"/>
              <w:rPr>
                <w:sz w:val="21"/>
                <w:szCs w:val="21"/>
              </w:rPr>
            </w:pPr>
            <w:r>
              <w:rPr>
                <w:rFonts w:hint="eastAsia"/>
                <w:bCs/>
                <w:sz w:val="21"/>
                <w:szCs w:val="21"/>
              </w:rPr>
              <w:t>口头评价</w:t>
            </w:r>
          </w:p>
          <w:p w14:paraId="58A0B517">
            <w:pPr>
              <w:widowControl w:val="0"/>
              <w:jc w:val="center"/>
              <w:rPr>
                <w:sz w:val="21"/>
                <w:szCs w:val="21"/>
              </w:rPr>
            </w:pPr>
            <w:r>
              <w:rPr>
                <w:rFonts w:hint="eastAsia"/>
                <w:sz w:val="21"/>
                <w:szCs w:val="21"/>
              </w:rPr>
              <w:t>观察评价</w:t>
            </w:r>
          </w:p>
          <w:p w14:paraId="2850094D">
            <w:pPr>
              <w:jc w:val="center"/>
              <w:rPr>
                <w:sz w:val="21"/>
                <w:szCs w:val="21"/>
              </w:rPr>
            </w:pPr>
            <w:r>
              <w:rPr>
                <w:rFonts w:hint="eastAsia"/>
                <w:sz w:val="21"/>
                <w:szCs w:val="21"/>
              </w:rPr>
              <w:t>理论考试</w:t>
            </w:r>
          </w:p>
          <w:p w14:paraId="21818F90">
            <w:pPr>
              <w:widowControl w:val="0"/>
              <w:jc w:val="center"/>
              <w:rPr>
                <w:sz w:val="21"/>
                <w:szCs w:val="21"/>
              </w:rPr>
            </w:pPr>
            <w:r>
              <w:rPr>
                <w:rFonts w:hint="eastAsia"/>
                <w:sz w:val="21"/>
                <w:szCs w:val="21"/>
              </w:rPr>
              <w:t>课堂表现</w:t>
            </w:r>
          </w:p>
          <w:p w14:paraId="026D50D2">
            <w:pPr>
              <w:widowControl w:val="0"/>
              <w:jc w:val="center"/>
              <w:rPr>
                <w:sz w:val="21"/>
                <w:szCs w:val="21"/>
              </w:rPr>
            </w:pPr>
          </w:p>
          <w:p w14:paraId="36C24309">
            <w:pPr>
              <w:widowControl w:val="0"/>
              <w:snapToGrid w:val="0"/>
              <w:spacing w:line="300" w:lineRule="exact"/>
              <w:jc w:val="center"/>
              <w:rPr>
                <w:bCs/>
                <w:sz w:val="21"/>
                <w:szCs w:val="21"/>
              </w:rPr>
            </w:pPr>
          </w:p>
          <w:p w14:paraId="55927355">
            <w:pPr>
              <w:widowControl w:val="0"/>
              <w:jc w:val="center"/>
              <w:rPr>
                <w:bCs/>
                <w:sz w:val="21"/>
                <w:szCs w:val="21"/>
              </w:rPr>
            </w:pPr>
          </w:p>
        </w:tc>
        <w:tc>
          <w:tcPr>
            <w:tcW w:w="714" w:type="dxa"/>
            <w:shd w:val="clear" w:color="auto" w:fill="auto"/>
            <w:vAlign w:val="center"/>
          </w:tcPr>
          <w:p w14:paraId="6E5F6429">
            <w:pPr>
              <w:widowControl w:val="0"/>
              <w:snapToGrid w:val="0"/>
              <w:spacing w:line="288" w:lineRule="auto"/>
              <w:jc w:val="center"/>
              <w:rPr>
                <w:rFonts w:ascii="Times New Roman" w:hAnsi="Times New Roman"/>
                <w:bCs/>
                <w:sz w:val="21"/>
                <w:szCs w:val="21"/>
              </w:rPr>
            </w:pPr>
            <w:r>
              <w:rPr>
                <w:rFonts w:hint="eastAsia" w:ascii="仿宋" w:hAnsi="仿宋" w:eastAsia="仿宋" w:cs="仿宋"/>
              </w:rPr>
              <w:t>1</w:t>
            </w:r>
          </w:p>
        </w:tc>
        <w:tc>
          <w:tcPr>
            <w:tcW w:w="660" w:type="dxa"/>
            <w:shd w:val="clear" w:color="auto" w:fill="auto"/>
            <w:vAlign w:val="center"/>
          </w:tcPr>
          <w:p w14:paraId="5C926264">
            <w:pPr>
              <w:widowControl w:val="0"/>
              <w:snapToGrid w:val="0"/>
              <w:spacing w:line="288" w:lineRule="auto"/>
              <w:jc w:val="center"/>
              <w:rPr>
                <w:rFonts w:ascii="Times New Roman" w:hAnsi="Times New Roman"/>
                <w:bCs/>
                <w:sz w:val="21"/>
                <w:szCs w:val="21"/>
              </w:rPr>
            </w:pPr>
            <w:r>
              <w:rPr>
                <w:rFonts w:ascii="仿宋" w:hAnsi="仿宋" w:eastAsia="仿宋" w:cs="仿宋"/>
              </w:rPr>
              <w:t>1</w:t>
            </w:r>
          </w:p>
        </w:tc>
        <w:tc>
          <w:tcPr>
            <w:tcW w:w="706" w:type="dxa"/>
            <w:tcBorders>
              <w:right w:val="single" w:color="auto" w:sz="12" w:space="0"/>
            </w:tcBorders>
            <w:shd w:val="clear" w:color="auto" w:fill="auto"/>
            <w:vAlign w:val="center"/>
          </w:tcPr>
          <w:p w14:paraId="76D58CF0">
            <w:pPr>
              <w:widowControl w:val="0"/>
              <w:snapToGrid w:val="0"/>
              <w:spacing w:line="288" w:lineRule="auto"/>
              <w:jc w:val="center"/>
              <w:rPr>
                <w:rFonts w:ascii="Times New Roman" w:hAnsi="Times New Roman"/>
                <w:bCs/>
                <w:sz w:val="21"/>
                <w:szCs w:val="21"/>
              </w:rPr>
            </w:pPr>
            <w:r>
              <w:rPr>
                <w:rFonts w:ascii="仿宋" w:hAnsi="仿宋" w:eastAsia="仿宋" w:cs="仿宋"/>
              </w:rPr>
              <w:t>2</w:t>
            </w:r>
          </w:p>
        </w:tc>
      </w:tr>
      <w:tr w14:paraId="0539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65" w:hRule="atLeast"/>
          <w:jc w:val="center"/>
        </w:trPr>
        <w:tc>
          <w:tcPr>
            <w:tcW w:w="1824" w:type="dxa"/>
            <w:tcBorders>
              <w:left w:val="single" w:color="auto" w:sz="12" w:space="0"/>
            </w:tcBorders>
            <w:shd w:val="clear" w:color="auto" w:fill="auto"/>
            <w:vAlign w:val="center"/>
          </w:tcPr>
          <w:p w14:paraId="523BC26F">
            <w:pPr>
              <w:pStyle w:val="16"/>
              <w:widowControl w:val="0"/>
              <w:jc w:val="both"/>
              <w:rPr>
                <w:rFonts w:cs="Times New Roman"/>
              </w:rPr>
            </w:pPr>
            <w:r>
              <w:rPr>
                <w:rFonts w:hint="eastAsia" w:ascii="仿宋" w:hAnsi="仿宋" w:eastAsia="仿宋" w:cs="仿宋"/>
                <w:sz w:val="24"/>
                <w:szCs w:val="24"/>
              </w:rPr>
              <w:t>冠心病与经皮冠状动脉介入治疗术后</w:t>
            </w:r>
          </w:p>
        </w:tc>
        <w:tc>
          <w:tcPr>
            <w:tcW w:w="2678" w:type="dxa"/>
            <w:shd w:val="clear" w:color="auto" w:fill="auto"/>
          </w:tcPr>
          <w:p w14:paraId="599EEFB8">
            <w:pPr>
              <w:widowControl w:val="0"/>
              <w:jc w:val="center"/>
              <w:rPr>
                <w:sz w:val="21"/>
                <w:szCs w:val="21"/>
              </w:rPr>
            </w:pPr>
            <w:r>
              <w:rPr>
                <w:rFonts w:hint="eastAsia"/>
                <w:sz w:val="21"/>
                <w:szCs w:val="21"/>
              </w:rPr>
              <w:t>理论讲授</w:t>
            </w:r>
          </w:p>
          <w:p w14:paraId="415F460D">
            <w:pPr>
              <w:widowControl w:val="0"/>
              <w:jc w:val="center"/>
              <w:rPr>
                <w:sz w:val="21"/>
                <w:szCs w:val="21"/>
              </w:rPr>
            </w:pPr>
            <w:r>
              <w:rPr>
                <w:rFonts w:hint="eastAsia"/>
                <w:sz w:val="21"/>
                <w:szCs w:val="21"/>
              </w:rPr>
              <w:t>讨论教学</w:t>
            </w:r>
          </w:p>
          <w:p w14:paraId="7F0F4340">
            <w:pPr>
              <w:widowControl w:val="0"/>
              <w:jc w:val="center"/>
              <w:rPr>
                <w:sz w:val="21"/>
                <w:szCs w:val="21"/>
              </w:rPr>
            </w:pPr>
            <w:r>
              <w:rPr>
                <w:rFonts w:hint="eastAsia"/>
                <w:sz w:val="21"/>
                <w:szCs w:val="21"/>
              </w:rPr>
              <w:t>案例分析</w:t>
            </w:r>
          </w:p>
          <w:p w14:paraId="0793E8FC">
            <w:pPr>
              <w:widowControl w:val="0"/>
              <w:jc w:val="center"/>
              <w:rPr>
                <w:bCs/>
                <w:sz w:val="21"/>
                <w:szCs w:val="21"/>
              </w:rPr>
            </w:pPr>
          </w:p>
        </w:tc>
        <w:tc>
          <w:tcPr>
            <w:tcW w:w="1694" w:type="dxa"/>
            <w:shd w:val="clear" w:color="auto" w:fill="auto"/>
          </w:tcPr>
          <w:p w14:paraId="505DD367">
            <w:pPr>
              <w:jc w:val="center"/>
              <w:rPr>
                <w:sz w:val="21"/>
                <w:szCs w:val="21"/>
              </w:rPr>
            </w:pPr>
            <w:r>
              <w:rPr>
                <w:rFonts w:hint="eastAsia"/>
                <w:sz w:val="21"/>
                <w:szCs w:val="21"/>
              </w:rPr>
              <w:t>理论考试</w:t>
            </w:r>
          </w:p>
          <w:p w14:paraId="3A83F7AD">
            <w:pPr>
              <w:widowControl w:val="0"/>
              <w:jc w:val="center"/>
              <w:rPr>
                <w:sz w:val="21"/>
                <w:szCs w:val="21"/>
              </w:rPr>
            </w:pPr>
            <w:r>
              <w:rPr>
                <w:rFonts w:hint="eastAsia"/>
                <w:sz w:val="21"/>
                <w:szCs w:val="21"/>
              </w:rPr>
              <w:t>课堂表现</w:t>
            </w:r>
          </w:p>
          <w:p w14:paraId="73C178D8">
            <w:pPr>
              <w:widowControl w:val="0"/>
              <w:jc w:val="center"/>
              <w:rPr>
                <w:sz w:val="21"/>
                <w:szCs w:val="21"/>
              </w:rPr>
            </w:pPr>
            <w:r>
              <w:rPr>
                <w:rFonts w:hint="eastAsia"/>
                <w:sz w:val="21"/>
                <w:szCs w:val="21"/>
              </w:rPr>
              <w:t>观察评价</w:t>
            </w:r>
          </w:p>
          <w:p w14:paraId="6045DDDE">
            <w:pPr>
              <w:widowControl w:val="0"/>
              <w:jc w:val="center"/>
              <w:rPr>
                <w:sz w:val="21"/>
                <w:szCs w:val="21"/>
              </w:rPr>
            </w:pPr>
          </w:p>
          <w:p w14:paraId="735D80F6">
            <w:pPr>
              <w:widowControl w:val="0"/>
              <w:snapToGrid w:val="0"/>
              <w:spacing w:line="300" w:lineRule="exact"/>
              <w:jc w:val="center"/>
              <w:rPr>
                <w:bCs/>
                <w:sz w:val="21"/>
                <w:szCs w:val="21"/>
              </w:rPr>
            </w:pPr>
          </w:p>
          <w:p w14:paraId="65294C1C">
            <w:pPr>
              <w:widowControl w:val="0"/>
              <w:jc w:val="center"/>
              <w:rPr>
                <w:bCs/>
                <w:sz w:val="21"/>
                <w:szCs w:val="21"/>
              </w:rPr>
            </w:pPr>
          </w:p>
        </w:tc>
        <w:tc>
          <w:tcPr>
            <w:tcW w:w="714" w:type="dxa"/>
            <w:shd w:val="clear" w:color="auto" w:fill="auto"/>
            <w:vAlign w:val="center"/>
          </w:tcPr>
          <w:p w14:paraId="7C59B9FE">
            <w:pPr>
              <w:widowControl w:val="0"/>
              <w:snapToGrid w:val="0"/>
              <w:spacing w:line="288" w:lineRule="auto"/>
              <w:jc w:val="center"/>
              <w:rPr>
                <w:rFonts w:ascii="Times New Roman" w:hAnsi="Times New Roman"/>
                <w:bCs/>
                <w:sz w:val="21"/>
                <w:szCs w:val="21"/>
              </w:rPr>
            </w:pPr>
            <w:r>
              <w:rPr>
                <w:rFonts w:ascii="仿宋" w:hAnsi="仿宋" w:eastAsia="仿宋" w:cs="仿宋"/>
              </w:rPr>
              <w:t>1</w:t>
            </w:r>
          </w:p>
        </w:tc>
        <w:tc>
          <w:tcPr>
            <w:tcW w:w="660" w:type="dxa"/>
            <w:shd w:val="clear" w:color="auto" w:fill="auto"/>
            <w:vAlign w:val="center"/>
          </w:tcPr>
          <w:p w14:paraId="19412DBA">
            <w:pPr>
              <w:widowControl w:val="0"/>
              <w:snapToGrid w:val="0"/>
              <w:spacing w:line="288" w:lineRule="auto"/>
              <w:jc w:val="center"/>
              <w:rPr>
                <w:rFonts w:ascii="Times New Roman" w:hAnsi="Times New Roman"/>
                <w:bCs/>
                <w:sz w:val="21"/>
                <w:szCs w:val="21"/>
              </w:rPr>
            </w:pPr>
            <w:r>
              <w:rPr>
                <w:rFonts w:hint="eastAsia" w:ascii="仿宋" w:hAnsi="仿宋" w:eastAsia="仿宋" w:cs="仿宋"/>
              </w:rPr>
              <w:t xml:space="preserve"> </w:t>
            </w:r>
            <w:r>
              <w:rPr>
                <w:rFonts w:ascii="仿宋" w:hAnsi="仿宋" w:eastAsia="仿宋" w:cs="仿宋"/>
              </w:rPr>
              <w:t>1</w:t>
            </w:r>
          </w:p>
        </w:tc>
        <w:tc>
          <w:tcPr>
            <w:tcW w:w="706" w:type="dxa"/>
            <w:tcBorders>
              <w:right w:val="single" w:color="auto" w:sz="12" w:space="0"/>
            </w:tcBorders>
            <w:shd w:val="clear" w:color="auto" w:fill="auto"/>
            <w:vAlign w:val="center"/>
          </w:tcPr>
          <w:p w14:paraId="7483F423">
            <w:pPr>
              <w:widowControl w:val="0"/>
              <w:snapToGrid w:val="0"/>
              <w:spacing w:line="288" w:lineRule="auto"/>
              <w:jc w:val="center"/>
              <w:rPr>
                <w:rFonts w:ascii="Times New Roman" w:hAnsi="Times New Roman"/>
                <w:bCs/>
                <w:sz w:val="21"/>
                <w:szCs w:val="21"/>
              </w:rPr>
            </w:pPr>
            <w:r>
              <w:rPr>
                <w:rFonts w:hint="eastAsia" w:ascii="仿宋" w:hAnsi="仿宋" w:eastAsia="仿宋" w:cs="仿宋"/>
              </w:rPr>
              <w:t>2</w:t>
            </w:r>
          </w:p>
        </w:tc>
      </w:tr>
      <w:tr w14:paraId="56F7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65" w:hRule="atLeast"/>
          <w:jc w:val="center"/>
        </w:trPr>
        <w:tc>
          <w:tcPr>
            <w:tcW w:w="1824" w:type="dxa"/>
            <w:tcBorders>
              <w:left w:val="single" w:color="auto" w:sz="12" w:space="0"/>
            </w:tcBorders>
            <w:shd w:val="clear" w:color="auto" w:fill="auto"/>
            <w:vAlign w:val="center"/>
          </w:tcPr>
          <w:p w14:paraId="53E972A6">
            <w:pPr>
              <w:pStyle w:val="16"/>
              <w:widowControl w:val="0"/>
              <w:jc w:val="both"/>
              <w:rPr>
                <w:rFonts w:cs="Times New Roman"/>
              </w:rPr>
            </w:pPr>
            <w:r>
              <w:rPr>
                <w:rFonts w:hint="eastAsia" w:ascii="仿宋" w:hAnsi="仿宋" w:eastAsia="仿宋" w:cs="仿宋"/>
                <w:sz w:val="24"/>
                <w:szCs w:val="24"/>
              </w:rPr>
              <w:t>血脂异常</w:t>
            </w:r>
          </w:p>
        </w:tc>
        <w:tc>
          <w:tcPr>
            <w:tcW w:w="2678" w:type="dxa"/>
            <w:shd w:val="clear" w:color="auto" w:fill="auto"/>
          </w:tcPr>
          <w:p w14:paraId="5634D8C0">
            <w:pPr>
              <w:widowControl w:val="0"/>
              <w:jc w:val="center"/>
              <w:rPr>
                <w:sz w:val="21"/>
                <w:szCs w:val="21"/>
              </w:rPr>
            </w:pPr>
            <w:r>
              <w:rPr>
                <w:rFonts w:hint="eastAsia"/>
                <w:sz w:val="21"/>
                <w:szCs w:val="21"/>
              </w:rPr>
              <w:t>理论讲授</w:t>
            </w:r>
          </w:p>
          <w:p w14:paraId="446C114C">
            <w:pPr>
              <w:widowControl w:val="0"/>
              <w:jc w:val="center"/>
              <w:rPr>
                <w:sz w:val="21"/>
                <w:szCs w:val="21"/>
              </w:rPr>
            </w:pPr>
            <w:r>
              <w:rPr>
                <w:rFonts w:hint="eastAsia"/>
                <w:sz w:val="21"/>
                <w:szCs w:val="21"/>
              </w:rPr>
              <w:t>讨论教学</w:t>
            </w:r>
          </w:p>
          <w:p w14:paraId="00E05865">
            <w:pPr>
              <w:widowControl w:val="0"/>
              <w:jc w:val="center"/>
              <w:rPr>
                <w:sz w:val="21"/>
                <w:szCs w:val="21"/>
              </w:rPr>
            </w:pPr>
            <w:r>
              <w:rPr>
                <w:rFonts w:hint="eastAsia"/>
                <w:sz w:val="21"/>
                <w:szCs w:val="21"/>
              </w:rPr>
              <w:t>案例分析</w:t>
            </w:r>
          </w:p>
          <w:p w14:paraId="3DE022B8">
            <w:pPr>
              <w:widowControl w:val="0"/>
              <w:jc w:val="center"/>
              <w:rPr>
                <w:rFonts w:hint="eastAsia"/>
                <w:sz w:val="21"/>
                <w:szCs w:val="21"/>
              </w:rPr>
            </w:pPr>
          </w:p>
        </w:tc>
        <w:tc>
          <w:tcPr>
            <w:tcW w:w="1694" w:type="dxa"/>
            <w:shd w:val="clear" w:color="auto" w:fill="auto"/>
          </w:tcPr>
          <w:p w14:paraId="39ABCE9E">
            <w:pPr>
              <w:jc w:val="center"/>
              <w:rPr>
                <w:sz w:val="21"/>
                <w:szCs w:val="21"/>
              </w:rPr>
            </w:pPr>
            <w:r>
              <w:rPr>
                <w:rFonts w:hint="eastAsia"/>
                <w:sz w:val="21"/>
                <w:szCs w:val="21"/>
              </w:rPr>
              <w:t>理论考试</w:t>
            </w:r>
          </w:p>
          <w:p w14:paraId="0F225885">
            <w:pPr>
              <w:widowControl w:val="0"/>
              <w:jc w:val="center"/>
              <w:rPr>
                <w:sz w:val="21"/>
                <w:szCs w:val="21"/>
              </w:rPr>
            </w:pPr>
            <w:r>
              <w:rPr>
                <w:rFonts w:hint="eastAsia"/>
                <w:sz w:val="21"/>
                <w:szCs w:val="21"/>
              </w:rPr>
              <w:t>课堂表现</w:t>
            </w:r>
          </w:p>
          <w:p w14:paraId="33AAB272">
            <w:pPr>
              <w:widowControl w:val="0"/>
              <w:jc w:val="center"/>
              <w:rPr>
                <w:sz w:val="21"/>
                <w:szCs w:val="21"/>
              </w:rPr>
            </w:pPr>
            <w:r>
              <w:rPr>
                <w:rFonts w:hint="eastAsia"/>
                <w:sz w:val="21"/>
                <w:szCs w:val="21"/>
              </w:rPr>
              <w:t>观察评价</w:t>
            </w:r>
          </w:p>
          <w:p w14:paraId="368C87DF">
            <w:pPr>
              <w:widowControl w:val="0"/>
              <w:jc w:val="center"/>
              <w:rPr>
                <w:sz w:val="21"/>
                <w:szCs w:val="21"/>
              </w:rPr>
            </w:pPr>
          </w:p>
          <w:p w14:paraId="4845424A">
            <w:pPr>
              <w:widowControl w:val="0"/>
              <w:snapToGrid w:val="0"/>
              <w:spacing w:line="300" w:lineRule="exact"/>
              <w:jc w:val="center"/>
              <w:rPr>
                <w:bCs/>
                <w:sz w:val="21"/>
                <w:szCs w:val="21"/>
              </w:rPr>
            </w:pPr>
          </w:p>
          <w:p w14:paraId="5AA0D392">
            <w:pPr>
              <w:jc w:val="center"/>
              <w:rPr>
                <w:rFonts w:hint="eastAsia"/>
                <w:sz w:val="21"/>
                <w:szCs w:val="21"/>
              </w:rPr>
            </w:pPr>
          </w:p>
        </w:tc>
        <w:tc>
          <w:tcPr>
            <w:tcW w:w="714" w:type="dxa"/>
            <w:shd w:val="clear" w:color="auto" w:fill="auto"/>
            <w:vAlign w:val="center"/>
          </w:tcPr>
          <w:p w14:paraId="66E16300">
            <w:pPr>
              <w:widowControl w:val="0"/>
              <w:snapToGrid w:val="0"/>
              <w:spacing w:line="288" w:lineRule="auto"/>
              <w:jc w:val="center"/>
              <w:rPr>
                <w:color w:val="000000"/>
                <w:sz w:val="21"/>
                <w:szCs w:val="21"/>
              </w:rPr>
            </w:pPr>
            <w:r>
              <w:rPr>
                <w:rFonts w:ascii="仿宋" w:hAnsi="仿宋" w:eastAsia="仿宋" w:cs="仿宋"/>
              </w:rPr>
              <w:t>1</w:t>
            </w:r>
          </w:p>
        </w:tc>
        <w:tc>
          <w:tcPr>
            <w:tcW w:w="660" w:type="dxa"/>
            <w:shd w:val="clear" w:color="auto" w:fill="auto"/>
            <w:vAlign w:val="center"/>
          </w:tcPr>
          <w:p w14:paraId="6F9FE478">
            <w:pPr>
              <w:widowControl w:val="0"/>
              <w:snapToGrid w:val="0"/>
              <w:spacing w:line="288" w:lineRule="auto"/>
              <w:jc w:val="center"/>
              <w:rPr>
                <w:color w:val="000000"/>
                <w:sz w:val="21"/>
                <w:szCs w:val="21"/>
              </w:rPr>
            </w:pPr>
            <w:r>
              <w:rPr>
                <w:rFonts w:ascii="仿宋" w:hAnsi="仿宋" w:eastAsia="仿宋" w:cs="仿宋"/>
              </w:rPr>
              <w:t>1</w:t>
            </w:r>
          </w:p>
        </w:tc>
        <w:tc>
          <w:tcPr>
            <w:tcW w:w="706" w:type="dxa"/>
            <w:tcBorders>
              <w:right w:val="single" w:color="auto" w:sz="12" w:space="0"/>
            </w:tcBorders>
            <w:shd w:val="clear" w:color="auto" w:fill="auto"/>
            <w:vAlign w:val="center"/>
          </w:tcPr>
          <w:p w14:paraId="640CB7E4">
            <w:pPr>
              <w:widowControl w:val="0"/>
              <w:snapToGrid w:val="0"/>
              <w:spacing w:line="288" w:lineRule="auto"/>
              <w:jc w:val="center"/>
              <w:rPr>
                <w:rFonts w:hint="eastAsia"/>
                <w:color w:val="000000"/>
                <w:sz w:val="21"/>
                <w:szCs w:val="21"/>
              </w:rPr>
            </w:pPr>
            <w:r>
              <w:rPr>
                <w:rFonts w:ascii="仿宋" w:hAnsi="仿宋" w:eastAsia="仿宋" w:cs="仿宋"/>
              </w:rPr>
              <w:t>2</w:t>
            </w:r>
          </w:p>
        </w:tc>
      </w:tr>
      <w:tr w14:paraId="1C94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65" w:hRule="atLeast"/>
          <w:jc w:val="center"/>
        </w:trPr>
        <w:tc>
          <w:tcPr>
            <w:tcW w:w="1824" w:type="dxa"/>
            <w:tcBorders>
              <w:left w:val="single" w:color="auto" w:sz="12" w:space="0"/>
            </w:tcBorders>
            <w:shd w:val="clear" w:color="auto" w:fill="auto"/>
            <w:vAlign w:val="center"/>
          </w:tcPr>
          <w:p w14:paraId="3E8A2DA3">
            <w:pPr>
              <w:pStyle w:val="16"/>
              <w:widowControl w:val="0"/>
              <w:jc w:val="both"/>
              <w:rPr>
                <w:rFonts w:cs="Times New Roman"/>
              </w:rPr>
            </w:pPr>
            <w:r>
              <w:rPr>
                <w:rFonts w:hint="eastAsia" w:ascii="仿宋" w:hAnsi="仿宋" w:eastAsia="仿宋" w:cs="仿宋"/>
                <w:sz w:val="22"/>
              </w:rPr>
              <w:t>脑卒中</w:t>
            </w:r>
          </w:p>
        </w:tc>
        <w:tc>
          <w:tcPr>
            <w:tcW w:w="2678" w:type="dxa"/>
            <w:shd w:val="clear" w:color="auto" w:fill="auto"/>
          </w:tcPr>
          <w:p w14:paraId="1C09ABC3">
            <w:pPr>
              <w:widowControl w:val="0"/>
              <w:jc w:val="center"/>
              <w:rPr>
                <w:sz w:val="21"/>
                <w:szCs w:val="21"/>
              </w:rPr>
            </w:pPr>
            <w:r>
              <w:rPr>
                <w:rFonts w:hint="eastAsia"/>
                <w:sz w:val="21"/>
                <w:szCs w:val="21"/>
              </w:rPr>
              <w:t>理论讲授</w:t>
            </w:r>
          </w:p>
          <w:p w14:paraId="3A0F1894">
            <w:pPr>
              <w:widowControl w:val="0"/>
              <w:jc w:val="center"/>
              <w:rPr>
                <w:sz w:val="21"/>
                <w:szCs w:val="21"/>
              </w:rPr>
            </w:pPr>
            <w:r>
              <w:rPr>
                <w:rFonts w:hint="eastAsia"/>
                <w:sz w:val="21"/>
                <w:szCs w:val="21"/>
              </w:rPr>
              <w:t>讨论教学</w:t>
            </w:r>
          </w:p>
          <w:p w14:paraId="702EBD34">
            <w:pPr>
              <w:widowControl w:val="0"/>
              <w:jc w:val="center"/>
              <w:rPr>
                <w:sz w:val="21"/>
                <w:szCs w:val="21"/>
              </w:rPr>
            </w:pPr>
            <w:r>
              <w:rPr>
                <w:rFonts w:hint="eastAsia"/>
                <w:sz w:val="21"/>
                <w:szCs w:val="21"/>
              </w:rPr>
              <w:t>案例分析</w:t>
            </w:r>
          </w:p>
          <w:p w14:paraId="56058A19">
            <w:pPr>
              <w:widowControl w:val="0"/>
              <w:jc w:val="center"/>
              <w:rPr>
                <w:rFonts w:hint="eastAsia"/>
                <w:sz w:val="21"/>
                <w:szCs w:val="21"/>
              </w:rPr>
            </w:pPr>
          </w:p>
        </w:tc>
        <w:tc>
          <w:tcPr>
            <w:tcW w:w="1694" w:type="dxa"/>
            <w:shd w:val="clear" w:color="auto" w:fill="auto"/>
          </w:tcPr>
          <w:p w14:paraId="4C1D731E">
            <w:pPr>
              <w:jc w:val="center"/>
              <w:rPr>
                <w:sz w:val="21"/>
                <w:szCs w:val="21"/>
              </w:rPr>
            </w:pPr>
            <w:r>
              <w:rPr>
                <w:rFonts w:hint="eastAsia"/>
                <w:sz w:val="21"/>
                <w:szCs w:val="21"/>
              </w:rPr>
              <w:t>理论考试</w:t>
            </w:r>
          </w:p>
          <w:p w14:paraId="20D63039">
            <w:pPr>
              <w:widowControl w:val="0"/>
              <w:jc w:val="center"/>
              <w:rPr>
                <w:sz w:val="21"/>
                <w:szCs w:val="21"/>
              </w:rPr>
            </w:pPr>
            <w:r>
              <w:rPr>
                <w:rFonts w:hint="eastAsia"/>
                <w:sz w:val="21"/>
                <w:szCs w:val="21"/>
              </w:rPr>
              <w:t>课堂表现</w:t>
            </w:r>
          </w:p>
          <w:p w14:paraId="5404CAE1">
            <w:pPr>
              <w:widowControl w:val="0"/>
              <w:jc w:val="center"/>
              <w:rPr>
                <w:sz w:val="21"/>
                <w:szCs w:val="21"/>
              </w:rPr>
            </w:pPr>
            <w:r>
              <w:rPr>
                <w:rFonts w:hint="eastAsia"/>
                <w:sz w:val="21"/>
                <w:szCs w:val="21"/>
              </w:rPr>
              <w:t>观察评价</w:t>
            </w:r>
          </w:p>
          <w:p w14:paraId="56E80137">
            <w:pPr>
              <w:widowControl w:val="0"/>
              <w:jc w:val="center"/>
              <w:rPr>
                <w:sz w:val="21"/>
                <w:szCs w:val="21"/>
              </w:rPr>
            </w:pPr>
          </w:p>
          <w:p w14:paraId="1D836EE7">
            <w:pPr>
              <w:widowControl w:val="0"/>
              <w:snapToGrid w:val="0"/>
              <w:spacing w:line="300" w:lineRule="exact"/>
              <w:jc w:val="center"/>
              <w:rPr>
                <w:bCs/>
                <w:sz w:val="21"/>
                <w:szCs w:val="21"/>
              </w:rPr>
            </w:pPr>
          </w:p>
          <w:p w14:paraId="2D8FD0A7">
            <w:pPr>
              <w:jc w:val="center"/>
              <w:rPr>
                <w:rFonts w:hint="eastAsia"/>
                <w:sz w:val="21"/>
                <w:szCs w:val="21"/>
              </w:rPr>
            </w:pPr>
          </w:p>
        </w:tc>
        <w:tc>
          <w:tcPr>
            <w:tcW w:w="714" w:type="dxa"/>
            <w:shd w:val="clear" w:color="auto" w:fill="auto"/>
            <w:vAlign w:val="center"/>
          </w:tcPr>
          <w:p w14:paraId="01445BE8">
            <w:pPr>
              <w:widowControl w:val="0"/>
              <w:snapToGrid w:val="0"/>
              <w:spacing w:line="288" w:lineRule="auto"/>
              <w:jc w:val="center"/>
              <w:rPr>
                <w:color w:val="000000"/>
                <w:sz w:val="21"/>
                <w:szCs w:val="21"/>
              </w:rPr>
            </w:pPr>
            <w:r>
              <w:rPr>
                <w:rFonts w:ascii="仿宋" w:hAnsi="仿宋" w:eastAsia="仿宋" w:cs="仿宋"/>
              </w:rPr>
              <w:t>1</w:t>
            </w:r>
          </w:p>
        </w:tc>
        <w:tc>
          <w:tcPr>
            <w:tcW w:w="660" w:type="dxa"/>
            <w:shd w:val="clear" w:color="auto" w:fill="auto"/>
            <w:vAlign w:val="center"/>
          </w:tcPr>
          <w:p w14:paraId="36868077">
            <w:pPr>
              <w:widowControl w:val="0"/>
              <w:snapToGrid w:val="0"/>
              <w:spacing w:line="288" w:lineRule="auto"/>
              <w:jc w:val="center"/>
              <w:rPr>
                <w:color w:val="000000"/>
                <w:sz w:val="21"/>
                <w:szCs w:val="21"/>
              </w:rPr>
            </w:pPr>
            <w:r>
              <w:rPr>
                <w:rFonts w:ascii="仿宋" w:hAnsi="仿宋" w:eastAsia="仿宋" w:cs="仿宋"/>
              </w:rPr>
              <w:t>1</w:t>
            </w:r>
          </w:p>
        </w:tc>
        <w:tc>
          <w:tcPr>
            <w:tcW w:w="706" w:type="dxa"/>
            <w:tcBorders>
              <w:right w:val="single" w:color="auto" w:sz="12" w:space="0"/>
            </w:tcBorders>
            <w:shd w:val="clear" w:color="auto" w:fill="auto"/>
            <w:vAlign w:val="center"/>
          </w:tcPr>
          <w:p w14:paraId="60FB1D03">
            <w:pPr>
              <w:widowControl w:val="0"/>
              <w:snapToGrid w:val="0"/>
              <w:spacing w:line="288" w:lineRule="auto"/>
              <w:jc w:val="center"/>
              <w:rPr>
                <w:rFonts w:hint="eastAsia"/>
                <w:color w:val="000000"/>
                <w:sz w:val="21"/>
                <w:szCs w:val="21"/>
              </w:rPr>
            </w:pPr>
            <w:r>
              <w:rPr>
                <w:rFonts w:ascii="仿宋" w:hAnsi="仿宋" w:eastAsia="仿宋" w:cs="仿宋"/>
              </w:rPr>
              <w:t>2</w:t>
            </w:r>
          </w:p>
        </w:tc>
      </w:tr>
      <w:tr w14:paraId="3B1C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65" w:hRule="atLeast"/>
          <w:jc w:val="center"/>
        </w:trPr>
        <w:tc>
          <w:tcPr>
            <w:tcW w:w="1824" w:type="dxa"/>
            <w:tcBorders>
              <w:left w:val="single" w:color="auto" w:sz="12" w:space="0"/>
            </w:tcBorders>
            <w:shd w:val="clear" w:color="auto" w:fill="auto"/>
            <w:vAlign w:val="center"/>
          </w:tcPr>
          <w:p w14:paraId="5C8214D2">
            <w:pPr>
              <w:pStyle w:val="16"/>
              <w:widowControl w:val="0"/>
              <w:jc w:val="both"/>
              <w:rPr>
                <w:rFonts w:cs="Times New Roman"/>
              </w:rPr>
            </w:pPr>
            <w:r>
              <w:rPr>
                <w:rFonts w:hint="eastAsia" w:ascii="仿宋" w:hAnsi="仿宋" w:eastAsia="仿宋" w:cs="仿宋"/>
                <w:sz w:val="24"/>
                <w:szCs w:val="24"/>
              </w:rPr>
              <w:t>糖尿病</w:t>
            </w:r>
          </w:p>
        </w:tc>
        <w:tc>
          <w:tcPr>
            <w:tcW w:w="2678" w:type="dxa"/>
            <w:shd w:val="clear" w:color="auto" w:fill="auto"/>
          </w:tcPr>
          <w:p w14:paraId="1B06ADD0">
            <w:pPr>
              <w:widowControl w:val="0"/>
              <w:jc w:val="center"/>
              <w:rPr>
                <w:sz w:val="21"/>
                <w:szCs w:val="21"/>
              </w:rPr>
            </w:pPr>
            <w:r>
              <w:rPr>
                <w:rFonts w:hint="eastAsia"/>
                <w:sz w:val="21"/>
                <w:szCs w:val="21"/>
              </w:rPr>
              <w:t>理论讲授</w:t>
            </w:r>
          </w:p>
          <w:p w14:paraId="6A46C48D">
            <w:pPr>
              <w:widowControl w:val="0"/>
              <w:jc w:val="center"/>
              <w:rPr>
                <w:sz w:val="21"/>
                <w:szCs w:val="21"/>
              </w:rPr>
            </w:pPr>
            <w:r>
              <w:rPr>
                <w:rFonts w:hint="eastAsia"/>
                <w:sz w:val="21"/>
                <w:szCs w:val="21"/>
              </w:rPr>
              <w:t>讨论教学</w:t>
            </w:r>
          </w:p>
          <w:p w14:paraId="37EF33B5">
            <w:pPr>
              <w:widowControl w:val="0"/>
              <w:jc w:val="center"/>
              <w:rPr>
                <w:sz w:val="21"/>
                <w:szCs w:val="21"/>
              </w:rPr>
            </w:pPr>
            <w:r>
              <w:rPr>
                <w:rFonts w:hint="eastAsia"/>
                <w:sz w:val="21"/>
                <w:szCs w:val="21"/>
              </w:rPr>
              <w:t>案例分析</w:t>
            </w:r>
          </w:p>
          <w:p w14:paraId="0565AE55">
            <w:pPr>
              <w:widowControl w:val="0"/>
              <w:jc w:val="center"/>
              <w:rPr>
                <w:rFonts w:hint="eastAsia"/>
                <w:sz w:val="21"/>
                <w:szCs w:val="21"/>
              </w:rPr>
            </w:pPr>
          </w:p>
        </w:tc>
        <w:tc>
          <w:tcPr>
            <w:tcW w:w="1694" w:type="dxa"/>
            <w:shd w:val="clear" w:color="auto" w:fill="auto"/>
          </w:tcPr>
          <w:p w14:paraId="6E9F8277">
            <w:pPr>
              <w:jc w:val="center"/>
              <w:rPr>
                <w:sz w:val="21"/>
                <w:szCs w:val="21"/>
              </w:rPr>
            </w:pPr>
            <w:r>
              <w:rPr>
                <w:rFonts w:hint="eastAsia"/>
                <w:sz w:val="21"/>
                <w:szCs w:val="21"/>
              </w:rPr>
              <w:t>理论考试</w:t>
            </w:r>
          </w:p>
          <w:p w14:paraId="785CF5A8">
            <w:pPr>
              <w:widowControl w:val="0"/>
              <w:jc w:val="center"/>
              <w:rPr>
                <w:sz w:val="21"/>
                <w:szCs w:val="21"/>
              </w:rPr>
            </w:pPr>
            <w:r>
              <w:rPr>
                <w:rFonts w:hint="eastAsia"/>
                <w:sz w:val="21"/>
                <w:szCs w:val="21"/>
              </w:rPr>
              <w:t>课堂表现</w:t>
            </w:r>
          </w:p>
          <w:p w14:paraId="21491390">
            <w:pPr>
              <w:widowControl w:val="0"/>
              <w:jc w:val="center"/>
              <w:rPr>
                <w:sz w:val="21"/>
                <w:szCs w:val="21"/>
              </w:rPr>
            </w:pPr>
            <w:r>
              <w:rPr>
                <w:rFonts w:hint="eastAsia"/>
                <w:sz w:val="21"/>
                <w:szCs w:val="21"/>
              </w:rPr>
              <w:t>观察评价</w:t>
            </w:r>
          </w:p>
          <w:p w14:paraId="0B803396">
            <w:pPr>
              <w:widowControl w:val="0"/>
              <w:jc w:val="center"/>
              <w:rPr>
                <w:sz w:val="21"/>
                <w:szCs w:val="21"/>
              </w:rPr>
            </w:pPr>
          </w:p>
          <w:p w14:paraId="5047C4C7">
            <w:pPr>
              <w:widowControl w:val="0"/>
              <w:snapToGrid w:val="0"/>
              <w:spacing w:line="300" w:lineRule="exact"/>
              <w:jc w:val="center"/>
              <w:rPr>
                <w:bCs/>
                <w:sz w:val="21"/>
                <w:szCs w:val="21"/>
              </w:rPr>
            </w:pPr>
          </w:p>
          <w:p w14:paraId="28DDB7E4">
            <w:pPr>
              <w:jc w:val="center"/>
              <w:rPr>
                <w:rFonts w:hint="eastAsia"/>
                <w:sz w:val="21"/>
                <w:szCs w:val="21"/>
              </w:rPr>
            </w:pPr>
          </w:p>
        </w:tc>
        <w:tc>
          <w:tcPr>
            <w:tcW w:w="714" w:type="dxa"/>
            <w:shd w:val="clear" w:color="auto" w:fill="auto"/>
            <w:vAlign w:val="center"/>
          </w:tcPr>
          <w:p w14:paraId="5CE46477">
            <w:pPr>
              <w:widowControl w:val="0"/>
              <w:snapToGrid w:val="0"/>
              <w:spacing w:line="288" w:lineRule="auto"/>
              <w:jc w:val="center"/>
              <w:rPr>
                <w:color w:val="000000"/>
                <w:sz w:val="21"/>
                <w:szCs w:val="21"/>
              </w:rPr>
            </w:pPr>
            <w:r>
              <w:rPr>
                <w:rFonts w:ascii="仿宋" w:hAnsi="仿宋" w:eastAsia="仿宋" w:cs="仿宋"/>
              </w:rPr>
              <w:t>1</w:t>
            </w:r>
          </w:p>
        </w:tc>
        <w:tc>
          <w:tcPr>
            <w:tcW w:w="660" w:type="dxa"/>
            <w:shd w:val="clear" w:color="auto" w:fill="auto"/>
            <w:vAlign w:val="center"/>
          </w:tcPr>
          <w:p w14:paraId="40EF23BD">
            <w:pPr>
              <w:widowControl w:val="0"/>
              <w:snapToGrid w:val="0"/>
              <w:spacing w:line="288" w:lineRule="auto"/>
              <w:jc w:val="center"/>
              <w:rPr>
                <w:color w:val="000000"/>
                <w:sz w:val="21"/>
                <w:szCs w:val="21"/>
              </w:rPr>
            </w:pPr>
            <w:r>
              <w:rPr>
                <w:rFonts w:ascii="仿宋" w:hAnsi="仿宋" w:eastAsia="仿宋" w:cs="仿宋"/>
              </w:rPr>
              <w:t>1</w:t>
            </w:r>
          </w:p>
        </w:tc>
        <w:tc>
          <w:tcPr>
            <w:tcW w:w="706" w:type="dxa"/>
            <w:tcBorders>
              <w:right w:val="single" w:color="auto" w:sz="12" w:space="0"/>
            </w:tcBorders>
            <w:shd w:val="clear" w:color="auto" w:fill="auto"/>
            <w:vAlign w:val="center"/>
          </w:tcPr>
          <w:p w14:paraId="313AE2D3">
            <w:pPr>
              <w:widowControl w:val="0"/>
              <w:snapToGrid w:val="0"/>
              <w:spacing w:line="288" w:lineRule="auto"/>
              <w:jc w:val="center"/>
              <w:rPr>
                <w:rFonts w:hint="eastAsia"/>
                <w:color w:val="000000"/>
                <w:sz w:val="21"/>
                <w:szCs w:val="21"/>
              </w:rPr>
            </w:pPr>
            <w:r>
              <w:rPr>
                <w:rFonts w:ascii="仿宋" w:hAnsi="仿宋" w:eastAsia="仿宋" w:cs="仿宋"/>
              </w:rPr>
              <w:t>2</w:t>
            </w:r>
          </w:p>
        </w:tc>
      </w:tr>
      <w:tr w14:paraId="2DEC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65" w:hRule="atLeast"/>
          <w:jc w:val="center"/>
        </w:trPr>
        <w:tc>
          <w:tcPr>
            <w:tcW w:w="1824" w:type="dxa"/>
            <w:tcBorders>
              <w:left w:val="single" w:color="auto" w:sz="12" w:space="0"/>
            </w:tcBorders>
            <w:shd w:val="clear" w:color="auto" w:fill="auto"/>
            <w:vAlign w:val="center"/>
          </w:tcPr>
          <w:p w14:paraId="63C31AA6">
            <w:pPr>
              <w:pStyle w:val="16"/>
              <w:widowControl w:val="0"/>
              <w:jc w:val="both"/>
              <w:rPr>
                <w:rFonts w:cs="Times New Roman"/>
              </w:rPr>
            </w:pPr>
            <w:r>
              <w:rPr>
                <w:rFonts w:hint="eastAsia" w:ascii="仿宋" w:hAnsi="仿宋" w:eastAsia="仿宋" w:cs="仿宋"/>
                <w:sz w:val="22"/>
              </w:rPr>
              <w:t>高尿酸症及痛风</w:t>
            </w:r>
          </w:p>
        </w:tc>
        <w:tc>
          <w:tcPr>
            <w:tcW w:w="2678" w:type="dxa"/>
            <w:shd w:val="clear" w:color="auto" w:fill="auto"/>
          </w:tcPr>
          <w:p w14:paraId="7D7DC401">
            <w:pPr>
              <w:widowControl w:val="0"/>
              <w:jc w:val="center"/>
              <w:rPr>
                <w:sz w:val="21"/>
                <w:szCs w:val="21"/>
              </w:rPr>
            </w:pPr>
            <w:r>
              <w:rPr>
                <w:rFonts w:hint="eastAsia"/>
                <w:sz w:val="21"/>
                <w:szCs w:val="21"/>
              </w:rPr>
              <w:t>理论讲授</w:t>
            </w:r>
          </w:p>
          <w:p w14:paraId="5CD554CB">
            <w:pPr>
              <w:widowControl w:val="0"/>
              <w:jc w:val="center"/>
              <w:rPr>
                <w:sz w:val="21"/>
                <w:szCs w:val="21"/>
              </w:rPr>
            </w:pPr>
            <w:r>
              <w:rPr>
                <w:rFonts w:hint="eastAsia"/>
                <w:sz w:val="21"/>
                <w:szCs w:val="21"/>
              </w:rPr>
              <w:t>讨论教学</w:t>
            </w:r>
          </w:p>
          <w:p w14:paraId="7F22E874">
            <w:pPr>
              <w:widowControl w:val="0"/>
              <w:jc w:val="center"/>
              <w:rPr>
                <w:sz w:val="21"/>
                <w:szCs w:val="21"/>
              </w:rPr>
            </w:pPr>
            <w:r>
              <w:rPr>
                <w:rFonts w:hint="eastAsia"/>
                <w:sz w:val="21"/>
                <w:szCs w:val="21"/>
              </w:rPr>
              <w:t>案例分析</w:t>
            </w:r>
          </w:p>
          <w:p w14:paraId="4EE247A4">
            <w:pPr>
              <w:widowControl w:val="0"/>
              <w:jc w:val="center"/>
              <w:rPr>
                <w:rFonts w:hint="eastAsia"/>
                <w:sz w:val="21"/>
                <w:szCs w:val="21"/>
              </w:rPr>
            </w:pPr>
          </w:p>
        </w:tc>
        <w:tc>
          <w:tcPr>
            <w:tcW w:w="1694" w:type="dxa"/>
            <w:shd w:val="clear" w:color="auto" w:fill="auto"/>
          </w:tcPr>
          <w:p w14:paraId="793C9BE1">
            <w:pPr>
              <w:jc w:val="center"/>
              <w:rPr>
                <w:sz w:val="21"/>
                <w:szCs w:val="21"/>
              </w:rPr>
            </w:pPr>
            <w:r>
              <w:rPr>
                <w:rFonts w:hint="eastAsia"/>
                <w:sz w:val="21"/>
                <w:szCs w:val="21"/>
              </w:rPr>
              <w:t>理论考试</w:t>
            </w:r>
          </w:p>
          <w:p w14:paraId="2534FCC1">
            <w:pPr>
              <w:widowControl w:val="0"/>
              <w:jc w:val="center"/>
              <w:rPr>
                <w:sz w:val="21"/>
                <w:szCs w:val="21"/>
              </w:rPr>
            </w:pPr>
            <w:r>
              <w:rPr>
                <w:rFonts w:hint="eastAsia"/>
                <w:sz w:val="21"/>
                <w:szCs w:val="21"/>
              </w:rPr>
              <w:t>课堂表现</w:t>
            </w:r>
          </w:p>
          <w:p w14:paraId="7CD12EE2">
            <w:pPr>
              <w:widowControl w:val="0"/>
              <w:jc w:val="center"/>
              <w:rPr>
                <w:sz w:val="21"/>
                <w:szCs w:val="21"/>
              </w:rPr>
            </w:pPr>
            <w:r>
              <w:rPr>
                <w:rFonts w:hint="eastAsia"/>
                <w:sz w:val="21"/>
                <w:szCs w:val="21"/>
              </w:rPr>
              <w:t>观察评价</w:t>
            </w:r>
          </w:p>
          <w:p w14:paraId="00008BD7">
            <w:pPr>
              <w:widowControl w:val="0"/>
              <w:jc w:val="center"/>
              <w:rPr>
                <w:sz w:val="21"/>
                <w:szCs w:val="21"/>
              </w:rPr>
            </w:pPr>
          </w:p>
          <w:p w14:paraId="300174C6">
            <w:pPr>
              <w:widowControl w:val="0"/>
              <w:snapToGrid w:val="0"/>
              <w:spacing w:line="300" w:lineRule="exact"/>
              <w:jc w:val="center"/>
              <w:rPr>
                <w:bCs/>
                <w:sz w:val="21"/>
                <w:szCs w:val="21"/>
              </w:rPr>
            </w:pPr>
          </w:p>
          <w:p w14:paraId="59E349A6">
            <w:pPr>
              <w:jc w:val="center"/>
              <w:rPr>
                <w:rFonts w:hint="eastAsia"/>
                <w:sz w:val="21"/>
                <w:szCs w:val="21"/>
              </w:rPr>
            </w:pPr>
          </w:p>
        </w:tc>
        <w:tc>
          <w:tcPr>
            <w:tcW w:w="714" w:type="dxa"/>
            <w:shd w:val="clear" w:color="auto" w:fill="auto"/>
            <w:vAlign w:val="center"/>
          </w:tcPr>
          <w:p w14:paraId="7F8D54CB">
            <w:pPr>
              <w:widowControl w:val="0"/>
              <w:snapToGrid w:val="0"/>
              <w:spacing w:line="288" w:lineRule="auto"/>
              <w:jc w:val="center"/>
              <w:rPr>
                <w:color w:val="000000"/>
                <w:sz w:val="21"/>
                <w:szCs w:val="21"/>
              </w:rPr>
            </w:pPr>
            <w:r>
              <w:rPr>
                <w:rFonts w:ascii="仿宋" w:hAnsi="仿宋" w:eastAsia="仿宋" w:cs="仿宋"/>
              </w:rPr>
              <w:t>2</w:t>
            </w:r>
          </w:p>
        </w:tc>
        <w:tc>
          <w:tcPr>
            <w:tcW w:w="660" w:type="dxa"/>
            <w:shd w:val="clear" w:color="auto" w:fill="auto"/>
            <w:vAlign w:val="center"/>
          </w:tcPr>
          <w:p w14:paraId="6BFAFABC">
            <w:pPr>
              <w:widowControl w:val="0"/>
              <w:snapToGrid w:val="0"/>
              <w:spacing w:line="288" w:lineRule="auto"/>
              <w:jc w:val="center"/>
              <w:rPr>
                <w:color w:val="000000"/>
                <w:sz w:val="21"/>
                <w:szCs w:val="21"/>
              </w:rPr>
            </w:pPr>
            <w:r>
              <w:rPr>
                <w:rFonts w:hint="eastAsia" w:ascii="仿宋" w:hAnsi="仿宋" w:eastAsia="仿宋" w:cs="仿宋"/>
              </w:rPr>
              <w:t>0</w:t>
            </w:r>
          </w:p>
        </w:tc>
        <w:tc>
          <w:tcPr>
            <w:tcW w:w="706" w:type="dxa"/>
            <w:tcBorders>
              <w:right w:val="single" w:color="auto" w:sz="12" w:space="0"/>
            </w:tcBorders>
            <w:shd w:val="clear" w:color="auto" w:fill="auto"/>
            <w:vAlign w:val="center"/>
          </w:tcPr>
          <w:p w14:paraId="1671FC67">
            <w:pPr>
              <w:widowControl w:val="0"/>
              <w:snapToGrid w:val="0"/>
              <w:spacing w:line="288" w:lineRule="auto"/>
              <w:jc w:val="center"/>
              <w:rPr>
                <w:rFonts w:hint="eastAsia"/>
                <w:color w:val="000000"/>
                <w:sz w:val="21"/>
                <w:szCs w:val="21"/>
              </w:rPr>
            </w:pPr>
            <w:r>
              <w:rPr>
                <w:rFonts w:ascii="仿宋" w:hAnsi="仿宋" w:eastAsia="仿宋" w:cs="仿宋"/>
              </w:rPr>
              <w:t>2</w:t>
            </w:r>
          </w:p>
        </w:tc>
      </w:tr>
      <w:tr w14:paraId="75F9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65" w:hRule="atLeast"/>
          <w:jc w:val="center"/>
        </w:trPr>
        <w:tc>
          <w:tcPr>
            <w:tcW w:w="1824" w:type="dxa"/>
            <w:tcBorders>
              <w:left w:val="single" w:color="auto" w:sz="12" w:space="0"/>
            </w:tcBorders>
            <w:shd w:val="clear" w:color="auto" w:fill="auto"/>
            <w:vAlign w:val="center"/>
          </w:tcPr>
          <w:p w14:paraId="1B6EB92B">
            <w:pPr>
              <w:pStyle w:val="16"/>
              <w:widowControl w:val="0"/>
              <w:jc w:val="both"/>
              <w:rPr>
                <w:rFonts w:cs="Times New Roman"/>
              </w:rPr>
            </w:pPr>
            <w:r>
              <w:rPr>
                <w:rFonts w:hint="eastAsia" w:ascii="仿宋" w:hAnsi="仿宋" w:eastAsia="仿宋" w:cs="仿宋"/>
                <w:sz w:val="22"/>
              </w:rPr>
              <w:t xml:space="preserve">肥胖症 </w:t>
            </w:r>
          </w:p>
        </w:tc>
        <w:tc>
          <w:tcPr>
            <w:tcW w:w="2678" w:type="dxa"/>
            <w:shd w:val="clear" w:color="auto" w:fill="auto"/>
          </w:tcPr>
          <w:p w14:paraId="74643D9A">
            <w:pPr>
              <w:widowControl w:val="0"/>
              <w:jc w:val="center"/>
              <w:rPr>
                <w:sz w:val="21"/>
                <w:szCs w:val="21"/>
              </w:rPr>
            </w:pPr>
            <w:r>
              <w:rPr>
                <w:rFonts w:hint="eastAsia"/>
                <w:sz w:val="21"/>
                <w:szCs w:val="21"/>
              </w:rPr>
              <w:t>理论讲授</w:t>
            </w:r>
          </w:p>
          <w:p w14:paraId="449C4192">
            <w:pPr>
              <w:widowControl w:val="0"/>
              <w:jc w:val="center"/>
              <w:rPr>
                <w:sz w:val="21"/>
                <w:szCs w:val="21"/>
              </w:rPr>
            </w:pPr>
            <w:r>
              <w:rPr>
                <w:rFonts w:hint="eastAsia"/>
                <w:sz w:val="21"/>
                <w:szCs w:val="21"/>
              </w:rPr>
              <w:t>讨论教学</w:t>
            </w:r>
          </w:p>
          <w:p w14:paraId="398C44FF">
            <w:pPr>
              <w:widowControl w:val="0"/>
              <w:jc w:val="center"/>
              <w:rPr>
                <w:sz w:val="21"/>
                <w:szCs w:val="21"/>
              </w:rPr>
            </w:pPr>
            <w:r>
              <w:rPr>
                <w:rFonts w:hint="eastAsia"/>
                <w:sz w:val="21"/>
                <w:szCs w:val="21"/>
              </w:rPr>
              <w:t>案例分析</w:t>
            </w:r>
          </w:p>
          <w:p w14:paraId="01C26950">
            <w:pPr>
              <w:widowControl w:val="0"/>
              <w:jc w:val="center"/>
              <w:rPr>
                <w:rFonts w:hint="eastAsia"/>
                <w:sz w:val="21"/>
                <w:szCs w:val="21"/>
              </w:rPr>
            </w:pPr>
          </w:p>
        </w:tc>
        <w:tc>
          <w:tcPr>
            <w:tcW w:w="1694" w:type="dxa"/>
            <w:shd w:val="clear" w:color="auto" w:fill="auto"/>
          </w:tcPr>
          <w:p w14:paraId="553FC500">
            <w:pPr>
              <w:jc w:val="center"/>
              <w:rPr>
                <w:sz w:val="21"/>
                <w:szCs w:val="21"/>
              </w:rPr>
            </w:pPr>
            <w:r>
              <w:rPr>
                <w:rFonts w:hint="eastAsia"/>
                <w:sz w:val="21"/>
                <w:szCs w:val="21"/>
              </w:rPr>
              <w:t>理论考试</w:t>
            </w:r>
          </w:p>
          <w:p w14:paraId="0A756D17">
            <w:pPr>
              <w:widowControl w:val="0"/>
              <w:jc w:val="center"/>
              <w:rPr>
                <w:sz w:val="21"/>
                <w:szCs w:val="21"/>
              </w:rPr>
            </w:pPr>
            <w:r>
              <w:rPr>
                <w:rFonts w:hint="eastAsia"/>
                <w:sz w:val="21"/>
                <w:szCs w:val="21"/>
              </w:rPr>
              <w:t>课堂表现</w:t>
            </w:r>
          </w:p>
          <w:p w14:paraId="55E6C7E6">
            <w:pPr>
              <w:widowControl w:val="0"/>
              <w:jc w:val="center"/>
              <w:rPr>
                <w:sz w:val="21"/>
                <w:szCs w:val="21"/>
              </w:rPr>
            </w:pPr>
            <w:r>
              <w:rPr>
                <w:rFonts w:hint="eastAsia"/>
                <w:sz w:val="21"/>
                <w:szCs w:val="21"/>
              </w:rPr>
              <w:t>观察评价</w:t>
            </w:r>
          </w:p>
          <w:p w14:paraId="118F9368">
            <w:pPr>
              <w:widowControl w:val="0"/>
              <w:jc w:val="center"/>
              <w:rPr>
                <w:sz w:val="21"/>
                <w:szCs w:val="21"/>
              </w:rPr>
            </w:pPr>
          </w:p>
          <w:p w14:paraId="4C16AFE2">
            <w:pPr>
              <w:widowControl w:val="0"/>
              <w:snapToGrid w:val="0"/>
              <w:spacing w:line="300" w:lineRule="exact"/>
              <w:jc w:val="center"/>
              <w:rPr>
                <w:bCs/>
                <w:sz w:val="21"/>
                <w:szCs w:val="21"/>
              </w:rPr>
            </w:pPr>
          </w:p>
          <w:p w14:paraId="1A4EC881">
            <w:pPr>
              <w:jc w:val="center"/>
              <w:rPr>
                <w:rFonts w:hint="eastAsia"/>
                <w:sz w:val="21"/>
                <w:szCs w:val="21"/>
              </w:rPr>
            </w:pPr>
          </w:p>
        </w:tc>
        <w:tc>
          <w:tcPr>
            <w:tcW w:w="714" w:type="dxa"/>
            <w:shd w:val="clear" w:color="auto" w:fill="auto"/>
            <w:vAlign w:val="center"/>
          </w:tcPr>
          <w:p w14:paraId="5B6EB74F">
            <w:pPr>
              <w:widowControl w:val="0"/>
              <w:snapToGrid w:val="0"/>
              <w:spacing w:line="288" w:lineRule="auto"/>
              <w:jc w:val="center"/>
              <w:rPr>
                <w:color w:val="000000"/>
                <w:sz w:val="21"/>
                <w:szCs w:val="21"/>
              </w:rPr>
            </w:pPr>
            <w:r>
              <w:rPr>
                <w:rFonts w:ascii="仿宋" w:hAnsi="仿宋" w:eastAsia="仿宋" w:cs="仿宋"/>
              </w:rPr>
              <w:t>2</w:t>
            </w:r>
          </w:p>
        </w:tc>
        <w:tc>
          <w:tcPr>
            <w:tcW w:w="660" w:type="dxa"/>
            <w:shd w:val="clear" w:color="auto" w:fill="auto"/>
            <w:vAlign w:val="center"/>
          </w:tcPr>
          <w:p w14:paraId="417B3641">
            <w:pPr>
              <w:widowControl w:val="0"/>
              <w:snapToGrid w:val="0"/>
              <w:spacing w:line="288" w:lineRule="auto"/>
              <w:jc w:val="center"/>
              <w:rPr>
                <w:color w:val="000000"/>
                <w:sz w:val="21"/>
                <w:szCs w:val="21"/>
              </w:rPr>
            </w:pPr>
            <w:r>
              <w:rPr>
                <w:rFonts w:hint="eastAsia" w:ascii="仿宋" w:hAnsi="仿宋" w:eastAsia="仿宋" w:cs="仿宋"/>
              </w:rPr>
              <w:t>0</w:t>
            </w:r>
          </w:p>
        </w:tc>
        <w:tc>
          <w:tcPr>
            <w:tcW w:w="706" w:type="dxa"/>
            <w:tcBorders>
              <w:right w:val="single" w:color="auto" w:sz="12" w:space="0"/>
            </w:tcBorders>
            <w:shd w:val="clear" w:color="auto" w:fill="auto"/>
            <w:vAlign w:val="center"/>
          </w:tcPr>
          <w:p w14:paraId="2EDD2C50">
            <w:pPr>
              <w:widowControl w:val="0"/>
              <w:snapToGrid w:val="0"/>
              <w:spacing w:line="288" w:lineRule="auto"/>
              <w:jc w:val="center"/>
              <w:rPr>
                <w:rFonts w:hint="eastAsia"/>
                <w:color w:val="000000"/>
                <w:sz w:val="21"/>
                <w:szCs w:val="21"/>
              </w:rPr>
            </w:pPr>
            <w:r>
              <w:rPr>
                <w:rFonts w:ascii="仿宋" w:hAnsi="仿宋" w:eastAsia="仿宋" w:cs="仿宋"/>
              </w:rPr>
              <w:t>2</w:t>
            </w:r>
          </w:p>
        </w:tc>
      </w:tr>
      <w:tr w14:paraId="1CA8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65" w:hRule="atLeast"/>
          <w:jc w:val="center"/>
        </w:trPr>
        <w:tc>
          <w:tcPr>
            <w:tcW w:w="1824" w:type="dxa"/>
            <w:tcBorders>
              <w:left w:val="single" w:color="auto" w:sz="12" w:space="0"/>
            </w:tcBorders>
            <w:shd w:val="clear" w:color="auto" w:fill="auto"/>
            <w:vAlign w:val="center"/>
          </w:tcPr>
          <w:p w14:paraId="18B9959A">
            <w:pPr>
              <w:pStyle w:val="16"/>
              <w:widowControl w:val="0"/>
              <w:jc w:val="both"/>
              <w:rPr>
                <w:rFonts w:cs="Times New Roman"/>
              </w:rPr>
            </w:pPr>
            <w:r>
              <w:rPr>
                <w:rFonts w:hint="eastAsia" w:ascii="仿宋" w:hAnsi="仿宋" w:eastAsia="仿宋" w:cs="仿宋"/>
                <w:sz w:val="22"/>
              </w:rPr>
              <w:t>慢性阻塞性肺疾病</w:t>
            </w:r>
          </w:p>
        </w:tc>
        <w:tc>
          <w:tcPr>
            <w:tcW w:w="2678" w:type="dxa"/>
            <w:shd w:val="clear" w:color="auto" w:fill="auto"/>
          </w:tcPr>
          <w:p w14:paraId="1CAD2B72">
            <w:pPr>
              <w:widowControl w:val="0"/>
              <w:jc w:val="center"/>
              <w:rPr>
                <w:sz w:val="21"/>
                <w:szCs w:val="21"/>
              </w:rPr>
            </w:pPr>
            <w:r>
              <w:rPr>
                <w:rFonts w:hint="eastAsia"/>
                <w:sz w:val="21"/>
                <w:szCs w:val="21"/>
              </w:rPr>
              <w:t>理论讲授</w:t>
            </w:r>
          </w:p>
          <w:p w14:paraId="3A6887CF">
            <w:pPr>
              <w:widowControl w:val="0"/>
              <w:jc w:val="center"/>
              <w:rPr>
                <w:sz w:val="21"/>
                <w:szCs w:val="21"/>
              </w:rPr>
            </w:pPr>
            <w:r>
              <w:rPr>
                <w:rFonts w:hint="eastAsia"/>
                <w:sz w:val="21"/>
                <w:szCs w:val="21"/>
              </w:rPr>
              <w:t>讨论教学</w:t>
            </w:r>
          </w:p>
          <w:p w14:paraId="572EF068">
            <w:pPr>
              <w:widowControl w:val="0"/>
              <w:jc w:val="center"/>
              <w:rPr>
                <w:sz w:val="21"/>
                <w:szCs w:val="21"/>
              </w:rPr>
            </w:pPr>
            <w:r>
              <w:rPr>
                <w:rFonts w:hint="eastAsia"/>
                <w:sz w:val="21"/>
                <w:szCs w:val="21"/>
              </w:rPr>
              <w:t>案例分析</w:t>
            </w:r>
          </w:p>
          <w:p w14:paraId="22ACE474">
            <w:pPr>
              <w:widowControl w:val="0"/>
              <w:jc w:val="center"/>
              <w:rPr>
                <w:rFonts w:hint="eastAsia"/>
                <w:sz w:val="21"/>
                <w:szCs w:val="21"/>
              </w:rPr>
            </w:pPr>
          </w:p>
        </w:tc>
        <w:tc>
          <w:tcPr>
            <w:tcW w:w="1694" w:type="dxa"/>
            <w:shd w:val="clear" w:color="auto" w:fill="auto"/>
          </w:tcPr>
          <w:p w14:paraId="3EC9A850">
            <w:pPr>
              <w:jc w:val="center"/>
              <w:rPr>
                <w:sz w:val="21"/>
                <w:szCs w:val="21"/>
              </w:rPr>
            </w:pPr>
            <w:r>
              <w:rPr>
                <w:rFonts w:hint="eastAsia"/>
                <w:sz w:val="21"/>
                <w:szCs w:val="21"/>
              </w:rPr>
              <w:t>理论考试</w:t>
            </w:r>
          </w:p>
          <w:p w14:paraId="594AD96E">
            <w:pPr>
              <w:widowControl w:val="0"/>
              <w:jc w:val="center"/>
              <w:rPr>
                <w:sz w:val="21"/>
                <w:szCs w:val="21"/>
              </w:rPr>
            </w:pPr>
            <w:r>
              <w:rPr>
                <w:rFonts w:hint="eastAsia"/>
                <w:sz w:val="21"/>
                <w:szCs w:val="21"/>
              </w:rPr>
              <w:t>课堂表现</w:t>
            </w:r>
          </w:p>
          <w:p w14:paraId="27843F08">
            <w:pPr>
              <w:widowControl w:val="0"/>
              <w:jc w:val="center"/>
              <w:rPr>
                <w:sz w:val="21"/>
                <w:szCs w:val="21"/>
              </w:rPr>
            </w:pPr>
            <w:r>
              <w:rPr>
                <w:rFonts w:hint="eastAsia"/>
                <w:sz w:val="21"/>
                <w:szCs w:val="21"/>
              </w:rPr>
              <w:t>观察评价</w:t>
            </w:r>
          </w:p>
          <w:p w14:paraId="1772E93B">
            <w:pPr>
              <w:widowControl w:val="0"/>
              <w:jc w:val="center"/>
              <w:rPr>
                <w:sz w:val="21"/>
                <w:szCs w:val="21"/>
              </w:rPr>
            </w:pPr>
          </w:p>
          <w:p w14:paraId="2E6A2F50">
            <w:pPr>
              <w:widowControl w:val="0"/>
              <w:snapToGrid w:val="0"/>
              <w:spacing w:line="300" w:lineRule="exact"/>
              <w:jc w:val="center"/>
              <w:rPr>
                <w:bCs/>
                <w:sz w:val="21"/>
                <w:szCs w:val="21"/>
              </w:rPr>
            </w:pPr>
          </w:p>
          <w:p w14:paraId="5DC4FB43">
            <w:pPr>
              <w:jc w:val="center"/>
              <w:rPr>
                <w:rFonts w:hint="eastAsia"/>
                <w:sz w:val="21"/>
                <w:szCs w:val="21"/>
              </w:rPr>
            </w:pPr>
          </w:p>
        </w:tc>
        <w:tc>
          <w:tcPr>
            <w:tcW w:w="714" w:type="dxa"/>
            <w:shd w:val="clear" w:color="auto" w:fill="auto"/>
            <w:vAlign w:val="center"/>
          </w:tcPr>
          <w:p w14:paraId="68E8159D">
            <w:pPr>
              <w:widowControl w:val="0"/>
              <w:snapToGrid w:val="0"/>
              <w:spacing w:line="288" w:lineRule="auto"/>
              <w:jc w:val="center"/>
              <w:rPr>
                <w:color w:val="000000"/>
                <w:sz w:val="21"/>
                <w:szCs w:val="21"/>
              </w:rPr>
            </w:pPr>
            <w:r>
              <w:rPr>
                <w:rFonts w:ascii="仿宋" w:hAnsi="仿宋" w:eastAsia="仿宋" w:cs="仿宋"/>
              </w:rPr>
              <w:t>2</w:t>
            </w:r>
          </w:p>
        </w:tc>
        <w:tc>
          <w:tcPr>
            <w:tcW w:w="660" w:type="dxa"/>
            <w:shd w:val="clear" w:color="auto" w:fill="auto"/>
            <w:vAlign w:val="center"/>
          </w:tcPr>
          <w:p w14:paraId="2A920925">
            <w:pPr>
              <w:widowControl w:val="0"/>
              <w:snapToGrid w:val="0"/>
              <w:spacing w:line="288" w:lineRule="auto"/>
              <w:jc w:val="center"/>
              <w:rPr>
                <w:color w:val="000000"/>
                <w:sz w:val="21"/>
                <w:szCs w:val="21"/>
              </w:rPr>
            </w:pPr>
            <w:r>
              <w:rPr>
                <w:rFonts w:hint="eastAsia" w:ascii="仿宋" w:hAnsi="仿宋" w:eastAsia="仿宋" w:cs="仿宋"/>
              </w:rPr>
              <w:t>0</w:t>
            </w:r>
          </w:p>
        </w:tc>
        <w:tc>
          <w:tcPr>
            <w:tcW w:w="706" w:type="dxa"/>
            <w:tcBorders>
              <w:right w:val="single" w:color="auto" w:sz="12" w:space="0"/>
            </w:tcBorders>
            <w:shd w:val="clear" w:color="auto" w:fill="auto"/>
            <w:vAlign w:val="center"/>
          </w:tcPr>
          <w:p w14:paraId="3F759381">
            <w:pPr>
              <w:widowControl w:val="0"/>
              <w:snapToGrid w:val="0"/>
              <w:spacing w:line="288" w:lineRule="auto"/>
              <w:jc w:val="center"/>
              <w:rPr>
                <w:rFonts w:hint="eastAsia"/>
                <w:color w:val="000000"/>
                <w:sz w:val="21"/>
                <w:szCs w:val="21"/>
              </w:rPr>
            </w:pPr>
            <w:r>
              <w:rPr>
                <w:rFonts w:ascii="仿宋" w:hAnsi="仿宋" w:eastAsia="仿宋" w:cs="仿宋"/>
              </w:rPr>
              <w:t>2</w:t>
            </w:r>
          </w:p>
        </w:tc>
      </w:tr>
      <w:tr w14:paraId="4496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65" w:hRule="atLeast"/>
          <w:jc w:val="center"/>
        </w:trPr>
        <w:tc>
          <w:tcPr>
            <w:tcW w:w="1824" w:type="dxa"/>
            <w:tcBorders>
              <w:left w:val="single" w:color="auto" w:sz="12" w:space="0"/>
            </w:tcBorders>
            <w:shd w:val="clear" w:color="auto" w:fill="auto"/>
            <w:vAlign w:val="center"/>
          </w:tcPr>
          <w:p w14:paraId="67F706AA">
            <w:pPr>
              <w:pStyle w:val="16"/>
              <w:widowControl w:val="0"/>
              <w:jc w:val="both"/>
              <w:rPr>
                <w:rFonts w:cs="Times New Roman"/>
              </w:rPr>
            </w:pPr>
            <w:r>
              <w:rPr>
                <w:rFonts w:hint="eastAsia" w:ascii="仿宋" w:hAnsi="仿宋" w:eastAsia="仿宋" w:cs="仿宋"/>
                <w:sz w:val="22"/>
              </w:rPr>
              <w:t xml:space="preserve"> 慢性肾脏病</w:t>
            </w:r>
          </w:p>
        </w:tc>
        <w:tc>
          <w:tcPr>
            <w:tcW w:w="2678" w:type="dxa"/>
            <w:shd w:val="clear" w:color="auto" w:fill="auto"/>
          </w:tcPr>
          <w:p w14:paraId="47055476">
            <w:pPr>
              <w:widowControl w:val="0"/>
              <w:jc w:val="center"/>
              <w:rPr>
                <w:sz w:val="21"/>
                <w:szCs w:val="21"/>
              </w:rPr>
            </w:pPr>
            <w:r>
              <w:rPr>
                <w:rFonts w:hint="eastAsia"/>
                <w:sz w:val="21"/>
                <w:szCs w:val="21"/>
              </w:rPr>
              <w:t>理论讲授</w:t>
            </w:r>
          </w:p>
          <w:p w14:paraId="32861BC5">
            <w:pPr>
              <w:widowControl w:val="0"/>
              <w:jc w:val="center"/>
              <w:rPr>
                <w:sz w:val="21"/>
                <w:szCs w:val="21"/>
              </w:rPr>
            </w:pPr>
            <w:r>
              <w:rPr>
                <w:rFonts w:hint="eastAsia"/>
                <w:sz w:val="21"/>
                <w:szCs w:val="21"/>
              </w:rPr>
              <w:t>讨论教学</w:t>
            </w:r>
          </w:p>
          <w:p w14:paraId="5DE4136E">
            <w:pPr>
              <w:widowControl w:val="0"/>
              <w:jc w:val="center"/>
              <w:rPr>
                <w:sz w:val="21"/>
                <w:szCs w:val="21"/>
              </w:rPr>
            </w:pPr>
            <w:r>
              <w:rPr>
                <w:rFonts w:hint="eastAsia"/>
                <w:sz w:val="21"/>
                <w:szCs w:val="21"/>
              </w:rPr>
              <w:t>案例分析</w:t>
            </w:r>
          </w:p>
          <w:p w14:paraId="0AC7898B">
            <w:pPr>
              <w:widowControl w:val="0"/>
              <w:jc w:val="center"/>
              <w:rPr>
                <w:rFonts w:hint="eastAsia"/>
                <w:sz w:val="21"/>
                <w:szCs w:val="21"/>
              </w:rPr>
            </w:pPr>
          </w:p>
        </w:tc>
        <w:tc>
          <w:tcPr>
            <w:tcW w:w="1694" w:type="dxa"/>
            <w:shd w:val="clear" w:color="auto" w:fill="auto"/>
          </w:tcPr>
          <w:p w14:paraId="11CA4C03">
            <w:pPr>
              <w:jc w:val="center"/>
              <w:rPr>
                <w:sz w:val="21"/>
                <w:szCs w:val="21"/>
              </w:rPr>
            </w:pPr>
            <w:r>
              <w:rPr>
                <w:rFonts w:hint="eastAsia"/>
                <w:sz w:val="21"/>
                <w:szCs w:val="21"/>
              </w:rPr>
              <w:t>理论考试</w:t>
            </w:r>
          </w:p>
          <w:p w14:paraId="18D2DBE5">
            <w:pPr>
              <w:widowControl w:val="0"/>
              <w:jc w:val="center"/>
              <w:rPr>
                <w:sz w:val="21"/>
                <w:szCs w:val="21"/>
              </w:rPr>
            </w:pPr>
            <w:r>
              <w:rPr>
                <w:rFonts w:hint="eastAsia"/>
                <w:sz w:val="21"/>
                <w:szCs w:val="21"/>
              </w:rPr>
              <w:t>课堂表现</w:t>
            </w:r>
          </w:p>
          <w:p w14:paraId="6C4A9AA2">
            <w:pPr>
              <w:widowControl w:val="0"/>
              <w:jc w:val="center"/>
              <w:rPr>
                <w:sz w:val="21"/>
                <w:szCs w:val="21"/>
              </w:rPr>
            </w:pPr>
            <w:r>
              <w:rPr>
                <w:rFonts w:hint="eastAsia"/>
                <w:sz w:val="21"/>
                <w:szCs w:val="21"/>
              </w:rPr>
              <w:t>观察评价</w:t>
            </w:r>
          </w:p>
          <w:p w14:paraId="051B2CC5">
            <w:pPr>
              <w:widowControl w:val="0"/>
              <w:jc w:val="center"/>
              <w:rPr>
                <w:sz w:val="21"/>
                <w:szCs w:val="21"/>
              </w:rPr>
            </w:pPr>
          </w:p>
          <w:p w14:paraId="7E91350A">
            <w:pPr>
              <w:widowControl w:val="0"/>
              <w:snapToGrid w:val="0"/>
              <w:spacing w:line="300" w:lineRule="exact"/>
              <w:jc w:val="center"/>
              <w:rPr>
                <w:bCs/>
                <w:sz w:val="21"/>
                <w:szCs w:val="21"/>
              </w:rPr>
            </w:pPr>
          </w:p>
          <w:p w14:paraId="23F44E8C">
            <w:pPr>
              <w:jc w:val="center"/>
              <w:rPr>
                <w:rFonts w:hint="eastAsia"/>
                <w:sz w:val="21"/>
                <w:szCs w:val="21"/>
              </w:rPr>
            </w:pPr>
          </w:p>
        </w:tc>
        <w:tc>
          <w:tcPr>
            <w:tcW w:w="714" w:type="dxa"/>
            <w:shd w:val="clear" w:color="auto" w:fill="auto"/>
            <w:vAlign w:val="center"/>
          </w:tcPr>
          <w:p w14:paraId="6E761B69">
            <w:pPr>
              <w:widowControl w:val="0"/>
              <w:snapToGrid w:val="0"/>
              <w:spacing w:line="288" w:lineRule="auto"/>
              <w:jc w:val="center"/>
              <w:rPr>
                <w:color w:val="000000"/>
                <w:sz w:val="21"/>
                <w:szCs w:val="21"/>
              </w:rPr>
            </w:pPr>
            <w:r>
              <w:rPr>
                <w:rFonts w:ascii="仿宋" w:hAnsi="仿宋" w:eastAsia="仿宋" w:cs="仿宋"/>
              </w:rPr>
              <w:t>1</w:t>
            </w:r>
          </w:p>
        </w:tc>
        <w:tc>
          <w:tcPr>
            <w:tcW w:w="660" w:type="dxa"/>
            <w:shd w:val="clear" w:color="auto" w:fill="auto"/>
            <w:vAlign w:val="center"/>
          </w:tcPr>
          <w:p w14:paraId="44068115">
            <w:pPr>
              <w:widowControl w:val="0"/>
              <w:snapToGrid w:val="0"/>
              <w:spacing w:line="288" w:lineRule="auto"/>
              <w:jc w:val="center"/>
              <w:rPr>
                <w:color w:val="000000"/>
                <w:sz w:val="21"/>
                <w:szCs w:val="21"/>
              </w:rPr>
            </w:pPr>
            <w:r>
              <w:rPr>
                <w:rFonts w:ascii="仿宋" w:hAnsi="仿宋" w:eastAsia="仿宋" w:cs="仿宋"/>
              </w:rPr>
              <w:t>1</w:t>
            </w:r>
          </w:p>
        </w:tc>
        <w:tc>
          <w:tcPr>
            <w:tcW w:w="706" w:type="dxa"/>
            <w:tcBorders>
              <w:right w:val="single" w:color="auto" w:sz="12" w:space="0"/>
            </w:tcBorders>
            <w:shd w:val="clear" w:color="auto" w:fill="auto"/>
            <w:vAlign w:val="center"/>
          </w:tcPr>
          <w:p w14:paraId="4892D8DF">
            <w:pPr>
              <w:widowControl w:val="0"/>
              <w:snapToGrid w:val="0"/>
              <w:spacing w:line="288" w:lineRule="auto"/>
              <w:jc w:val="center"/>
              <w:rPr>
                <w:rFonts w:hint="eastAsia"/>
                <w:color w:val="000000"/>
                <w:sz w:val="21"/>
                <w:szCs w:val="21"/>
              </w:rPr>
            </w:pPr>
            <w:r>
              <w:rPr>
                <w:rFonts w:ascii="仿宋" w:hAnsi="仿宋" w:eastAsia="仿宋" w:cs="仿宋"/>
              </w:rPr>
              <w:t>2</w:t>
            </w:r>
          </w:p>
        </w:tc>
      </w:tr>
      <w:tr w14:paraId="0133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65" w:hRule="atLeast"/>
          <w:jc w:val="center"/>
        </w:trPr>
        <w:tc>
          <w:tcPr>
            <w:tcW w:w="1824" w:type="dxa"/>
            <w:tcBorders>
              <w:left w:val="single" w:color="auto" w:sz="12" w:space="0"/>
            </w:tcBorders>
            <w:shd w:val="clear" w:color="auto" w:fill="auto"/>
            <w:vAlign w:val="center"/>
          </w:tcPr>
          <w:p w14:paraId="57FD2B5E">
            <w:pPr>
              <w:pStyle w:val="16"/>
              <w:widowControl w:val="0"/>
              <w:jc w:val="both"/>
              <w:rPr>
                <w:rFonts w:cs="Times New Roman"/>
              </w:rPr>
            </w:pPr>
            <w:r>
              <w:rPr>
                <w:rFonts w:hint="eastAsia" w:ascii="仿宋" w:hAnsi="仿宋" w:eastAsia="仿宋" w:cs="仿宋"/>
                <w:sz w:val="24"/>
                <w:szCs w:val="24"/>
              </w:rPr>
              <w:t>膝骨关节炎</w:t>
            </w:r>
          </w:p>
        </w:tc>
        <w:tc>
          <w:tcPr>
            <w:tcW w:w="2678" w:type="dxa"/>
            <w:shd w:val="clear" w:color="auto" w:fill="auto"/>
          </w:tcPr>
          <w:p w14:paraId="0BD0C4AC">
            <w:pPr>
              <w:widowControl w:val="0"/>
              <w:jc w:val="center"/>
              <w:rPr>
                <w:sz w:val="21"/>
                <w:szCs w:val="21"/>
              </w:rPr>
            </w:pPr>
            <w:r>
              <w:rPr>
                <w:rFonts w:hint="eastAsia"/>
                <w:sz w:val="21"/>
                <w:szCs w:val="21"/>
              </w:rPr>
              <w:t>理论讲授</w:t>
            </w:r>
          </w:p>
          <w:p w14:paraId="6315B500">
            <w:pPr>
              <w:widowControl w:val="0"/>
              <w:jc w:val="center"/>
              <w:rPr>
                <w:sz w:val="21"/>
                <w:szCs w:val="21"/>
              </w:rPr>
            </w:pPr>
            <w:r>
              <w:rPr>
                <w:rFonts w:hint="eastAsia"/>
                <w:sz w:val="21"/>
                <w:szCs w:val="21"/>
              </w:rPr>
              <w:t>讨论教学</w:t>
            </w:r>
          </w:p>
          <w:p w14:paraId="52CDBBE2">
            <w:pPr>
              <w:widowControl w:val="0"/>
              <w:jc w:val="center"/>
              <w:rPr>
                <w:sz w:val="21"/>
                <w:szCs w:val="21"/>
              </w:rPr>
            </w:pPr>
            <w:r>
              <w:rPr>
                <w:rFonts w:hint="eastAsia"/>
                <w:sz w:val="21"/>
                <w:szCs w:val="21"/>
              </w:rPr>
              <w:t>案例分析</w:t>
            </w:r>
          </w:p>
          <w:p w14:paraId="2675A551">
            <w:pPr>
              <w:widowControl w:val="0"/>
              <w:jc w:val="center"/>
              <w:rPr>
                <w:rFonts w:hint="eastAsia"/>
                <w:sz w:val="21"/>
                <w:szCs w:val="21"/>
              </w:rPr>
            </w:pPr>
          </w:p>
        </w:tc>
        <w:tc>
          <w:tcPr>
            <w:tcW w:w="1694" w:type="dxa"/>
            <w:shd w:val="clear" w:color="auto" w:fill="auto"/>
          </w:tcPr>
          <w:p w14:paraId="39ADA2BF">
            <w:pPr>
              <w:jc w:val="center"/>
              <w:rPr>
                <w:sz w:val="21"/>
                <w:szCs w:val="21"/>
              </w:rPr>
            </w:pPr>
            <w:r>
              <w:rPr>
                <w:rFonts w:hint="eastAsia"/>
                <w:sz w:val="21"/>
                <w:szCs w:val="21"/>
              </w:rPr>
              <w:t>理论考试</w:t>
            </w:r>
          </w:p>
          <w:p w14:paraId="55494477">
            <w:pPr>
              <w:widowControl w:val="0"/>
              <w:jc w:val="center"/>
              <w:rPr>
                <w:sz w:val="21"/>
                <w:szCs w:val="21"/>
              </w:rPr>
            </w:pPr>
            <w:r>
              <w:rPr>
                <w:rFonts w:hint="eastAsia"/>
                <w:sz w:val="21"/>
                <w:szCs w:val="21"/>
              </w:rPr>
              <w:t>课堂表现</w:t>
            </w:r>
          </w:p>
          <w:p w14:paraId="76D46337">
            <w:pPr>
              <w:widowControl w:val="0"/>
              <w:jc w:val="center"/>
              <w:rPr>
                <w:sz w:val="21"/>
                <w:szCs w:val="21"/>
              </w:rPr>
            </w:pPr>
            <w:r>
              <w:rPr>
                <w:rFonts w:hint="eastAsia"/>
                <w:sz w:val="21"/>
                <w:szCs w:val="21"/>
              </w:rPr>
              <w:t>观察评价</w:t>
            </w:r>
          </w:p>
          <w:p w14:paraId="4CEF3AF4">
            <w:pPr>
              <w:widowControl w:val="0"/>
              <w:jc w:val="center"/>
              <w:rPr>
                <w:sz w:val="21"/>
                <w:szCs w:val="21"/>
              </w:rPr>
            </w:pPr>
          </w:p>
          <w:p w14:paraId="10B573CB">
            <w:pPr>
              <w:widowControl w:val="0"/>
              <w:snapToGrid w:val="0"/>
              <w:spacing w:line="300" w:lineRule="exact"/>
              <w:jc w:val="center"/>
              <w:rPr>
                <w:bCs/>
                <w:sz w:val="21"/>
                <w:szCs w:val="21"/>
              </w:rPr>
            </w:pPr>
          </w:p>
          <w:p w14:paraId="0A53EB0C">
            <w:pPr>
              <w:jc w:val="center"/>
              <w:rPr>
                <w:rFonts w:hint="eastAsia"/>
                <w:sz w:val="21"/>
                <w:szCs w:val="21"/>
              </w:rPr>
            </w:pPr>
          </w:p>
        </w:tc>
        <w:tc>
          <w:tcPr>
            <w:tcW w:w="714" w:type="dxa"/>
            <w:shd w:val="clear" w:color="auto" w:fill="auto"/>
            <w:vAlign w:val="center"/>
          </w:tcPr>
          <w:p w14:paraId="506CDDEF">
            <w:pPr>
              <w:widowControl w:val="0"/>
              <w:snapToGrid w:val="0"/>
              <w:spacing w:line="288" w:lineRule="auto"/>
              <w:jc w:val="center"/>
              <w:rPr>
                <w:color w:val="000000"/>
                <w:sz w:val="21"/>
                <w:szCs w:val="21"/>
              </w:rPr>
            </w:pPr>
            <w:r>
              <w:rPr>
                <w:rFonts w:ascii="仿宋" w:hAnsi="仿宋" w:eastAsia="仿宋" w:cs="仿宋"/>
              </w:rPr>
              <w:t>1</w:t>
            </w:r>
          </w:p>
        </w:tc>
        <w:tc>
          <w:tcPr>
            <w:tcW w:w="660" w:type="dxa"/>
            <w:shd w:val="clear" w:color="auto" w:fill="auto"/>
            <w:vAlign w:val="center"/>
          </w:tcPr>
          <w:p w14:paraId="7B8B0AF6">
            <w:pPr>
              <w:widowControl w:val="0"/>
              <w:snapToGrid w:val="0"/>
              <w:spacing w:line="288" w:lineRule="auto"/>
              <w:jc w:val="center"/>
              <w:rPr>
                <w:color w:val="000000"/>
                <w:sz w:val="21"/>
                <w:szCs w:val="21"/>
              </w:rPr>
            </w:pPr>
            <w:r>
              <w:rPr>
                <w:rFonts w:ascii="仿宋" w:hAnsi="仿宋" w:eastAsia="仿宋" w:cs="仿宋"/>
              </w:rPr>
              <w:t>1</w:t>
            </w:r>
          </w:p>
        </w:tc>
        <w:tc>
          <w:tcPr>
            <w:tcW w:w="706" w:type="dxa"/>
            <w:tcBorders>
              <w:right w:val="single" w:color="auto" w:sz="12" w:space="0"/>
            </w:tcBorders>
            <w:shd w:val="clear" w:color="auto" w:fill="auto"/>
            <w:vAlign w:val="center"/>
          </w:tcPr>
          <w:p w14:paraId="20308A36">
            <w:pPr>
              <w:widowControl w:val="0"/>
              <w:snapToGrid w:val="0"/>
              <w:spacing w:line="288" w:lineRule="auto"/>
              <w:jc w:val="center"/>
              <w:rPr>
                <w:rFonts w:hint="eastAsia"/>
                <w:color w:val="000000"/>
                <w:sz w:val="21"/>
                <w:szCs w:val="21"/>
              </w:rPr>
            </w:pPr>
            <w:r>
              <w:rPr>
                <w:rFonts w:ascii="仿宋" w:hAnsi="仿宋" w:eastAsia="仿宋" w:cs="仿宋"/>
              </w:rPr>
              <w:t>2</w:t>
            </w:r>
          </w:p>
        </w:tc>
      </w:tr>
      <w:tr w14:paraId="7008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4" w:type="dxa"/>
            <w:tcBorders>
              <w:left w:val="single" w:color="auto" w:sz="12" w:space="0"/>
            </w:tcBorders>
            <w:shd w:val="clear" w:color="auto" w:fill="auto"/>
            <w:vAlign w:val="center"/>
          </w:tcPr>
          <w:p w14:paraId="45B2CA72">
            <w:pPr>
              <w:pStyle w:val="16"/>
              <w:widowControl w:val="0"/>
              <w:jc w:val="both"/>
              <w:rPr>
                <w:rFonts w:cs="Times New Roman"/>
              </w:rPr>
            </w:pPr>
            <w:r>
              <w:rPr>
                <w:rFonts w:hint="eastAsia" w:ascii="仿宋" w:hAnsi="仿宋" w:eastAsia="仿宋" w:cs="仿宋"/>
                <w:sz w:val="24"/>
                <w:szCs w:val="24"/>
              </w:rPr>
              <w:t>安宁疗护</w:t>
            </w:r>
          </w:p>
        </w:tc>
        <w:tc>
          <w:tcPr>
            <w:tcW w:w="2678" w:type="dxa"/>
            <w:shd w:val="clear" w:color="auto" w:fill="auto"/>
          </w:tcPr>
          <w:p w14:paraId="770D53B9">
            <w:pPr>
              <w:widowControl w:val="0"/>
              <w:jc w:val="center"/>
              <w:rPr>
                <w:sz w:val="21"/>
                <w:szCs w:val="21"/>
              </w:rPr>
            </w:pPr>
            <w:r>
              <w:rPr>
                <w:rFonts w:hint="eastAsia"/>
                <w:sz w:val="21"/>
                <w:szCs w:val="21"/>
              </w:rPr>
              <w:t>理论讲授</w:t>
            </w:r>
          </w:p>
          <w:p w14:paraId="5551D804">
            <w:pPr>
              <w:widowControl w:val="0"/>
              <w:jc w:val="center"/>
              <w:rPr>
                <w:sz w:val="21"/>
                <w:szCs w:val="21"/>
              </w:rPr>
            </w:pPr>
            <w:r>
              <w:rPr>
                <w:rFonts w:hint="eastAsia"/>
                <w:sz w:val="21"/>
                <w:szCs w:val="21"/>
              </w:rPr>
              <w:t>讨论教学</w:t>
            </w:r>
          </w:p>
          <w:p w14:paraId="3FD8FC60">
            <w:pPr>
              <w:widowControl w:val="0"/>
              <w:jc w:val="center"/>
              <w:rPr>
                <w:sz w:val="21"/>
                <w:szCs w:val="21"/>
              </w:rPr>
            </w:pPr>
            <w:r>
              <w:rPr>
                <w:rFonts w:hint="eastAsia"/>
                <w:sz w:val="21"/>
                <w:szCs w:val="21"/>
              </w:rPr>
              <w:t>案例分析</w:t>
            </w:r>
          </w:p>
          <w:p w14:paraId="0256D070">
            <w:pPr>
              <w:widowControl w:val="0"/>
              <w:jc w:val="center"/>
              <w:rPr>
                <w:bCs/>
                <w:sz w:val="21"/>
                <w:szCs w:val="21"/>
              </w:rPr>
            </w:pPr>
          </w:p>
        </w:tc>
        <w:tc>
          <w:tcPr>
            <w:tcW w:w="1694" w:type="dxa"/>
            <w:shd w:val="clear" w:color="auto" w:fill="auto"/>
          </w:tcPr>
          <w:p w14:paraId="5786F8D5">
            <w:pPr>
              <w:jc w:val="center"/>
              <w:rPr>
                <w:sz w:val="21"/>
                <w:szCs w:val="21"/>
              </w:rPr>
            </w:pPr>
            <w:r>
              <w:rPr>
                <w:rFonts w:hint="eastAsia"/>
                <w:sz w:val="21"/>
                <w:szCs w:val="21"/>
              </w:rPr>
              <w:t>理论考试</w:t>
            </w:r>
          </w:p>
          <w:p w14:paraId="7004DA4C">
            <w:pPr>
              <w:widowControl w:val="0"/>
              <w:jc w:val="center"/>
              <w:rPr>
                <w:sz w:val="21"/>
                <w:szCs w:val="21"/>
              </w:rPr>
            </w:pPr>
            <w:r>
              <w:rPr>
                <w:rFonts w:hint="eastAsia"/>
                <w:sz w:val="21"/>
                <w:szCs w:val="21"/>
              </w:rPr>
              <w:t>课堂表现</w:t>
            </w:r>
          </w:p>
          <w:p w14:paraId="05377B11">
            <w:pPr>
              <w:widowControl w:val="0"/>
              <w:jc w:val="center"/>
              <w:rPr>
                <w:sz w:val="21"/>
                <w:szCs w:val="21"/>
              </w:rPr>
            </w:pPr>
            <w:r>
              <w:rPr>
                <w:rFonts w:hint="eastAsia"/>
                <w:sz w:val="21"/>
                <w:szCs w:val="21"/>
              </w:rPr>
              <w:t>观察评价</w:t>
            </w:r>
          </w:p>
          <w:p w14:paraId="3C78EC8E">
            <w:pPr>
              <w:widowControl w:val="0"/>
              <w:jc w:val="center"/>
              <w:rPr>
                <w:sz w:val="21"/>
                <w:szCs w:val="21"/>
              </w:rPr>
            </w:pPr>
          </w:p>
          <w:p w14:paraId="0617D1F7">
            <w:pPr>
              <w:widowControl w:val="0"/>
              <w:snapToGrid w:val="0"/>
              <w:spacing w:line="300" w:lineRule="exact"/>
              <w:jc w:val="center"/>
              <w:rPr>
                <w:bCs/>
                <w:sz w:val="21"/>
                <w:szCs w:val="21"/>
              </w:rPr>
            </w:pPr>
          </w:p>
          <w:p w14:paraId="5ADEA40E">
            <w:pPr>
              <w:widowControl w:val="0"/>
              <w:jc w:val="center"/>
              <w:rPr>
                <w:bCs/>
                <w:sz w:val="21"/>
                <w:szCs w:val="21"/>
              </w:rPr>
            </w:pPr>
          </w:p>
        </w:tc>
        <w:tc>
          <w:tcPr>
            <w:tcW w:w="714" w:type="dxa"/>
            <w:shd w:val="clear" w:color="auto" w:fill="auto"/>
            <w:vAlign w:val="center"/>
          </w:tcPr>
          <w:p w14:paraId="2A489730">
            <w:pPr>
              <w:widowControl w:val="0"/>
              <w:snapToGrid w:val="0"/>
              <w:spacing w:line="288" w:lineRule="auto"/>
              <w:jc w:val="center"/>
              <w:rPr>
                <w:rFonts w:ascii="Times New Roman" w:hAnsi="Times New Roman"/>
                <w:bCs/>
                <w:sz w:val="21"/>
                <w:szCs w:val="21"/>
              </w:rPr>
            </w:pPr>
            <w:r>
              <w:rPr>
                <w:rFonts w:ascii="仿宋" w:hAnsi="仿宋" w:eastAsia="仿宋" w:cs="仿宋"/>
                <w:sz w:val="20"/>
                <w:szCs w:val="20"/>
              </w:rPr>
              <w:t>2</w:t>
            </w:r>
          </w:p>
        </w:tc>
        <w:tc>
          <w:tcPr>
            <w:tcW w:w="660" w:type="dxa"/>
            <w:shd w:val="clear" w:color="auto" w:fill="auto"/>
            <w:vAlign w:val="center"/>
          </w:tcPr>
          <w:p w14:paraId="3DDCC7B5">
            <w:pPr>
              <w:widowControl w:val="0"/>
              <w:snapToGrid w:val="0"/>
              <w:spacing w:line="288" w:lineRule="auto"/>
              <w:jc w:val="center"/>
              <w:rPr>
                <w:rFonts w:ascii="Times New Roman" w:hAnsi="Times New Roman"/>
                <w:bCs/>
                <w:sz w:val="21"/>
                <w:szCs w:val="21"/>
              </w:rPr>
            </w:pPr>
            <w:r>
              <w:rPr>
                <w:rFonts w:hint="eastAsia" w:ascii="仿宋" w:hAnsi="仿宋" w:eastAsia="仿宋" w:cs="仿宋"/>
                <w:sz w:val="20"/>
                <w:szCs w:val="20"/>
              </w:rPr>
              <w:t>0</w:t>
            </w:r>
          </w:p>
        </w:tc>
        <w:tc>
          <w:tcPr>
            <w:tcW w:w="706" w:type="dxa"/>
            <w:tcBorders>
              <w:right w:val="single" w:color="auto" w:sz="12" w:space="0"/>
            </w:tcBorders>
            <w:shd w:val="clear" w:color="auto" w:fill="auto"/>
            <w:vAlign w:val="center"/>
          </w:tcPr>
          <w:p w14:paraId="59E6383A">
            <w:pPr>
              <w:widowControl w:val="0"/>
              <w:snapToGrid w:val="0"/>
              <w:spacing w:line="288" w:lineRule="auto"/>
              <w:jc w:val="center"/>
              <w:rPr>
                <w:rFonts w:ascii="Times New Roman" w:hAnsi="Times New Roman"/>
                <w:bCs/>
                <w:sz w:val="21"/>
                <w:szCs w:val="21"/>
              </w:rPr>
            </w:pPr>
            <w:r>
              <w:rPr>
                <w:rFonts w:ascii="仿宋" w:hAnsi="仿宋" w:eastAsia="仿宋" w:cs="仿宋"/>
                <w:sz w:val="20"/>
                <w:szCs w:val="20"/>
              </w:rPr>
              <w:t>2</w:t>
            </w:r>
          </w:p>
        </w:tc>
      </w:tr>
      <w:tr w14:paraId="67E9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196" w:type="dxa"/>
            <w:gridSpan w:val="3"/>
            <w:tcBorders>
              <w:left w:val="single" w:color="auto" w:sz="12" w:space="0"/>
              <w:bottom w:val="single" w:color="auto" w:sz="12" w:space="0"/>
            </w:tcBorders>
            <w:shd w:val="clear" w:color="auto" w:fill="auto"/>
            <w:vAlign w:val="center"/>
          </w:tcPr>
          <w:p w14:paraId="7E4A6041">
            <w:pPr>
              <w:pStyle w:val="15"/>
              <w:widowControl w:val="0"/>
            </w:pPr>
            <w:r>
              <w:rPr>
                <w:rFonts w:hint="eastAsia"/>
              </w:rPr>
              <w:t>合计</w:t>
            </w:r>
          </w:p>
        </w:tc>
        <w:tc>
          <w:tcPr>
            <w:tcW w:w="714" w:type="dxa"/>
            <w:tcBorders>
              <w:bottom w:val="single" w:color="auto" w:sz="12" w:space="0"/>
            </w:tcBorders>
            <w:shd w:val="clear" w:color="auto" w:fill="auto"/>
            <w:vAlign w:val="center"/>
          </w:tcPr>
          <w:p w14:paraId="065BA11E">
            <w:pPr>
              <w:widowControl w:val="0"/>
              <w:snapToGrid w:val="0"/>
              <w:spacing w:line="288" w:lineRule="auto"/>
              <w:jc w:val="center"/>
              <w:rPr>
                <w:rFonts w:ascii="Times New Roman" w:hAnsi="Times New Roman"/>
                <w:bCs/>
                <w:sz w:val="21"/>
                <w:szCs w:val="21"/>
              </w:rPr>
            </w:pPr>
            <w:r>
              <w:rPr>
                <w:rFonts w:hint="eastAsia" w:ascii="Times New Roman" w:hAnsi="Times New Roman"/>
                <w:bCs/>
                <w:sz w:val="21"/>
                <w:szCs w:val="21"/>
              </w:rPr>
              <w:t>2</w:t>
            </w:r>
            <w:r>
              <w:rPr>
                <w:rFonts w:ascii="Times New Roman" w:hAnsi="Times New Roman"/>
                <w:bCs/>
                <w:sz w:val="21"/>
                <w:szCs w:val="21"/>
              </w:rPr>
              <w:t>4</w:t>
            </w:r>
          </w:p>
        </w:tc>
        <w:tc>
          <w:tcPr>
            <w:tcW w:w="660" w:type="dxa"/>
            <w:tcBorders>
              <w:bottom w:val="single" w:color="auto" w:sz="12" w:space="0"/>
            </w:tcBorders>
            <w:shd w:val="clear" w:color="auto" w:fill="auto"/>
            <w:vAlign w:val="center"/>
          </w:tcPr>
          <w:p w14:paraId="0440A6FC">
            <w:pPr>
              <w:widowControl w:val="0"/>
              <w:snapToGrid w:val="0"/>
              <w:spacing w:line="288" w:lineRule="auto"/>
              <w:jc w:val="center"/>
              <w:rPr>
                <w:rFonts w:ascii="Times New Roman" w:hAnsi="Times New Roman"/>
                <w:bCs/>
                <w:sz w:val="21"/>
                <w:szCs w:val="21"/>
              </w:rPr>
            </w:pPr>
            <w:r>
              <w:rPr>
                <w:rFonts w:hint="eastAsia" w:ascii="Times New Roman" w:hAnsi="Times New Roman"/>
                <w:bCs/>
                <w:sz w:val="21"/>
                <w:szCs w:val="21"/>
              </w:rPr>
              <w:t>8</w:t>
            </w:r>
          </w:p>
        </w:tc>
        <w:tc>
          <w:tcPr>
            <w:tcW w:w="706" w:type="dxa"/>
            <w:tcBorders>
              <w:bottom w:val="single" w:color="auto" w:sz="12" w:space="0"/>
              <w:right w:val="single" w:color="auto" w:sz="12" w:space="0"/>
            </w:tcBorders>
            <w:shd w:val="clear" w:color="auto" w:fill="auto"/>
            <w:vAlign w:val="center"/>
          </w:tcPr>
          <w:p w14:paraId="3F52D608">
            <w:pPr>
              <w:widowControl w:val="0"/>
              <w:snapToGrid w:val="0"/>
              <w:spacing w:line="288" w:lineRule="auto"/>
              <w:jc w:val="center"/>
              <w:rPr>
                <w:rFonts w:ascii="Times New Roman" w:hAnsi="Times New Roman"/>
                <w:bCs/>
                <w:sz w:val="21"/>
                <w:szCs w:val="21"/>
              </w:rPr>
            </w:pPr>
            <w:r>
              <w:rPr>
                <w:rFonts w:ascii="仿宋" w:hAnsi="仿宋" w:eastAsia="仿宋" w:cs="仿宋"/>
                <w:sz w:val="20"/>
                <w:szCs w:val="20"/>
              </w:rPr>
              <w:t>32</w:t>
            </w:r>
          </w:p>
        </w:tc>
      </w:tr>
    </w:tbl>
    <w:p w14:paraId="0F3091C5">
      <w:pPr>
        <w:pStyle w:val="19"/>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3"/>
        <w:gridCol w:w="2198"/>
        <w:gridCol w:w="3736"/>
        <w:gridCol w:w="864"/>
        <w:gridCol w:w="952"/>
      </w:tblGrid>
      <w:tr w14:paraId="6EB2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6" w:type="dxa"/>
            <w:tcBorders>
              <w:top w:val="single" w:color="auto" w:sz="12" w:space="0"/>
              <w:left w:val="single" w:color="auto" w:sz="12" w:space="0"/>
              <w:bottom w:val="single" w:color="auto" w:sz="4" w:space="0"/>
              <w:right w:val="single" w:color="auto" w:sz="4" w:space="0"/>
            </w:tcBorders>
            <w:vAlign w:val="center"/>
          </w:tcPr>
          <w:p w14:paraId="5554E2BF">
            <w:pPr>
              <w:pStyle w:val="15"/>
              <w:rPr>
                <w:szCs w:val="16"/>
              </w:rPr>
            </w:pPr>
            <w:r>
              <w:rPr>
                <w:rFonts w:hint="eastAsia"/>
                <w:szCs w:val="16"/>
              </w:rPr>
              <w:t>序号</w:t>
            </w:r>
          </w:p>
        </w:tc>
        <w:tc>
          <w:tcPr>
            <w:tcW w:w="2146" w:type="dxa"/>
            <w:tcBorders>
              <w:top w:val="single" w:color="auto" w:sz="12" w:space="0"/>
              <w:left w:val="single" w:color="auto" w:sz="4" w:space="0"/>
              <w:bottom w:val="single" w:color="auto" w:sz="4" w:space="0"/>
              <w:right w:val="single" w:color="auto" w:sz="4" w:space="0"/>
            </w:tcBorders>
            <w:vAlign w:val="center"/>
          </w:tcPr>
          <w:p w14:paraId="348B8B5C">
            <w:pPr>
              <w:pStyle w:val="15"/>
              <w:rPr>
                <w:szCs w:val="16"/>
              </w:rPr>
            </w:pPr>
            <w:r>
              <w:rPr>
                <w:rFonts w:hint="eastAsia"/>
                <w:szCs w:val="16"/>
              </w:rPr>
              <w:t>实验项目名称</w:t>
            </w:r>
          </w:p>
        </w:tc>
        <w:tc>
          <w:tcPr>
            <w:tcW w:w="3648" w:type="dxa"/>
            <w:tcBorders>
              <w:top w:val="single" w:color="auto" w:sz="12" w:space="0"/>
              <w:left w:val="single" w:color="auto" w:sz="4" w:space="0"/>
              <w:bottom w:val="single" w:color="auto" w:sz="4" w:space="0"/>
              <w:right w:val="single" w:color="auto" w:sz="4" w:space="0"/>
            </w:tcBorders>
            <w:vAlign w:val="center"/>
          </w:tcPr>
          <w:p w14:paraId="686E1752">
            <w:pPr>
              <w:pStyle w:val="15"/>
              <w:rPr>
                <w:szCs w:val="16"/>
              </w:rPr>
            </w:pPr>
            <w:r>
              <w:rPr>
                <w:rFonts w:hint="eastAsia" w:ascii="黑体" w:hAnsi="宋体"/>
                <w:szCs w:val="16"/>
              </w:rPr>
              <w:t>目标要求与</w:t>
            </w:r>
            <w:r>
              <w:rPr>
                <w:rFonts w:hint="eastAsia"/>
                <w:szCs w:val="16"/>
              </w:rPr>
              <w:t>主要内容</w:t>
            </w:r>
          </w:p>
        </w:tc>
        <w:tc>
          <w:tcPr>
            <w:tcW w:w="844" w:type="dxa"/>
            <w:tcBorders>
              <w:top w:val="single" w:color="auto" w:sz="12" w:space="0"/>
              <w:left w:val="single" w:color="auto" w:sz="4" w:space="0"/>
              <w:right w:val="single" w:color="auto" w:sz="4" w:space="0"/>
            </w:tcBorders>
            <w:vAlign w:val="center"/>
          </w:tcPr>
          <w:p w14:paraId="628188E4">
            <w:pPr>
              <w:pStyle w:val="15"/>
              <w:rPr>
                <w:szCs w:val="16"/>
              </w:rPr>
            </w:pPr>
            <w:r>
              <w:rPr>
                <w:rFonts w:hint="eastAsia"/>
                <w:szCs w:val="16"/>
              </w:rPr>
              <w:t>实验</w:t>
            </w:r>
          </w:p>
          <w:p w14:paraId="1E6D8672">
            <w:pPr>
              <w:pStyle w:val="15"/>
              <w:rPr>
                <w:szCs w:val="16"/>
              </w:rPr>
            </w:pPr>
            <w:r>
              <w:rPr>
                <w:rFonts w:hint="eastAsia"/>
                <w:szCs w:val="16"/>
              </w:rPr>
              <w:t>时数</w:t>
            </w:r>
          </w:p>
        </w:tc>
        <w:tc>
          <w:tcPr>
            <w:tcW w:w="930" w:type="dxa"/>
            <w:tcBorders>
              <w:top w:val="single" w:color="auto" w:sz="12" w:space="0"/>
              <w:left w:val="single" w:color="auto" w:sz="4" w:space="0"/>
              <w:right w:val="single" w:color="auto" w:sz="12" w:space="0"/>
            </w:tcBorders>
            <w:vAlign w:val="center"/>
          </w:tcPr>
          <w:p w14:paraId="6ACB814D">
            <w:pPr>
              <w:pStyle w:val="15"/>
              <w:rPr>
                <w:szCs w:val="16"/>
              </w:rPr>
            </w:pPr>
            <w:r>
              <w:rPr>
                <w:rFonts w:hint="eastAsia"/>
                <w:szCs w:val="16"/>
              </w:rPr>
              <w:t>实验</w:t>
            </w:r>
          </w:p>
          <w:p w14:paraId="1C2C6887">
            <w:pPr>
              <w:pStyle w:val="15"/>
              <w:rPr>
                <w:szCs w:val="16"/>
              </w:rPr>
            </w:pPr>
            <w:r>
              <w:rPr>
                <w:rFonts w:hint="eastAsia"/>
                <w:szCs w:val="16"/>
              </w:rPr>
              <w:t>类型</w:t>
            </w:r>
          </w:p>
        </w:tc>
      </w:tr>
      <w:tr w14:paraId="6B1A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6" w:type="dxa"/>
            <w:tcBorders>
              <w:top w:val="single" w:color="auto" w:sz="4" w:space="0"/>
              <w:left w:val="single" w:color="auto" w:sz="12" w:space="0"/>
              <w:bottom w:val="single" w:color="auto" w:sz="4" w:space="0"/>
              <w:right w:val="single" w:color="auto" w:sz="4" w:space="0"/>
            </w:tcBorders>
            <w:vAlign w:val="center"/>
          </w:tcPr>
          <w:p w14:paraId="59671A1B">
            <w:pPr>
              <w:pStyle w:val="16"/>
            </w:pPr>
            <w:r>
              <w:rPr>
                <w:rFonts w:hint="eastAsia"/>
              </w:rPr>
              <w:t>1</w:t>
            </w:r>
          </w:p>
        </w:tc>
        <w:tc>
          <w:tcPr>
            <w:tcW w:w="2146" w:type="dxa"/>
            <w:tcBorders>
              <w:top w:val="single" w:color="auto" w:sz="4" w:space="0"/>
              <w:left w:val="single" w:color="auto" w:sz="4" w:space="0"/>
              <w:bottom w:val="single" w:color="auto" w:sz="4" w:space="0"/>
              <w:right w:val="single" w:color="auto" w:sz="4" w:space="0"/>
            </w:tcBorders>
            <w:vAlign w:val="center"/>
          </w:tcPr>
          <w:p w14:paraId="63617505">
            <w:pPr>
              <w:widowControl w:val="0"/>
              <w:snapToGrid w:val="0"/>
              <w:jc w:val="both"/>
              <w:rPr>
                <w:rFonts w:ascii="Times New Roman" w:hAnsi="Times New Roman"/>
                <w:color w:val="000000"/>
                <w:sz w:val="21"/>
                <w:szCs w:val="21"/>
              </w:rPr>
            </w:pPr>
            <w:r>
              <w:rPr>
                <w:rFonts w:hint="eastAsia" w:ascii="仿宋" w:hAnsi="仿宋" w:eastAsia="仿宋" w:cs="仿宋"/>
              </w:rPr>
              <w:t>健康管理工作流程</w:t>
            </w:r>
          </w:p>
        </w:tc>
        <w:tc>
          <w:tcPr>
            <w:tcW w:w="3648" w:type="dxa"/>
            <w:tcBorders>
              <w:top w:val="single" w:color="auto" w:sz="4" w:space="0"/>
              <w:left w:val="single" w:color="auto" w:sz="4" w:space="0"/>
              <w:bottom w:val="single" w:color="auto" w:sz="4" w:space="0"/>
              <w:right w:val="single" w:color="auto" w:sz="4" w:space="0"/>
            </w:tcBorders>
            <w:vAlign w:val="center"/>
          </w:tcPr>
          <w:p w14:paraId="2CD31A48">
            <w:pPr>
              <w:widowControl w:val="0"/>
              <w:snapToGrid w:val="0"/>
              <w:jc w:val="both"/>
              <w:rPr>
                <w:rFonts w:ascii="Times New Roman" w:hAnsi="Times New Roman"/>
                <w:color w:val="000000"/>
                <w:sz w:val="21"/>
                <w:szCs w:val="21"/>
              </w:rPr>
            </w:pPr>
            <w:r>
              <w:rPr>
                <w:rFonts w:hint="eastAsia" w:ascii="仿宋" w:hAnsi="仿宋" w:eastAsia="仿宋" w:cs="仿宋"/>
              </w:rPr>
              <w:t>健康管理工作流程体验</w:t>
            </w:r>
          </w:p>
        </w:tc>
        <w:tc>
          <w:tcPr>
            <w:tcW w:w="844" w:type="dxa"/>
            <w:tcBorders>
              <w:left w:val="single" w:color="auto" w:sz="4" w:space="0"/>
              <w:right w:val="single" w:color="auto" w:sz="4" w:space="0"/>
            </w:tcBorders>
            <w:vAlign w:val="center"/>
          </w:tcPr>
          <w:p w14:paraId="39A4115A">
            <w:pPr>
              <w:snapToGrid w:val="0"/>
              <w:spacing w:line="288" w:lineRule="auto"/>
              <w:jc w:val="center"/>
              <w:rPr>
                <w:sz w:val="20"/>
                <w:szCs w:val="20"/>
              </w:rPr>
            </w:pPr>
            <w:r>
              <w:rPr>
                <w:rFonts w:hint="eastAsia"/>
                <w:sz w:val="20"/>
                <w:szCs w:val="20"/>
              </w:rPr>
              <w:t>2</w:t>
            </w:r>
          </w:p>
        </w:tc>
        <w:tc>
          <w:tcPr>
            <w:tcW w:w="930" w:type="dxa"/>
            <w:tcBorders>
              <w:left w:val="single" w:color="auto" w:sz="4" w:space="0"/>
              <w:right w:val="single" w:color="auto" w:sz="12" w:space="0"/>
            </w:tcBorders>
            <w:vAlign w:val="center"/>
          </w:tcPr>
          <w:p w14:paraId="663A7153">
            <w:pPr>
              <w:snapToGrid w:val="0"/>
              <w:spacing w:line="288" w:lineRule="auto"/>
              <w:jc w:val="center"/>
              <w:rPr>
                <w:sz w:val="20"/>
                <w:szCs w:val="20"/>
              </w:rPr>
            </w:pPr>
            <w:r>
              <w:rPr>
                <w:rFonts w:hint="eastAsia"/>
                <w:sz w:val="20"/>
                <w:szCs w:val="20"/>
              </w:rPr>
              <w:t>综合型</w:t>
            </w:r>
          </w:p>
        </w:tc>
      </w:tr>
      <w:tr w14:paraId="5181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6" w:type="dxa"/>
            <w:tcBorders>
              <w:top w:val="single" w:color="auto" w:sz="4" w:space="0"/>
              <w:left w:val="single" w:color="auto" w:sz="12" w:space="0"/>
              <w:bottom w:val="single" w:color="auto" w:sz="4" w:space="0"/>
              <w:right w:val="single" w:color="auto" w:sz="4" w:space="0"/>
            </w:tcBorders>
            <w:vAlign w:val="center"/>
          </w:tcPr>
          <w:p w14:paraId="70427502">
            <w:pPr>
              <w:pStyle w:val="16"/>
            </w:pPr>
            <w:r>
              <w:rPr>
                <w:rFonts w:hint="eastAsia"/>
              </w:rPr>
              <w:t>2</w:t>
            </w:r>
          </w:p>
        </w:tc>
        <w:tc>
          <w:tcPr>
            <w:tcW w:w="2146" w:type="dxa"/>
            <w:tcBorders>
              <w:top w:val="single" w:color="auto" w:sz="4" w:space="0"/>
              <w:left w:val="single" w:color="auto" w:sz="4" w:space="0"/>
              <w:bottom w:val="single" w:color="auto" w:sz="4" w:space="0"/>
              <w:right w:val="single" w:color="auto" w:sz="4" w:space="0"/>
            </w:tcBorders>
            <w:vAlign w:val="center"/>
          </w:tcPr>
          <w:p w14:paraId="408FB427">
            <w:pPr>
              <w:widowControl w:val="0"/>
              <w:snapToGrid w:val="0"/>
              <w:jc w:val="both"/>
              <w:rPr>
                <w:rFonts w:ascii="Times New Roman" w:hAnsi="Times New Roman"/>
                <w:color w:val="000000"/>
                <w:sz w:val="21"/>
                <w:szCs w:val="21"/>
              </w:rPr>
            </w:pPr>
            <w:r>
              <w:rPr>
                <w:rFonts w:hint="eastAsia" w:ascii="仿宋" w:hAnsi="仿宋" w:eastAsia="仿宋" w:cs="仿宋"/>
              </w:rPr>
              <w:t>健康检测</w:t>
            </w:r>
          </w:p>
        </w:tc>
        <w:tc>
          <w:tcPr>
            <w:tcW w:w="3648" w:type="dxa"/>
            <w:tcBorders>
              <w:top w:val="single" w:color="auto" w:sz="4" w:space="0"/>
              <w:left w:val="single" w:color="auto" w:sz="4" w:space="0"/>
              <w:bottom w:val="single" w:color="auto" w:sz="4" w:space="0"/>
              <w:right w:val="single" w:color="auto" w:sz="4" w:space="0"/>
            </w:tcBorders>
            <w:vAlign w:val="center"/>
          </w:tcPr>
          <w:p w14:paraId="63FF21B2">
            <w:pPr>
              <w:widowControl w:val="0"/>
              <w:snapToGrid w:val="0"/>
              <w:jc w:val="both"/>
              <w:rPr>
                <w:rFonts w:ascii="Times New Roman" w:hAnsi="Times New Roman"/>
                <w:color w:val="000000"/>
                <w:sz w:val="21"/>
                <w:szCs w:val="21"/>
              </w:rPr>
            </w:pPr>
            <w:r>
              <w:rPr>
                <w:rFonts w:hint="eastAsia" w:ascii="仿宋" w:hAnsi="仿宋" w:eastAsia="仿宋" w:cs="仿宋"/>
              </w:rPr>
              <w:t>健康检测基本内容</w:t>
            </w:r>
          </w:p>
        </w:tc>
        <w:tc>
          <w:tcPr>
            <w:tcW w:w="844" w:type="dxa"/>
            <w:tcBorders>
              <w:left w:val="single" w:color="auto" w:sz="4" w:space="0"/>
              <w:bottom w:val="single" w:color="auto" w:sz="4" w:space="0"/>
              <w:right w:val="single" w:color="auto" w:sz="4" w:space="0"/>
            </w:tcBorders>
            <w:vAlign w:val="center"/>
          </w:tcPr>
          <w:p w14:paraId="4DBC8839">
            <w:pPr>
              <w:snapToGrid w:val="0"/>
              <w:spacing w:line="288" w:lineRule="auto"/>
              <w:jc w:val="center"/>
              <w:rPr>
                <w:sz w:val="20"/>
                <w:szCs w:val="20"/>
              </w:rPr>
            </w:pPr>
            <w:r>
              <w:rPr>
                <w:rFonts w:hint="eastAsia"/>
                <w:sz w:val="20"/>
                <w:szCs w:val="20"/>
              </w:rPr>
              <w:t>2</w:t>
            </w:r>
          </w:p>
        </w:tc>
        <w:tc>
          <w:tcPr>
            <w:tcW w:w="930" w:type="dxa"/>
            <w:tcBorders>
              <w:left w:val="single" w:color="auto" w:sz="4" w:space="0"/>
              <w:bottom w:val="single" w:color="auto" w:sz="4" w:space="0"/>
              <w:right w:val="single" w:color="auto" w:sz="12" w:space="0"/>
            </w:tcBorders>
            <w:vAlign w:val="center"/>
          </w:tcPr>
          <w:p w14:paraId="54C2D563">
            <w:pPr>
              <w:snapToGrid w:val="0"/>
              <w:spacing w:line="288" w:lineRule="auto"/>
              <w:jc w:val="center"/>
              <w:rPr>
                <w:sz w:val="20"/>
                <w:szCs w:val="20"/>
              </w:rPr>
            </w:pPr>
            <w:r>
              <w:rPr>
                <w:rFonts w:hint="eastAsia"/>
                <w:sz w:val="20"/>
                <w:szCs w:val="20"/>
              </w:rPr>
              <w:t>综合型</w:t>
            </w:r>
          </w:p>
        </w:tc>
      </w:tr>
      <w:tr w14:paraId="3643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6" w:type="dxa"/>
            <w:tcBorders>
              <w:top w:val="single" w:color="auto" w:sz="4" w:space="0"/>
              <w:left w:val="single" w:color="auto" w:sz="12" w:space="0"/>
              <w:bottom w:val="single" w:color="auto" w:sz="4" w:space="0"/>
              <w:right w:val="single" w:color="auto" w:sz="4" w:space="0"/>
            </w:tcBorders>
            <w:vAlign w:val="center"/>
          </w:tcPr>
          <w:p w14:paraId="60B351E4">
            <w:pPr>
              <w:pStyle w:val="16"/>
            </w:pPr>
            <w:r>
              <w:rPr>
                <w:rFonts w:hint="eastAsia"/>
              </w:rPr>
              <w:t>3</w:t>
            </w:r>
          </w:p>
        </w:tc>
        <w:tc>
          <w:tcPr>
            <w:tcW w:w="2146" w:type="dxa"/>
            <w:tcBorders>
              <w:top w:val="single" w:color="auto" w:sz="4" w:space="0"/>
              <w:left w:val="single" w:color="auto" w:sz="4" w:space="0"/>
              <w:bottom w:val="single" w:color="auto" w:sz="4" w:space="0"/>
              <w:right w:val="single" w:color="auto" w:sz="4" w:space="0"/>
            </w:tcBorders>
            <w:vAlign w:val="center"/>
          </w:tcPr>
          <w:p w14:paraId="5A599242">
            <w:pPr>
              <w:widowControl w:val="0"/>
              <w:snapToGrid w:val="0"/>
              <w:jc w:val="both"/>
              <w:rPr>
                <w:rFonts w:ascii="Times New Roman" w:hAnsi="Times New Roman"/>
                <w:color w:val="000000"/>
                <w:sz w:val="21"/>
                <w:szCs w:val="21"/>
              </w:rPr>
            </w:pPr>
            <w:r>
              <w:rPr>
                <w:rFonts w:hint="eastAsia" w:ascii="仿宋" w:hAnsi="仿宋" w:eastAsia="仿宋" w:cs="仿宋"/>
              </w:rPr>
              <w:t>高血压健康教育</w:t>
            </w:r>
          </w:p>
        </w:tc>
        <w:tc>
          <w:tcPr>
            <w:tcW w:w="3648" w:type="dxa"/>
            <w:tcBorders>
              <w:top w:val="single" w:color="auto" w:sz="4" w:space="0"/>
              <w:left w:val="single" w:color="auto" w:sz="4" w:space="0"/>
              <w:bottom w:val="single" w:color="auto" w:sz="4" w:space="0"/>
              <w:right w:val="single" w:color="auto" w:sz="4" w:space="0"/>
            </w:tcBorders>
            <w:vAlign w:val="center"/>
          </w:tcPr>
          <w:p w14:paraId="394CE689">
            <w:pPr>
              <w:widowControl w:val="0"/>
              <w:snapToGrid w:val="0"/>
              <w:jc w:val="both"/>
              <w:rPr>
                <w:rFonts w:ascii="Times New Roman" w:hAnsi="Times New Roman"/>
                <w:color w:val="000000"/>
                <w:sz w:val="21"/>
                <w:szCs w:val="21"/>
              </w:rPr>
            </w:pPr>
            <w:r>
              <w:rPr>
                <w:rFonts w:hint="eastAsia" w:ascii="仿宋" w:hAnsi="仿宋" w:eastAsia="仿宋" w:cs="仿宋"/>
              </w:rPr>
              <w:t>高血压健康教育讲座</w:t>
            </w:r>
          </w:p>
        </w:tc>
        <w:tc>
          <w:tcPr>
            <w:tcW w:w="844" w:type="dxa"/>
            <w:tcBorders>
              <w:left w:val="single" w:color="auto" w:sz="4" w:space="0"/>
              <w:right w:val="single" w:color="auto" w:sz="4" w:space="0"/>
            </w:tcBorders>
            <w:vAlign w:val="center"/>
          </w:tcPr>
          <w:p w14:paraId="5634F993">
            <w:pPr>
              <w:snapToGrid w:val="0"/>
              <w:spacing w:line="288" w:lineRule="auto"/>
              <w:jc w:val="center"/>
              <w:rPr>
                <w:sz w:val="20"/>
                <w:szCs w:val="20"/>
              </w:rPr>
            </w:pPr>
            <w:r>
              <w:rPr>
                <w:rFonts w:hint="eastAsia"/>
                <w:sz w:val="20"/>
                <w:szCs w:val="20"/>
              </w:rPr>
              <w:t>2</w:t>
            </w:r>
          </w:p>
        </w:tc>
        <w:tc>
          <w:tcPr>
            <w:tcW w:w="930" w:type="dxa"/>
            <w:tcBorders>
              <w:left w:val="single" w:color="auto" w:sz="4" w:space="0"/>
              <w:right w:val="single" w:color="auto" w:sz="12" w:space="0"/>
            </w:tcBorders>
            <w:vAlign w:val="center"/>
          </w:tcPr>
          <w:p w14:paraId="49575425">
            <w:pPr>
              <w:snapToGrid w:val="0"/>
              <w:spacing w:line="288" w:lineRule="auto"/>
              <w:jc w:val="center"/>
              <w:rPr>
                <w:sz w:val="20"/>
                <w:szCs w:val="20"/>
              </w:rPr>
            </w:pPr>
            <w:r>
              <w:rPr>
                <w:rFonts w:hint="eastAsia"/>
                <w:sz w:val="20"/>
                <w:szCs w:val="20"/>
              </w:rPr>
              <w:t>综合型</w:t>
            </w:r>
          </w:p>
        </w:tc>
      </w:tr>
      <w:tr w14:paraId="2900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6" w:type="dxa"/>
            <w:tcBorders>
              <w:top w:val="single" w:color="auto" w:sz="4" w:space="0"/>
              <w:left w:val="single" w:color="auto" w:sz="12" w:space="0"/>
              <w:bottom w:val="single" w:color="auto" w:sz="4" w:space="0"/>
              <w:right w:val="single" w:color="auto" w:sz="4" w:space="0"/>
            </w:tcBorders>
            <w:vAlign w:val="center"/>
          </w:tcPr>
          <w:p w14:paraId="64A1749D">
            <w:pPr>
              <w:pStyle w:val="16"/>
            </w:pPr>
            <w:r>
              <w:rPr>
                <w:rFonts w:hint="eastAsia"/>
              </w:rPr>
              <w:t>4</w:t>
            </w:r>
          </w:p>
        </w:tc>
        <w:tc>
          <w:tcPr>
            <w:tcW w:w="2146" w:type="dxa"/>
            <w:tcBorders>
              <w:top w:val="single" w:color="auto" w:sz="4" w:space="0"/>
              <w:left w:val="single" w:color="auto" w:sz="4" w:space="0"/>
              <w:bottom w:val="single" w:color="auto" w:sz="4" w:space="0"/>
              <w:right w:val="single" w:color="auto" w:sz="4" w:space="0"/>
            </w:tcBorders>
            <w:vAlign w:val="center"/>
          </w:tcPr>
          <w:p w14:paraId="21039523">
            <w:pPr>
              <w:widowControl w:val="0"/>
              <w:snapToGrid w:val="0"/>
              <w:jc w:val="both"/>
              <w:rPr>
                <w:rFonts w:ascii="Times New Roman" w:hAnsi="Times New Roman"/>
                <w:color w:val="000000"/>
                <w:sz w:val="21"/>
                <w:szCs w:val="21"/>
              </w:rPr>
            </w:pPr>
            <w:r>
              <w:rPr>
                <w:rFonts w:hint="eastAsia" w:ascii="仿宋" w:hAnsi="仿宋" w:eastAsia="仿宋" w:cs="仿宋"/>
              </w:rPr>
              <w:t>脑卒中健康管理</w:t>
            </w:r>
          </w:p>
        </w:tc>
        <w:tc>
          <w:tcPr>
            <w:tcW w:w="3648" w:type="dxa"/>
            <w:tcBorders>
              <w:top w:val="single" w:color="auto" w:sz="4" w:space="0"/>
              <w:left w:val="single" w:color="auto" w:sz="4" w:space="0"/>
              <w:bottom w:val="single" w:color="auto" w:sz="4" w:space="0"/>
              <w:right w:val="single" w:color="auto" w:sz="4" w:space="0"/>
            </w:tcBorders>
            <w:vAlign w:val="center"/>
          </w:tcPr>
          <w:p w14:paraId="217D1AFC">
            <w:pPr>
              <w:widowControl w:val="0"/>
              <w:snapToGrid w:val="0"/>
              <w:jc w:val="both"/>
              <w:rPr>
                <w:rFonts w:ascii="Times New Roman" w:hAnsi="Times New Roman"/>
                <w:color w:val="000000"/>
                <w:sz w:val="21"/>
                <w:szCs w:val="21"/>
              </w:rPr>
            </w:pPr>
            <w:r>
              <w:rPr>
                <w:rFonts w:hint="eastAsia" w:ascii="仿宋" w:hAnsi="仿宋" w:eastAsia="仿宋" w:cs="仿宋"/>
              </w:rPr>
              <w:t>拟定脑卒中健康管理计划</w:t>
            </w:r>
          </w:p>
        </w:tc>
        <w:tc>
          <w:tcPr>
            <w:tcW w:w="844" w:type="dxa"/>
            <w:tcBorders>
              <w:left w:val="single" w:color="auto" w:sz="4" w:space="0"/>
              <w:right w:val="single" w:color="auto" w:sz="4" w:space="0"/>
            </w:tcBorders>
            <w:vAlign w:val="center"/>
          </w:tcPr>
          <w:p w14:paraId="57810306">
            <w:pPr>
              <w:snapToGrid w:val="0"/>
              <w:spacing w:line="288" w:lineRule="auto"/>
              <w:jc w:val="center"/>
              <w:rPr>
                <w:sz w:val="20"/>
                <w:szCs w:val="20"/>
              </w:rPr>
            </w:pPr>
            <w:r>
              <w:rPr>
                <w:rFonts w:hint="eastAsia"/>
                <w:sz w:val="20"/>
                <w:szCs w:val="20"/>
              </w:rPr>
              <w:t>2</w:t>
            </w:r>
          </w:p>
        </w:tc>
        <w:tc>
          <w:tcPr>
            <w:tcW w:w="930" w:type="dxa"/>
            <w:tcBorders>
              <w:left w:val="single" w:color="auto" w:sz="4" w:space="0"/>
              <w:right w:val="single" w:color="auto" w:sz="12" w:space="0"/>
            </w:tcBorders>
            <w:vAlign w:val="center"/>
          </w:tcPr>
          <w:p w14:paraId="0B5DCFFB">
            <w:pPr>
              <w:snapToGrid w:val="0"/>
              <w:spacing w:line="288" w:lineRule="auto"/>
              <w:jc w:val="center"/>
              <w:rPr>
                <w:sz w:val="20"/>
                <w:szCs w:val="20"/>
              </w:rPr>
            </w:pPr>
            <w:r>
              <w:rPr>
                <w:rFonts w:hint="eastAsia"/>
                <w:sz w:val="20"/>
                <w:szCs w:val="20"/>
              </w:rPr>
              <w:t>综合型</w:t>
            </w:r>
          </w:p>
        </w:tc>
      </w:tr>
      <w:tr w14:paraId="305F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4" w:type="dxa"/>
            <w:gridSpan w:val="5"/>
            <w:tcBorders>
              <w:top w:val="single" w:color="auto" w:sz="12" w:space="0"/>
              <w:left w:val="nil"/>
              <w:bottom w:val="nil"/>
              <w:right w:val="nil"/>
            </w:tcBorders>
            <w:vAlign w:val="center"/>
          </w:tcPr>
          <w:p w14:paraId="68055A1D">
            <w:pPr>
              <w:pStyle w:val="15"/>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48543008">
      <w:pPr>
        <w:pStyle w:val="18"/>
        <w:spacing w:before="326" w:beforeLines="100" w:line="360" w:lineRule="auto"/>
        <w:ind w:firstLine="140" w:firstLineChars="50"/>
        <w:rPr>
          <w:rFonts w:ascii="黑体" w:hAnsi="宋体"/>
        </w:rPr>
      </w:pPr>
      <w:bookmarkStart w:id="0" w:name="OLE_LINK2"/>
      <w:bookmarkStart w:id="1" w:name="OLE_LINK1"/>
      <w:r>
        <w:rPr>
          <w:rFonts w:hint="eastAsia" w:ascii="黑体" w:hAnsi="宋体"/>
        </w:rPr>
        <w:t>四、课程思政教学设计</w:t>
      </w:r>
    </w:p>
    <w:bookmarkEnd w:id="0"/>
    <w:bookmarkEnd w:id="1"/>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09105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359" w:hRule="atLeast"/>
        </w:trPr>
        <w:tc>
          <w:tcPr>
            <w:tcW w:w="8276" w:type="dxa"/>
            <w:shd w:val="clear" w:color="auto" w:fill="auto"/>
            <w:vAlign w:val="center"/>
          </w:tcPr>
          <w:p w14:paraId="60C37E78">
            <w:pPr>
              <w:pStyle w:val="6"/>
              <w:spacing w:before="0" w:beforeAutospacing="0" w:after="0" w:afterAutospacing="0"/>
              <w:jc w:val="both"/>
              <w:rPr>
                <w:rStyle w:val="10"/>
                <w:sz w:val="25"/>
                <w:szCs w:val="25"/>
              </w:rPr>
            </w:pPr>
            <w:r>
              <w:rPr>
                <w:rStyle w:val="10"/>
                <w:sz w:val="25"/>
                <w:szCs w:val="25"/>
              </w:rPr>
              <w:t>教学目标</w:t>
            </w:r>
          </w:p>
          <w:p w14:paraId="46D79A15">
            <w:pPr>
              <w:pStyle w:val="6"/>
              <w:spacing w:before="0" w:beforeAutospacing="0" w:after="0" w:afterAutospacing="0"/>
              <w:jc w:val="both"/>
              <w:rPr>
                <w:rFonts w:ascii="Times New Roman" w:hAnsi="Times New Roman"/>
                <w:color w:val="000000"/>
                <w:sz w:val="21"/>
                <w:szCs w:val="21"/>
              </w:rPr>
            </w:pPr>
            <w:r>
              <w:rPr>
                <w:rFonts w:hint="eastAsia" w:ascii="Times New Roman" w:hAnsi="Times New Roman"/>
                <w:color w:val="000000"/>
                <w:sz w:val="21"/>
                <w:szCs w:val="21"/>
              </w:rPr>
              <w:t>富有爱心，懂得感恩，诚信尽责，为人诚实，信守承诺，勤奋努力，精益求精，勇于担责。具备助人为乐的品质。具有服务企业和社会的意愿和行为能力。具备终生学习的意识和能力。 </w:t>
            </w:r>
          </w:p>
          <w:p w14:paraId="583F0553">
            <w:pPr>
              <w:pStyle w:val="6"/>
              <w:spacing w:before="0" w:beforeAutospacing="0" w:after="0" w:afterAutospacing="0"/>
              <w:jc w:val="both"/>
            </w:pPr>
            <w:r>
              <w:rPr>
                <w:rStyle w:val="10"/>
                <w:sz w:val="25"/>
                <w:szCs w:val="25"/>
              </w:rPr>
              <w:t>课程思政</w:t>
            </w:r>
          </w:p>
          <w:p w14:paraId="04BC1800">
            <w:pPr>
              <w:pStyle w:val="6"/>
              <w:spacing w:before="0" w:beforeAutospacing="0" w:after="0" w:afterAutospacing="0"/>
              <w:jc w:val="both"/>
              <w:rPr>
                <w:color w:val="859FFF"/>
              </w:rPr>
            </w:pPr>
            <w:r>
              <w:rPr>
                <w:rStyle w:val="10"/>
                <w:color w:val="000000"/>
                <w:sz w:val="22"/>
                <w:szCs w:val="22"/>
              </w:rPr>
              <w:t>融入知识点</w:t>
            </w:r>
          </w:p>
          <w:p w14:paraId="3EF1591E">
            <w:pPr>
              <w:pStyle w:val="6"/>
              <w:shd w:val="clear" w:color="auto" w:fill="FFFFFF"/>
              <w:spacing w:before="0" w:beforeAutospacing="0" w:after="0" w:afterAutospacing="0"/>
              <w:jc w:val="both"/>
              <w:rPr>
                <w:rFonts w:ascii="Times New Roman" w:hAnsi="Times New Roman"/>
                <w:color w:val="000000"/>
                <w:sz w:val="21"/>
                <w:szCs w:val="21"/>
              </w:rPr>
            </w:pPr>
            <w:r>
              <w:rPr>
                <w:rFonts w:hint="eastAsia" w:ascii="Times New Roman" w:hAnsi="Times New Roman"/>
                <w:color w:val="000000"/>
                <w:sz w:val="21"/>
                <w:szCs w:val="21"/>
              </w:rPr>
              <w:t>1.专业在业务中的应用，以及对健康长寿的重要意义；</w:t>
            </w:r>
          </w:p>
          <w:p w14:paraId="4BF4B8AD">
            <w:pPr>
              <w:pStyle w:val="6"/>
              <w:shd w:val="clear" w:color="auto" w:fill="FFFFFF"/>
              <w:spacing w:before="0" w:beforeAutospacing="0" w:after="0" w:afterAutospacing="0"/>
              <w:jc w:val="both"/>
              <w:rPr>
                <w:rFonts w:ascii="Times New Roman" w:hAnsi="Times New Roman"/>
                <w:color w:val="000000"/>
                <w:sz w:val="21"/>
                <w:szCs w:val="21"/>
              </w:rPr>
            </w:pPr>
            <w:r>
              <w:rPr>
                <w:rFonts w:hint="eastAsia" w:ascii="Times New Roman" w:hAnsi="Times New Roman"/>
                <w:color w:val="000000"/>
                <w:sz w:val="21"/>
                <w:szCs w:val="21"/>
              </w:rPr>
              <w:t>2.融入敬业素养，厚植服务人民群众的情愫；</w:t>
            </w:r>
          </w:p>
          <w:p w14:paraId="065DAA74">
            <w:pPr>
              <w:pStyle w:val="6"/>
              <w:shd w:val="clear" w:color="auto" w:fill="FFFFFF"/>
              <w:spacing w:before="0" w:beforeAutospacing="0" w:after="0" w:afterAutospacing="0"/>
              <w:jc w:val="both"/>
              <w:rPr>
                <w:rFonts w:ascii="Times New Roman" w:hAnsi="Times New Roman"/>
                <w:color w:val="000000"/>
                <w:sz w:val="21"/>
                <w:szCs w:val="21"/>
              </w:rPr>
            </w:pPr>
            <w:r>
              <w:rPr>
                <w:rFonts w:hint="eastAsia" w:ascii="Times New Roman" w:hAnsi="Times New Roman"/>
                <w:color w:val="000000"/>
                <w:sz w:val="21"/>
                <w:szCs w:val="21"/>
              </w:rPr>
              <w:t>3.融入专业技能，提升使命意识。</w:t>
            </w:r>
          </w:p>
          <w:p w14:paraId="5260E34E">
            <w:pPr>
              <w:pStyle w:val="6"/>
              <w:spacing w:before="0" w:beforeAutospacing="0" w:after="0" w:afterAutospacing="0"/>
              <w:jc w:val="both"/>
              <w:rPr>
                <w:color w:val="859FFF"/>
              </w:rPr>
            </w:pPr>
            <w:r>
              <w:rPr>
                <w:rStyle w:val="10"/>
                <w:color w:val="000000"/>
                <w:sz w:val="22"/>
                <w:szCs w:val="22"/>
              </w:rPr>
              <w:t>融入方式</w:t>
            </w:r>
          </w:p>
          <w:p w14:paraId="69FD05E5">
            <w:pPr>
              <w:pStyle w:val="6"/>
              <w:shd w:val="clear" w:color="auto" w:fill="FFFFFF"/>
              <w:spacing w:before="0" w:beforeAutospacing="0" w:after="0" w:afterAutospacing="0"/>
              <w:jc w:val="both"/>
              <w:rPr>
                <w:rFonts w:ascii="Times New Roman" w:hAnsi="Times New Roman"/>
                <w:color w:val="000000"/>
                <w:sz w:val="21"/>
                <w:szCs w:val="21"/>
              </w:rPr>
            </w:pPr>
            <w:r>
              <w:rPr>
                <w:rFonts w:hint="eastAsia" w:ascii="Times New Roman" w:hAnsi="Times New Roman"/>
                <w:color w:val="000000"/>
                <w:sz w:val="21"/>
                <w:szCs w:val="21"/>
              </w:rPr>
              <w:t>理论课：通过课堂授课，理解慢病管理的重要意义。</w:t>
            </w:r>
          </w:p>
          <w:p w14:paraId="2AD804E0">
            <w:pPr>
              <w:pStyle w:val="6"/>
              <w:shd w:val="clear" w:color="auto" w:fill="FFFFFF"/>
              <w:spacing w:before="0" w:beforeAutospacing="0" w:after="0" w:afterAutospacing="0"/>
              <w:jc w:val="both"/>
              <w:rPr>
                <w:rFonts w:ascii="Times New Roman" w:hAnsi="Times New Roman"/>
                <w:color w:val="000000"/>
                <w:sz w:val="21"/>
                <w:szCs w:val="21"/>
              </w:rPr>
            </w:pPr>
            <w:r>
              <w:rPr>
                <w:rFonts w:hint="eastAsia" w:ascii="Times New Roman" w:hAnsi="Times New Roman"/>
                <w:color w:val="000000"/>
                <w:sz w:val="21"/>
                <w:szCs w:val="21"/>
              </w:rPr>
              <w:t>实验：通过实践，展现慢病管理保证人民群众健康长寿的重要作用。</w:t>
            </w:r>
          </w:p>
          <w:p w14:paraId="3C3FC151">
            <w:pPr>
              <w:pStyle w:val="6"/>
              <w:shd w:val="clear" w:color="auto" w:fill="FFFFFF"/>
              <w:spacing w:before="0" w:beforeAutospacing="0" w:after="0" w:afterAutospacing="0"/>
              <w:jc w:val="both"/>
              <w:rPr>
                <w:color w:val="859FFF"/>
              </w:rPr>
            </w:pPr>
            <w:r>
              <w:rPr>
                <w:rStyle w:val="10"/>
                <w:color w:val="000000"/>
                <w:sz w:val="22"/>
                <w:szCs w:val="22"/>
              </w:rPr>
              <w:t>思政元素</w:t>
            </w:r>
          </w:p>
          <w:p w14:paraId="74E82640">
            <w:pPr>
              <w:pStyle w:val="6"/>
              <w:shd w:val="clear" w:color="auto" w:fill="FFFFFF"/>
              <w:spacing w:before="0" w:beforeAutospacing="0" w:after="0" w:afterAutospacing="0"/>
              <w:jc w:val="both"/>
            </w:pPr>
            <w:r>
              <w:rPr>
                <w:rFonts w:hint="eastAsia" w:ascii="Times New Roman" w:hAnsi="Times New Roman"/>
                <w:color w:val="000000"/>
                <w:sz w:val="21"/>
                <w:szCs w:val="21"/>
              </w:rPr>
              <w:t>耐心、细心、理论自信、医者仁心、策划能力、职业使命、乐于奉献、职业使命感、表达能力、团队协作、沟通能力、严谨负责、敬业精神、职业素养、敬老爱幼、奉献精神、安全第一、职业能力。</w:t>
            </w:r>
          </w:p>
        </w:tc>
      </w:tr>
    </w:tbl>
    <w:p w14:paraId="54338EEB">
      <w:pPr>
        <w:pStyle w:val="18"/>
        <w:spacing w:before="326" w:beforeLines="100" w:line="360" w:lineRule="auto"/>
        <w:rPr>
          <w:rFonts w:ascii="黑体" w:hAnsi="宋体"/>
        </w:rPr>
      </w:pPr>
      <w:r>
        <w:rPr>
          <w:rFonts w:hint="eastAsia" w:ascii="黑体" w:hAnsi="宋体"/>
        </w:rPr>
        <w:t>五、课程考核</w:t>
      </w:r>
      <w:bookmarkStart w:id="2" w:name="OLE_LINK3"/>
      <w:bookmarkStart w:id="3" w:name="OLE_LINK4"/>
    </w:p>
    <w:tbl>
      <w:tblPr>
        <w:tblStyle w:val="7"/>
        <w:tblpPr w:leftFromText="180" w:rightFromText="180" w:vertAnchor="text" w:horzAnchor="page" w:tblpXSpec="center" w:tblpY="717"/>
        <w:tblOverlap w:val="never"/>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774F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09" w:type="dxa"/>
            <w:shd w:val="clear" w:color="auto" w:fill="auto"/>
          </w:tcPr>
          <w:p w14:paraId="6619ADE7">
            <w:pPr>
              <w:snapToGrid w:val="0"/>
              <w:spacing w:line="300" w:lineRule="exact"/>
              <w:jc w:val="center"/>
              <w:rPr>
                <w:rFonts w:ascii="仿宋" w:hAnsi="仿宋" w:eastAsia="仿宋" w:cs="仿宋"/>
                <w:b/>
                <w:bCs/>
              </w:rPr>
            </w:pPr>
            <w:r>
              <w:rPr>
                <w:rFonts w:hint="eastAsia" w:ascii="仿宋" w:hAnsi="仿宋" w:eastAsia="仿宋" w:cs="仿宋"/>
                <w:b/>
                <w:bCs/>
              </w:rPr>
              <w:t>总评构成（1+X）</w:t>
            </w:r>
          </w:p>
        </w:tc>
        <w:tc>
          <w:tcPr>
            <w:tcW w:w="5103" w:type="dxa"/>
            <w:shd w:val="clear" w:color="auto" w:fill="auto"/>
          </w:tcPr>
          <w:p w14:paraId="02316F1B">
            <w:pPr>
              <w:snapToGrid w:val="0"/>
              <w:spacing w:line="300" w:lineRule="exact"/>
              <w:jc w:val="center"/>
              <w:rPr>
                <w:rFonts w:ascii="仿宋" w:hAnsi="仿宋" w:eastAsia="仿宋" w:cs="仿宋"/>
                <w:b/>
                <w:bCs/>
              </w:rPr>
            </w:pPr>
            <w:r>
              <w:rPr>
                <w:rFonts w:hint="eastAsia" w:ascii="仿宋" w:hAnsi="仿宋" w:eastAsia="仿宋" w:cs="仿宋"/>
                <w:b/>
                <w:bCs/>
              </w:rPr>
              <w:t>评价方式</w:t>
            </w:r>
          </w:p>
        </w:tc>
        <w:tc>
          <w:tcPr>
            <w:tcW w:w="1843" w:type="dxa"/>
            <w:shd w:val="clear" w:color="auto" w:fill="auto"/>
          </w:tcPr>
          <w:p w14:paraId="3D801FC6">
            <w:pPr>
              <w:snapToGrid w:val="0"/>
              <w:spacing w:line="300" w:lineRule="exact"/>
              <w:jc w:val="center"/>
              <w:rPr>
                <w:rFonts w:ascii="仿宋" w:hAnsi="仿宋" w:eastAsia="仿宋" w:cs="仿宋"/>
                <w:b/>
                <w:bCs/>
              </w:rPr>
            </w:pPr>
            <w:r>
              <w:rPr>
                <w:rFonts w:hint="eastAsia" w:ascii="仿宋" w:hAnsi="仿宋" w:eastAsia="仿宋" w:cs="仿宋"/>
                <w:b/>
                <w:bCs/>
              </w:rPr>
              <w:t>占比</w:t>
            </w:r>
          </w:p>
        </w:tc>
      </w:tr>
      <w:tr w14:paraId="2D63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09" w:type="dxa"/>
            <w:shd w:val="clear" w:color="auto" w:fill="auto"/>
          </w:tcPr>
          <w:p w14:paraId="47DC5883">
            <w:pPr>
              <w:snapToGrid w:val="0"/>
              <w:spacing w:line="300" w:lineRule="exact"/>
              <w:jc w:val="center"/>
              <w:rPr>
                <w:rFonts w:ascii="仿宋" w:hAnsi="仿宋" w:eastAsia="仿宋" w:cs="仿宋"/>
              </w:rPr>
            </w:pPr>
            <w:r>
              <w:rPr>
                <w:rFonts w:hint="eastAsia" w:ascii="仿宋" w:hAnsi="仿宋" w:eastAsia="仿宋" w:cs="仿宋"/>
              </w:rPr>
              <w:t>1</w:t>
            </w:r>
          </w:p>
        </w:tc>
        <w:tc>
          <w:tcPr>
            <w:tcW w:w="5103" w:type="dxa"/>
            <w:shd w:val="clear" w:color="auto" w:fill="auto"/>
          </w:tcPr>
          <w:p w14:paraId="6B3C7BD2">
            <w:pPr>
              <w:snapToGrid w:val="0"/>
              <w:spacing w:line="300" w:lineRule="exact"/>
              <w:jc w:val="center"/>
              <w:rPr>
                <w:rFonts w:ascii="仿宋" w:hAnsi="仿宋" w:eastAsia="仿宋" w:cs="仿宋"/>
                <w:b/>
              </w:rPr>
            </w:pPr>
            <w:r>
              <w:rPr>
                <w:rFonts w:hint="eastAsia" w:ascii="仿宋" w:hAnsi="仿宋" w:eastAsia="仿宋" w:cs="仿宋"/>
                <w:b/>
              </w:rPr>
              <w:t>期终开卷考试</w:t>
            </w:r>
          </w:p>
        </w:tc>
        <w:tc>
          <w:tcPr>
            <w:tcW w:w="1843" w:type="dxa"/>
            <w:shd w:val="clear" w:color="auto" w:fill="auto"/>
          </w:tcPr>
          <w:p w14:paraId="0A670627">
            <w:pPr>
              <w:snapToGrid w:val="0"/>
              <w:spacing w:line="300" w:lineRule="exact"/>
              <w:jc w:val="center"/>
              <w:rPr>
                <w:rFonts w:ascii="仿宋" w:hAnsi="仿宋" w:eastAsia="仿宋" w:cs="仿宋"/>
              </w:rPr>
            </w:pPr>
            <w:r>
              <w:rPr>
                <w:rFonts w:ascii="仿宋" w:hAnsi="仿宋" w:eastAsia="仿宋" w:cs="仿宋"/>
              </w:rPr>
              <w:t>4</w:t>
            </w:r>
            <w:r>
              <w:rPr>
                <w:rFonts w:hint="eastAsia" w:ascii="仿宋" w:hAnsi="仿宋" w:eastAsia="仿宋" w:cs="仿宋"/>
              </w:rPr>
              <w:t>0%</w:t>
            </w:r>
          </w:p>
        </w:tc>
      </w:tr>
      <w:tr w14:paraId="48FF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09" w:type="dxa"/>
            <w:shd w:val="clear" w:color="auto" w:fill="auto"/>
          </w:tcPr>
          <w:p w14:paraId="659C4333">
            <w:pPr>
              <w:snapToGrid w:val="0"/>
              <w:spacing w:line="300" w:lineRule="exact"/>
              <w:jc w:val="center"/>
              <w:rPr>
                <w:rFonts w:ascii="仿宋" w:hAnsi="仿宋" w:eastAsia="仿宋" w:cs="仿宋"/>
              </w:rPr>
            </w:pPr>
            <w:r>
              <w:rPr>
                <w:rFonts w:hint="eastAsia" w:ascii="仿宋" w:hAnsi="仿宋" w:eastAsia="仿宋" w:cs="仿宋"/>
              </w:rPr>
              <w:t>X1</w:t>
            </w:r>
          </w:p>
        </w:tc>
        <w:tc>
          <w:tcPr>
            <w:tcW w:w="5103" w:type="dxa"/>
            <w:shd w:val="clear" w:color="auto" w:fill="auto"/>
          </w:tcPr>
          <w:p w14:paraId="36CADA9D">
            <w:pPr>
              <w:snapToGrid w:val="0"/>
              <w:spacing w:line="300" w:lineRule="exact"/>
              <w:jc w:val="center"/>
              <w:rPr>
                <w:rFonts w:ascii="仿宋" w:hAnsi="仿宋" w:eastAsia="仿宋" w:cs="仿宋"/>
              </w:rPr>
            </w:pPr>
            <w:r>
              <w:rPr>
                <w:rFonts w:hint="eastAsia" w:ascii="仿宋" w:hAnsi="仿宋" w:eastAsia="仿宋" w:cs="仿宋"/>
              </w:rPr>
              <w:t>实验报告</w:t>
            </w:r>
          </w:p>
        </w:tc>
        <w:tc>
          <w:tcPr>
            <w:tcW w:w="1843" w:type="dxa"/>
            <w:shd w:val="clear" w:color="auto" w:fill="auto"/>
          </w:tcPr>
          <w:p w14:paraId="1F317FC5">
            <w:pPr>
              <w:snapToGrid w:val="0"/>
              <w:spacing w:line="300" w:lineRule="exact"/>
              <w:jc w:val="center"/>
              <w:rPr>
                <w:rFonts w:ascii="仿宋" w:hAnsi="仿宋" w:eastAsia="仿宋" w:cs="仿宋"/>
              </w:rPr>
            </w:pPr>
            <w:r>
              <w:rPr>
                <w:rFonts w:hint="eastAsia" w:ascii="仿宋" w:hAnsi="仿宋" w:eastAsia="仿宋" w:cs="仿宋"/>
              </w:rPr>
              <w:t>20%</w:t>
            </w:r>
          </w:p>
        </w:tc>
      </w:tr>
      <w:tr w14:paraId="3C80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09" w:type="dxa"/>
            <w:shd w:val="clear" w:color="auto" w:fill="auto"/>
          </w:tcPr>
          <w:p w14:paraId="0A2CC4A2">
            <w:pPr>
              <w:snapToGrid w:val="0"/>
              <w:spacing w:line="300" w:lineRule="exact"/>
              <w:jc w:val="center"/>
              <w:rPr>
                <w:rFonts w:ascii="仿宋" w:hAnsi="仿宋" w:eastAsia="仿宋" w:cs="仿宋"/>
              </w:rPr>
            </w:pPr>
            <w:r>
              <w:rPr>
                <w:rFonts w:hint="eastAsia" w:ascii="仿宋" w:hAnsi="仿宋" w:eastAsia="仿宋" w:cs="仿宋"/>
              </w:rPr>
              <w:t>X2</w:t>
            </w:r>
          </w:p>
        </w:tc>
        <w:tc>
          <w:tcPr>
            <w:tcW w:w="5103" w:type="dxa"/>
            <w:shd w:val="clear" w:color="auto" w:fill="auto"/>
          </w:tcPr>
          <w:p w14:paraId="72803644">
            <w:pPr>
              <w:snapToGrid w:val="0"/>
              <w:spacing w:line="300" w:lineRule="exact"/>
              <w:jc w:val="center"/>
              <w:rPr>
                <w:rFonts w:ascii="仿宋" w:hAnsi="仿宋" w:eastAsia="仿宋" w:cs="仿宋"/>
              </w:rPr>
            </w:pPr>
            <w:r>
              <w:rPr>
                <w:rFonts w:hint="eastAsia" w:ascii="仿宋" w:hAnsi="仿宋" w:eastAsia="仿宋" w:cs="仿宋"/>
              </w:rPr>
              <w:t>课堂展示</w:t>
            </w:r>
          </w:p>
        </w:tc>
        <w:tc>
          <w:tcPr>
            <w:tcW w:w="1843" w:type="dxa"/>
            <w:shd w:val="clear" w:color="auto" w:fill="auto"/>
          </w:tcPr>
          <w:p w14:paraId="3BAED07B">
            <w:pPr>
              <w:snapToGrid w:val="0"/>
              <w:spacing w:line="300" w:lineRule="exact"/>
              <w:jc w:val="center"/>
              <w:rPr>
                <w:rFonts w:ascii="仿宋" w:hAnsi="仿宋" w:eastAsia="仿宋" w:cs="仿宋"/>
              </w:rPr>
            </w:pPr>
            <w:r>
              <w:rPr>
                <w:rFonts w:hint="eastAsia" w:ascii="仿宋" w:hAnsi="仿宋" w:eastAsia="仿宋" w:cs="仿宋"/>
              </w:rPr>
              <w:t>10%</w:t>
            </w:r>
          </w:p>
        </w:tc>
      </w:tr>
      <w:tr w14:paraId="7837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09" w:type="dxa"/>
            <w:shd w:val="clear" w:color="auto" w:fill="auto"/>
          </w:tcPr>
          <w:p w14:paraId="33B4F8BC">
            <w:pPr>
              <w:snapToGrid w:val="0"/>
              <w:spacing w:line="300" w:lineRule="exact"/>
              <w:jc w:val="center"/>
              <w:rPr>
                <w:rFonts w:ascii="仿宋" w:hAnsi="仿宋" w:eastAsia="仿宋" w:cs="仿宋"/>
              </w:rPr>
            </w:pPr>
            <w:r>
              <w:rPr>
                <w:rFonts w:hint="eastAsia" w:ascii="仿宋" w:hAnsi="仿宋" w:eastAsia="仿宋" w:cs="仿宋"/>
              </w:rPr>
              <w:t>X3</w:t>
            </w:r>
          </w:p>
        </w:tc>
        <w:tc>
          <w:tcPr>
            <w:tcW w:w="5103" w:type="dxa"/>
            <w:shd w:val="clear" w:color="auto" w:fill="auto"/>
          </w:tcPr>
          <w:p w14:paraId="40B71A64">
            <w:pPr>
              <w:snapToGrid w:val="0"/>
              <w:spacing w:line="300" w:lineRule="exact"/>
              <w:jc w:val="center"/>
              <w:rPr>
                <w:rFonts w:ascii="仿宋" w:hAnsi="仿宋" w:eastAsia="仿宋" w:cs="仿宋"/>
              </w:rPr>
            </w:pPr>
            <w:r>
              <w:rPr>
                <w:rFonts w:hint="eastAsia" w:ascii="仿宋" w:hAnsi="仿宋" w:eastAsia="仿宋" w:cs="仿宋"/>
              </w:rPr>
              <w:t>慢性病社区管理服务方案</w:t>
            </w:r>
          </w:p>
        </w:tc>
        <w:tc>
          <w:tcPr>
            <w:tcW w:w="1843" w:type="dxa"/>
            <w:shd w:val="clear" w:color="auto" w:fill="auto"/>
          </w:tcPr>
          <w:p w14:paraId="4B7C3CDA">
            <w:pPr>
              <w:snapToGrid w:val="0"/>
              <w:spacing w:line="300" w:lineRule="exact"/>
              <w:jc w:val="center"/>
              <w:rPr>
                <w:rFonts w:ascii="仿宋" w:hAnsi="仿宋" w:eastAsia="仿宋" w:cs="仿宋"/>
              </w:rPr>
            </w:pPr>
            <w:r>
              <w:rPr>
                <w:rFonts w:ascii="仿宋" w:hAnsi="仿宋" w:eastAsia="仿宋" w:cs="仿宋"/>
              </w:rPr>
              <w:t>3</w:t>
            </w:r>
            <w:r>
              <w:rPr>
                <w:rFonts w:hint="eastAsia" w:ascii="仿宋" w:hAnsi="仿宋" w:eastAsia="仿宋" w:cs="仿宋"/>
              </w:rPr>
              <w:t>0%</w:t>
            </w:r>
          </w:p>
        </w:tc>
      </w:tr>
    </w:tbl>
    <w:p w14:paraId="31BF5EA1">
      <w:pPr>
        <w:pStyle w:val="18"/>
        <w:spacing w:before="326" w:beforeLines="100" w:line="360" w:lineRule="auto"/>
        <w:rPr>
          <w:rFonts w:hint="eastAsia" w:ascii="黑体" w:hAnsi="宋体"/>
        </w:rPr>
      </w:pPr>
    </w:p>
    <w:bookmarkEnd w:id="2"/>
    <w:bookmarkEnd w:id="3"/>
    <w:p w14:paraId="6A48977E">
      <w:pPr>
        <w:pStyle w:val="18"/>
        <w:spacing w:before="326" w:beforeLines="100" w:line="360" w:lineRule="auto"/>
        <w:rPr>
          <w:rFonts w:ascii="黑体" w:hAnsi="宋体"/>
        </w:rPr>
      </w:pPr>
      <w:r>
        <w:rPr>
          <w:rFonts w:hint="eastAsia" w:ascii="黑体" w:hAnsi="宋体"/>
        </w:rPr>
        <w:t xml:space="preserve">六、其他需要说明的问题 </w:t>
      </w:r>
    </w:p>
    <w:tbl>
      <w:tblPr>
        <w:tblStyle w:val="7"/>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6AA0819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shd w:val="clear" w:color="auto" w:fill="auto"/>
          </w:tcPr>
          <w:p w14:paraId="7DE8B900">
            <w:pPr>
              <w:pStyle w:val="16"/>
              <w:widowControl w:val="0"/>
              <w:jc w:val="left"/>
              <w:rPr>
                <w:rFonts w:ascii="仿宋" w:hAnsi="仿宋" w:eastAsia="仿宋" w:cs="仿宋"/>
              </w:rPr>
            </w:pPr>
          </w:p>
          <w:p w14:paraId="640E3B58">
            <w:pPr>
              <w:pStyle w:val="16"/>
              <w:widowControl w:val="0"/>
              <w:jc w:val="left"/>
              <w:rPr>
                <w:rFonts w:ascii="宋体" w:hAnsi="宋体"/>
                <w:bCs/>
              </w:rPr>
            </w:pPr>
          </w:p>
          <w:p w14:paraId="11079309">
            <w:pPr>
              <w:pStyle w:val="16"/>
              <w:widowControl w:val="0"/>
              <w:jc w:val="left"/>
              <w:rPr>
                <w:rFonts w:ascii="黑体"/>
              </w:rPr>
            </w:pPr>
          </w:p>
        </w:tc>
      </w:tr>
    </w:tbl>
    <w:p w14:paraId="2A990023">
      <w:pPr>
        <w:pStyle w:val="18"/>
        <w:rPr>
          <w:rFonts w:ascii="黑体" w:hAnsi="宋体"/>
          <w:sz w:val="18"/>
          <w:szCs w:val="16"/>
        </w:rPr>
      </w:pPr>
    </w:p>
    <w:sectPr>
      <w:headerReference r:id="rId3" w:type="default"/>
      <w:pgSz w:w="11906" w:h="16838"/>
      <w:pgMar w:top="1440" w:right="1800" w:bottom="1440" w:left="1800" w:header="397"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116B6">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FEE91CF">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FEE91CF">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04E57"/>
    <w:multiLevelType w:val="singleLevel"/>
    <w:tmpl w:val="8BD04E57"/>
    <w:lvl w:ilvl="0" w:tentative="0">
      <w:start w:val="1"/>
      <w:numFmt w:val="decimal"/>
      <w:lvlText w:val="%1."/>
      <w:lvlJc w:val="left"/>
      <w:pPr>
        <w:tabs>
          <w:tab w:val="left" w:pos="312"/>
        </w:tabs>
      </w:pPr>
    </w:lvl>
  </w:abstractNum>
  <w:abstractNum w:abstractNumId="1">
    <w:nsid w:val="94F508F9"/>
    <w:multiLevelType w:val="singleLevel"/>
    <w:tmpl w:val="94F508F9"/>
    <w:lvl w:ilvl="0" w:tentative="0">
      <w:start w:val="1"/>
      <w:numFmt w:val="decimal"/>
      <w:lvlText w:val="%1."/>
      <w:lvlJc w:val="left"/>
      <w:pPr>
        <w:tabs>
          <w:tab w:val="left" w:pos="312"/>
        </w:tabs>
      </w:pPr>
    </w:lvl>
  </w:abstractNum>
  <w:abstractNum w:abstractNumId="2">
    <w:nsid w:val="9E84C6B7"/>
    <w:multiLevelType w:val="singleLevel"/>
    <w:tmpl w:val="9E84C6B7"/>
    <w:lvl w:ilvl="0" w:tentative="0">
      <w:start w:val="1"/>
      <w:numFmt w:val="decimal"/>
      <w:lvlText w:val="%1."/>
      <w:lvlJc w:val="left"/>
      <w:pPr>
        <w:tabs>
          <w:tab w:val="left" w:pos="312"/>
        </w:tabs>
      </w:pPr>
    </w:lvl>
  </w:abstractNum>
  <w:abstractNum w:abstractNumId="3">
    <w:nsid w:val="C8AF7F43"/>
    <w:multiLevelType w:val="singleLevel"/>
    <w:tmpl w:val="C8AF7F43"/>
    <w:lvl w:ilvl="0" w:tentative="0">
      <w:start w:val="1"/>
      <w:numFmt w:val="decimal"/>
      <w:lvlText w:val="%1."/>
      <w:lvlJc w:val="left"/>
      <w:pPr>
        <w:tabs>
          <w:tab w:val="left" w:pos="312"/>
        </w:tabs>
      </w:pPr>
    </w:lvl>
  </w:abstractNum>
  <w:abstractNum w:abstractNumId="4">
    <w:nsid w:val="D86E9E51"/>
    <w:multiLevelType w:val="singleLevel"/>
    <w:tmpl w:val="D86E9E51"/>
    <w:lvl w:ilvl="0" w:tentative="0">
      <w:start w:val="1"/>
      <w:numFmt w:val="decimal"/>
      <w:lvlText w:val="%1."/>
      <w:lvlJc w:val="left"/>
      <w:pPr>
        <w:tabs>
          <w:tab w:val="left" w:pos="312"/>
        </w:tabs>
      </w:pPr>
    </w:lvl>
  </w:abstractNum>
  <w:abstractNum w:abstractNumId="5">
    <w:nsid w:val="DFE81304"/>
    <w:multiLevelType w:val="singleLevel"/>
    <w:tmpl w:val="DFE81304"/>
    <w:lvl w:ilvl="0" w:tentative="0">
      <w:start w:val="1"/>
      <w:numFmt w:val="decimal"/>
      <w:lvlText w:val="%1."/>
      <w:lvlJc w:val="left"/>
      <w:pPr>
        <w:tabs>
          <w:tab w:val="left" w:pos="312"/>
        </w:tabs>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jYzcwZTFiNGM4NzI1ODQ3MzdiNDQ4ZmZhMzA1YjA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18D"/>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082A"/>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085F"/>
    <w:rsid w:val="0027339A"/>
    <w:rsid w:val="00274E82"/>
    <w:rsid w:val="002757AB"/>
    <w:rsid w:val="0027777C"/>
    <w:rsid w:val="00277FE7"/>
    <w:rsid w:val="002877FA"/>
    <w:rsid w:val="00290962"/>
    <w:rsid w:val="0029110B"/>
    <w:rsid w:val="002A174E"/>
    <w:rsid w:val="002A4649"/>
    <w:rsid w:val="002A7227"/>
    <w:rsid w:val="002B0773"/>
    <w:rsid w:val="002B0C48"/>
    <w:rsid w:val="002B129F"/>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117E"/>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61F0B"/>
    <w:rsid w:val="0057496F"/>
    <w:rsid w:val="005770A6"/>
    <w:rsid w:val="0059045B"/>
    <w:rsid w:val="00591D9B"/>
    <w:rsid w:val="00597EC2"/>
    <w:rsid w:val="005A13AB"/>
    <w:rsid w:val="005B1150"/>
    <w:rsid w:val="005B1FFC"/>
    <w:rsid w:val="005B2B6D"/>
    <w:rsid w:val="005B4B4E"/>
    <w:rsid w:val="005C3A76"/>
    <w:rsid w:val="005D5B6F"/>
    <w:rsid w:val="005E38A5"/>
    <w:rsid w:val="005F5185"/>
    <w:rsid w:val="006130E7"/>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2FC1"/>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7F311B"/>
    <w:rsid w:val="0080066B"/>
    <w:rsid w:val="00803578"/>
    <w:rsid w:val="00815B8D"/>
    <w:rsid w:val="00815B8E"/>
    <w:rsid w:val="00816D99"/>
    <w:rsid w:val="0082324C"/>
    <w:rsid w:val="00823D71"/>
    <w:rsid w:val="008245AF"/>
    <w:rsid w:val="008256B9"/>
    <w:rsid w:val="00836698"/>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2B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2E0"/>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2B17"/>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0C03"/>
    <w:rsid w:val="00D612BC"/>
    <w:rsid w:val="00D62F98"/>
    <w:rsid w:val="00D66FD6"/>
    <w:rsid w:val="00D8285B"/>
    <w:rsid w:val="00D862EB"/>
    <w:rsid w:val="00D86619"/>
    <w:rsid w:val="00D93E7C"/>
    <w:rsid w:val="00DB1A0E"/>
    <w:rsid w:val="00DB2BE6"/>
    <w:rsid w:val="00DB76B3"/>
    <w:rsid w:val="00DD1052"/>
    <w:rsid w:val="00DD3C7B"/>
    <w:rsid w:val="00DE19D8"/>
    <w:rsid w:val="00DE233F"/>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679C4"/>
    <w:rsid w:val="00E7081D"/>
    <w:rsid w:val="00E70904"/>
    <w:rsid w:val="00E71319"/>
    <w:rsid w:val="00E75171"/>
    <w:rsid w:val="00E804B0"/>
    <w:rsid w:val="00E86772"/>
    <w:rsid w:val="00E90B8B"/>
    <w:rsid w:val="00E93ADD"/>
    <w:rsid w:val="00E952D8"/>
    <w:rsid w:val="00EA2EF4"/>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1962B0A"/>
    <w:rsid w:val="01F36FCC"/>
    <w:rsid w:val="024B0C39"/>
    <w:rsid w:val="025024E8"/>
    <w:rsid w:val="02CA6603"/>
    <w:rsid w:val="02F119F7"/>
    <w:rsid w:val="03BA492B"/>
    <w:rsid w:val="06E50601"/>
    <w:rsid w:val="08FB21EB"/>
    <w:rsid w:val="0A8128A6"/>
    <w:rsid w:val="0BF32A1B"/>
    <w:rsid w:val="10BD2C22"/>
    <w:rsid w:val="13E64BE3"/>
    <w:rsid w:val="145A43CE"/>
    <w:rsid w:val="14755F67"/>
    <w:rsid w:val="1EEF16AD"/>
    <w:rsid w:val="22987C80"/>
    <w:rsid w:val="24192CCC"/>
    <w:rsid w:val="27FD389E"/>
    <w:rsid w:val="29F85DF8"/>
    <w:rsid w:val="2A69267C"/>
    <w:rsid w:val="2DAA0AE3"/>
    <w:rsid w:val="2DB24F00"/>
    <w:rsid w:val="2F1E302B"/>
    <w:rsid w:val="341F3BF0"/>
    <w:rsid w:val="39561595"/>
    <w:rsid w:val="39A66CD4"/>
    <w:rsid w:val="3CD52CE1"/>
    <w:rsid w:val="3D304321"/>
    <w:rsid w:val="3D90017F"/>
    <w:rsid w:val="400242A3"/>
    <w:rsid w:val="410F2E6A"/>
    <w:rsid w:val="4430136C"/>
    <w:rsid w:val="446C0309"/>
    <w:rsid w:val="4893017F"/>
    <w:rsid w:val="49991945"/>
    <w:rsid w:val="4AB0382B"/>
    <w:rsid w:val="4DBD38EA"/>
    <w:rsid w:val="507432B1"/>
    <w:rsid w:val="50DE2673"/>
    <w:rsid w:val="569868B5"/>
    <w:rsid w:val="576E6AFE"/>
    <w:rsid w:val="5AAC5686"/>
    <w:rsid w:val="60DC5BD1"/>
    <w:rsid w:val="611F6817"/>
    <w:rsid w:val="61A37E55"/>
    <w:rsid w:val="66CA1754"/>
    <w:rsid w:val="69CD0BB1"/>
    <w:rsid w:val="6CD33E3A"/>
    <w:rsid w:val="6F1E65D4"/>
    <w:rsid w:val="6F266C86"/>
    <w:rsid w:val="6F5042C2"/>
    <w:rsid w:val="7043347D"/>
    <w:rsid w:val="70F21646"/>
    <w:rsid w:val="74316312"/>
    <w:rsid w:val="780F13C8"/>
    <w:rsid w:val="799D7EF2"/>
    <w:rsid w:val="7B9E70C1"/>
    <w:rsid w:val="7BA62864"/>
    <w:rsid w:val="7C385448"/>
    <w:rsid w:val="7CB3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qFormat/>
    <w:uiPriority w:val="99"/>
    <w:pPr>
      <w:widowControl w:val="0"/>
    </w:pPr>
    <w:rPr>
      <w:rFonts w:ascii="Times New Roman" w:hAnsi="Times New Roman" w:cs="Times New Roman"/>
      <w:kern w:val="2"/>
      <w:sz w:val="21"/>
    </w:rPr>
  </w:style>
  <w:style w:type="paragraph" w:styleId="4">
    <w:name w:val="footer"/>
    <w:basedOn w:val="1"/>
    <w:link w:val="13"/>
    <w:unhideWhenUsed/>
    <w:qFormat/>
    <w:uiPriority w:val="99"/>
    <w:pPr>
      <w:tabs>
        <w:tab w:val="center" w:pos="4153"/>
        <w:tab w:val="right" w:pos="8306"/>
      </w:tabs>
      <w:snapToGrid w:val="0"/>
    </w:pPr>
    <w:rPr>
      <w:rFonts w:ascii="Calibri" w:hAnsi="Calibri" w:cs="Times New Roman"/>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customStyle="1" w:styleId="11">
    <w:name w:val="标题 1 字符"/>
    <w:link w:val="2"/>
    <w:qFormat/>
    <w:uiPriority w:val="9"/>
    <w:rPr>
      <w:rFonts w:ascii="Calibri" w:hAnsi="Calibri" w:eastAsia="宋体" w:cs="Times New Roman"/>
      <w:b/>
      <w:bCs/>
      <w:kern w:val="44"/>
      <w:sz w:val="44"/>
      <w:szCs w:val="44"/>
    </w:rPr>
  </w:style>
  <w:style w:type="character" w:customStyle="1" w:styleId="12">
    <w:name w:val="批注文字 字符"/>
    <w:link w:val="3"/>
    <w:qFormat/>
    <w:uiPriority w:val="99"/>
    <w:rPr>
      <w:rFonts w:ascii="Times New Roman" w:hAnsi="Times New Roman" w:eastAsia="宋体" w:cs="Times New Roman"/>
      <w:kern w:val="2"/>
      <w:sz w:val="21"/>
      <w:szCs w:val="24"/>
    </w:rPr>
  </w:style>
  <w:style w:type="character" w:customStyle="1" w:styleId="13">
    <w:name w:val="页脚 字符"/>
    <w:link w:val="4"/>
    <w:semiHidden/>
    <w:qFormat/>
    <w:uiPriority w:val="99"/>
    <w:rPr>
      <w:sz w:val="18"/>
      <w:szCs w:val="18"/>
    </w:rPr>
  </w:style>
  <w:style w:type="character" w:customStyle="1" w:styleId="14">
    <w:name w:val="页眉 字符"/>
    <w:link w:val="5"/>
    <w:semiHidden/>
    <w:qFormat/>
    <w:uiPriority w:val="99"/>
    <w:rPr>
      <w:sz w:val="18"/>
      <w:szCs w:val="18"/>
    </w:rPr>
  </w:style>
  <w:style w:type="paragraph" w:customStyle="1" w:styleId="15">
    <w:name w:val="表格标题DG"/>
    <w:basedOn w:val="1"/>
    <w:qFormat/>
    <w:uiPriority w:val="0"/>
    <w:pPr>
      <w:snapToGrid w:val="0"/>
      <w:jc w:val="center"/>
    </w:pPr>
    <w:rPr>
      <w:rFonts w:ascii="Arial" w:hAnsi="Arial" w:eastAsia="黑体"/>
      <w:bCs/>
      <w:color w:val="000000"/>
      <w:sz w:val="21"/>
      <w:szCs w:val="20"/>
    </w:rPr>
  </w:style>
  <w:style w:type="paragraph" w:customStyle="1" w:styleId="16">
    <w:name w:val="表格正文DG"/>
    <w:basedOn w:val="1"/>
    <w:qFormat/>
    <w:uiPriority w:val="0"/>
    <w:pPr>
      <w:jc w:val="center"/>
    </w:pPr>
    <w:rPr>
      <w:rFonts w:ascii="Times New Roman" w:hAnsi="Times New Roman"/>
      <w:color w:val="000000"/>
      <w:sz w:val="21"/>
      <w:szCs w:val="21"/>
    </w:rPr>
  </w:style>
  <w:style w:type="paragraph" w:styleId="17">
    <w:name w:val="List Paragraph"/>
    <w:basedOn w:val="1"/>
    <w:unhideWhenUsed/>
    <w:qFormat/>
    <w:uiPriority w:val="99"/>
    <w:pPr>
      <w:ind w:firstLine="420" w:firstLineChars="200"/>
    </w:pPr>
  </w:style>
  <w:style w:type="paragraph" w:customStyle="1" w:styleId="18">
    <w:name w:val="一级标题DG"/>
    <w:basedOn w:val="1"/>
    <w:qFormat/>
    <w:uiPriority w:val="0"/>
    <w:pPr>
      <w:spacing w:line="480" w:lineRule="auto"/>
      <w:outlineLvl w:val="0"/>
    </w:pPr>
    <w:rPr>
      <w:rFonts w:ascii="Arial" w:hAnsi="Arial" w:eastAsia="黑体"/>
      <w:sz w:val="28"/>
    </w:rPr>
  </w:style>
  <w:style w:type="paragraph" w:customStyle="1" w:styleId="19">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0">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1">
    <w:name w:val="editor-text-node"/>
    <w:basedOn w:val="9"/>
    <w:qFormat/>
    <w:uiPriority w:val="0"/>
  </w:style>
  <w:style w:type="character" w:styleId="22">
    <w:name w:val="Placeholder Text"/>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microsoft.com/office/2007/relationships/hdphoto" Target="media/image2.wdp"/><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1565</Words>
  <Characters>1662</Characters>
  <Lines>51</Lines>
  <Paragraphs>14</Paragraphs>
  <TotalTime>45</TotalTime>
  <ScaleCrop>false</ScaleCrop>
  <LinksUpToDate>false</LinksUpToDate>
  <CharactersWithSpaces>1678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2025-02-21T03:25:00Z</dcterms:created>
  <dc:creator>juvg</dc:creator>
  <cp:lastModifiedBy>归晚.</cp:lastModifiedBy>
  <cp:lastPrinted>2025-02-21T02:17:00Z</cp:lastPrinted>
  <dcterms:modified xsi:type="dcterms:W3CDTF">2025-03-19T06:59:55Z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6B3668DBE37E40AB88639B3D4AA27098_13</vt:lpwstr>
  </property>
  <property fmtid="{D5CDD505-2E9C-101B-9397-08002B2CF9AE}" pid="4" name="KSOTemplateDocerSaveRecord">
    <vt:lpwstr>eyJoZGlkIjoiOGYyZTQwNzY0YmUwZjVjNTE5NzMzOGJiOTgwZmM0NTEiLCJ1c2VySWQiOiI1NTQ0NjQ5MzAifQ==</vt:lpwstr>
  </property>
</Properties>
</file>