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F19" w14:textId="77777777" w:rsidR="00697BB8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14:paraId="6EE01EE2" w14:textId="77777777" w:rsidR="00697BB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67"/>
        <w:gridCol w:w="2236"/>
        <w:gridCol w:w="1256"/>
        <w:gridCol w:w="845"/>
        <w:gridCol w:w="564"/>
        <w:gridCol w:w="832"/>
        <w:gridCol w:w="1098"/>
      </w:tblGrid>
      <w:tr w:rsidR="00697BB8" w14:paraId="2883F3E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0DA4E9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90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C4C32" w14:textId="3A618F8D" w:rsidR="00697BB8" w:rsidRDefault="0000000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023BD7" w:rsidRPr="00023BD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人体解剖生理学</w:t>
            </w:r>
          </w:p>
        </w:tc>
      </w:tr>
      <w:tr w:rsidR="00697BB8" w14:paraId="5CE8776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6931BC2A" w14:textId="77777777" w:rsidR="00697BB8" w:rsidRDefault="00697BB8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906" w:type="dxa"/>
            <w:gridSpan w:val="6"/>
            <w:tcBorders>
              <w:right w:val="single" w:sz="12" w:space="0" w:color="auto"/>
            </w:tcBorders>
            <w:vAlign w:val="center"/>
          </w:tcPr>
          <w:p w14:paraId="340C74C5" w14:textId="6516FFA4" w:rsidR="00697BB8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0A4DC2" w:rsidRPr="000A4DC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Human Anatomy and Physiology</w:t>
            </w:r>
          </w:p>
        </w:tc>
      </w:tr>
      <w:tr w:rsidR="00697BB8" w14:paraId="19E42B5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D3A1325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7FD5307" w14:textId="2B04F21B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3BD7">
              <w:rPr>
                <w:rFonts w:ascii="黑体" w:eastAsia="黑体" w:hAnsi="黑体" w:hint="eastAsia"/>
                <w:color w:val="EE0000"/>
                <w:sz w:val="21"/>
                <w:szCs w:val="21"/>
              </w:rPr>
              <w:t>21701</w:t>
            </w:r>
            <w:r w:rsidR="00ED705A">
              <w:rPr>
                <w:rFonts w:ascii="黑体" w:eastAsia="黑体" w:hAnsi="黑体" w:hint="eastAsia"/>
                <w:color w:val="EE0000"/>
                <w:sz w:val="21"/>
                <w:szCs w:val="21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14:paraId="6C66EC30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437FD391" w14:textId="69EA9D7B" w:rsidR="00697BB8" w:rsidRDefault="00ED705A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</w:tr>
      <w:tr w:rsidR="00697BB8" w14:paraId="78CCE3D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15F248F" w14:textId="77777777" w:rsidR="00697BB8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A0A6322" w14:textId="651F9955" w:rsidR="00697BB8" w:rsidRDefault="000A4DC2">
            <w:pPr>
              <w:jc w:val="center"/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272" w:type="dxa"/>
            <w:vAlign w:val="center"/>
          </w:tcPr>
          <w:p w14:paraId="1B89D962" w14:textId="77777777" w:rsidR="00697BB8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26549C3" w14:textId="5B9AA9AD" w:rsidR="00697BB8" w:rsidRDefault="000A4DC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2CB8A6A" w14:textId="77777777" w:rsidR="00697BB8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vAlign w:val="center"/>
          </w:tcPr>
          <w:p w14:paraId="6589F6C6" w14:textId="385E283F" w:rsidR="00697BB8" w:rsidRDefault="000A4DC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697BB8" w14:paraId="7FFE976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74DAE1B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A1D3D84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3ECDC686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43F3EE02" w14:textId="00834A19" w:rsidR="00697BB8" w:rsidRDefault="00023BD7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电子科学与技术（</w:t>
            </w: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医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工）第一学年</w:t>
            </w:r>
          </w:p>
        </w:tc>
      </w:tr>
      <w:tr w:rsidR="00697BB8" w14:paraId="1257AAE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502E145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A88FD57" w14:textId="37283E18" w:rsidR="00697BB8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023BD7">
              <w:rPr>
                <w:rFonts w:hint="eastAsia"/>
                <w:color w:val="000000" w:themeColor="text1"/>
                <w:sz w:val="21"/>
                <w:szCs w:val="21"/>
              </w:rPr>
              <w:t>必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346BD450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27BCD582" w14:textId="615D097D" w:rsidR="00697BB8" w:rsidRDefault="00023BD7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697BB8" w14:paraId="285932E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8442F1E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AD06B82" w14:textId="1422E019" w:rsidR="00697BB8" w:rsidRDefault="000A4DC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《系统解剖学》（柏树令、应大君主编，人民卫生出版社）；《生理学》（王庭</w:t>
            </w:r>
            <w:proofErr w:type="gramStart"/>
            <w:r w:rsidRPr="000A4DC2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槐</w:t>
            </w:r>
            <w:proofErr w:type="gramEnd"/>
            <w:r w:rsidRPr="000A4DC2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主编，人民卫生出版社）</w:t>
            </w:r>
          </w:p>
        </w:tc>
        <w:tc>
          <w:tcPr>
            <w:tcW w:w="1413" w:type="dxa"/>
            <w:gridSpan w:val="2"/>
            <w:vAlign w:val="center"/>
          </w:tcPr>
          <w:p w14:paraId="28B963B9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B336FAB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vAlign w:val="center"/>
          </w:tcPr>
          <w:p w14:paraId="2F4FED8E" w14:textId="77777777" w:rsidR="00697BB8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97BB8" w14:paraId="4F983374" w14:textId="77777777">
        <w:trPr>
          <w:trHeight w:val="469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103C635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906" w:type="dxa"/>
            <w:gridSpan w:val="6"/>
            <w:tcBorders>
              <w:right w:val="single" w:sz="12" w:space="0" w:color="auto"/>
            </w:tcBorders>
            <w:vAlign w:val="center"/>
          </w:tcPr>
          <w:p w14:paraId="08D78865" w14:textId="77777777" w:rsidR="00697BB8" w:rsidRDefault="00000000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697BB8" w14:paraId="7D0F5B1A" w14:textId="77777777">
        <w:trPr>
          <w:trHeight w:val="3341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CFAC74A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906" w:type="dxa"/>
            <w:gridSpan w:val="6"/>
            <w:tcBorders>
              <w:right w:val="single" w:sz="12" w:space="0" w:color="auto"/>
            </w:tcBorders>
          </w:tcPr>
          <w:p w14:paraId="5DC22B98" w14:textId="12A7016B" w:rsidR="00697BB8" w:rsidRDefault="00023BD7">
            <w:pPr>
              <w:pStyle w:val="DG0"/>
              <w:ind w:firstLineChars="200" w:firstLine="420"/>
              <w:jc w:val="both"/>
            </w:pPr>
            <w:r w:rsidRPr="00023BD7">
              <w:rPr>
                <w:rFonts w:hint="eastAsia"/>
              </w:rPr>
              <w:t>《人体解剖生理学》是医学及相关专业的一门核心专业基础课程。本课程系统阐述人体各器官系统的正常形态结构（解剖学）和生命活动规律及其功能（生理学）。课程内容涵盖运动系统、消化系统、呼吸系统、泌尿系统、生殖系统、脉管系统、感觉器、神经系统和内分泌系统等。通过学习，学生将掌握人体的基本构成和生命现象的原理，为后续</w:t>
            </w:r>
            <w:r>
              <w:rPr>
                <w:rFonts w:hint="eastAsia"/>
              </w:rPr>
              <w:t>医疗器械概论、医学影像课程</w:t>
            </w:r>
            <w:r w:rsidRPr="00023BD7">
              <w:rPr>
                <w:rFonts w:hint="eastAsia"/>
              </w:rPr>
              <w:t>等奠定坚实的形态学和功能学基础，并培养学生建立严谨的科学思维和敬畏生命的职业素养。</w:t>
            </w:r>
          </w:p>
        </w:tc>
      </w:tr>
      <w:tr w:rsidR="00697BB8" w14:paraId="58822CF6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127026F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906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0953E41" w14:textId="12BB7857" w:rsidR="00697BB8" w:rsidRDefault="00000000">
            <w:pPr>
              <w:pStyle w:val="DG0"/>
              <w:jc w:val="both"/>
            </w:pPr>
            <w:r>
              <w:rPr>
                <w:rFonts w:hint="eastAsia"/>
              </w:rPr>
              <w:t xml:space="preserve">  </w:t>
            </w:r>
            <w:r w:rsidR="00023BD7" w:rsidRPr="00023BD7">
              <w:rPr>
                <w:rFonts w:hint="eastAsia"/>
              </w:rPr>
              <w:t>本课程需要学生具备一定的生物学基础知识。课程知识体系庞大，内容联系紧密，要求学生具备较强的记忆、理解和空间想象能力。学习过程中应重视理论联系实际，充分利用标本、模型、虚拟软件等学习工具，勤于观察和思考，积极参与实验操作，以加深对复杂人体结构与功能的理解和掌握。</w:t>
            </w:r>
          </w:p>
        </w:tc>
      </w:tr>
      <w:tr w:rsidR="00697BB8" w14:paraId="5EFA8307" w14:textId="77777777">
        <w:trPr>
          <w:trHeight w:val="60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03C20C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C37F052" w14:textId="0175129B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90B48D7" w14:textId="77777777" w:rsidR="00697BB8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94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0F62BC8" w14:textId="36B73C52" w:rsidR="00697BB8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2025.0</w:t>
            </w:r>
            <w:r w:rsidR="0014628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697BB8" w14:paraId="475B73B0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B81888C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3603701" w14:textId="297BF665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D2AFA87" w14:textId="77777777" w:rsidR="00697BB8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949" w:type="dxa"/>
            <w:gridSpan w:val="2"/>
            <w:tcBorders>
              <w:right w:val="single" w:sz="12" w:space="0" w:color="auto"/>
            </w:tcBorders>
            <w:vAlign w:val="center"/>
          </w:tcPr>
          <w:p w14:paraId="54D9ECBA" w14:textId="3D2BEDB6" w:rsidR="00697BB8" w:rsidRDefault="00697BB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97BB8" w14:paraId="0C6EC05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71F1CB" w14:textId="77777777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055BDD5" w14:textId="13A84375" w:rsidR="00697BB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46059FE" w14:textId="77777777" w:rsidR="00697BB8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94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690EEF" w14:textId="594B411F" w:rsidR="00697BB8" w:rsidRDefault="00697BB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FD68BF3" w14:textId="77777777" w:rsidR="00697BB8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4C3ACCA" w14:textId="77777777" w:rsidR="00697BB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51C88E1C" w14:textId="77777777" w:rsidR="00697BB8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40"/>
        <w:gridCol w:w="787"/>
        <w:gridCol w:w="6471"/>
      </w:tblGrid>
      <w:tr w:rsidR="00697BB8" w14:paraId="6F3BBDA8" w14:textId="77777777">
        <w:trPr>
          <w:trHeight w:val="454"/>
          <w:jc w:val="center"/>
        </w:trPr>
        <w:tc>
          <w:tcPr>
            <w:tcW w:w="1267" w:type="dxa"/>
            <w:vAlign w:val="center"/>
          </w:tcPr>
          <w:p w14:paraId="1600A204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802" w:type="dxa"/>
            <w:vAlign w:val="center"/>
          </w:tcPr>
          <w:p w14:paraId="31541EC3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29" w:type="dxa"/>
            <w:vAlign w:val="center"/>
          </w:tcPr>
          <w:p w14:paraId="032CF83C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97BB8" w14:paraId="14ED6117" w14:textId="77777777">
        <w:trPr>
          <w:trHeight w:val="340"/>
          <w:jc w:val="center"/>
        </w:trPr>
        <w:tc>
          <w:tcPr>
            <w:tcW w:w="1267" w:type="dxa"/>
            <w:vAlign w:val="center"/>
          </w:tcPr>
          <w:p w14:paraId="61E7C826" w14:textId="77777777" w:rsidR="00697BB8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802" w:type="dxa"/>
            <w:vAlign w:val="center"/>
          </w:tcPr>
          <w:p w14:paraId="13F63CCA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29" w:type="dxa"/>
            <w:vAlign w:val="center"/>
          </w:tcPr>
          <w:p w14:paraId="5B22F5AD" w14:textId="77777777" w:rsidR="00023BD7" w:rsidRDefault="00023BD7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23BD7">
              <w:rPr>
                <w:rFonts w:ascii="宋体" w:hAnsi="宋体" w:hint="eastAsia"/>
                <w:bCs/>
              </w:rPr>
              <w:t>系统掌握人体各系统、器官的正常形态结构、位置毗邻及基本功能</w:t>
            </w:r>
            <w:r>
              <w:rPr>
                <w:rFonts w:ascii="宋体" w:hAnsi="宋体" w:hint="eastAsia"/>
                <w:bCs/>
              </w:rPr>
              <w:t>；</w:t>
            </w:r>
          </w:p>
          <w:p w14:paraId="6886C2D5" w14:textId="5BF4D883" w:rsidR="00697BB8" w:rsidRDefault="00023BD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023BD7">
              <w:rPr>
                <w:rFonts w:ascii="宋体" w:hAnsi="宋体" w:hint="eastAsia"/>
                <w:bCs/>
              </w:rPr>
              <w:t>理解人体各系统生命活动的基本过程、发生原理、调节机制及内在联系。</w:t>
            </w:r>
          </w:p>
        </w:tc>
      </w:tr>
      <w:tr w:rsidR="00697BB8" w14:paraId="21739613" w14:textId="77777777">
        <w:trPr>
          <w:trHeight w:val="340"/>
          <w:jc w:val="center"/>
        </w:trPr>
        <w:tc>
          <w:tcPr>
            <w:tcW w:w="1267" w:type="dxa"/>
            <w:vAlign w:val="center"/>
          </w:tcPr>
          <w:p w14:paraId="71B25E8F" w14:textId="77777777" w:rsidR="00697BB8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802" w:type="dxa"/>
            <w:vAlign w:val="center"/>
          </w:tcPr>
          <w:p w14:paraId="62E27E6C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29" w:type="dxa"/>
            <w:vAlign w:val="center"/>
          </w:tcPr>
          <w:p w14:paraId="72A9176E" w14:textId="77777777" w:rsidR="00023BD7" w:rsidRDefault="00023BD7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23BD7">
              <w:rPr>
                <w:rFonts w:ascii="宋体" w:hAnsi="宋体" w:hint="eastAsia"/>
                <w:bCs/>
              </w:rPr>
              <w:t>能够准确辨认人体主要器官的形态结构（通过标本、模型等）；具备初步的活体体表定位和触诊能力</w:t>
            </w:r>
            <w:r>
              <w:rPr>
                <w:rFonts w:ascii="宋体" w:hAnsi="宋体" w:hint="eastAsia"/>
                <w:bCs/>
              </w:rPr>
              <w:t>；</w:t>
            </w:r>
          </w:p>
          <w:p w14:paraId="2618D36C" w14:textId="1619B107" w:rsidR="00697BB8" w:rsidRDefault="00023BD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023BD7">
              <w:rPr>
                <w:rFonts w:ascii="宋体" w:hAnsi="宋体" w:hint="eastAsia"/>
                <w:bCs/>
              </w:rPr>
              <w:t>能够运用生理学知识解释正常生命现象，初步分析机体功能活动的调节过程。</w:t>
            </w:r>
          </w:p>
        </w:tc>
      </w:tr>
      <w:tr w:rsidR="00697BB8" w14:paraId="28113A10" w14:textId="77777777">
        <w:trPr>
          <w:trHeight w:val="340"/>
          <w:jc w:val="center"/>
        </w:trPr>
        <w:tc>
          <w:tcPr>
            <w:tcW w:w="1267" w:type="dxa"/>
            <w:vMerge w:val="restart"/>
            <w:vAlign w:val="center"/>
          </w:tcPr>
          <w:p w14:paraId="6A512773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6634ABB" w14:textId="77777777" w:rsidR="00697BB8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802" w:type="dxa"/>
            <w:vAlign w:val="center"/>
          </w:tcPr>
          <w:p w14:paraId="6A36CD9C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29" w:type="dxa"/>
            <w:vAlign w:val="center"/>
          </w:tcPr>
          <w:p w14:paraId="537AC62B" w14:textId="0289D9E1" w:rsidR="00697BB8" w:rsidRDefault="00023BD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023BD7">
              <w:rPr>
                <w:rFonts w:ascii="宋体" w:hAnsi="宋体" w:hint="eastAsia"/>
                <w:bCs/>
              </w:rPr>
              <w:t>培养严谨求实的科学态度、理论联系实际的学风和敬畏生命的医学人文精神。树立为人民健康服务的专业理想，恪守职业道德。</w:t>
            </w:r>
          </w:p>
        </w:tc>
      </w:tr>
      <w:tr w:rsidR="00697BB8" w14:paraId="73496CFC" w14:textId="77777777">
        <w:trPr>
          <w:trHeight w:val="340"/>
          <w:jc w:val="center"/>
        </w:trPr>
        <w:tc>
          <w:tcPr>
            <w:tcW w:w="1267" w:type="dxa"/>
            <w:vMerge/>
            <w:vAlign w:val="center"/>
          </w:tcPr>
          <w:p w14:paraId="37ED3481" w14:textId="77777777" w:rsidR="00697BB8" w:rsidRDefault="00697BB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802" w:type="dxa"/>
            <w:vAlign w:val="center"/>
          </w:tcPr>
          <w:p w14:paraId="220417A6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29" w:type="dxa"/>
            <w:vAlign w:val="center"/>
          </w:tcPr>
          <w:p w14:paraId="120C0C88" w14:textId="14F876C4" w:rsidR="00697BB8" w:rsidRDefault="00023BD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023BD7">
              <w:rPr>
                <w:rFonts w:ascii="宋体" w:hAnsi="宋体" w:hint="eastAsia"/>
                <w:bCs/>
              </w:rPr>
              <w:t>培养团队协作能力，在实验和小组学习中能主动担当、密切配合，共同完成任务。</w:t>
            </w:r>
          </w:p>
        </w:tc>
      </w:tr>
    </w:tbl>
    <w:p w14:paraId="04549A49" w14:textId="77777777" w:rsidR="00697BB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CAFA641" w14:textId="77777777" w:rsidR="00697BB8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697BB8" w14:paraId="7DB710D6" w14:textId="77777777" w:rsidTr="00500B66">
        <w:tc>
          <w:tcPr>
            <w:tcW w:w="8498" w:type="dxa"/>
          </w:tcPr>
          <w:p w14:paraId="366826EC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  <w:r w:rsidRPr="00500B66">
              <w:rPr>
                <w:rFonts w:ascii="宋体" w:hAnsi="宋体" w:hint="eastAsia"/>
                <w:bCs/>
              </w:rPr>
              <w:t>第一单元</w:t>
            </w:r>
            <w:r w:rsidRPr="00500B66">
              <w:rPr>
                <w:rFonts w:ascii="宋体" w:hAnsi="宋体"/>
                <w:bCs/>
              </w:rPr>
              <w:t xml:space="preserve"> 绪论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 xml:space="preserve"> </w:t>
            </w:r>
          </w:p>
          <w:p w14:paraId="15747A51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知识点：人体解剖生理学的研究对象和任务、常用术语、人体的分部和器官系统、生命活动的基本特征、内环境与稳态。 </w:t>
            </w:r>
          </w:p>
          <w:p w14:paraId="7FD253D6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能力要求：能正确使用解剖学术语，概述稳态的概念和意义。 </w:t>
            </w:r>
          </w:p>
          <w:p w14:paraId="3AC59625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教学重难点： </w:t>
            </w:r>
          </w:p>
          <w:p w14:paraId="16D0DEEE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重点：解剖学标准姿势和方位术语，稳态的概念。 </w:t>
            </w:r>
          </w:p>
          <w:p w14:paraId="2730298F" w14:textId="491DC9BB" w:rsidR="00697BB8" w:rsidRDefault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ascii="宋体" w:hAnsi="宋体"/>
                <w:bCs/>
              </w:rPr>
              <w:t>难点：人体结构的分层次与整体统一性理解。</w:t>
            </w:r>
          </w:p>
        </w:tc>
      </w:tr>
      <w:tr w:rsidR="00697BB8" w14:paraId="528C1007" w14:textId="77777777" w:rsidTr="00500B66">
        <w:tc>
          <w:tcPr>
            <w:tcW w:w="8498" w:type="dxa"/>
          </w:tcPr>
          <w:p w14:paraId="13E911E4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t>第二单元</w:t>
            </w:r>
            <w:r w:rsidRPr="00500B66">
              <w:rPr>
                <w:rFonts w:ascii="宋体" w:hAnsi="宋体"/>
                <w:bCs/>
              </w:rPr>
              <w:t xml:space="preserve"> 运动系统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 xml:space="preserve"> </w:t>
            </w:r>
          </w:p>
          <w:p w14:paraId="55C91C89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知识点：骨、骨连结、骨骼肌的形态结构和功能。 </w:t>
            </w:r>
          </w:p>
          <w:p w14:paraId="273CBD4E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能力要求：能辨认主要骨的形态、主要关节的构成和运动方式、主要肌肉的位置与功能。 </w:t>
            </w:r>
          </w:p>
          <w:p w14:paraId="3F3D67D5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教学重难点： </w:t>
            </w:r>
          </w:p>
          <w:p w14:paraId="7492A91E" w14:textId="77777777" w:rsidR="00500B66" w:rsidRDefault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/>
                <w:bCs/>
              </w:rPr>
              <w:t xml:space="preserve">重点：全身主要骨的名称位置，重要关节的结构与运动，主要肌肉的配布和作用。 </w:t>
            </w:r>
          </w:p>
          <w:p w14:paraId="2706FFB2" w14:textId="31C52E6C" w:rsidR="00697BB8" w:rsidRDefault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ascii="宋体" w:hAnsi="宋体"/>
                <w:bCs/>
              </w:rPr>
              <w:t>难点：肌肉的协同与拮抗作用机制。</w:t>
            </w:r>
          </w:p>
        </w:tc>
      </w:tr>
      <w:bookmarkEnd w:id="0"/>
      <w:bookmarkEnd w:id="1"/>
      <w:tr w:rsidR="00697BB8" w14:paraId="18ECBA23" w14:textId="77777777" w:rsidTr="00500B66">
        <w:tc>
          <w:tcPr>
            <w:tcW w:w="8498" w:type="dxa"/>
          </w:tcPr>
          <w:p w14:paraId="43B7178F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t>第三单元</w:t>
            </w:r>
            <w:r w:rsidRPr="00500B66">
              <w:rPr>
                <w:rFonts w:ascii="宋体" w:hAnsi="宋体"/>
                <w:bCs/>
              </w:rPr>
              <w:t xml:space="preserve"> 消化系统</w:t>
            </w:r>
            <w:r w:rsidRPr="00500B66">
              <w:rPr>
                <w:rFonts w:cs="Times New Roman"/>
                <w:bCs/>
              </w:rPr>
              <w:t>​</w:t>
            </w:r>
          </w:p>
          <w:p w14:paraId="620F92FA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知识点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：消化管（口腔、咽、食管、胃、小肠、大肠）和消化腺（唾液腺、肝、胰）的形态结构、位置毗邻及功能；消化过程的生理调节（神经、体液）。</w:t>
            </w:r>
          </w:p>
          <w:p w14:paraId="0A866C59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能力要求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：能辨认消化系统各器官的形态和位置；阐述食物在消化道内的消化、吸收过程及其调节。</w:t>
            </w:r>
          </w:p>
          <w:p w14:paraId="61F7388B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教学重难点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</w:t>
            </w:r>
          </w:p>
          <w:p w14:paraId="64411EC3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lastRenderedPageBreak/>
              <w:t>​</w:t>
            </w:r>
            <w:r w:rsidRPr="00500B66">
              <w:rPr>
                <w:rFonts w:ascii="宋体" w:hAnsi="宋体"/>
                <w:bCs/>
              </w:rPr>
              <w:t>重点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：食管三个狭窄、胃的形态分部与壁细胞功能、肝小叶的微细结构、胆汁的分泌与排出途径、胰腺的内外分泌功能。</w:t>
            </w:r>
          </w:p>
          <w:p w14:paraId="01B1B155" w14:textId="3145F8C1" w:rsidR="00697BB8" w:rsidRDefault="00500B66" w:rsidP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：消化液分泌的神经体液调节（如胃液头期、胃期、肠期的分泌调节）；肝脏在物质代谢中的核心作用。</w:t>
            </w:r>
          </w:p>
        </w:tc>
      </w:tr>
      <w:tr w:rsidR="00697BB8" w14:paraId="6B4AFB74" w14:textId="77777777" w:rsidTr="00500B66">
        <w:tc>
          <w:tcPr>
            <w:tcW w:w="8498" w:type="dxa"/>
          </w:tcPr>
          <w:p w14:paraId="538C0AFE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lastRenderedPageBreak/>
              <w:t>第四单元</w:t>
            </w:r>
            <w:r w:rsidRPr="00500B66">
              <w:rPr>
                <w:rFonts w:ascii="宋体" w:hAnsi="宋体"/>
                <w:bCs/>
              </w:rPr>
              <w:t xml:space="preserve"> 呼吸系统</w:t>
            </w:r>
            <w:r w:rsidRPr="00500B66">
              <w:rPr>
                <w:rFonts w:cs="Times New Roman"/>
                <w:bCs/>
              </w:rPr>
              <w:t>​</w:t>
            </w:r>
          </w:p>
          <w:p w14:paraId="3E8EA4FD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知识点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：呼吸道（鼻、咽、喉、气管、支气管）和肺的形态结构；胸膜与胸膜腔的概念；肺通气的动力与阻力，气体交换与运输，呼吸运动的调节。</w:t>
            </w:r>
          </w:p>
          <w:p w14:paraId="015C5B46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能力要求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：能辨认呼吸道和肺的形态结构；解释肺通气和肺换气的原理；分析氧气和二氧化碳在血液中的运输方式。</w:t>
            </w:r>
          </w:p>
          <w:p w14:paraId="4F264C58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教学重难点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</w:t>
            </w:r>
          </w:p>
          <w:p w14:paraId="0B4BA37D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重点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：肺的导气部和呼吸部的结构特点；呼吸膜的概念；胸内负压的意义；氧解离曲线及其影响因素。</w:t>
            </w:r>
          </w:p>
          <w:p w14:paraId="1F7875C6" w14:textId="6FCBB757" w:rsidR="00697BB8" w:rsidRDefault="00500B66" w:rsidP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：呼吸节律的产生与化学感受性反射（CO2、H+、O2对呼吸的调节）。</w:t>
            </w:r>
          </w:p>
        </w:tc>
      </w:tr>
      <w:tr w:rsidR="00697BB8" w14:paraId="3FD5CA16" w14:textId="77777777" w:rsidTr="00500B66">
        <w:tc>
          <w:tcPr>
            <w:tcW w:w="8498" w:type="dxa"/>
          </w:tcPr>
          <w:p w14:paraId="122A4879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t>第五单元</w:t>
            </w:r>
            <w:r w:rsidRPr="00500B66">
              <w:rPr>
                <w:rFonts w:ascii="宋体" w:hAnsi="宋体"/>
                <w:bCs/>
              </w:rPr>
              <w:t xml:space="preserve"> 泌尿系统</w:t>
            </w:r>
            <w:r w:rsidRPr="00500B66">
              <w:rPr>
                <w:rFonts w:cs="Times New Roman"/>
                <w:bCs/>
              </w:rPr>
              <w:t>​</w:t>
            </w:r>
          </w:p>
          <w:p w14:paraId="7B2B044E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知识点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：肾、输尿管、膀胱、尿道的形态结构；肾单位的微细结构与功能；尿生成的过程（滤过、重吸收、分泌）及其调节；排尿反射。</w:t>
            </w:r>
          </w:p>
          <w:p w14:paraId="3C511922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能力要求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：能辨认泌尿系统各器官的形态与位置；阐述尿生成的基本过程及影响因素；解释肾脏在维持水、电解质和酸碱平衡中的作用。</w:t>
            </w:r>
          </w:p>
          <w:p w14:paraId="0E3DEF84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教学重难点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</w:t>
            </w:r>
          </w:p>
          <w:p w14:paraId="791A5D56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重点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：肾小体的滤过屏障；肾小球滤过率的影响因素；Na+、水、葡萄糖的重吸收机制（尤其是近端小管）；抗利尿激素和醛固酮对尿生成的调节。</w:t>
            </w:r>
          </w:p>
          <w:p w14:paraId="09634189" w14:textId="037BA9E7" w:rsidR="00697BB8" w:rsidRDefault="00500B66" w:rsidP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：肾髓质高渗梯度的形成与逆流倍增机制。</w:t>
            </w:r>
          </w:p>
        </w:tc>
      </w:tr>
      <w:tr w:rsidR="00697BB8" w14:paraId="6375C10D" w14:textId="77777777" w:rsidTr="00500B66">
        <w:tc>
          <w:tcPr>
            <w:tcW w:w="8498" w:type="dxa"/>
          </w:tcPr>
          <w:p w14:paraId="4C0768F3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t>第六单元</w:t>
            </w:r>
            <w:r w:rsidRPr="00500B66">
              <w:rPr>
                <w:rFonts w:ascii="宋体" w:hAnsi="宋体"/>
                <w:bCs/>
              </w:rPr>
              <w:t xml:space="preserve"> 生殖系统</w:t>
            </w:r>
            <w:r w:rsidRPr="00500B66">
              <w:rPr>
                <w:rFonts w:cs="Times New Roman"/>
                <w:bCs/>
              </w:rPr>
              <w:t>​</w:t>
            </w:r>
          </w:p>
          <w:p w14:paraId="53521110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知识点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：男性内、外生殖器（睾丸、附睾、输精管、前列腺等）的形态结构；女性内、外生殖器（卵巢、输卵管、子宫、阴道等）的形态结构；卵巢与睾丸的功能；月经周期的激素调节。</w:t>
            </w:r>
          </w:p>
          <w:p w14:paraId="0E65640A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能力要求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：能辨认男、女性生殖系统各器官的形态与位置；阐述精子发生和卵泡发育的过程；解释月经周期中子宫内膜的周期性变化与激素调节的关系。</w:t>
            </w:r>
          </w:p>
          <w:p w14:paraId="62BB8336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教学重难点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</w:t>
            </w:r>
          </w:p>
          <w:p w14:paraId="4EA59591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重点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：睾丸间质细胞和支持细胞的功能；卵巢排卵与黄体的形成；子宫的形态、分部及固定装置；下丘脑-垂体-性腺轴的激素调节。</w:t>
            </w:r>
          </w:p>
          <w:p w14:paraId="4417E33F" w14:textId="4167CB8B" w:rsidR="00697BB8" w:rsidRDefault="00500B66" w:rsidP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：月经周期中雌激素、孕激素、FSH、LH的周期性变化及其正负反馈调节。</w:t>
            </w:r>
          </w:p>
        </w:tc>
      </w:tr>
      <w:tr w:rsidR="00697BB8" w14:paraId="5CD7433A" w14:textId="77777777" w:rsidTr="00500B66">
        <w:tc>
          <w:tcPr>
            <w:tcW w:w="8498" w:type="dxa"/>
          </w:tcPr>
          <w:p w14:paraId="3EAB84FA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t>第七单元</w:t>
            </w:r>
            <w:r w:rsidRPr="00500B66">
              <w:rPr>
                <w:rFonts w:ascii="宋体" w:hAnsi="宋体"/>
                <w:bCs/>
              </w:rPr>
              <w:t xml:space="preserve"> 感觉器</w:t>
            </w:r>
            <w:r w:rsidRPr="00500B66">
              <w:rPr>
                <w:rFonts w:cs="Times New Roman"/>
                <w:bCs/>
              </w:rPr>
              <w:t>​</w:t>
            </w:r>
          </w:p>
          <w:p w14:paraId="55193479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知识点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：视器（眼球壁、内容物、眼副器）的形态结构；前庭蜗器（外耳、中耳、内耳）的形态结构；视觉和听觉的感受原理与传导通路。</w:t>
            </w:r>
          </w:p>
          <w:p w14:paraId="42FEF500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能力要求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：能辨认眼球和耳的主要结构；阐述视觉和听觉的感受与传导过程；解释近视、远视、散光的成像原理。</w:t>
            </w:r>
          </w:p>
          <w:p w14:paraId="4A09E22F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教学重难点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</w:t>
            </w:r>
          </w:p>
          <w:p w14:paraId="7836EF1A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重点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：眼球屈光系统的组成及成像原理；声波的传导途径（气导）；感受器的一般生理特性（适宜刺激、换能作用等）。</w:t>
            </w:r>
          </w:p>
          <w:p w14:paraId="19A15219" w14:textId="6E7FA3F7" w:rsidR="00697BB8" w:rsidRDefault="00500B66" w:rsidP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：感光细胞的感光换能机制（视杆细胞的视紫红质光化学反应）；内耳对声音频率和强度的分析机制。</w:t>
            </w:r>
          </w:p>
        </w:tc>
      </w:tr>
      <w:tr w:rsidR="00697BB8" w14:paraId="2D87B47F" w14:textId="77777777" w:rsidTr="00500B66">
        <w:tc>
          <w:tcPr>
            <w:tcW w:w="8498" w:type="dxa"/>
          </w:tcPr>
          <w:p w14:paraId="461CB6E5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lastRenderedPageBreak/>
              <w:t>第八单元</w:t>
            </w:r>
            <w:r w:rsidRPr="00500B66">
              <w:rPr>
                <w:rFonts w:ascii="宋体" w:hAnsi="宋体"/>
                <w:bCs/>
              </w:rPr>
              <w:t xml:space="preserve"> 神经系统</w:t>
            </w:r>
            <w:r w:rsidRPr="00500B66">
              <w:rPr>
                <w:rFonts w:cs="Times New Roman"/>
                <w:bCs/>
              </w:rPr>
              <w:t>​</w:t>
            </w:r>
          </w:p>
          <w:p w14:paraId="56A14F66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知识点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中枢神经系统（脊髓、脑干、间脑、小脑、端脑）的形态结构与功能；周围神经系统（脊神经、脑神经）的分布；自主神经系统的功能；神经元活动的一般规律，感觉与运动传导通路，神经系统对内脏活动的调节。</w:t>
            </w:r>
          </w:p>
          <w:p w14:paraId="056FDE97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能力要求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：能辨认中枢神经各部的主要外形和内部结构；说出主要脑神经和脊神经丛的分布概况；比较交感神经与副交感神经的功能特点；阐述经典传导通路（如浅感觉、视觉、锥体系）的路径。</w:t>
            </w:r>
          </w:p>
          <w:p w14:paraId="2FBAF4DD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教学重难点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</w:t>
            </w:r>
          </w:p>
          <w:p w14:paraId="325089FE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重点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：脊髓灰质的功能柱；内囊的位置、分部及临床意义；大脑皮质的功能定位；脑脊液的循环途径；突触传递的过程与特征。</w:t>
            </w:r>
          </w:p>
          <w:p w14:paraId="40D459D9" w14:textId="56CAA898" w:rsidR="00697BB8" w:rsidRDefault="00500B66" w:rsidP="00500B6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：神经系统各级中枢对躯体运动和内脏活动的整合调节；感觉传入的皮质分析整合机制。</w:t>
            </w:r>
          </w:p>
        </w:tc>
      </w:tr>
      <w:tr w:rsidR="00697BB8" w14:paraId="157CBCE0" w14:textId="77777777" w:rsidTr="00500B66">
        <w:tc>
          <w:tcPr>
            <w:tcW w:w="8498" w:type="dxa"/>
          </w:tcPr>
          <w:p w14:paraId="0B075188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ascii="宋体" w:hAnsi="宋体" w:hint="eastAsia"/>
                <w:bCs/>
              </w:rPr>
              <w:t>第九单元</w:t>
            </w:r>
            <w:r w:rsidRPr="00500B66">
              <w:rPr>
                <w:rFonts w:ascii="宋体" w:hAnsi="宋体"/>
                <w:bCs/>
              </w:rPr>
              <w:t xml:space="preserve"> 内分泌系统</w:t>
            </w:r>
            <w:r w:rsidRPr="00500B66">
              <w:rPr>
                <w:rFonts w:cs="Times New Roman"/>
                <w:bCs/>
              </w:rPr>
              <w:t>​</w:t>
            </w:r>
          </w:p>
          <w:p w14:paraId="32CF89FA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知识点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：垂体、甲状腺、甲状旁腺、肾上腺、胰岛、性腺等内分泌腺的形态位置和微细结构；各主要激素的生理作用及其分泌调节。</w:t>
            </w:r>
          </w:p>
          <w:p w14:paraId="5EECFECE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能力要求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：能辨认主要内分泌腺的形态与位置；阐述主要激素（生长激素、甲状腺激素、胰岛素、糖皮质激素等）的生理作用及分泌异常所导致的疾病。</w:t>
            </w:r>
          </w:p>
          <w:p w14:paraId="44F80D83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教学重难点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</w:t>
            </w:r>
          </w:p>
          <w:p w14:paraId="7B2B2AE9" w14:textId="77777777" w:rsidR="00500B66" w:rsidRPr="00500B66" w:rsidRDefault="00500B66" w:rsidP="00500B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重点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：激素作用的一般特征；下丘脑与垂体的功能联系（垂体门脉系统）；甲状腺激素合成的过程与调节；胰岛素与胰高血糖素对血糖的调节。</w:t>
            </w:r>
          </w:p>
          <w:p w14:paraId="0095FFA3" w14:textId="421A220F" w:rsidR="00697BB8" w:rsidRDefault="00500B66" w:rsidP="00500B66">
            <w:pPr>
              <w:pStyle w:val="DG0"/>
              <w:jc w:val="left"/>
            </w:pP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难点</w:t>
            </w:r>
            <w:r w:rsidRPr="00500B66">
              <w:rPr>
                <w:rFonts w:cs="Times New Roman"/>
                <w:bCs/>
              </w:rPr>
              <w:t>​</w:t>
            </w:r>
            <w:r w:rsidRPr="00500B66">
              <w:rPr>
                <w:rFonts w:ascii="宋体" w:hAnsi="宋体"/>
                <w:bCs/>
              </w:rPr>
              <w:t>：激素作用的细胞机制（第二信使学说）；下丘脑-垂体-靶腺轴的反馈调节机制。</w:t>
            </w:r>
          </w:p>
        </w:tc>
      </w:tr>
      <w:tr w:rsidR="00697BB8" w14:paraId="0D1EEBC0" w14:textId="77777777" w:rsidTr="00500B66">
        <w:tc>
          <w:tcPr>
            <w:tcW w:w="8498" w:type="dxa"/>
          </w:tcPr>
          <w:p w14:paraId="755115FC" w14:textId="77777777" w:rsidR="00500B66" w:rsidRDefault="00500B66">
            <w:pPr>
              <w:pStyle w:val="DG0"/>
              <w:jc w:val="left"/>
            </w:pPr>
            <w:r w:rsidRPr="00500B66">
              <w:rPr>
                <w:rFonts w:hint="eastAsia"/>
              </w:rPr>
              <w:t>第十单元</w:t>
            </w:r>
            <w:r w:rsidRPr="00500B66">
              <w:t xml:space="preserve"> </w:t>
            </w:r>
            <w:r w:rsidRPr="00500B66">
              <w:t>神经系统</w:t>
            </w:r>
            <w:r w:rsidRPr="00500B66">
              <w:t xml:space="preserve">​ </w:t>
            </w:r>
          </w:p>
          <w:p w14:paraId="29524FF3" w14:textId="77777777" w:rsidR="00500B66" w:rsidRDefault="00500B66">
            <w:pPr>
              <w:pStyle w:val="DG0"/>
              <w:jc w:val="left"/>
            </w:pPr>
            <w:r w:rsidRPr="00500B66">
              <w:t>知识点：中枢神经系统和周围神经系统的组成和结构，神经系统活动的一般规律，感觉分析功能，神经系统对躯体运动和内脏活动的调节。</w:t>
            </w:r>
            <w:r w:rsidRPr="00500B66">
              <w:t xml:space="preserve"> </w:t>
            </w:r>
          </w:p>
          <w:p w14:paraId="718F3C40" w14:textId="77777777" w:rsidR="00500B66" w:rsidRDefault="00500B66">
            <w:pPr>
              <w:pStyle w:val="DG0"/>
              <w:jc w:val="left"/>
            </w:pPr>
            <w:r w:rsidRPr="00500B66">
              <w:t>能力要求：能辨认脊髓、脑干、间脑、小脑、大脑的主要结构，解释神经调节的基本方式与过程。</w:t>
            </w:r>
            <w:r w:rsidRPr="00500B66">
              <w:t xml:space="preserve"> </w:t>
            </w:r>
          </w:p>
          <w:p w14:paraId="789C1507" w14:textId="77777777" w:rsidR="00500B66" w:rsidRDefault="00500B66">
            <w:pPr>
              <w:pStyle w:val="DG0"/>
              <w:jc w:val="left"/>
            </w:pPr>
            <w:r w:rsidRPr="00500B66">
              <w:t>教学重难点：</w:t>
            </w:r>
            <w:r w:rsidRPr="00500B66">
              <w:t xml:space="preserve"> </w:t>
            </w:r>
          </w:p>
          <w:p w14:paraId="1B140D00" w14:textId="77777777" w:rsidR="00500B66" w:rsidRDefault="00500B66">
            <w:pPr>
              <w:pStyle w:val="DG0"/>
              <w:jc w:val="left"/>
            </w:pPr>
            <w:r w:rsidRPr="00500B66">
              <w:t>重点：中枢神经各部的主要结构和功能，反射弧，自主神经系统的功能。</w:t>
            </w:r>
          </w:p>
          <w:p w14:paraId="55ADF1B7" w14:textId="16DF9998" w:rsidR="00697BB8" w:rsidRDefault="00500B66">
            <w:pPr>
              <w:pStyle w:val="DG0"/>
              <w:jc w:val="left"/>
            </w:pPr>
            <w:r w:rsidRPr="00500B66">
              <w:t xml:space="preserve"> </w:t>
            </w:r>
            <w:r w:rsidRPr="00500B66">
              <w:t>难点：神经信号的传导与传递，各级中枢对机体的整合调节功能。</w:t>
            </w:r>
          </w:p>
        </w:tc>
      </w:tr>
    </w:tbl>
    <w:p w14:paraId="455BEA86" w14:textId="77777777" w:rsidR="00697BB8" w:rsidRDefault="00697BB8">
      <w:pPr>
        <w:pStyle w:val="DG2"/>
        <w:spacing w:before="81" w:after="163"/>
      </w:pPr>
    </w:p>
    <w:p w14:paraId="205A9713" w14:textId="77777777" w:rsidR="00697BB8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46"/>
        <w:gridCol w:w="1878"/>
        <w:gridCol w:w="1740"/>
        <w:gridCol w:w="733"/>
        <w:gridCol w:w="676"/>
        <w:gridCol w:w="725"/>
      </w:tblGrid>
      <w:tr w:rsidR="000A4DC2" w14:paraId="39625C27" w14:textId="77777777" w:rsidTr="000A4DC2">
        <w:trPr>
          <w:trHeight w:val="340"/>
          <w:jc w:val="center"/>
        </w:trPr>
        <w:tc>
          <w:tcPr>
            <w:tcW w:w="27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62898B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78" w:type="dxa"/>
            <w:vMerge w:val="restart"/>
            <w:tcBorders>
              <w:top w:val="single" w:sz="12" w:space="0" w:color="auto"/>
            </w:tcBorders>
            <w:vAlign w:val="center"/>
          </w:tcPr>
          <w:p w14:paraId="35438AF0" w14:textId="77777777" w:rsidR="00697BB8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7B35F32C" w14:textId="77777777" w:rsidR="00697BB8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3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BEE4F4" w14:textId="77777777" w:rsidR="00697BB8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0A4DC2" w14:paraId="6D06C00B" w14:textId="77777777" w:rsidTr="000A4DC2">
        <w:trPr>
          <w:trHeight w:val="340"/>
          <w:jc w:val="center"/>
        </w:trPr>
        <w:tc>
          <w:tcPr>
            <w:tcW w:w="2746" w:type="dxa"/>
            <w:vMerge/>
            <w:tcBorders>
              <w:left w:val="single" w:sz="12" w:space="0" w:color="auto"/>
            </w:tcBorders>
          </w:tcPr>
          <w:p w14:paraId="0D761325" w14:textId="77777777" w:rsidR="00697BB8" w:rsidRDefault="00697BB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78" w:type="dxa"/>
            <w:vMerge/>
          </w:tcPr>
          <w:p w14:paraId="05C93728" w14:textId="77777777" w:rsidR="00697BB8" w:rsidRDefault="00697BB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40" w:type="dxa"/>
            <w:vMerge/>
          </w:tcPr>
          <w:p w14:paraId="13559C4D" w14:textId="77777777" w:rsidR="00697BB8" w:rsidRDefault="00697BB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659F43D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76" w:type="dxa"/>
            <w:vAlign w:val="center"/>
          </w:tcPr>
          <w:p w14:paraId="53FB9FD3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772F4F6B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0A4DC2" w14:paraId="4D4AE7F1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37024FB9" w14:textId="77777777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 xml:space="preserve">第一单元 </w:t>
            </w:r>
            <w:r>
              <w:rPr>
                <w:rFonts w:ascii="宋体" w:hAnsi="宋体"/>
                <w:bCs/>
              </w:rPr>
              <w:t>绪论</w:t>
            </w:r>
          </w:p>
        </w:tc>
        <w:tc>
          <w:tcPr>
            <w:tcW w:w="1878" w:type="dxa"/>
            <w:vAlign w:val="center"/>
          </w:tcPr>
          <w:p w14:paraId="6EB92B12" w14:textId="77777777" w:rsidR="00697BB8" w:rsidRDefault="00000000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50B63A96" w14:textId="0101B751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79F27FCE" w14:textId="2B8F02F0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671DF094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02A34997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7F817A6B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4DB0EA56" w14:textId="42FF500E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 xml:space="preserve">第二单元 </w:t>
            </w:r>
            <w:r w:rsidR="00500B66">
              <w:rPr>
                <w:rFonts w:ascii="宋体" w:hAnsi="宋体" w:hint="eastAsia"/>
                <w:bCs/>
              </w:rPr>
              <w:t>运动系统</w:t>
            </w:r>
          </w:p>
        </w:tc>
        <w:tc>
          <w:tcPr>
            <w:tcW w:w="1878" w:type="dxa"/>
            <w:vAlign w:val="center"/>
          </w:tcPr>
          <w:p w14:paraId="171AB14C" w14:textId="77777777" w:rsidR="00697BB8" w:rsidRDefault="00000000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76107218" w14:textId="0EF4D1F6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6FF5F97A" w14:textId="77777777" w:rsidR="00697BB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76" w:type="dxa"/>
            <w:vAlign w:val="center"/>
          </w:tcPr>
          <w:p w14:paraId="4A70B9C7" w14:textId="66ABB343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6193D5E4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1B0EE5A4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25425EF9" w14:textId="0DED02B5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 xml:space="preserve">第三单元 </w:t>
            </w:r>
            <w:r w:rsidR="00500B66">
              <w:rPr>
                <w:rFonts w:ascii="宋体" w:hAnsi="宋体" w:hint="eastAsia"/>
                <w:bCs/>
              </w:rPr>
              <w:t>血液与循环系统</w:t>
            </w:r>
          </w:p>
        </w:tc>
        <w:tc>
          <w:tcPr>
            <w:tcW w:w="1878" w:type="dxa"/>
            <w:vAlign w:val="center"/>
          </w:tcPr>
          <w:p w14:paraId="4CA877FA" w14:textId="1F621E71" w:rsidR="00697BB8" w:rsidRDefault="00000000" w:rsidP="000A4DC2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760F8F8D" w14:textId="14B9FD2B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4E031D57" w14:textId="7DFFBEDA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68897C07" w14:textId="640909D3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7D68082F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2C39AF2A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258C9414" w14:textId="09E88479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 xml:space="preserve">第四单元 </w:t>
            </w:r>
            <w:r w:rsidR="000A4DC2">
              <w:rPr>
                <w:rFonts w:ascii="宋体" w:hAnsi="宋体" w:hint="eastAsia"/>
                <w:bCs/>
              </w:rPr>
              <w:t>消化系统</w:t>
            </w:r>
          </w:p>
        </w:tc>
        <w:tc>
          <w:tcPr>
            <w:tcW w:w="1878" w:type="dxa"/>
            <w:vAlign w:val="center"/>
          </w:tcPr>
          <w:p w14:paraId="1D199264" w14:textId="77777777" w:rsidR="00697BB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7911D8F9" w14:textId="612178F9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3CBDAFB5" w14:textId="77777777" w:rsidR="00697BB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76" w:type="dxa"/>
            <w:vAlign w:val="center"/>
          </w:tcPr>
          <w:p w14:paraId="540A9848" w14:textId="49CAC07D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3580E0B7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2937D50F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3C019A33" w14:textId="57F73AA8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>第五单元 呼吸</w:t>
            </w:r>
            <w:r w:rsidR="000A4DC2">
              <w:rPr>
                <w:rFonts w:ascii="宋体" w:hAnsi="宋体" w:hint="eastAsia"/>
                <w:bCs/>
              </w:rPr>
              <w:t>系统</w:t>
            </w:r>
          </w:p>
        </w:tc>
        <w:tc>
          <w:tcPr>
            <w:tcW w:w="1878" w:type="dxa"/>
            <w:vAlign w:val="center"/>
          </w:tcPr>
          <w:p w14:paraId="24857C5B" w14:textId="77777777" w:rsidR="00697BB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30008321" w14:textId="395564EB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1EB35B30" w14:textId="77777777" w:rsidR="00697BB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61BDFDE1" w14:textId="02475747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50C1787B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5670992A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5DF57A23" w14:textId="14F50825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lastRenderedPageBreak/>
              <w:t xml:space="preserve">第六单元 </w:t>
            </w:r>
            <w:r w:rsidR="000A4DC2">
              <w:rPr>
                <w:rFonts w:ascii="宋体" w:hAnsi="宋体" w:hint="eastAsia"/>
                <w:bCs/>
              </w:rPr>
              <w:t>泌尿系统</w:t>
            </w:r>
          </w:p>
        </w:tc>
        <w:tc>
          <w:tcPr>
            <w:tcW w:w="1878" w:type="dxa"/>
            <w:vAlign w:val="center"/>
          </w:tcPr>
          <w:p w14:paraId="2D5B7AD1" w14:textId="77777777" w:rsidR="00697BB8" w:rsidRDefault="00000000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bookmarkStart w:id="2" w:name="OLE_LINK7"/>
            <w:r>
              <w:rPr>
                <w:rFonts w:hint="eastAsia"/>
                <w:sz w:val="21"/>
                <w:szCs w:val="21"/>
              </w:rPr>
              <w:t>讲授法</w:t>
            </w:r>
            <w:bookmarkEnd w:id="2"/>
          </w:p>
        </w:tc>
        <w:tc>
          <w:tcPr>
            <w:tcW w:w="1740" w:type="dxa"/>
            <w:vAlign w:val="center"/>
          </w:tcPr>
          <w:p w14:paraId="29835F32" w14:textId="49943701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2FE7CEA4" w14:textId="77777777" w:rsidR="00697BB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76" w:type="dxa"/>
            <w:vAlign w:val="center"/>
          </w:tcPr>
          <w:p w14:paraId="6AEF3C5F" w14:textId="05EBE66F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76EBFDB2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47225870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38B0B1B5" w14:textId="579F71D5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 xml:space="preserve">第七单元 </w:t>
            </w:r>
            <w:r w:rsidR="000A4DC2">
              <w:rPr>
                <w:rFonts w:ascii="宋体" w:hAnsi="宋体" w:hint="eastAsia"/>
                <w:bCs/>
              </w:rPr>
              <w:t>生殖系统</w:t>
            </w:r>
          </w:p>
        </w:tc>
        <w:tc>
          <w:tcPr>
            <w:tcW w:w="1878" w:type="dxa"/>
            <w:vAlign w:val="center"/>
          </w:tcPr>
          <w:p w14:paraId="6D9E313C" w14:textId="5FC874EC" w:rsidR="00697BB8" w:rsidRDefault="000A4DC2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0A4DC2"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203C4F75" w14:textId="5C9AAF99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44C0F2A7" w14:textId="5749B628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3929BE85" w14:textId="45F3E72D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117EC398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25191F2D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0BA79FB3" w14:textId="2C362E52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 xml:space="preserve">第八单元 </w:t>
            </w:r>
            <w:r w:rsidR="000A4DC2">
              <w:rPr>
                <w:rFonts w:ascii="宋体" w:hAnsi="宋体" w:hint="eastAsia"/>
                <w:bCs/>
              </w:rPr>
              <w:t>感觉器</w:t>
            </w:r>
          </w:p>
        </w:tc>
        <w:tc>
          <w:tcPr>
            <w:tcW w:w="1878" w:type="dxa"/>
            <w:vAlign w:val="center"/>
          </w:tcPr>
          <w:p w14:paraId="60361653" w14:textId="5A0D80FB" w:rsidR="00697BB8" w:rsidRDefault="00000000" w:rsidP="000A4DC2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1603563B" w14:textId="4F350613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190FD460" w14:textId="531EE64E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76" w:type="dxa"/>
            <w:vAlign w:val="center"/>
          </w:tcPr>
          <w:p w14:paraId="0F533088" w14:textId="38F87252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05799A17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66DA0F57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4FCDCB60" w14:textId="4B064D2D" w:rsidR="00697BB8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>第九单元</w:t>
            </w:r>
            <w:r w:rsidR="000A4DC2" w:rsidRPr="000A4DC2">
              <w:rPr>
                <w:rFonts w:hint="eastAsia"/>
                <w:bCs/>
              </w:rPr>
              <w:t>内分泌系统</w:t>
            </w:r>
          </w:p>
        </w:tc>
        <w:tc>
          <w:tcPr>
            <w:tcW w:w="1878" w:type="dxa"/>
            <w:vAlign w:val="center"/>
          </w:tcPr>
          <w:p w14:paraId="25000D66" w14:textId="77777777" w:rsidR="00697BB8" w:rsidRDefault="00000000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0E0ECEA3" w14:textId="70BD6B91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6919E8C0" w14:textId="7A3EB7D2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22030E08" w14:textId="2E467B32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6A3DFB2E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223CD14B" w14:textId="77777777" w:rsidTr="000A4DC2">
        <w:trPr>
          <w:trHeight w:val="454"/>
          <w:jc w:val="center"/>
        </w:trPr>
        <w:tc>
          <w:tcPr>
            <w:tcW w:w="2746" w:type="dxa"/>
            <w:tcBorders>
              <w:left w:val="single" w:sz="12" w:space="0" w:color="auto"/>
            </w:tcBorders>
          </w:tcPr>
          <w:p w14:paraId="568B7191" w14:textId="0CF9B4F2" w:rsidR="00697BB8" w:rsidRDefault="00000000">
            <w:pPr>
              <w:pStyle w:val="DG0"/>
              <w:jc w:val="left"/>
            </w:pPr>
            <w:r>
              <w:rPr>
                <w:rFonts w:hint="eastAsia"/>
              </w:rPr>
              <w:t>第十单元</w:t>
            </w:r>
            <w:r>
              <w:rPr>
                <w:rFonts w:hint="eastAsia"/>
              </w:rPr>
              <w:t xml:space="preserve"> </w:t>
            </w:r>
            <w:r w:rsidR="000A4DC2" w:rsidRPr="000A4DC2">
              <w:rPr>
                <w:rFonts w:hint="eastAsia"/>
              </w:rPr>
              <w:t>神经系统</w:t>
            </w:r>
          </w:p>
        </w:tc>
        <w:tc>
          <w:tcPr>
            <w:tcW w:w="1878" w:type="dxa"/>
            <w:vAlign w:val="center"/>
          </w:tcPr>
          <w:p w14:paraId="3E90B645" w14:textId="77777777" w:rsidR="00697BB8" w:rsidRDefault="00000000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</w:tc>
        <w:tc>
          <w:tcPr>
            <w:tcW w:w="1740" w:type="dxa"/>
            <w:vAlign w:val="center"/>
          </w:tcPr>
          <w:p w14:paraId="50AD52CD" w14:textId="4E2BCA8A" w:rsidR="00697BB8" w:rsidRDefault="000A4DC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A4DC2">
              <w:rPr>
                <w:rFonts w:ascii="Times New Roman" w:hAnsi="Times New Roman" w:hint="eastAsia"/>
                <w:bCs/>
                <w:sz w:val="21"/>
                <w:szCs w:val="21"/>
              </w:rPr>
              <w:t>课件制作与演讲</w:t>
            </w:r>
          </w:p>
        </w:tc>
        <w:tc>
          <w:tcPr>
            <w:tcW w:w="733" w:type="dxa"/>
            <w:vAlign w:val="center"/>
          </w:tcPr>
          <w:p w14:paraId="244E653B" w14:textId="4381D3EB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6E8E4B58" w14:textId="60F10AF9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vAlign w:val="center"/>
          </w:tcPr>
          <w:p w14:paraId="63ED50AC" w14:textId="77777777" w:rsidR="00697BB8" w:rsidRDefault="00697BB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A4DC2" w14:paraId="41F5D6D2" w14:textId="77777777" w:rsidTr="000A4DC2">
        <w:trPr>
          <w:trHeight w:val="454"/>
          <w:jc w:val="center"/>
        </w:trPr>
        <w:tc>
          <w:tcPr>
            <w:tcW w:w="63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206718" w14:textId="77777777" w:rsidR="00697BB8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14:paraId="3E1FE92C" w14:textId="43F75BE8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14:paraId="69411493" w14:textId="58A23688" w:rsidR="00697BB8" w:rsidRDefault="000A4DC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7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BF3235" w14:textId="002790B6" w:rsidR="00697BB8" w:rsidRDefault="000A4DC2" w:rsidP="000A4DC2">
            <w:pPr>
              <w:snapToGrid w:val="0"/>
              <w:jc w:val="left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48</w:t>
            </w:r>
          </w:p>
        </w:tc>
      </w:tr>
    </w:tbl>
    <w:p w14:paraId="0D12671B" w14:textId="77777777" w:rsidR="00697BB8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98"/>
      </w:tblGrid>
      <w:tr w:rsidR="00697BB8" w14:paraId="0B1E4018" w14:textId="77777777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14:paraId="160A3647" w14:textId="77777777" w:rsidR="00697BB8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本门课程</w:t>
            </w:r>
            <w:proofErr w:type="gramStart"/>
            <w:r>
              <w:rPr>
                <w:rFonts w:hint="eastAsia"/>
              </w:rPr>
              <w:t>的思政设计</w:t>
            </w:r>
            <w:proofErr w:type="gramEnd"/>
            <w:r>
              <w:rPr>
                <w:rFonts w:hint="eastAsia"/>
              </w:rPr>
              <w:t>，旨在将专业教育与思想政治教育深度融合。通过引入行业英雄事迹、法律法规案例及实践活动，激发学生爱岗敬业的热情，培养对医疗器械专业的深厚兴趣与使命感。同时，强化法治观念，使学生熟悉并自觉遵守行业规范，树立高度的职业道德操守。</w:t>
            </w:r>
          </w:p>
          <w:p w14:paraId="20D0EF80" w14:textId="77777777" w:rsidR="00697BB8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课程采用以下教学方法：</w:t>
            </w:r>
          </w:p>
          <w:p w14:paraId="0A80D3B3" w14:textId="77777777" w:rsidR="00697BB8" w:rsidRDefault="00000000">
            <w:pPr>
              <w:pStyle w:val="DG0"/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）案例教学：通过真实或模拟的案例，让学生在分析中学习专业知识，同时思考职业道德与法律责任。</w:t>
            </w:r>
          </w:p>
          <w:p w14:paraId="0B463779" w14:textId="77777777" w:rsidR="00697BB8" w:rsidRDefault="00000000">
            <w:pPr>
              <w:pStyle w:val="DG0"/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）小组讨论与汇报：鼓励学生分组讨论，培养团队协作与沟通能力，通过汇报形式展示学习成果，增强自信心。</w:t>
            </w:r>
          </w:p>
          <w:p w14:paraId="1FCACE56" w14:textId="77777777" w:rsidR="00697BB8" w:rsidRDefault="00000000">
            <w:pPr>
              <w:pStyle w:val="DG0"/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）翻转课堂：利用网络资源进行课前预习，课堂上则侧重于问题探讨、案例分析等深度学习，提高学习效率。</w:t>
            </w:r>
          </w:p>
          <w:p w14:paraId="425A879E" w14:textId="77777777" w:rsidR="00697BB8" w:rsidRDefault="00000000">
            <w:pPr>
              <w:pStyle w:val="DG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）实践教学：加强实验、实训和社会实践环节，让学生在实践中学习、成长，锤炼专业技能和职业道德。</w:t>
            </w:r>
          </w:p>
          <w:p w14:paraId="26119217" w14:textId="77777777" w:rsidR="00697BB8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课程不仅传授专业知识与技能，更注重培养学生的职业精神、法治意识和职业道德操守，为培养高素质的医疗器械专业人才奠定坚实基础。</w:t>
            </w:r>
          </w:p>
        </w:tc>
      </w:tr>
    </w:tbl>
    <w:p w14:paraId="228D93FD" w14:textId="77777777" w:rsidR="00697BB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3"/>
      <w:bookmarkStart w:id="6" w:name="OLE_LINK4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1020"/>
        <w:gridCol w:w="1020"/>
        <w:gridCol w:w="1020"/>
        <w:gridCol w:w="1020"/>
        <w:gridCol w:w="706"/>
      </w:tblGrid>
      <w:tr w:rsidR="00697BB8" w14:paraId="3BF66931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2C731E63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7618EC2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4AE9DAA" w14:textId="77777777" w:rsidR="00697BB8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9E35FE5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2A591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97BB8" w14:paraId="2E3A6951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72E5B82" w14:textId="77777777" w:rsidR="00697BB8" w:rsidRDefault="00697BB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8797AD8" w14:textId="77777777" w:rsidR="00697BB8" w:rsidRDefault="00697BB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76A8A9B" w14:textId="77777777" w:rsidR="00697BB8" w:rsidRDefault="00697BB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vAlign w:val="center"/>
          </w:tcPr>
          <w:p w14:paraId="4D5449DA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14:paraId="35A21F9D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14:paraId="27A3A7B3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14:paraId="4C653373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173B02C" w14:textId="77777777" w:rsidR="00697BB8" w:rsidRDefault="00697BB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97BB8" w14:paraId="79E2403E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1E72065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AD27F9B" w14:textId="77777777" w:rsidR="00697BB8" w:rsidRDefault="00000000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8765100" w14:textId="77777777" w:rsidR="00697BB8" w:rsidRDefault="00000000">
            <w:pPr>
              <w:pStyle w:val="DG0"/>
            </w:pPr>
            <w:r>
              <w:rPr>
                <w:rFonts w:ascii="宋体" w:hAnsi="宋体" w:cs="Arial" w:hint="eastAsia"/>
                <w:bCs/>
              </w:rPr>
              <w:t>课程总结性报告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vAlign w:val="center"/>
          </w:tcPr>
          <w:p w14:paraId="5E0E31DC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</w:tcPr>
          <w:p w14:paraId="619B9BFD" w14:textId="77777777" w:rsidR="00697BB8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1020" w:type="dxa"/>
            <w:vAlign w:val="center"/>
          </w:tcPr>
          <w:p w14:paraId="29BC154C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</w:tcPr>
          <w:p w14:paraId="2F89DD07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6F115E8" w14:textId="77777777" w:rsidR="00697BB8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97BB8" w14:paraId="5BABF705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7C777FE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5333A6" w14:textId="77777777" w:rsidR="00697BB8" w:rsidRDefault="00000000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4F14232" w14:textId="77777777" w:rsidR="00697BB8" w:rsidRDefault="00000000">
            <w:pPr>
              <w:pStyle w:val="DG0"/>
            </w:pPr>
            <w:r>
              <w:rPr>
                <w:rFonts w:ascii="宋体" w:hAnsi="宋体" w:cs="Arial" w:hint="eastAsia"/>
                <w:bCs/>
              </w:rPr>
              <w:t>小组汇报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vAlign w:val="center"/>
          </w:tcPr>
          <w:p w14:paraId="5685384D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</w:tcPr>
          <w:p w14:paraId="4FCDCE65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</w:tcPr>
          <w:p w14:paraId="2573CC2A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</w:tcPr>
          <w:p w14:paraId="666C2812" w14:textId="77777777" w:rsidR="00697BB8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4A18F2" w14:textId="77777777" w:rsidR="00697BB8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97BB8" w14:paraId="1D46AF2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F30655D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EAD85DD" w14:textId="77777777" w:rsidR="00697BB8" w:rsidRDefault="00000000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F54A79" w14:textId="77777777" w:rsidR="00697BB8" w:rsidRDefault="00000000">
            <w:pPr>
              <w:pStyle w:val="DG0"/>
            </w:pPr>
            <w:r>
              <w:rPr>
                <w:rFonts w:ascii="宋体" w:hAnsi="宋体" w:cs="Arial" w:hint="eastAsia"/>
                <w:bCs/>
              </w:rPr>
              <w:t>调研报告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vAlign w:val="center"/>
          </w:tcPr>
          <w:p w14:paraId="4A36DFF8" w14:textId="77777777" w:rsidR="00697BB8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1020" w:type="dxa"/>
            <w:vAlign w:val="center"/>
          </w:tcPr>
          <w:p w14:paraId="363B0908" w14:textId="77777777" w:rsidR="00697BB8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1020" w:type="dxa"/>
            <w:vAlign w:val="center"/>
          </w:tcPr>
          <w:p w14:paraId="11D64CE1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</w:tcPr>
          <w:p w14:paraId="65500676" w14:textId="77777777" w:rsidR="00697BB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A14DBF2" w14:textId="77777777" w:rsidR="00697BB8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BBA35A6" w14:textId="77777777" w:rsidR="00697BB8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665"/>
        <w:gridCol w:w="1441"/>
        <w:gridCol w:w="1441"/>
        <w:gridCol w:w="1441"/>
        <w:gridCol w:w="1441"/>
        <w:gridCol w:w="1441"/>
      </w:tblGrid>
      <w:tr w:rsidR="00697BB8" w14:paraId="6858AD7E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71A8E9E8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目</w:t>
            </w:r>
          </w:p>
        </w:tc>
        <w:tc>
          <w:tcPr>
            <w:tcW w:w="648" w:type="dxa"/>
            <w:vMerge w:val="restart"/>
          </w:tcPr>
          <w:p w14:paraId="782269DB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课</w:t>
            </w:r>
          </w:p>
          <w:p w14:paraId="5B43EB12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579DFCC3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62F69BE8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9C7EFAB" w14:textId="77777777" w:rsidR="00697BB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76424B89" w14:textId="77777777" w:rsidR="00697BB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697BB8" w14:paraId="45213FC5" w14:textId="77777777">
        <w:trPr>
          <w:trHeight w:val="283"/>
        </w:trPr>
        <w:tc>
          <w:tcPr>
            <w:tcW w:w="613" w:type="dxa"/>
            <w:vMerge/>
          </w:tcPr>
          <w:p w14:paraId="2D04BC2D" w14:textId="77777777" w:rsidR="00697BB8" w:rsidRDefault="00697BB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29B3D86D" w14:textId="77777777" w:rsidR="00697BB8" w:rsidRDefault="00697BB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73828B69" w14:textId="77777777" w:rsidR="00697BB8" w:rsidRDefault="00697BB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22B35B9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EB900B3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1A5CD508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76654D13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74AC272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7A1262A8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2E5FBFAB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A48C7AF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697BB8" w14:paraId="4C1F71C7" w14:textId="77777777">
        <w:trPr>
          <w:trHeight w:val="454"/>
        </w:trPr>
        <w:tc>
          <w:tcPr>
            <w:tcW w:w="613" w:type="dxa"/>
            <w:vAlign w:val="center"/>
          </w:tcPr>
          <w:p w14:paraId="27982F13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452C2D2" w14:textId="77777777" w:rsidR="00697BB8" w:rsidRDefault="00697B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4608C0BD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8D6F351" w14:textId="77777777" w:rsidR="00697BB8" w:rsidRDefault="00697BB8">
            <w:pPr>
              <w:pStyle w:val="DG0"/>
              <w:jc w:val="both"/>
            </w:pPr>
          </w:p>
        </w:tc>
        <w:tc>
          <w:tcPr>
            <w:tcW w:w="1403" w:type="dxa"/>
          </w:tcPr>
          <w:p w14:paraId="49415067" w14:textId="77777777" w:rsidR="00697BB8" w:rsidRDefault="00697BB8">
            <w:pPr>
              <w:pStyle w:val="DG0"/>
              <w:jc w:val="both"/>
            </w:pPr>
          </w:p>
        </w:tc>
        <w:tc>
          <w:tcPr>
            <w:tcW w:w="1403" w:type="dxa"/>
          </w:tcPr>
          <w:p w14:paraId="69B6616C" w14:textId="77777777" w:rsidR="00697BB8" w:rsidRDefault="00697BB8">
            <w:pPr>
              <w:pStyle w:val="DG0"/>
              <w:jc w:val="both"/>
            </w:pPr>
          </w:p>
        </w:tc>
        <w:tc>
          <w:tcPr>
            <w:tcW w:w="1403" w:type="dxa"/>
          </w:tcPr>
          <w:p w14:paraId="14C45C8E" w14:textId="77777777" w:rsidR="00697BB8" w:rsidRDefault="00697BB8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697BB8" w14:paraId="2D347294" w14:textId="77777777">
        <w:trPr>
          <w:trHeight w:val="454"/>
        </w:trPr>
        <w:tc>
          <w:tcPr>
            <w:tcW w:w="613" w:type="dxa"/>
            <w:vAlign w:val="center"/>
          </w:tcPr>
          <w:p w14:paraId="6D5CAFFD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17D86ECE" w14:textId="77777777" w:rsidR="00697BB8" w:rsidRDefault="00697B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51F8BE8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6473088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41D7E6F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A886EE6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F1329B9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97BB8" w14:paraId="65A3B419" w14:textId="77777777">
        <w:trPr>
          <w:trHeight w:val="454"/>
        </w:trPr>
        <w:tc>
          <w:tcPr>
            <w:tcW w:w="613" w:type="dxa"/>
            <w:vAlign w:val="center"/>
          </w:tcPr>
          <w:p w14:paraId="501C5F79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6B877846" w14:textId="77777777" w:rsidR="00697BB8" w:rsidRDefault="00697B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71E1508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819BAA1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19B3D1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B142008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E1DBB35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97BB8" w14:paraId="58E4119F" w14:textId="77777777">
        <w:trPr>
          <w:trHeight w:val="454"/>
        </w:trPr>
        <w:tc>
          <w:tcPr>
            <w:tcW w:w="613" w:type="dxa"/>
            <w:vAlign w:val="center"/>
          </w:tcPr>
          <w:p w14:paraId="544106BC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5DAC4A77" w14:textId="77777777" w:rsidR="00697BB8" w:rsidRDefault="00697B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5B18DD9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79B96C5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6F3F4B6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7FFA861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5EB8F45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97BB8" w14:paraId="2EEE1E33" w14:textId="77777777">
        <w:trPr>
          <w:trHeight w:val="454"/>
        </w:trPr>
        <w:tc>
          <w:tcPr>
            <w:tcW w:w="613" w:type="dxa"/>
            <w:vAlign w:val="center"/>
          </w:tcPr>
          <w:p w14:paraId="4084EC82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467218B5" w14:textId="77777777" w:rsidR="00697BB8" w:rsidRDefault="00697B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2ABDA9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CBAB111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27CD9E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F07E436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CCAE634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97BB8" w14:paraId="66B02843" w14:textId="77777777">
        <w:trPr>
          <w:trHeight w:val="454"/>
        </w:trPr>
        <w:tc>
          <w:tcPr>
            <w:tcW w:w="613" w:type="dxa"/>
            <w:vAlign w:val="center"/>
          </w:tcPr>
          <w:p w14:paraId="0009650C" w14:textId="77777777" w:rsidR="00697BB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03761AA9" w14:textId="77777777" w:rsidR="00697BB8" w:rsidRDefault="00697B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4E979B2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BEE80EA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7D4842C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EDF6CDD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60552C" w14:textId="77777777" w:rsidR="00697BB8" w:rsidRDefault="00697B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0F0583C9" w14:textId="77777777" w:rsidR="00697BB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97BB8" w14:paraId="26F12390" w14:textId="77777777">
        <w:tc>
          <w:tcPr>
            <w:tcW w:w="8296" w:type="dxa"/>
          </w:tcPr>
          <w:p w14:paraId="619D69A5" w14:textId="77777777" w:rsidR="00697BB8" w:rsidRDefault="00697BB8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6EEABE8C" w14:textId="77777777" w:rsidR="00697BB8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3E9CF85F" w14:textId="77777777" w:rsidR="00697BB8" w:rsidRDefault="00697BB8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0BEE16FE" w14:textId="77777777" w:rsidR="00697BB8" w:rsidRDefault="00697BB8">
      <w:pPr>
        <w:pStyle w:val="DG1"/>
        <w:rPr>
          <w:rFonts w:ascii="黑体" w:hAnsi="宋体" w:hint="eastAsia"/>
          <w:sz w:val="18"/>
          <w:szCs w:val="16"/>
        </w:rPr>
      </w:pPr>
    </w:p>
    <w:sectPr w:rsidR="00697BB8">
      <w:headerReference w:type="default" r:id="rId8"/>
      <w:pgSz w:w="11906" w:h="16838"/>
      <w:pgMar w:top="1327" w:right="1689" w:bottom="1383" w:left="1689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D411" w14:textId="77777777" w:rsidR="00F34E21" w:rsidRDefault="00F34E21">
      <w:pPr>
        <w:rPr>
          <w:rFonts w:hint="eastAsia"/>
        </w:rPr>
      </w:pPr>
      <w:r>
        <w:separator/>
      </w:r>
    </w:p>
  </w:endnote>
  <w:endnote w:type="continuationSeparator" w:id="0">
    <w:p w14:paraId="4F726981" w14:textId="77777777" w:rsidR="00F34E21" w:rsidRDefault="00F34E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2645" w14:textId="77777777" w:rsidR="00F34E21" w:rsidRDefault="00F34E21">
      <w:pPr>
        <w:rPr>
          <w:rFonts w:hint="eastAsia"/>
        </w:rPr>
      </w:pPr>
      <w:r>
        <w:separator/>
      </w:r>
    </w:p>
  </w:footnote>
  <w:footnote w:type="continuationSeparator" w:id="0">
    <w:p w14:paraId="5580F1AE" w14:textId="77777777" w:rsidR="00F34E21" w:rsidRDefault="00F34E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D0FB" w14:textId="77777777" w:rsidR="00697BB8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530AF" wp14:editId="52D98A9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A73EC3" w14:textId="77777777" w:rsidR="00697BB8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530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7EA73EC3" w14:textId="77777777" w:rsidR="00697BB8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wZWQzNDI0YmI2NTVkYWRiMTlkM2I4OTg4OTIxMDgifQ=="/>
  </w:docVars>
  <w:rsids>
    <w:rsidRoot w:val="00B7651F"/>
    <w:rsid w:val="000203E0"/>
    <w:rsid w:val="000210E0"/>
    <w:rsid w:val="00023BD7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DC2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46283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0B66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5D2D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BB8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2063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00CB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3BD3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705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1E5D"/>
    <w:rsid w:val="00F34E21"/>
    <w:rsid w:val="00F35AA0"/>
    <w:rsid w:val="00F43C49"/>
    <w:rsid w:val="00F45C12"/>
    <w:rsid w:val="00F5166D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7A1C27"/>
    <w:rsid w:val="09C025BE"/>
    <w:rsid w:val="0A8128A6"/>
    <w:rsid w:val="0BF32A1B"/>
    <w:rsid w:val="10BD2C22"/>
    <w:rsid w:val="11D118DF"/>
    <w:rsid w:val="16FA7C5C"/>
    <w:rsid w:val="1A221309"/>
    <w:rsid w:val="1FAB4F33"/>
    <w:rsid w:val="22987C80"/>
    <w:rsid w:val="24192CCC"/>
    <w:rsid w:val="25A42208"/>
    <w:rsid w:val="26962F26"/>
    <w:rsid w:val="26F4679D"/>
    <w:rsid w:val="27C546B8"/>
    <w:rsid w:val="3152520E"/>
    <w:rsid w:val="34AC55A9"/>
    <w:rsid w:val="36162CAE"/>
    <w:rsid w:val="39A66CD4"/>
    <w:rsid w:val="3AB42A96"/>
    <w:rsid w:val="3C951A2A"/>
    <w:rsid w:val="3CD52CE1"/>
    <w:rsid w:val="3E14509C"/>
    <w:rsid w:val="3E9133E1"/>
    <w:rsid w:val="40A435AC"/>
    <w:rsid w:val="410F2E6A"/>
    <w:rsid w:val="413B5574"/>
    <w:rsid w:val="4430136C"/>
    <w:rsid w:val="4890240A"/>
    <w:rsid w:val="4AB0382B"/>
    <w:rsid w:val="4B0709C0"/>
    <w:rsid w:val="4F1A5A0F"/>
    <w:rsid w:val="542E3461"/>
    <w:rsid w:val="56271FF3"/>
    <w:rsid w:val="569868B5"/>
    <w:rsid w:val="5B7E6A7C"/>
    <w:rsid w:val="5E224037"/>
    <w:rsid w:val="611F6817"/>
    <w:rsid w:val="63927568"/>
    <w:rsid w:val="66CA1754"/>
    <w:rsid w:val="684828EC"/>
    <w:rsid w:val="6F1E65D4"/>
    <w:rsid w:val="6F266C86"/>
    <w:rsid w:val="6F5042C2"/>
    <w:rsid w:val="74316312"/>
    <w:rsid w:val="780F13C8"/>
    <w:rsid w:val="7B05466C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D6EB"/>
  <w15:docId w15:val="{5611371E-78E6-4F25-ABDA-DE9188B6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2</cp:revision>
  <cp:lastPrinted>2025-09-17T02:18:00Z</cp:lastPrinted>
  <dcterms:created xsi:type="dcterms:W3CDTF">2025-09-25T06:34:00Z</dcterms:created>
  <dcterms:modified xsi:type="dcterms:W3CDTF">2025-09-25T06:34:00Z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