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288" w:lineRule="auto"/>
        <w:ind/>
        <w:jc w:val="center"/>
        <w:rPr>
          <w:rFonts w:ascii="方正小标宋简体" w:hAnsi="宋体"/>
          <w:bCs/>
          <w:szCs w:val="21"/>
        </w:rPr>
      </w:pPr>
      <w:r>
        <w:rPr>
          <w:rFonts w:asciiTheme="minorEastAsia" w:hAnsiTheme="minorEastAsia" w:eastAsiaTheme="minorEastAsia"/>
          <w:bCs/>
          <w:sz w:val="40"/>
          <w:szCs w:val="40"/>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2635250" cy="280670"/>
                        </a:xfrm>
                        <a:prstGeom prst="rect">
                          <a:avLst/>
                        </a:prstGeom>
                        <a:solidFill>
                          <a:srgbClr val="FFFFFF"/>
                        </a:solidFill>
                        <a:ln w="6350">
                          <a:noFill/>
                        </a:ln>
                        <a:effectLst/>
                      </wps:spPr>
                      <wps:txbx>
                        <w:txbxContent>
                          <w:p>
                            <w:pPr>
                              <w:pBdr/>
                              <w:spacing/>
                              <w:ind/>
                              <w:jc w:val="left"/>
                              <w:rPr>
                                <w:rFonts w:ascii="宋体" w:hAnsi="宋体"/>
                                <w:spacing w:val="20"/>
                                <w:sz w:val="24"/>
                                <w:szCs w:val="24"/>
                              </w:rPr>
                            </w:pPr>
                            <w:r>
                              <w:rPr>
                                <w:rFonts w:hint="eastAsia" w:ascii="宋体" w:hAnsi="宋体"/>
                                <w:spacing w:val="20"/>
                                <w:sz w:val="24"/>
                                <w:szCs w:val="24"/>
                              </w:rPr>
                              <w:t xml:space="preserve">SJQU-</w:t>
                            </w:r>
                            <w:r>
                              <w:rPr>
                                <w:rFonts w:ascii="宋体" w:hAnsi="宋体"/>
                                <w:spacing w:val="20"/>
                                <w:sz w:val="24"/>
                                <w:szCs w:val="24"/>
                              </w:rPr>
                              <w:t xml:space="preserve">Q</w:t>
                            </w:r>
                            <w:r>
                              <w:rPr>
                                <w:rFonts w:hint="eastAsia" w:ascii="宋体" w:hAnsi="宋体"/>
                                <w:spacing w:val="20"/>
                                <w:sz w:val="24"/>
                                <w:szCs w:val="24"/>
                              </w:rPr>
                              <w:t xml:space="preserve">R-JW-</w:t>
                            </w:r>
                            <w:r>
                              <w:rPr>
                                <w:rFonts w:ascii="宋体" w:hAnsi="宋体"/>
                                <w:spacing w:val="20"/>
                                <w:sz w:val="24"/>
                                <w:szCs w:val="24"/>
                              </w:rPr>
                              <w:t xml:space="preserve">0</w:t>
                            </w:r>
                            <w:r>
                              <w:rPr>
                                <w:rFonts w:hint="eastAsia" w:ascii="宋体" w:hAnsi="宋体"/>
                                <w:spacing w:val="20"/>
                                <w:sz w:val="24"/>
                                <w:szCs w:val="24"/>
                              </w:rPr>
                              <w:t xml:space="preserve">33（A</w:t>
                            </w:r>
                            <w:r>
                              <w:rPr>
                                <w:rFonts w:ascii="宋体" w:hAnsi="宋体"/>
                                <w:spacing w:val="20"/>
                                <w:sz w:val="24"/>
                                <w:szCs w:val="24"/>
                              </w:rPr>
                              <w:t xml:space="preserve">0）</w:t>
                            </w:r>
                            <w:r>
                              <w:rPr>
                                <w:rFonts w:ascii="宋体" w:hAnsi="宋体"/>
                                <w:spacing w:val="20"/>
                                <w:sz w:val="24"/>
                                <w:szCs w:val="24"/>
                              </w:rP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shape 0" o:spid="_x0000_s0" o:spt="202" type="#_x0000_t202" style="position:absolute;z-index:251659264;o:allowoverlap:true;o:allowincell:true;mso-position-horizontal-relative:page;margin-left:41.80pt;mso-position-horizontal:absolute;mso-position-vertical-relative:page;margin-top:27.55pt;mso-position-vertical:absolute;width:207.50pt;height:22.10pt;mso-wrap-distance-left:9.00pt;mso-wrap-distance-top:0.00pt;mso-wrap-distance-right:9.00pt;mso-wrap-distance-bottom:0.00pt;v-text-anchor:top;visibility:visible;" fillcolor="#FFFFFF" stroked="f" strokeweight="0.50pt">
                <v:textbox inset="0,0,0,0">
                  <w:txbxContent>
                    <w:p>
                      <w:pPr>
                        <w:pBdr/>
                        <w:spacing/>
                        <w:ind/>
                        <w:jc w:val="left"/>
                        <w:rPr>
                          <w:rFonts w:ascii="宋体" w:hAnsi="宋体"/>
                          <w:spacing w:val="20"/>
                          <w:sz w:val="24"/>
                          <w:szCs w:val="24"/>
                        </w:rPr>
                      </w:pPr>
                      <w:r>
                        <w:rPr>
                          <w:rFonts w:hint="eastAsia" w:ascii="宋体" w:hAnsi="宋体"/>
                          <w:spacing w:val="20"/>
                          <w:sz w:val="24"/>
                          <w:szCs w:val="24"/>
                        </w:rPr>
                        <w:t xml:space="preserve">SJQU-</w:t>
                      </w:r>
                      <w:r>
                        <w:rPr>
                          <w:rFonts w:ascii="宋体" w:hAnsi="宋体"/>
                          <w:spacing w:val="20"/>
                          <w:sz w:val="24"/>
                          <w:szCs w:val="24"/>
                        </w:rPr>
                        <w:t xml:space="preserve">Q</w:t>
                      </w:r>
                      <w:r>
                        <w:rPr>
                          <w:rFonts w:hint="eastAsia" w:ascii="宋体" w:hAnsi="宋体"/>
                          <w:spacing w:val="20"/>
                          <w:sz w:val="24"/>
                          <w:szCs w:val="24"/>
                        </w:rPr>
                        <w:t xml:space="preserve">R-JW-</w:t>
                      </w:r>
                      <w:r>
                        <w:rPr>
                          <w:rFonts w:ascii="宋体" w:hAnsi="宋体"/>
                          <w:spacing w:val="20"/>
                          <w:sz w:val="24"/>
                          <w:szCs w:val="24"/>
                        </w:rPr>
                        <w:t xml:space="preserve">0</w:t>
                      </w:r>
                      <w:r>
                        <w:rPr>
                          <w:rFonts w:hint="eastAsia" w:ascii="宋体" w:hAnsi="宋体"/>
                          <w:spacing w:val="20"/>
                          <w:sz w:val="24"/>
                          <w:szCs w:val="24"/>
                        </w:rPr>
                        <w:t xml:space="preserve">33（A</w:t>
                      </w:r>
                      <w:r>
                        <w:rPr>
                          <w:rFonts w:ascii="宋体" w:hAnsi="宋体"/>
                          <w:spacing w:val="20"/>
                          <w:sz w:val="24"/>
                          <w:szCs w:val="24"/>
                        </w:rPr>
                        <w:t xml:space="preserve">0）</w:t>
                      </w:r>
                      <w:r>
                        <w:rPr>
                          <w:rFonts w:ascii="宋体" w:hAnsi="宋体"/>
                          <w:spacing w:val="20"/>
                          <w:sz w:val="24"/>
                          <w:szCs w:val="24"/>
                        </w:rPr>
                      </w:r>
                    </w:p>
                  </w:txbxContent>
                </v:textbox>
              </v:shape>
            </w:pict>
          </mc:Fallback>
        </mc:AlternateContent>
      </w:r>
      <w:r>
        <w:rPr>
          <w:rFonts w:hint="eastAsia" w:asciiTheme="minorEastAsia" w:hAnsiTheme="minorEastAsia" w:eastAsiaTheme="minorEastAsia"/>
          <w:bCs/>
          <w:sz w:val="40"/>
          <w:szCs w:val="40"/>
        </w:rPr>
        <w:t xml:space="preserve">专业课课程</w:t>
      </w:r>
      <w:r>
        <w:rPr>
          <w:rFonts w:hint="eastAsia" w:ascii="方正小标宋简体" w:hAnsi="宋体" w:eastAsia="方正小标宋简体"/>
          <w:bCs/>
          <w:sz w:val="40"/>
          <w:szCs w:val="40"/>
        </w:rPr>
        <w:t xml:space="preserve">教学大纲</w:t>
      </w:r>
      <w:r>
        <w:rPr>
          <w:rFonts w:ascii="方正小标宋简体" w:hAnsi="宋体"/>
          <w:bCs/>
          <w:szCs w:val="21"/>
        </w:rPr>
      </w:r>
    </w:p>
    <w:p>
      <w:pPr>
        <w:pBdr/>
        <w:spacing w:line="288" w:lineRule="auto"/>
        <w:ind/>
        <w:jc w:val="center"/>
        <w:rPr>
          <w:b/>
          <w:sz w:val="28"/>
          <w:szCs w:val="30"/>
        </w:rPr>
      </w:pPr>
      <w:r/>
      <w:bookmarkStart w:id="0" w:name="_Hlk52728012"/>
      <w:r>
        <w:rPr>
          <w:rFonts w:hint="eastAsia"/>
          <w:b/>
          <w:sz w:val="28"/>
          <w:szCs w:val="30"/>
        </w:rPr>
        <w:t xml:space="preserve">【职业卫生与职业医学】</w:t>
      </w:r>
      <w:r>
        <w:rPr>
          <w:b/>
          <w:sz w:val="28"/>
          <w:szCs w:val="30"/>
        </w:rPr>
      </w:r>
    </w:p>
    <w:p>
      <w:pPr>
        <w:pBdr/>
        <w:shd w:val="clear" w:color="auto" w:fill="f5f5f5"/>
        <w:spacing/>
        <w:ind/>
        <w:jc w:val="center"/>
        <w:rPr>
          <w:rFonts w:ascii="宋体" w:hAnsi="宋体" w:cs="Arial"/>
          <w:b/>
          <w:sz w:val="28"/>
          <w:szCs w:val="28"/>
        </w:rPr>
      </w:pPr>
      <w:r>
        <w:rPr>
          <w:rFonts w:hint="eastAsia" w:ascii="宋体" w:hAnsi="宋体"/>
          <w:b/>
          <w:sz w:val="28"/>
          <w:szCs w:val="28"/>
        </w:rPr>
        <w:t xml:space="preserve">【</w:t>
      </w:r>
      <w:r>
        <w:rPr>
          <w:rFonts w:ascii="宋体" w:hAnsi="宋体"/>
          <w:b/>
          <w:sz w:val="28"/>
          <w:szCs w:val="28"/>
        </w:rPr>
        <w:t xml:space="preserve">Occupational Health and Occupationl Medicine</w:t>
      </w:r>
      <w:r>
        <w:rPr>
          <w:rFonts w:hint="eastAsia" w:ascii="宋体" w:hAnsi="宋体"/>
          <w:b/>
          <w:sz w:val="28"/>
          <w:szCs w:val="28"/>
        </w:rPr>
        <w:t xml:space="preserve">】</w:t>
      </w:r>
      <w:bookmarkStart w:id="1" w:name="a2"/>
      <w:r/>
      <w:bookmarkEnd w:id="1"/>
      <w:r/>
      <w:bookmarkEnd w:id="0"/>
      <w:r>
        <w:rPr>
          <w:rFonts w:ascii="宋体" w:hAnsi="宋体" w:cs="Arial"/>
          <w:b/>
          <w:sz w:val="28"/>
          <w:szCs w:val="28"/>
        </w:rPr>
      </w:r>
    </w:p>
    <w:p>
      <w:pPr>
        <w:pBdr/>
        <w:spacing w:after="156" w:before="156" w:line="288" w:lineRule="auto"/>
        <w:ind w:firstLine="360"/>
        <w:jc w:val="left"/>
        <w:rPr>
          <w:b/>
          <w:sz w:val="30"/>
          <w:szCs w:val="30"/>
        </w:rPr>
      </w:pPr>
      <w:r>
        <w:rPr>
          <w:rFonts w:ascii="黑体" w:hAnsi="宋体" w:eastAsia="黑体"/>
          <w:sz w:val="24"/>
        </w:rPr>
        <w:t xml:space="preserve">一</w:t>
      </w:r>
      <w:r>
        <w:rPr>
          <w:rFonts w:hint="eastAsia" w:ascii="黑体" w:hAnsi="宋体" w:eastAsia="黑体"/>
          <w:sz w:val="24"/>
        </w:rPr>
        <w:t xml:space="preserve">、</w:t>
      </w:r>
      <w:r>
        <w:rPr>
          <w:rFonts w:ascii="黑体" w:hAnsi="宋体" w:eastAsia="黑体"/>
          <w:sz w:val="24"/>
        </w:rPr>
        <w:t xml:space="preserve">基本信息</w:t>
      </w:r>
      <w:r>
        <w:rPr>
          <w:b/>
          <w:sz w:val="30"/>
          <w:szCs w:val="30"/>
        </w:rPr>
      </w:r>
    </w:p>
    <w:p>
      <w:pPr>
        <w:pBdr/>
        <w:spacing w:line="288" w:lineRule="auto"/>
        <w:ind w:firstLine="402"/>
        <w:rPr>
          <w:rFonts w:ascii="宋体" w:hAnsi="宋体"/>
          <w:sz w:val="20"/>
          <w:szCs w:val="20"/>
        </w:rPr>
      </w:pPr>
      <w:r>
        <w:rPr>
          <w:rFonts w:ascii="宋体" w:hAnsi="宋体"/>
          <w:b/>
          <w:bCs/>
          <w:sz w:val="20"/>
          <w:szCs w:val="20"/>
        </w:rPr>
        <w:t xml:space="preserve">课程代码：</w:t>
      </w:r>
      <w:r>
        <w:rPr>
          <w:rFonts w:hint="eastAsia" w:ascii="宋体" w:hAnsi="宋体"/>
          <w:bCs/>
          <w:sz w:val="20"/>
          <w:szCs w:val="20"/>
        </w:rPr>
        <w:t xml:space="preserve">【2170039】</w:t>
      </w:r>
      <w:r>
        <w:rPr>
          <w:rFonts w:ascii="宋体" w:hAnsi="宋体"/>
          <w:sz w:val="20"/>
          <w:szCs w:val="20"/>
        </w:rPr>
      </w:r>
    </w:p>
    <w:p>
      <w:pPr>
        <w:pBdr/>
        <w:spacing w:line="288" w:lineRule="auto"/>
        <w:ind w:firstLine="402"/>
        <w:rPr>
          <w:rFonts w:ascii="宋体" w:hAnsi="宋体"/>
          <w:sz w:val="20"/>
          <w:szCs w:val="20"/>
        </w:rPr>
      </w:pPr>
      <w:r>
        <w:rPr>
          <w:rFonts w:ascii="宋体" w:hAnsi="宋体"/>
          <w:b/>
          <w:bCs/>
          <w:sz w:val="20"/>
          <w:szCs w:val="20"/>
        </w:rPr>
        <w:t xml:space="preserve">课程学分：</w:t>
      </w:r>
      <w:r>
        <w:rPr>
          <w:rFonts w:hint="eastAsia" w:ascii="宋体" w:hAnsi="宋体"/>
          <w:sz w:val="20"/>
          <w:szCs w:val="20"/>
        </w:rPr>
        <w:t xml:space="preserve">【 3</w:t>
      </w:r>
      <w:r>
        <w:rPr>
          <w:rFonts w:ascii="宋体" w:hAnsi="宋体"/>
          <w:sz w:val="20"/>
          <w:szCs w:val="20"/>
        </w:rPr>
        <w:t xml:space="preserve"> </w:t>
      </w:r>
      <w:r>
        <w:rPr>
          <w:rFonts w:hint="eastAsia" w:ascii="宋体" w:hAnsi="宋体"/>
          <w:sz w:val="20"/>
          <w:szCs w:val="20"/>
        </w:rPr>
        <w:t xml:space="preserve">】</w:t>
      </w:r>
      <w:r>
        <w:rPr>
          <w:rFonts w:ascii="宋体" w:hAnsi="宋体"/>
          <w:sz w:val="20"/>
          <w:szCs w:val="20"/>
        </w:rPr>
      </w:r>
    </w:p>
    <w:p>
      <w:pPr>
        <w:pBdr/>
        <w:spacing w:line="288" w:lineRule="auto"/>
        <w:ind w:firstLine="402"/>
        <w:rPr>
          <w:rFonts w:ascii="宋体" w:hAnsi="宋体"/>
          <w:sz w:val="20"/>
          <w:szCs w:val="20"/>
        </w:rPr>
      </w:pPr>
      <w:r>
        <w:rPr>
          <w:rFonts w:ascii="宋体" w:hAnsi="宋体"/>
          <w:b/>
          <w:bCs/>
          <w:sz w:val="20"/>
          <w:szCs w:val="20"/>
        </w:rPr>
        <w:t xml:space="preserve">面向专业：</w:t>
      </w:r>
      <w:r>
        <w:rPr>
          <w:rFonts w:hint="eastAsia" w:ascii="宋体" w:hAnsi="宋体"/>
          <w:b/>
          <w:bCs/>
          <w:sz w:val="20"/>
          <w:szCs w:val="20"/>
        </w:rPr>
        <w:t xml:space="preserve">【</w:t>
      </w:r>
      <w:r>
        <w:rPr>
          <w:rFonts w:hint="eastAsia" w:ascii="宋体" w:hAnsi="宋体"/>
          <w:sz w:val="20"/>
          <w:szCs w:val="20"/>
        </w:rPr>
        <w:t xml:space="preserve">健康服务与管理】</w:t>
      </w:r>
      <w:r>
        <w:rPr>
          <w:rFonts w:ascii="宋体" w:hAnsi="宋体"/>
          <w:sz w:val="20"/>
          <w:szCs w:val="20"/>
        </w:rPr>
      </w:r>
    </w:p>
    <w:p>
      <w:pPr>
        <w:pBdr/>
        <w:spacing w:line="288" w:lineRule="auto"/>
        <w:ind w:firstLine="402"/>
        <w:rPr>
          <w:rFonts w:ascii="宋体" w:hAnsi="宋体"/>
          <w:sz w:val="20"/>
          <w:szCs w:val="20"/>
        </w:rPr>
      </w:pPr>
      <w:r>
        <w:rPr>
          <w:rFonts w:ascii="宋体" w:hAnsi="宋体"/>
          <w:b/>
          <w:bCs/>
          <w:sz w:val="20"/>
          <w:szCs w:val="20"/>
        </w:rPr>
        <w:t xml:space="preserve">课程性质：</w:t>
      </w:r>
      <w:r>
        <w:rPr>
          <w:rFonts w:hint="eastAsia" w:ascii="宋体" w:hAnsi="宋体"/>
          <w:b/>
          <w:bCs/>
          <w:sz w:val="20"/>
          <w:szCs w:val="20"/>
        </w:rPr>
        <w:t xml:space="preserve">【</w:t>
      </w:r>
      <w:r>
        <w:rPr>
          <w:rFonts w:hint="eastAsia" w:ascii="宋体" w:hAnsi="宋体"/>
          <w:sz w:val="20"/>
          <w:szCs w:val="20"/>
        </w:rPr>
        <w:t xml:space="preserve">院级专业必修课程】</w:t>
      </w:r>
      <w:r>
        <w:rPr>
          <w:rFonts w:ascii="宋体" w:hAnsi="宋体"/>
          <w:sz w:val="20"/>
          <w:szCs w:val="20"/>
        </w:rPr>
      </w:r>
    </w:p>
    <w:p>
      <w:pPr>
        <w:pBdr/>
        <w:spacing w:line="288" w:lineRule="auto"/>
        <w:ind w:firstLine="402"/>
        <w:rPr>
          <w:rFonts w:ascii="宋体" w:hAnsi="宋体"/>
          <w:sz w:val="20"/>
          <w:szCs w:val="20"/>
        </w:rPr>
      </w:pPr>
      <w:r>
        <w:rPr>
          <w:rFonts w:ascii="宋体" w:hAnsi="宋体"/>
          <w:b/>
          <w:bCs/>
          <w:sz w:val="20"/>
          <w:szCs w:val="20"/>
        </w:rPr>
        <w:t xml:space="preserve">开课院系：</w:t>
      </w:r>
      <w:r>
        <w:rPr>
          <w:rFonts w:hint="eastAsia" w:ascii="宋体" w:hAnsi="宋体"/>
          <w:b/>
          <w:bCs/>
          <w:sz w:val="20"/>
          <w:szCs w:val="20"/>
        </w:rPr>
        <w:t xml:space="preserve">【</w:t>
      </w:r>
      <w:r>
        <w:rPr>
          <w:rFonts w:hint="eastAsia" w:ascii="宋体" w:hAnsi="宋体"/>
          <w:sz w:val="20"/>
          <w:szCs w:val="20"/>
        </w:rPr>
        <w:t xml:space="preserve">健康管理学院健康服务与管理系】</w:t>
      </w:r>
      <w:r>
        <w:rPr>
          <w:rFonts w:ascii="宋体" w:hAnsi="宋体"/>
          <w:sz w:val="20"/>
          <w:szCs w:val="20"/>
        </w:rPr>
      </w:r>
    </w:p>
    <w:p>
      <w:pPr>
        <w:pBdr/>
        <w:spacing w:line="288" w:lineRule="auto"/>
        <w:ind w:firstLine="402"/>
        <w:rPr>
          <w:rFonts w:ascii="宋体" w:hAnsi="宋体"/>
          <w:sz w:val="20"/>
          <w:szCs w:val="20"/>
        </w:rPr>
      </w:pPr>
      <w:r>
        <w:rPr>
          <w:rFonts w:ascii="宋体" w:hAnsi="宋体"/>
          <w:b/>
          <w:bCs/>
          <w:sz w:val="20"/>
          <w:szCs w:val="20"/>
        </w:rPr>
        <w:t xml:space="preserve">使用教材：</w:t>
      </w:r>
      <w:r>
        <w:rPr>
          <w:rFonts w:ascii="宋体" w:hAnsi="宋体"/>
          <w:sz w:val="20"/>
          <w:szCs w:val="20"/>
        </w:rPr>
      </w:r>
    </w:p>
    <w:p>
      <w:pPr>
        <w:pBdr/>
        <w:spacing w:line="312" w:lineRule="auto"/>
        <w:ind w:firstLine="800"/>
        <w:rPr>
          <w:rFonts w:ascii="宋体" w:hAnsi="宋体"/>
          <w:sz w:val="20"/>
          <w:szCs w:val="20"/>
        </w:rPr>
      </w:pPr>
      <w:r>
        <w:rPr>
          <w:rFonts w:ascii="宋体" w:hAnsi="宋体"/>
          <w:sz w:val="20"/>
          <w:szCs w:val="20"/>
        </w:rPr>
        <w:t xml:space="preserve">教材</w:t>
      </w:r>
      <w:r>
        <w:rPr>
          <w:rFonts w:hint="eastAsia" w:ascii="宋体" w:hAnsi="宋体"/>
          <w:sz w:val="20"/>
          <w:szCs w:val="20"/>
        </w:rPr>
        <w:t xml:space="preserve">：</w:t>
      </w:r>
      <w:r>
        <w:rPr>
          <w:rFonts w:ascii="宋体" w:hAnsi="宋体"/>
          <w:sz w:val="20"/>
          <w:szCs w:val="20"/>
        </w:rPr>
        <w:t xml:space="preserve">【《</w:t>
      </w:r>
      <w:r>
        <w:rPr>
          <w:rFonts w:hint="eastAsia" w:ascii="宋体" w:hAnsi="宋体"/>
          <w:sz w:val="20"/>
          <w:szCs w:val="20"/>
        </w:rPr>
        <w:t xml:space="preserve">职业卫生与职业医学》，邬堂春，人民卫生出版社，2017年第8版</w:t>
      </w:r>
      <w:r>
        <w:rPr>
          <w:rFonts w:ascii="宋体" w:hAnsi="宋体"/>
          <w:sz w:val="20"/>
          <w:szCs w:val="20"/>
        </w:rPr>
        <w:t xml:space="preserve">】</w:t>
      </w:r>
      <w:r>
        <w:rPr>
          <w:rFonts w:ascii="宋体" w:hAnsi="宋体"/>
          <w:sz w:val="20"/>
          <w:szCs w:val="20"/>
        </w:rPr>
      </w:r>
    </w:p>
    <w:p>
      <w:pPr>
        <w:pBdr/>
        <w:spacing w:line="312" w:lineRule="auto"/>
        <w:ind w:firstLine="400" w:left="420"/>
        <w:rPr>
          <w:rFonts w:ascii="宋体" w:hAnsi="宋体"/>
          <w:sz w:val="20"/>
          <w:szCs w:val="20"/>
        </w:rPr>
      </w:pPr>
      <w:r>
        <w:rPr>
          <w:rFonts w:ascii="宋体" w:hAnsi="宋体"/>
          <w:sz w:val="20"/>
          <w:szCs w:val="20"/>
        </w:rPr>
        <w:t xml:space="preserve">参考</w:t>
      </w:r>
      <w:r>
        <w:rPr>
          <w:rFonts w:hint="eastAsia" w:ascii="宋体" w:hAnsi="宋体"/>
          <w:sz w:val="20"/>
          <w:szCs w:val="20"/>
        </w:rPr>
        <w:t xml:space="preserve">书目：</w:t>
      </w:r>
      <w:r>
        <w:rPr>
          <w:rFonts w:ascii="宋体" w:hAnsi="宋体"/>
          <w:sz w:val="20"/>
          <w:szCs w:val="20"/>
        </w:rPr>
        <w:t xml:space="preserve">【</w:t>
      </w:r>
      <w:r>
        <w:rPr>
          <w:rFonts w:hint="eastAsia" w:ascii="宋体" w:hAnsi="宋体"/>
          <w:sz w:val="20"/>
          <w:szCs w:val="20"/>
        </w:rPr>
        <w:t xml:space="preserve">1.《职业卫生与职业医学》，孙贵范，人民卫生出版社，2012年第7版；2.《职业卫生与职业医学》，牛侨、张勤丽，中国协和医科大学出版社，2012年第7版；3.《职业卫生与职业医学》，张文昌、贾光，科学出版社，2017年第2版】</w:t>
      </w:r>
      <w:r>
        <w:rPr>
          <w:rFonts w:ascii="宋体" w:hAnsi="宋体"/>
          <w:sz w:val="20"/>
          <w:szCs w:val="20"/>
        </w:rPr>
      </w:r>
    </w:p>
    <w:p>
      <w:pPr>
        <w:pBdr/>
        <w:spacing w:line="312" w:lineRule="auto"/>
        <w:ind w:firstLine="402"/>
        <w:rPr>
          <w:rFonts w:ascii="宋体" w:hAnsi="宋体"/>
          <w:sz w:val="20"/>
          <w:szCs w:val="20"/>
        </w:rPr>
      </w:pPr>
      <w:r>
        <w:rPr>
          <w:rFonts w:hint="eastAsia" w:ascii="宋体" w:hAnsi="宋体"/>
          <w:b/>
          <w:bCs/>
          <w:sz w:val="20"/>
          <w:szCs w:val="20"/>
        </w:rPr>
        <w:t xml:space="preserve">课程网站网址：https://zengzhi.ipmph.com/#/index</w:t>
      </w:r>
      <w:r>
        <w:rPr>
          <w:rFonts w:ascii="宋体" w:hAnsi="宋体"/>
          <w:sz w:val="20"/>
          <w:szCs w:val="20"/>
        </w:rPr>
      </w:r>
    </w:p>
    <w:p>
      <w:pPr>
        <w:pBdr/>
        <w:spacing w:line="312" w:lineRule="auto"/>
        <w:ind w:firstLine="402"/>
        <w:rPr>
          <w:rFonts w:ascii="宋体" w:hAnsi="宋体"/>
          <w:sz w:val="20"/>
          <w:szCs w:val="20"/>
        </w:rPr>
      </w:pPr>
      <w:r>
        <w:rPr>
          <w:rFonts w:ascii="宋体" w:hAnsi="宋体"/>
          <w:b/>
          <w:bCs/>
          <w:sz w:val="20"/>
          <w:szCs w:val="20"/>
        </w:rPr>
        <w:t xml:space="preserve">先修课程：</w:t>
      </w:r>
      <w:r>
        <w:rPr>
          <w:rFonts w:ascii="宋体" w:hAnsi="宋体"/>
          <w:sz w:val="20"/>
          <w:szCs w:val="20"/>
        </w:rPr>
        <w:t xml:space="preserve">【</w:t>
      </w:r>
      <w:r>
        <w:rPr>
          <w:rFonts w:hint="eastAsia" w:ascii="宋体" w:hAnsi="宋体"/>
          <w:sz w:val="20"/>
          <w:szCs w:val="20"/>
        </w:rPr>
        <w:t xml:space="preserve">医学统计学 2170005（3）、临床医学概论2170006（4）、公共卫生概论2170017（2）】</w:t>
      </w:r>
      <w:r>
        <w:rPr>
          <w:rFonts w:ascii="宋体" w:hAnsi="宋体"/>
          <w:sz w:val="20"/>
          <w:szCs w:val="20"/>
        </w:rPr>
      </w:r>
    </w:p>
    <w:p>
      <w:pPr>
        <w:pBdr/>
        <w:spacing w:after="156" w:before="156" w:line="288" w:lineRule="auto"/>
        <w:ind w:firstLine="360"/>
        <w:jc w:val="left"/>
        <w:rPr>
          <w:rFonts w:ascii="仿宋" w:hAnsi="仿宋" w:eastAsia="仿宋"/>
          <w:sz w:val="24"/>
          <w:szCs w:val="24"/>
        </w:rPr>
      </w:pPr>
      <w:r>
        <w:rPr>
          <w:rFonts w:ascii="黑体" w:hAnsi="宋体" w:eastAsia="黑体"/>
          <w:sz w:val="24"/>
        </w:rPr>
        <w:t xml:space="preserve">二</w:t>
      </w:r>
      <w:r>
        <w:rPr>
          <w:rFonts w:hint="eastAsia" w:ascii="黑体" w:hAnsi="宋体" w:eastAsia="黑体"/>
          <w:sz w:val="24"/>
        </w:rPr>
        <w:t xml:space="preserve">、</w:t>
      </w:r>
      <w:r>
        <w:rPr>
          <w:rFonts w:ascii="黑体" w:hAnsi="宋体" w:eastAsia="黑体"/>
          <w:sz w:val="24"/>
        </w:rPr>
        <w:t xml:space="preserve">课程简介</w:t>
      </w:r>
      <w:r>
        <w:rPr>
          <w:rFonts w:ascii="仿宋" w:hAnsi="仿宋" w:eastAsia="仿宋"/>
          <w:sz w:val="24"/>
          <w:szCs w:val="24"/>
        </w:rPr>
      </w:r>
    </w:p>
    <w:p>
      <w:pPr>
        <w:pBdr/>
        <w:spacing w:line="312" w:lineRule="auto"/>
        <w:ind w:firstLine="400"/>
        <w:rPr>
          <w:rFonts w:ascii="宋体" w:hAnsi="宋体"/>
          <w:sz w:val="20"/>
          <w:szCs w:val="20"/>
        </w:rPr>
      </w:pPr>
      <w:r/>
      <w:bookmarkStart w:id="2" w:name="_Hlk53326444"/>
      <w:r>
        <w:rPr>
          <w:rFonts w:hint="eastAsia" w:ascii="宋体" w:hAnsi="宋体"/>
          <w:sz w:val="20"/>
          <w:szCs w:val="20"/>
        </w:rPr>
        <w:t xml:space="preserve">《职业卫生与职业医学》是研究劳动条件与职业从事者健康之间关系的学科，是预防医学和临</w:t>
      </w:r>
      <w:r>
        <w:rPr>
          <w:rFonts w:hint="eastAsia" w:ascii="宋体" w:hAnsi="宋体"/>
          <w:sz w:val="20"/>
          <w:szCs w:val="20"/>
        </w:rPr>
        <w:t xml:space="preserve">床医学的重要组成部分。职业医学是以职业从事者个体为主要对象，旨在对受到职业危害因素损害或存在潜在健康危险的个体进行早期检测、诊断、治疗和康复处理；职业卫生是职业人群为主要对象，研究劳动条件对职业人群健康的影响，为保护职业从事者健康、提高作业能力、改善劳动条件提供科学的依据。两者的最终目的就是使职业从事者在其所从事的生产或工作过程中，有充分的安全和健康保障，并为不断提高工作效率提供科学依据和技术保障。学习了解职业卫生与职业医学基本知识，有利于健康服务与管理专业开展健康服务与管理开展工作，是重要的专业必修课程。</w:t>
      </w:r>
      <w:r>
        <w:rPr>
          <w:rFonts w:ascii="宋体" w:hAnsi="宋体"/>
          <w:sz w:val="20"/>
          <w:szCs w:val="20"/>
        </w:rPr>
      </w:r>
    </w:p>
    <w:p>
      <w:pPr>
        <w:pBdr/>
        <w:spacing w:line="312" w:lineRule="auto"/>
        <w:ind w:firstLine="400"/>
        <w:rPr>
          <w:rFonts w:ascii="宋体" w:hAnsi="宋体"/>
          <w:sz w:val="20"/>
          <w:szCs w:val="20"/>
        </w:rPr>
      </w:pPr>
      <w:r>
        <w:rPr>
          <w:rFonts w:hint="eastAsia" w:ascii="宋体" w:hAnsi="宋体"/>
          <w:sz w:val="20"/>
          <w:szCs w:val="20"/>
        </w:rPr>
        <w:t xml:space="preserve">本课程教学总时数48学时，其中理论教学32学时、实践教学16学时。</w:t>
      </w:r>
      <w:bookmarkEnd w:id="2"/>
      <w:r>
        <w:rPr>
          <w:rFonts w:ascii="宋体" w:hAnsi="宋体"/>
          <w:sz w:val="20"/>
          <w:szCs w:val="20"/>
        </w:rPr>
      </w:r>
    </w:p>
    <w:p>
      <w:pPr>
        <w:pBdr/>
        <w:spacing w:after="156" w:before="156" w:line="288" w:lineRule="auto"/>
        <w:ind w:firstLine="360"/>
        <w:jc w:val="left"/>
        <w:rPr>
          <w:rFonts w:ascii="黑体" w:hAnsi="宋体" w:eastAsia="黑体"/>
          <w:sz w:val="24"/>
        </w:rPr>
      </w:pPr>
      <w:r>
        <w:rPr>
          <w:rFonts w:ascii="黑体" w:hAnsi="宋体" w:eastAsia="黑体"/>
          <w:sz w:val="24"/>
        </w:rPr>
        <w:t xml:space="preserve">三</w:t>
      </w:r>
      <w:r>
        <w:rPr>
          <w:rFonts w:hint="eastAsia" w:ascii="黑体" w:hAnsi="宋体" w:eastAsia="黑体"/>
          <w:sz w:val="24"/>
        </w:rPr>
        <w:t xml:space="preserve">、</w:t>
      </w:r>
      <w:r>
        <w:rPr>
          <w:rFonts w:ascii="黑体" w:hAnsi="宋体" w:eastAsia="黑体"/>
          <w:sz w:val="24"/>
        </w:rPr>
        <w:t xml:space="preserve">选课建议</w:t>
      </w:r>
      <w:r>
        <w:rPr>
          <w:rFonts w:ascii="黑体" w:hAnsi="宋体" w:eastAsia="黑体"/>
          <w:sz w:val="24"/>
        </w:rPr>
      </w:r>
    </w:p>
    <w:p>
      <w:pPr>
        <w:pBdr/>
        <w:spacing w:line="312" w:lineRule="auto"/>
        <w:ind w:firstLine="400"/>
        <w:rPr>
          <w:rFonts w:ascii="宋体" w:hAnsi="宋体"/>
          <w:sz w:val="20"/>
          <w:szCs w:val="20"/>
        </w:rPr>
      </w:pPr>
      <w:r>
        <w:rPr>
          <w:rFonts w:hint="eastAsia" w:ascii="宋体" w:hAnsi="宋体"/>
          <w:sz w:val="20"/>
          <w:szCs w:val="20"/>
        </w:rPr>
        <w:t xml:space="preserve">学习《职业卫生与职业医学》需要具备临床医学、医学统计学和公共卫生基础知识。建议安排在健康服务与管理专业第三学年第一学期学习。</w:t>
      </w:r>
      <w:r>
        <w:rPr>
          <w:rFonts w:ascii="宋体" w:hAnsi="宋体"/>
          <w:sz w:val="20"/>
          <w:szCs w:val="20"/>
        </w:rPr>
      </w:r>
    </w:p>
    <w:p>
      <w:pPr>
        <w:widowControl w:val="true"/>
        <w:pBdr/>
        <w:spacing w:before="156"/>
        <w:ind w:firstLine="360"/>
        <w:jc w:val="left"/>
        <w:rPr>
          <w:rFonts w:ascii="黑体" w:hAnsi="宋体" w:eastAsia="黑体"/>
          <w:sz w:val="24"/>
        </w:rPr>
      </w:pPr>
      <w:r>
        <w:rPr>
          <w:rFonts w:ascii="黑体" w:hAnsi="宋体" w:eastAsia="黑体"/>
          <w:sz w:val="24"/>
        </w:rPr>
      </w:r>
      <w:r>
        <w:rPr>
          <w:rFonts w:ascii="黑体" w:hAnsi="宋体" w:eastAsia="黑体"/>
          <w:sz w:val="24"/>
        </w:rPr>
      </w:r>
    </w:p>
    <w:p>
      <w:pPr>
        <w:widowControl w:val="true"/>
        <w:pBdr/>
        <w:spacing w:before="156"/>
        <w:ind w:firstLine="360"/>
        <w:jc w:val="left"/>
        <w:rPr>
          <w:rFonts w:ascii="黑体" w:hAnsi="宋体" w:eastAsia="黑体"/>
          <w:sz w:val="24"/>
          <w:highlight w:val="none"/>
        </w:rPr>
      </w:pPr>
      <w:r>
        <w:rPr>
          <w:rFonts w:ascii="黑体" w:hAnsi="宋体" w:eastAsia="黑体"/>
          <w:sz w:val="24"/>
          <w:highlight w:val="none"/>
        </w:rPr>
        <w:t xml:space="preserve">四</w:t>
      </w:r>
      <w:r>
        <w:rPr>
          <w:rFonts w:hint="eastAsia" w:ascii="黑体" w:hAnsi="宋体" w:eastAsia="黑体"/>
          <w:sz w:val="24"/>
          <w:highlight w:val="none"/>
        </w:rPr>
        <w:t xml:space="preserve">、</w:t>
      </w:r>
      <w:r>
        <w:rPr>
          <w:rFonts w:ascii="黑体" w:hAnsi="宋体" w:eastAsia="黑体"/>
          <w:sz w:val="24"/>
          <w:highlight w:val="none"/>
        </w:rPr>
        <w:t xml:space="preserve">课程与</w:t>
      </w:r>
      <w:r>
        <w:rPr>
          <w:rFonts w:hint="eastAsia" w:ascii="黑体" w:hAnsi="宋体" w:eastAsia="黑体"/>
          <w:sz w:val="24"/>
          <w:highlight w:val="none"/>
        </w:rPr>
        <w:t xml:space="preserve">专业毕业要求</w:t>
      </w:r>
      <w:r>
        <w:rPr>
          <w:rFonts w:ascii="黑体" w:hAnsi="宋体" w:eastAsia="黑体"/>
          <w:sz w:val="24"/>
          <w:highlight w:val="none"/>
        </w:rPr>
        <w:t xml:space="preserve">的关联性</w:t>
      </w:r>
      <w:r>
        <w:rPr>
          <w:rFonts w:ascii="黑体" w:hAnsi="宋体" w:eastAsia="黑体"/>
          <w:sz w:val="24"/>
          <w:highlight w:val="none"/>
        </w:rPr>
      </w:r>
    </w:p>
    <w:tbl>
      <w:tblPr>
        <w:tblStyle w:val="626"/>
        <w:tblpPr w:horzAnchor="page" w:tblpX="2375" w:vertAnchor="text" w:tblpY="242" w:leftFromText="180" w:topFromText="0" w:rightFromText="180" w:bottomFromText="0"/>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668"/>
        <w:gridCol w:w="4961"/>
        <w:gridCol w:w="851"/>
      </w:tblGrid>
      <w:tr>
        <w:trPr/>
        <w:tc>
          <w:tcPr>
            <w:gridSpan w:val="2"/>
            <w:tcBorders/>
            <w:tcW w:w="6629" w:type="dxa"/>
            <w:textDirection w:val="lrTb"/>
            <w:noWrap w:val="false"/>
          </w:tcPr>
          <w:p>
            <w:pPr>
              <w:pBdr/>
              <w:spacing/>
              <w:ind/>
              <w:jc w:val="center"/>
              <w:rPr>
                <w:rFonts w:hint="eastAsia" w:ascii="黑体" w:hAnsi="黑体" w:eastAsia="黑体" w:cs="黑体"/>
                <w:sz w:val="20"/>
                <w:szCs w:val="20"/>
              </w:rPr>
            </w:pPr>
            <w:r>
              <w:rPr>
                <w:rFonts w:hint="eastAsia" w:ascii="黑体" w:hAnsi="黑体" w:eastAsia="黑体" w:cs="黑体"/>
                <w:sz w:val="20"/>
                <w:szCs w:val="20"/>
              </w:rPr>
              <w:t xml:space="preserve">专业毕业要求</w:t>
            </w:r>
            <w:r>
              <w:rPr>
                <w:rFonts w:hint="eastAsia" w:ascii="黑体" w:hAnsi="黑体" w:eastAsia="黑体" w:cs="黑体"/>
                <w:sz w:val="20"/>
                <w:szCs w:val="20"/>
              </w:rPr>
            </w:r>
          </w:p>
        </w:tc>
        <w:tc>
          <w:tcPr>
            <w:tcBorders/>
            <w:tcW w:w="851" w:type="dxa"/>
            <w:textDirection w:val="lrTb"/>
            <w:noWrap w:val="false"/>
          </w:tcPr>
          <w:p>
            <w:pPr>
              <w:pBdr/>
              <w:spacing/>
              <w:ind/>
              <w:jc w:val="center"/>
              <w:rPr>
                <w:rFonts w:ascii="黑体" w:hAnsi="黑体" w:eastAsia="黑体" w:cs="黑体"/>
                <w:sz w:val="20"/>
                <w:szCs w:val="20"/>
              </w:rPr>
            </w:pPr>
            <w:r>
              <w:rPr>
                <w:rFonts w:hint="eastAsia" w:ascii="黑体" w:hAnsi="黑体" w:eastAsia="黑体" w:cs="黑体"/>
                <w:sz w:val="20"/>
                <w:szCs w:val="20"/>
              </w:rPr>
              <w:t xml:space="preserve">关联</w:t>
            </w:r>
            <w:r>
              <w:rPr>
                <w:rFonts w:ascii="黑体" w:hAnsi="黑体" w:eastAsia="黑体" w:cs="黑体"/>
                <w:sz w:val="20"/>
                <w:szCs w:val="20"/>
              </w:rPr>
            </w:r>
          </w:p>
        </w:tc>
      </w:tr>
      <w:tr>
        <w:trPr/>
        <w:tc>
          <w:tcPr>
            <w:tcBorders/>
            <w:tcW w:w="1668" w:type="dxa"/>
            <w:vAlign w:val="center"/>
            <w:vMerge w:val="restart"/>
            <w:textDirection w:val="lrTb"/>
            <w:noWrap w:val="false"/>
          </w:tcPr>
          <w:p>
            <w:pPr>
              <w:pBdr/>
              <w:spacing/>
              <w:ind/>
              <w:rPr>
                <w:rFonts w:asciiTheme="minorEastAsia" w:hAnsiTheme="minorEastAsia" w:eastAsiaTheme="minorEastAsia"/>
                <w:sz w:val="20"/>
                <w:szCs w:val="20"/>
              </w:rPr>
            </w:pPr>
            <w:r>
              <w:rPr>
                <w:rFonts w:hint="eastAsia" w:cs="宋体" w:asciiTheme="minorEastAsia" w:hAnsiTheme="minorEastAsia" w:eastAsiaTheme="minorEastAsia"/>
                <w:color w:val="000000"/>
                <w:sz w:val="20"/>
                <w:szCs w:val="20"/>
              </w:rPr>
              <w:t xml:space="preserve">LO1品德修养</w:t>
            </w:r>
            <w:r>
              <w:rPr>
                <w:rFonts w:asciiTheme="minorEastAsia" w:hAnsiTheme="minorEastAsia" w:eastAsiaTheme="minorEastAsia"/>
                <w:sz w:val="20"/>
                <w:szCs w:val="20"/>
              </w:rPr>
            </w:r>
          </w:p>
        </w:tc>
        <w:tc>
          <w:tcPr>
            <w:tcBorders/>
            <w:tcW w:w="4961" w:type="dxa"/>
            <w:textDirection w:val="lrTb"/>
            <w:noWrap w:val="false"/>
          </w:tcPr>
          <w:p>
            <w:pPr>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LO1</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爱党爱国，坚决拥护党的领导，热爱祖国的大好河山、悠久历史、灿烂文化，自觉维护民族利益和国家尊严。</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asciiTheme="minorEastAsia" w:hAnsiTheme="minorEastAsia" w:eastAsiaTheme="minorEastAsia"/>
                <w:sz w:val="20"/>
                <w:szCs w:val="20"/>
              </w:rPr>
            </w:pPr>
            <w:r>
              <w:rPr>
                <w:rFonts w:asciiTheme="minorEastAsia" w:hAnsiTheme="minorEastAsia" w:eastAsiaTheme="minorEastAsia"/>
                <w:sz w:val="20"/>
                <w:szCs w:val="20"/>
              </w:rPr>
            </w:r>
            <w:r>
              <w:rPr>
                <w:rFonts w:asciiTheme="minorEastAsia" w:hAnsiTheme="minorEastAsia" w:eastAsiaTheme="minorEastAsia"/>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LO1</w:t>
            </w:r>
            <w:r>
              <w:rPr>
                <w:rFonts w:cs="宋体" w:asciiTheme="minorEastAsia" w:hAnsiTheme="minorEastAsia" w:eastAsiaTheme="minorEastAsia"/>
                <w:color w:val="000000"/>
                <w:sz w:val="20"/>
                <w:szCs w:val="20"/>
              </w:rPr>
              <w:t xml:space="preserve">2遵纪守法，增强法律意识，培养法律思维，自觉遵守法律法规、校纪校规。</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asciiTheme="minorEastAsia" w:hAnsiTheme="minorEastAsia" w:eastAsiaTheme="minorEastAsia"/>
                <w:sz w:val="20"/>
                <w:szCs w:val="20"/>
              </w:rPr>
            </w:pPr>
            <w:r>
              <w:rPr>
                <w:rFonts w:asciiTheme="minorEastAsia" w:hAnsiTheme="minorEastAsia" w:eastAsiaTheme="minorEastAsia"/>
                <w:sz w:val="20"/>
                <w:szCs w:val="20"/>
              </w:rPr>
            </w:r>
            <w:r>
              <w:rPr>
                <w:rFonts w:asciiTheme="minorEastAsia" w:hAnsiTheme="minorEastAsia" w:eastAsiaTheme="minorEastAsia"/>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LO1</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奉献社会，富有爱心，懂得感恩，自觉传承和弘扬雷锋精神，具有服务社会的意愿和行动，积极参加志愿者服务。</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LO1</w:t>
            </w:r>
            <w:r>
              <w:rPr>
                <w:rFonts w:cs="宋体" w:asciiTheme="minorEastAsia" w:hAnsiTheme="minorEastAsia" w:eastAsiaTheme="minorEastAsia"/>
                <w:color w:val="000000"/>
                <w:sz w:val="20"/>
                <w:szCs w:val="20"/>
              </w:rPr>
              <w:t xml:space="preserve">4</w:t>
            </w:r>
            <w:r>
              <w:rPr>
                <w:rFonts w:hint="eastAsia" w:cs="宋体" w:asciiTheme="minorEastAsia" w:hAnsiTheme="minorEastAsia" w:eastAsiaTheme="minorEastAsia"/>
                <w:color w:val="000000"/>
                <w:sz w:val="20"/>
                <w:szCs w:val="20"/>
              </w:rPr>
              <w:t xml:space="preserve">诚信尽责，为人诚实，信守承诺，勤奋努力，精益求精，勇于担责。</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LO1</w:t>
            </w:r>
            <w:r>
              <w:rPr>
                <w:rFonts w:cs="宋体" w:asciiTheme="minorEastAsia" w:hAnsiTheme="minorEastAsia" w:eastAsiaTheme="minorEastAsia"/>
                <w:color w:val="000000"/>
                <w:sz w:val="20"/>
                <w:szCs w:val="20"/>
              </w:rPr>
              <w:t xml:space="preserve">5</w:t>
            </w:r>
            <w:r>
              <w:rPr>
                <w:rFonts w:hint="eastAsia" w:cs="宋体" w:asciiTheme="minorEastAsia" w:hAnsiTheme="minorEastAsia" w:eastAsiaTheme="minorEastAsia"/>
                <w:color w:val="000000"/>
                <w:sz w:val="20"/>
                <w:szCs w:val="20"/>
              </w:rPr>
              <w:t xml:space="preserve">爱岗敬业，热爱所学专业，勤学多练，锤炼技能。熟悉本专业相关的法律法规，在实习实践中自觉遵守职业规范，具备职业道德操守。</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LO2专业能力</w:t>
            </w:r>
            <w:r>
              <w:rPr>
                <w:rFonts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具有专业所需的人文科学素养。</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r>
            <w:r>
              <w:rPr>
                <w:rFonts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健康检测：掌握健康检测的基本内容及方法。</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cs="宋体" w:asciiTheme="minorEastAsia" w:hAnsiTheme="minorEastAsia" w:eastAsiaTheme="minorEastAsia"/>
                <w:color w:val="000000"/>
                <w:sz w:val="20"/>
                <w:szCs w:val="20"/>
              </w:rPr>
            </w:pPr>
            <w:r>
              <w:rPr>
                <w:rFonts w:cs="宋体" w:asciiTheme="minorEastAsia" w:hAnsiTheme="minorEastAsia" w:eastAsiaTheme="minorEastAsia"/>
                <w:color w:val="000000"/>
                <w:sz w:val="20"/>
                <w:szCs w:val="20"/>
              </w:rPr>
            </w:r>
            <w:r>
              <w:rPr>
                <w:rFonts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健康评估：能全面评估服务对象的健康状态，具有健康监测、健康风险评估能力。</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Wingdings 2" w:hAnsi="Wingdings 2" w:eastAsia="Wingdings 2" w:cs="Wingdings 2"/>
                <w:sz w:val="20"/>
                <w:szCs w:val="20"/>
              </w:rPr>
              <w:t xml:space="preserve"></w:t>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sz w:val="20"/>
                <w:szCs w:val="20"/>
              </w:rPr>
            </w:pPr>
            <w:r>
              <w:rPr>
                <w:sz w:val="20"/>
                <w:szCs w:val="20"/>
              </w:rPr>
            </w:r>
            <w:r>
              <w:rPr>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w:t>
            </w:r>
            <w:r>
              <w:rPr>
                <w:rFonts w:cs="宋体" w:asciiTheme="minorEastAsia" w:hAnsiTheme="minorEastAsia" w:eastAsiaTheme="minorEastAsia"/>
                <w:color w:val="000000"/>
                <w:sz w:val="20"/>
                <w:szCs w:val="20"/>
              </w:rPr>
              <w:t xml:space="preserve">4</w:t>
            </w:r>
            <w:r>
              <w:rPr>
                <w:rFonts w:hint="eastAsia" w:cs="宋体" w:asciiTheme="minorEastAsia" w:hAnsiTheme="minorEastAsia" w:eastAsiaTheme="minorEastAsia"/>
                <w:color w:val="000000"/>
                <w:sz w:val="20"/>
                <w:szCs w:val="20"/>
              </w:rPr>
              <w:t xml:space="preserve">健康咨询：掌握健康保健专业知识，为服务对象提供健康咨询服务。能确定服务对象的健康需求，并采用合适的健康教育方法。</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Wingdings 2" w:hAnsi="Wingdings 2" w:eastAsia="Wingdings 2" w:cs="Wingdings 2"/>
                <w:sz w:val="20"/>
                <w:szCs w:val="20"/>
              </w:rPr>
              <w:t xml:space="preserve"></w:t>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sz w:val="20"/>
                <w:szCs w:val="20"/>
              </w:rPr>
            </w:pPr>
            <w:r>
              <w:rPr>
                <w:sz w:val="20"/>
                <w:szCs w:val="20"/>
              </w:rPr>
            </w:r>
            <w:r>
              <w:rPr>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LO2</w:t>
            </w:r>
            <w:r>
              <w:rPr>
                <w:rFonts w:cs="宋体" w:asciiTheme="minorEastAsia" w:hAnsiTheme="minorEastAsia" w:eastAsiaTheme="minorEastAsia"/>
                <w:color w:val="000000"/>
                <w:sz w:val="20"/>
                <w:szCs w:val="20"/>
              </w:rPr>
              <w:t xml:space="preserve">5</w:t>
            </w:r>
            <w:r>
              <w:rPr>
                <w:rFonts w:hint="eastAsia" w:cs="宋体" w:asciiTheme="minorEastAsia" w:hAnsiTheme="minorEastAsia" w:eastAsiaTheme="minorEastAsia"/>
                <w:color w:val="000000"/>
                <w:sz w:val="20"/>
                <w:szCs w:val="20"/>
              </w:rPr>
              <w:t xml:space="preserve">健康促进：掌握慢性病管理相关知识，协助医生开展慢性病病人社区健康管理，包括健康干预方案的跟踪随访。</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Wingdings 2" w:hAnsi="Wingdings 2" w:eastAsia="Wingdings 2" w:cs="Wingdings 2"/>
                <w:sz w:val="20"/>
                <w:szCs w:val="20"/>
              </w:rPr>
              <w:t xml:space="preserve"></w:t>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sz w:val="20"/>
                <w:szCs w:val="20"/>
              </w:rPr>
            </w:pPr>
            <w:r>
              <w:rPr>
                <w:sz w:val="20"/>
                <w:szCs w:val="20"/>
              </w:rPr>
            </w:r>
            <w:r>
              <w:rPr>
                <w:sz w:val="20"/>
                <w:szCs w:val="20"/>
              </w:rPr>
            </w:r>
          </w:p>
        </w:tc>
        <w:tc>
          <w:tcPr>
            <w:tcBorders/>
            <w:tcW w:w="4961" w:type="dxa"/>
            <w:textDirection w:val="lrTb"/>
            <w:noWrap w:val="false"/>
          </w:tcPr>
          <w:p>
            <w:pPr>
              <w:widowControl w:val="true"/>
              <w:pBdr/>
              <w:spacing/>
              <w:ind/>
              <w:jc w:val="left"/>
              <w:rPr>
                <w:rFonts w:hint="default" w:cs="宋体" w:asciiTheme="minorEastAsia" w:hAnsiTheme="minorEastAsia" w:eastAsiaTheme="minorEastAsia"/>
                <w:color w:val="000000"/>
                <w:sz w:val="20"/>
                <w:szCs w:val="20"/>
                <w:lang w:val="en-US" w:eastAsia="zh-CN"/>
              </w:rPr>
            </w:pPr>
            <w:r>
              <w:rPr>
                <w:rFonts w:hint="eastAsia" w:cs="宋体" w:asciiTheme="minorEastAsia" w:hAnsiTheme="minorEastAsia" w:eastAsiaTheme="minorEastAsia"/>
                <w:color w:val="000000"/>
                <w:sz w:val="20"/>
                <w:szCs w:val="20"/>
              </w:rPr>
              <w:t xml:space="preserve">LO2</w:t>
            </w:r>
            <w:r>
              <w:rPr>
                <w:rFonts w:hint="eastAsia" w:cs="宋体" w:asciiTheme="minorEastAsia" w:hAnsiTheme="minorEastAsia" w:eastAsiaTheme="minorEastAsia"/>
                <w:color w:val="000000"/>
                <w:sz w:val="20"/>
                <w:szCs w:val="20"/>
                <w:lang w:val="en-US" w:eastAsia="zh-CN"/>
              </w:rPr>
              <w:t xml:space="preserve">6 健康管理：掌握对个人或人群的健康风险因素进行全面管理的能力，开展健康管理服务。</w:t>
            </w:r>
            <w:r>
              <w:rPr>
                <w:rFonts w:hint="default" w:cs="宋体" w:asciiTheme="minorEastAsia" w:hAnsiTheme="minorEastAsia" w:eastAsiaTheme="minorEastAsia"/>
                <w:color w:val="000000"/>
                <w:sz w:val="20"/>
                <w:szCs w:val="20"/>
                <w:lang w:val="en-US" w:eastAsia="zh-CN"/>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rHeight w:val="363"/>
        </w:trPr>
        <w:tc>
          <w:tcPr>
            <w:tcBorders/>
            <w:tcW w:w="1668" w:type="dxa"/>
            <w:vAlign w:val="center"/>
            <w:vMerge w:val="restart"/>
            <w:textDirection w:val="lrTb"/>
            <w:noWrap w:val="false"/>
          </w:tcPr>
          <w:p>
            <w:pPr>
              <w:widowControl w:val="true"/>
              <w:pBdr/>
              <w:spacing/>
              <w:ind/>
              <w:rPr>
                <w:rFonts w:asciiTheme="minorEastAsia" w:hAnsiTheme="minorEastAsia" w:eastAsiaTheme="minorEastAsia"/>
                <w:sz w:val="20"/>
                <w:szCs w:val="20"/>
              </w:rPr>
            </w:pPr>
            <w:r>
              <w:rPr>
                <w:rFonts w:hint="eastAsia" w:cs="宋体" w:asciiTheme="minorEastAsia" w:hAnsiTheme="minorEastAsia" w:eastAsiaTheme="minorEastAsia"/>
                <w:color w:val="000000"/>
                <w:sz w:val="20"/>
                <w:szCs w:val="20"/>
              </w:rPr>
              <w:t xml:space="preserve">LO3表达沟通</w:t>
            </w:r>
            <w:r>
              <w:rPr>
                <w:rFonts w:asciiTheme="minorEastAsia" w:hAnsiTheme="minorEastAsia" w:eastAsiaTheme="minorEastAsia"/>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LO3</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倾听他人意见、尊重他人观点、分析他人需求。</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asciiTheme="minorEastAsia" w:hAnsiTheme="minorEastAsia" w:eastAsiaTheme="minorEastAsia"/>
                <w:sz w:val="20"/>
                <w:szCs w:val="20"/>
              </w:rPr>
            </w:pPr>
            <w:r>
              <w:rPr>
                <w:rFonts w:asciiTheme="minorEastAsia" w:hAnsiTheme="minorEastAsia" w:eastAsiaTheme="minorEastAsia"/>
                <w:sz w:val="20"/>
                <w:szCs w:val="20"/>
              </w:rPr>
            </w:r>
            <w:r>
              <w:rPr>
                <w:rFonts w:asciiTheme="minorEastAsia" w:hAnsiTheme="minorEastAsia" w:eastAsiaTheme="minorEastAsia"/>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LO3</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应用书面或口头形式，阐释自己的观点，有效沟通。</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asciiTheme="minorEastAsia" w:hAnsiTheme="minorEastAsia" w:eastAsiaTheme="minorEastAsia"/>
                <w:sz w:val="20"/>
                <w:szCs w:val="20"/>
              </w:rPr>
            </w:pPr>
            <w:r>
              <w:rPr>
                <w:rFonts w:hint="eastAsia" w:cs="宋体" w:asciiTheme="minorEastAsia" w:hAnsiTheme="minorEastAsia" w:eastAsiaTheme="minorEastAsia"/>
                <w:color w:val="000000"/>
                <w:sz w:val="20"/>
                <w:szCs w:val="20"/>
              </w:rPr>
              <w:t xml:space="preserve">LO4自主学习</w:t>
            </w:r>
            <w:r>
              <w:rPr>
                <w:rFonts w:asciiTheme="minorEastAsia" w:hAnsiTheme="minorEastAsia" w:eastAsiaTheme="minorEastAsia"/>
                <w:sz w:val="20"/>
                <w:szCs w:val="20"/>
              </w:rPr>
            </w:r>
          </w:p>
        </w:tc>
        <w:tc>
          <w:tcPr>
            <w:tcBorders/>
            <w:tcW w:w="4961" w:type="dxa"/>
            <w:textDirection w:val="lrTb"/>
            <w:noWrap w:val="false"/>
          </w:tcPr>
          <w:p>
            <w:pPr>
              <w:widowControl w:val="true"/>
              <w:pBdr/>
              <w:spacing/>
              <w:ind/>
              <w:jc w:val="left"/>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LO4</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能根据需要确定学习目标，并设计学习计划。</w:t>
            </w:r>
            <w:r>
              <w:rPr>
                <w:rFonts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Wingdings 2" w:hAnsi="Wingdings 2" w:eastAsia="Wingdings 2" w:cs="Wingdings 2"/>
                <w:sz w:val="20"/>
                <w:szCs w:val="20"/>
              </w:rPr>
              <w:t xml:space="preserve"></w:t>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LO4</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能搜集、获取达到目标所需要的学习资源，实施学习计划、反思学习计划、持续改进，达到学习目标。</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LO5健康发展</w:t>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身体健康，具有良好的卫生习惯，积极参加体育活动。</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心理健康，学习和参与心理调适各项活动，耐挫折，能承受学习和生活中的压力。</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懂得审美，有发现美、感受美、鉴赏美、评价美、创造美的能力。</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w:t>
            </w:r>
            <w:r>
              <w:rPr>
                <w:rFonts w:cs="宋体" w:asciiTheme="minorEastAsia" w:hAnsiTheme="minorEastAsia" w:eastAsiaTheme="minorEastAsia"/>
                <w:color w:val="000000"/>
                <w:sz w:val="20"/>
                <w:szCs w:val="20"/>
              </w:rPr>
              <w:t xml:space="preserve">4</w:t>
            </w:r>
            <w:r>
              <w:rPr>
                <w:rFonts w:hint="eastAsia" w:cs="宋体" w:asciiTheme="minorEastAsia" w:hAnsiTheme="minorEastAsia" w:eastAsiaTheme="minorEastAsia"/>
                <w:color w:val="000000"/>
                <w:sz w:val="20"/>
                <w:szCs w:val="20"/>
              </w:rPr>
              <w:t xml:space="preserve">热爱劳动，具有正确的劳动观念和态度，热爱劳动和劳动人民，养成劳动习惯。</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LO5</w:t>
            </w:r>
            <w:r>
              <w:rPr>
                <w:rFonts w:cs="宋体" w:asciiTheme="minorEastAsia" w:hAnsiTheme="minorEastAsia" w:eastAsiaTheme="minorEastAsia"/>
                <w:color w:val="000000"/>
                <w:sz w:val="20"/>
                <w:szCs w:val="20"/>
              </w:rPr>
              <w:t xml:space="preserve">5</w:t>
            </w:r>
            <w:r>
              <w:rPr>
                <w:rFonts w:hint="eastAsia" w:cs="宋体" w:asciiTheme="minorEastAsia" w:hAnsiTheme="minorEastAsia" w:eastAsiaTheme="minorEastAsia"/>
                <w:color w:val="000000"/>
                <w:sz w:val="20"/>
                <w:szCs w:val="20"/>
              </w:rPr>
              <w:t xml:space="preserve">持续发展，具有爱护环境的意识，与自然和谐相处的环保理念与行动；具备终生学习的意识和能力。</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LO6协同创新</w:t>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LO6</w:t>
            </w:r>
            <w:r>
              <w:rPr>
                <w:rFonts w:cs="宋体" w:asciiTheme="minorEastAsia" w:hAnsiTheme="minorEastAsia" w:eastAsiaTheme="minorEastAsia"/>
                <w:color w:val="000000"/>
                <w:sz w:val="20"/>
                <w:szCs w:val="20"/>
              </w:rPr>
              <w:t xml:space="preserve">1</w:t>
            </w:r>
            <w:r>
              <w:rPr>
                <w:rFonts w:hint="eastAsia" w:cs="宋体" w:asciiTheme="minorEastAsia" w:hAnsiTheme="minorEastAsia" w:eastAsiaTheme="minorEastAsia"/>
                <w:color w:val="000000"/>
                <w:sz w:val="20"/>
                <w:szCs w:val="20"/>
              </w:rPr>
              <w:t xml:space="preserve">在集体活动中能主动担任自己的角色，与其他成员密切合作，善于自我管理和团队管理，共同完成任务。</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LO6</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有质疑精神，能有逻辑的分析与批判。</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LO6</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能用创新的方法或者多种方法解决复杂问题或真实问题。</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LO6</w:t>
            </w:r>
            <w:r>
              <w:rPr>
                <w:rFonts w:cs="宋体" w:asciiTheme="minorEastAsia" w:hAnsiTheme="minorEastAsia" w:eastAsiaTheme="minorEastAsia"/>
                <w:color w:val="000000"/>
                <w:sz w:val="20"/>
                <w:szCs w:val="20"/>
              </w:rPr>
              <w:t xml:space="preserve">4</w:t>
            </w:r>
            <w:r>
              <w:rPr>
                <w:rFonts w:hint="eastAsia" w:cs="宋体" w:asciiTheme="minorEastAsia" w:hAnsiTheme="minorEastAsia" w:eastAsiaTheme="minorEastAsia"/>
                <w:color w:val="000000"/>
                <w:sz w:val="20"/>
                <w:szCs w:val="20"/>
              </w:rPr>
              <w:t xml:space="preserve">了解行业前沿知识技术。</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LO7信息应用</w:t>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LO7</w:t>
            </w:r>
            <w:r>
              <w:rPr>
                <w:rFonts w:cs="宋体" w:asciiTheme="minorEastAsia" w:hAnsiTheme="minorEastAsia" w:eastAsiaTheme="minorEastAsia"/>
                <w:color w:val="000000"/>
                <w:sz w:val="20"/>
                <w:szCs w:val="20"/>
              </w:rPr>
              <w:t xml:space="preserve">1</w:t>
            </w:r>
            <w:r>
              <w:rPr>
                <w:bCs/>
              </w:rPr>
              <w:t xml:space="preserve">能够根据需要进行专业文献检索。</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LO7</w:t>
            </w:r>
            <w:r>
              <w:rPr>
                <w:rFonts w:cs="宋体" w:asciiTheme="minorEastAsia" w:hAnsiTheme="minorEastAsia" w:eastAsiaTheme="minorEastAsia"/>
                <w:color w:val="000000"/>
                <w:sz w:val="20"/>
                <w:szCs w:val="20"/>
              </w:rPr>
              <w:t xml:space="preserve">2</w:t>
            </w:r>
            <w:r>
              <w:rPr>
                <w:bCs/>
              </w:rPr>
              <w:t xml:space="preserve">能够使用适合的工具来搜集信息，并对信息加以分析、鉴别、判断与整合。</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LO7</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熟</w:t>
            </w:r>
            <w:r>
              <w:rPr>
                <w:bCs/>
              </w:rPr>
              <w:t xml:space="preserve">练使用计算机，掌握常用办公软件。</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restart"/>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LO8国际视野</w:t>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LO8</w:t>
            </w:r>
            <w:r>
              <w:rPr>
                <w:rFonts w:cs="宋体" w:asciiTheme="minorEastAsia" w:hAnsiTheme="minorEastAsia" w:eastAsiaTheme="minorEastAsia"/>
                <w:color w:val="000000"/>
                <w:sz w:val="20"/>
                <w:szCs w:val="20"/>
              </w:rPr>
              <w:t xml:space="preserve">1</w:t>
            </w:r>
            <w:r>
              <w:rPr>
                <w:bCs/>
              </w:rPr>
              <w:t xml:space="preserve">具备外语表达沟通能力，达到本专业的要求。</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LO8</w:t>
            </w:r>
            <w:r>
              <w:rPr>
                <w:rFonts w:cs="宋体" w:asciiTheme="minorEastAsia" w:hAnsiTheme="minorEastAsia" w:eastAsiaTheme="minorEastAsia"/>
                <w:color w:val="000000"/>
                <w:sz w:val="20"/>
                <w:szCs w:val="20"/>
              </w:rPr>
              <w:t xml:space="preserve">2</w:t>
            </w:r>
            <w:r>
              <w:rPr>
                <w:rFonts w:hint="eastAsia" w:cs="宋体" w:asciiTheme="minorEastAsia" w:hAnsiTheme="minorEastAsia" w:eastAsiaTheme="minorEastAsia"/>
                <w:color w:val="000000"/>
                <w:sz w:val="20"/>
                <w:szCs w:val="20"/>
              </w:rPr>
              <w:t xml:space="preserve">理解其他国家历史文化，有跨文化交流能力。</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r>
        <w:trPr/>
        <w:tc>
          <w:tcPr>
            <w:tcBorders/>
            <w:tcW w:w="1668" w:type="dxa"/>
            <w:vAlign w:val="center"/>
            <w:vMerge w:val="continue"/>
            <w:textDirection w:val="lrTb"/>
            <w:noWrap w:val="false"/>
          </w:tcPr>
          <w:p>
            <w:pPr>
              <w:widowControl w:val="true"/>
              <w:pBdr/>
              <w:spacing/>
              <w:ind/>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r>
            <w:r>
              <w:rPr>
                <w:rFonts w:hint="eastAsia" w:cs="宋体" w:asciiTheme="minorEastAsia" w:hAnsiTheme="minorEastAsia" w:eastAsiaTheme="minorEastAsia"/>
                <w:color w:val="000000"/>
                <w:sz w:val="20"/>
                <w:szCs w:val="20"/>
              </w:rPr>
            </w:r>
          </w:p>
        </w:tc>
        <w:tc>
          <w:tcPr>
            <w:tcBorders/>
            <w:tcW w:w="4961" w:type="dxa"/>
            <w:textDirection w:val="lrTb"/>
            <w:noWrap w:val="false"/>
          </w:tcPr>
          <w:p>
            <w:pPr>
              <w:widowControl w:val="true"/>
              <w:pBdr/>
              <w:spacing/>
              <w:ind/>
              <w:jc w:val="left"/>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LO8</w:t>
            </w:r>
            <w:r>
              <w:rPr>
                <w:rFonts w:cs="宋体" w:asciiTheme="minorEastAsia" w:hAnsiTheme="minorEastAsia" w:eastAsiaTheme="minorEastAsia"/>
                <w:color w:val="000000"/>
                <w:sz w:val="20"/>
                <w:szCs w:val="20"/>
              </w:rPr>
              <w:t xml:space="preserve">3</w:t>
            </w:r>
            <w:r>
              <w:rPr>
                <w:rFonts w:hint="eastAsia" w:cs="宋体" w:asciiTheme="minorEastAsia" w:hAnsiTheme="minorEastAsia" w:eastAsiaTheme="minorEastAsia"/>
                <w:color w:val="000000"/>
                <w:sz w:val="20"/>
                <w:szCs w:val="20"/>
              </w:rPr>
              <w:t xml:space="preserve">有国际竞争与合作意识。</w:t>
            </w:r>
            <w:r>
              <w:rPr>
                <w:rFonts w:hint="eastAsia" w:cs="宋体" w:asciiTheme="minorEastAsia" w:hAnsiTheme="minorEastAsia" w:eastAsiaTheme="minorEastAsia"/>
                <w:color w:val="000000"/>
                <w:sz w:val="20"/>
                <w:szCs w:val="20"/>
              </w:rPr>
            </w:r>
          </w:p>
        </w:tc>
        <w:tc>
          <w:tcPr>
            <w:tcBorders/>
            <w:tcW w:w="851" w:type="dxa"/>
            <w:vAlign w:val="center"/>
            <w:textDirection w:val="lrTb"/>
            <w:noWrap w:val="false"/>
          </w:tcPr>
          <w:p>
            <w:pPr>
              <w:widowControl w:val="true"/>
              <w:pBdr/>
              <w:spacing/>
              <w:ind/>
              <w:jc w:val="center"/>
              <w:rPr>
                <w:rFonts w:ascii="仿宋" w:hAnsi="仿宋" w:eastAsia="仿宋" w:cs="宋体"/>
                <w:color w:val="000000"/>
                <w:sz w:val="24"/>
                <w:szCs w:val="20"/>
              </w:rPr>
            </w:pPr>
            <w:r>
              <w:rPr>
                <w:rFonts w:ascii="仿宋" w:hAnsi="仿宋" w:eastAsia="仿宋" w:cs="宋体"/>
                <w:color w:val="000000"/>
                <w:sz w:val="24"/>
                <w:szCs w:val="20"/>
              </w:rPr>
            </w:r>
            <w:r>
              <w:rPr>
                <w:rFonts w:ascii="仿宋" w:hAnsi="仿宋" w:eastAsia="仿宋" w:cs="宋体"/>
                <w:color w:val="000000"/>
                <w:sz w:val="24"/>
                <w:szCs w:val="20"/>
              </w:rPr>
            </w:r>
          </w:p>
        </w:tc>
      </w:tr>
    </w:tbl>
    <w:p>
      <w:pPr>
        <w:widowControl w:val="true"/>
        <w:pBdr/>
        <w:spacing w:line="288" w:lineRule="auto"/>
        <w:ind w:firstLine="420"/>
        <w:rPr>
          <w:rFonts w:ascii="黑体" w:hAnsi="宋体" w:eastAsia="黑体"/>
          <w:sz w:val="24"/>
        </w:rPr>
      </w:pPr>
      <w:r>
        <w:rPr>
          <w:rFonts w:hint="eastAsia"/>
        </w:rPr>
        <w:t xml:space="preserve">备注：LO=</w:t>
      </w:r>
      <w:r>
        <w:t xml:space="preserve">learning outcomes</w:t>
      </w:r>
      <w:r>
        <w:rPr>
          <w:rFonts w:hint="eastAsia"/>
        </w:rPr>
        <w:t xml:space="preserve">（学习成果）</w:t>
      </w:r>
      <w:r>
        <w:rPr>
          <w:rFonts w:ascii="黑体" w:hAnsi="宋体" w:eastAsia="黑体"/>
          <w:sz w:val="24"/>
        </w:rPr>
      </w:r>
    </w:p>
    <w:p>
      <w:pPr>
        <w:widowControl w:val="true"/>
        <w:numPr>
          <w:ilvl w:val="0"/>
          <w:numId w:val="1"/>
        </w:numPr>
        <w:pBdr/>
        <w:spacing w:after="156" w:before="156" w:line="288" w:lineRule="auto"/>
        <w:ind w:firstLine="360"/>
        <w:jc w:val="left"/>
        <w:rPr>
          <w:rFonts w:ascii="黑体" w:hAnsi="宋体" w:eastAsia="黑体"/>
          <w:sz w:val="24"/>
          <w:szCs w:val="24"/>
          <w:highlight w:val="none"/>
        </w:rPr>
      </w:pPr>
      <w:r>
        <w:rPr>
          <w:rFonts w:ascii="黑体" w:hAnsi="宋体" w:eastAsia="黑体"/>
          <w:sz w:val="24"/>
          <w:szCs w:val="24"/>
          <w:highlight w:val="none"/>
        </w:rPr>
        <w:t xml:space="preserve">课程</w:t>
      </w:r>
      <w:r>
        <w:rPr>
          <w:rFonts w:hint="eastAsia" w:ascii="黑体" w:hAnsi="宋体" w:eastAsia="黑体"/>
          <w:sz w:val="24"/>
          <w:szCs w:val="24"/>
          <w:highlight w:val="none"/>
        </w:rPr>
        <w:t xml:space="preserve">目标/课程预期学习成果</w:t>
      </w:r>
      <w:r>
        <w:rPr>
          <w:rFonts w:ascii="黑体" w:hAnsi="宋体" w:eastAsia="黑体"/>
          <w:sz w:val="24"/>
          <w:szCs w:val="24"/>
          <w:highlight w:val="none"/>
        </w:rPr>
      </w:r>
    </w:p>
    <w:tbl>
      <w:tblPr>
        <w:tblStyle w:val="622"/>
        <w:tblpPr w:horzAnchor="page" w:tblpXSpec="center" w:vertAnchor="text" w:tblpY="152" w:leftFromText="180" w:topFromText="0" w:rightFromText="180" w:bottomFromText="0"/>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505"/>
        <w:gridCol w:w="1191"/>
        <w:gridCol w:w="3119"/>
        <w:gridCol w:w="1663"/>
        <w:gridCol w:w="1177"/>
      </w:tblGrid>
      <w:tr>
        <w:trPr>
          <w:jc w:val="center"/>
          <w:trHeight w:val="907"/>
        </w:trPr>
        <w:tc>
          <w:tcPr>
            <w:tcBorders/>
            <w:tcW w:w="505" w:type="dxa"/>
            <w:vAlign w:val="center"/>
            <w:textDirection w:val="lrTb"/>
            <w:noWrap w:val="false"/>
          </w:tcPr>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序号</w:t>
            </w:r>
            <w:r>
              <w:rPr>
                <w:rFonts w:hint="eastAsia" w:ascii="宋体" w:hAnsi="宋体" w:eastAsia="宋体" w:cs="宋体"/>
                <w:b/>
                <w:sz w:val="21"/>
                <w:szCs w:val="21"/>
              </w:rPr>
            </w:r>
          </w:p>
        </w:tc>
        <w:tc>
          <w:tcPr>
            <w:tcBorders/>
            <w:tcW w:w="1191" w:type="dxa"/>
            <w:vAlign w:val="center"/>
            <w:textDirection w:val="lrTb"/>
            <w:noWrap w:val="false"/>
          </w:tcPr>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课程预期</w:t>
            </w:r>
            <w:r>
              <w:rPr>
                <w:rFonts w:hint="eastAsia" w:ascii="宋体" w:hAnsi="宋体" w:eastAsia="宋体" w:cs="宋体"/>
                <w:b/>
                <w:sz w:val="21"/>
                <w:szCs w:val="21"/>
              </w:rPr>
            </w:r>
          </w:p>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学习成果</w:t>
            </w:r>
            <w:r>
              <w:rPr>
                <w:rFonts w:hint="eastAsia" w:ascii="宋体" w:hAnsi="宋体" w:eastAsia="宋体" w:cs="宋体"/>
                <w:b/>
                <w:sz w:val="21"/>
                <w:szCs w:val="21"/>
              </w:rPr>
            </w:r>
          </w:p>
        </w:tc>
        <w:tc>
          <w:tcPr>
            <w:tcBorders/>
            <w:tcW w:w="3119" w:type="dxa"/>
            <w:vAlign w:val="center"/>
            <w:textDirection w:val="lrTb"/>
            <w:noWrap w:val="false"/>
          </w:tcPr>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课程目标</w:t>
            </w:r>
            <w:r>
              <w:rPr>
                <w:rFonts w:hint="eastAsia" w:ascii="宋体" w:hAnsi="宋体" w:eastAsia="宋体" w:cs="宋体"/>
                <w:b/>
                <w:sz w:val="21"/>
                <w:szCs w:val="21"/>
              </w:rPr>
            </w:r>
          </w:p>
        </w:tc>
        <w:tc>
          <w:tcPr>
            <w:tcBorders/>
            <w:tcW w:w="1663" w:type="dxa"/>
            <w:vAlign w:val="center"/>
            <w:textDirection w:val="lrTb"/>
            <w:noWrap w:val="false"/>
          </w:tcPr>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教与学方式</w:t>
            </w:r>
            <w:r>
              <w:rPr>
                <w:rFonts w:hint="eastAsia" w:ascii="宋体" w:hAnsi="宋体" w:eastAsia="宋体" w:cs="宋体"/>
                <w:b/>
                <w:sz w:val="21"/>
                <w:szCs w:val="21"/>
              </w:rPr>
            </w:r>
          </w:p>
        </w:tc>
        <w:tc>
          <w:tcPr>
            <w:tcBorders/>
            <w:tcW w:w="1177" w:type="dxa"/>
            <w:vAlign w:val="center"/>
            <w:textDirection w:val="lrTb"/>
            <w:noWrap w:val="false"/>
          </w:tcPr>
          <w:p>
            <w:pPr>
              <w:pBdr/>
              <w:spacing w:line="288" w:lineRule="auto"/>
              <w:ind/>
              <w:jc w:val="center"/>
              <w:rPr>
                <w:rFonts w:hint="eastAsia" w:ascii="宋体" w:hAnsi="宋体" w:eastAsia="宋体" w:cs="宋体"/>
                <w:b/>
                <w:sz w:val="21"/>
                <w:szCs w:val="21"/>
              </w:rPr>
            </w:pPr>
            <w:r>
              <w:rPr>
                <w:rFonts w:hint="eastAsia" w:ascii="宋体" w:hAnsi="宋体" w:eastAsia="宋体" w:cs="宋体"/>
                <w:b/>
                <w:sz w:val="21"/>
                <w:szCs w:val="21"/>
              </w:rPr>
              <w:t xml:space="preserve">评价方式</w:t>
            </w:r>
            <w:r>
              <w:rPr>
                <w:rFonts w:hint="eastAsia" w:ascii="宋体" w:hAnsi="宋体" w:eastAsia="宋体" w:cs="宋体"/>
                <w:b/>
                <w:sz w:val="21"/>
                <w:szCs w:val="21"/>
              </w:rPr>
            </w:r>
          </w:p>
        </w:tc>
      </w:tr>
      <w:tr>
        <w:trPr>
          <w:jc w:val="center"/>
        </w:trPr>
        <w:tc>
          <w:tcPr>
            <w:tcBorders/>
            <w:tcW w:w="505" w:type="dxa"/>
            <w:vAlign w:val="center"/>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1</w:t>
            </w:r>
            <w:r>
              <w:rPr>
                <w:rFonts w:hint="eastAsia" w:ascii="宋体" w:hAnsi="宋体" w:eastAsia="宋体" w:cs="宋体"/>
                <w:sz w:val="21"/>
                <w:szCs w:val="21"/>
              </w:rPr>
            </w:r>
          </w:p>
        </w:tc>
        <w:tc>
          <w:tcPr>
            <w:tcBorders/>
            <w:tcW w:w="1191" w:type="dxa"/>
            <w:vAlign w:val="center"/>
            <w:textDirection w:val="lrTb"/>
            <w:noWrap w:val="false"/>
          </w:tcPr>
          <w:p>
            <w:pPr>
              <w:widowControl w:val="true"/>
              <w:pBdr/>
              <w:spacing/>
              <w:ind/>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LO</w:t>
            </w:r>
            <w:r>
              <w:rPr>
                <w:rFonts w:hint="eastAsia" w:ascii="宋体" w:hAnsi="宋体" w:eastAsia="宋体" w:cs="宋体"/>
                <w:sz w:val="21"/>
                <w:szCs w:val="21"/>
                <w:lang w:val="en-US" w:eastAsia="zh-CN"/>
              </w:rPr>
              <w:t xml:space="preserve">41</w:t>
            </w:r>
            <w:r>
              <w:rPr>
                <w:rFonts w:hint="eastAsia" w:ascii="宋体" w:hAnsi="宋体" w:eastAsia="宋体" w:cs="宋体"/>
                <w:sz w:val="21"/>
                <w:szCs w:val="21"/>
                <w:lang w:val="en-US" w:eastAsia="zh-CN"/>
              </w:rPr>
            </w:r>
          </w:p>
        </w:tc>
        <w:tc>
          <w:tcPr>
            <w:tcBorders/>
            <w:tcW w:w="3119" w:type="dxa"/>
            <w:vAlign w:val="center"/>
            <w:textDirection w:val="lrTb"/>
            <w:noWrap w:val="false"/>
          </w:tcPr>
          <w:p>
            <w:pPr>
              <w:pBdr/>
              <w:spacing/>
              <w:ind/>
              <w:rPr>
                <w:rFonts w:hint="eastAsia" w:ascii="宋体" w:hAnsi="宋体" w:eastAsia="宋体" w:cs="宋体"/>
                <w:sz w:val="21"/>
                <w:szCs w:val="21"/>
              </w:rPr>
            </w:pPr>
            <w:r>
              <w:rPr>
                <w:rFonts w:hint="eastAsia" w:ascii="宋体" w:hAnsi="宋体" w:eastAsia="宋体" w:cs="宋体"/>
                <w:sz w:val="21"/>
                <w:szCs w:val="21"/>
              </w:rPr>
              <w:t xml:space="preserve">1、具有自主学习的基本能力，能够适应不断变化的社会健康保健需求。</w:t>
            </w:r>
            <w:r>
              <w:rPr>
                <w:rFonts w:hint="eastAsia" w:ascii="宋体" w:hAnsi="宋体" w:eastAsia="宋体" w:cs="宋体"/>
                <w:sz w:val="21"/>
                <w:szCs w:val="21"/>
              </w:rPr>
            </w:r>
          </w:p>
        </w:tc>
        <w:tc>
          <w:tcPr>
            <w:tcBorders/>
            <w:tcW w:w="1663" w:type="dxa"/>
            <w:vAlign w:val="center"/>
            <w:textDirection w:val="lrTb"/>
            <w:noWrap w:val="false"/>
          </w:tcPr>
          <w:p>
            <w:pPr>
              <w:widowControl w:val="true"/>
              <w:pBdr/>
              <w:spacing/>
              <w:ind/>
              <w:jc w:val="left"/>
              <w:rPr>
                <w:rFonts w:hint="eastAsia" w:ascii="宋体" w:hAnsi="宋体" w:eastAsia="宋体" w:cs="宋体"/>
                <w:sz w:val="21"/>
                <w:szCs w:val="21"/>
              </w:rPr>
            </w:pPr>
            <w:r>
              <w:rPr>
                <w:rFonts w:hint="eastAsia" w:ascii="宋体" w:hAnsi="宋体" w:eastAsia="宋体" w:cs="宋体"/>
                <w:sz w:val="21"/>
                <w:szCs w:val="21"/>
              </w:rPr>
              <w:t xml:space="preserve">布置学习任务</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课外拓展阅读</w:t>
            </w:r>
            <w:r>
              <w:rPr>
                <w:rFonts w:hint="eastAsia" w:ascii="宋体" w:hAnsi="宋体" w:eastAsia="宋体" w:cs="宋体"/>
                <w:sz w:val="21"/>
                <w:szCs w:val="21"/>
              </w:rPr>
            </w:r>
          </w:p>
        </w:tc>
        <w:tc>
          <w:tcPr>
            <w:tcBorders/>
            <w:tcW w:w="1177"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课堂提问</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实训报告</w:t>
            </w:r>
            <w:r>
              <w:rPr>
                <w:rFonts w:hint="eastAsia" w:ascii="宋体" w:hAnsi="宋体" w:eastAsia="宋体" w:cs="宋体"/>
                <w:sz w:val="21"/>
                <w:szCs w:val="21"/>
              </w:rPr>
            </w:r>
          </w:p>
        </w:tc>
      </w:tr>
      <w:tr>
        <w:trPr>
          <w:jc w:val="center"/>
        </w:trPr>
        <w:tc>
          <w:tcPr>
            <w:tcBorders/>
            <w:tcW w:w="505" w:type="dxa"/>
            <w:vAlign w:val="center"/>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2</w:t>
            </w:r>
            <w:r>
              <w:rPr>
                <w:rFonts w:hint="eastAsia" w:ascii="宋体" w:hAnsi="宋体" w:eastAsia="宋体" w:cs="宋体"/>
                <w:sz w:val="21"/>
                <w:szCs w:val="21"/>
              </w:rPr>
            </w:r>
          </w:p>
        </w:tc>
        <w:tc>
          <w:tcPr>
            <w:tcBorders/>
            <w:tcW w:w="1191" w:type="dxa"/>
            <w:vAlign w:val="center"/>
            <w:textDirection w:val="lrTb"/>
            <w:noWrap w:val="false"/>
          </w:tcPr>
          <w:p>
            <w:pPr>
              <w:widowControl w:val="true"/>
              <w:pBdr/>
              <w:spacing/>
              <w:ind/>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LO</w:t>
            </w:r>
            <w:r>
              <w:rPr>
                <w:rFonts w:hint="eastAsia" w:ascii="宋体" w:hAnsi="宋体" w:eastAsia="宋体" w:cs="宋体"/>
                <w:sz w:val="21"/>
                <w:szCs w:val="21"/>
                <w:lang w:val="en-US" w:eastAsia="zh-CN"/>
              </w:rPr>
              <w:t xml:space="preserve">23</w:t>
            </w:r>
            <w:r>
              <w:rPr>
                <w:rFonts w:hint="eastAsia" w:ascii="宋体" w:hAnsi="宋体" w:eastAsia="宋体" w:cs="宋体"/>
                <w:sz w:val="21"/>
                <w:szCs w:val="21"/>
                <w:lang w:val="en-US" w:eastAsia="zh-CN"/>
              </w:rPr>
            </w:r>
          </w:p>
        </w:tc>
        <w:tc>
          <w:tcPr>
            <w:tcBorders/>
            <w:tcW w:w="3119"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1、健康评估：能全面评估服务对象的健康状态，具有健康监测、健康风险评估能力。</w:t>
            </w:r>
            <w:r>
              <w:rPr>
                <w:rFonts w:hint="eastAsia" w:ascii="宋体" w:hAnsi="宋体" w:eastAsia="宋体" w:cs="宋体"/>
                <w:sz w:val="21"/>
                <w:szCs w:val="21"/>
              </w:rPr>
            </w:r>
          </w:p>
        </w:tc>
        <w:tc>
          <w:tcPr>
            <w:tcBorders/>
            <w:tcW w:w="1663" w:type="dxa"/>
            <w:vAlign w:val="center"/>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理论讲授</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案例分析</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小组讨论</w:t>
            </w:r>
            <w:r>
              <w:rPr>
                <w:rFonts w:hint="eastAsia" w:ascii="宋体" w:hAnsi="宋体" w:eastAsia="宋体" w:cs="宋体"/>
                <w:sz w:val="21"/>
                <w:szCs w:val="21"/>
              </w:rPr>
            </w:r>
          </w:p>
        </w:tc>
        <w:tc>
          <w:tcPr>
            <w:tcBorders/>
            <w:tcW w:w="1177"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课堂提问</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理论考试</w:t>
            </w:r>
            <w:r>
              <w:rPr>
                <w:rFonts w:hint="eastAsia" w:ascii="宋体" w:hAnsi="宋体" w:eastAsia="宋体" w:cs="宋体"/>
                <w:sz w:val="21"/>
                <w:szCs w:val="21"/>
              </w:rPr>
            </w:r>
          </w:p>
        </w:tc>
      </w:tr>
      <w:tr>
        <w:trPr>
          <w:jc w:val="center"/>
        </w:trPr>
        <w:tc>
          <w:tcPr>
            <w:tcBorders/>
            <w:tcW w:w="505" w:type="dxa"/>
            <w:vAlign w:val="center"/>
            <w:vMerge w:val="restart"/>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3</w:t>
            </w:r>
            <w:r>
              <w:rPr>
                <w:rFonts w:hint="eastAsia" w:ascii="宋体" w:hAnsi="宋体" w:eastAsia="宋体" w:cs="宋体"/>
                <w:sz w:val="21"/>
                <w:szCs w:val="21"/>
              </w:rPr>
            </w:r>
          </w:p>
        </w:tc>
        <w:tc>
          <w:tcPr>
            <w:tcBorders/>
            <w:tcW w:w="1191" w:type="dxa"/>
            <w:vAlign w:val="center"/>
            <w:vMerge w:val="restart"/>
            <w:textDirection w:val="lrTb"/>
            <w:noWrap w:val="false"/>
          </w:tcPr>
          <w:p>
            <w:pPr>
              <w:widowControl w:val="true"/>
              <w:pBdr/>
              <w:spacing/>
              <w:ind/>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LO</w:t>
            </w:r>
            <w:r>
              <w:rPr>
                <w:rFonts w:hint="eastAsia" w:ascii="宋体" w:hAnsi="宋体" w:eastAsia="宋体" w:cs="宋体"/>
                <w:sz w:val="21"/>
                <w:szCs w:val="21"/>
                <w:lang w:val="en-US" w:eastAsia="zh-CN"/>
              </w:rPr>
              <w:t xml:space="preserve">024</w:t>
            </w:r>
            <w:r>
              <w:rPr>
                <w:rFonts w:hint="eastAsia" w:ascii="宋体" w:hAnsi="宋体" w:eastAsia="宋体" w:cs="宋体"/>
                <w:sz w:val="21"/>
                <w:szCs w:val="21"/>
                <w:lang w:val="en-US" w:eastAsia="zh-CN"/>
              </w:rPr>
            </w:r>
          </w:p>
        </w:tc>
        <w:tc>
          <w:tcPr>
            <w:tcBorders/>
            <w:tcW w:w="3119"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1、能利用职业卫生与职业医学知识，全面确定服务对象的健康需求。</w:t>
            </w:r>
            <w:r>
              <w:rPr>
                <w:rFonts w:hint="eastAsia" w:ascii="宋体" w:hAnsi="宋体" w:eastAsia="宋体" w:cs="宋体"/>
                <w:sz w:val="21"/>
                <w:szCs w:val="21"/>
              </w:rPr>
            </w:r>
          </w:p>
        </w:tc>
        <w:tc>
          <w:tcPr>
            <w:tcBorders/>
            <w:tcW w:w="1663" w:type="dxa"/>
            <w:vAlign w:val="center"/>
            <w:vMerge w:val="restart"/>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理论讲授</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案例分析</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小组讨论</w:t>
            </w:r>
            <w:r>
              <w:rPr>
                <w:rFonts w:hint="eastAsia" w:ascii="宋体" w:hAnsi="宋体" w:eastAsia="宋体" w:cs="宋体"/>
                <w:sz w:val="21"/>
                <w:szCs w:val="21"/>
              </w:rPr>
            </w:r>
          </w:p>
        </w:tc>
        <w:tc>
          <w:tcPr>
            <w:tcBorders/>
            <w:tcW w:w="1177" w:type="dxa"/>
            <w:vAlign w:val="center"/>
            <w:vMerge w:val="restart"/>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课堂提问</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理论考试</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小组项目汇报</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r>
      <w:tr>
        <w:trPr>
          <w:jc w:val="center"/>
        </w:trPr>
        <w:tc>
          <w:tcPr>
            <w:tcBorders/>
            <w:tcW w:w="505"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1191"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3119"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2、能采用合适的健康教育方法，与服务对象间建立良好的互动关系，开展健康教育，促进健康行为养成。</w:t>
            </w:r>
            <w:r>
              <w:rPr>
                <w:rFonts w:hint="eastAsia" w:ascii="宋体" w:hAnsi="宋体" w:eastAsia="宋体" w:cs="宋体"/>
                <w:sz w:val="21"/>
                <w:szCs w:val="21"/>
              </w:rPr>
            </w:r>
          </w:p>
        </w:tc>
        <w:tc>
          <w:tcPr>
            <w:tcBorders/>
            <w:tcW w:w="1663"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1177" w:type="dxa"/>
            <w:vAlign w:val="center"/>
            <w:vMerge w:val="continue"/>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r>
      <w:tr>
        <w:trPr>
          <w:jc w:val="center"/>
        </w:trPr>
        <w:tc>
          <w:tcPr>
            <w:tcBorders/>
            <w:tcW w:w="505" w:type="dxa"/>
            <w:vAlign w:val="center"/>
            <w:vMerge w:val="restart"/>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4</w:t>
            </w:r>
            <w:r>
              <w:rPr>
                <w:rFonts w:hint="eastAsia" w:ascii="宋体" w:hAnsi="宋体" w:eastAsia="宋体" w:cs="宋体"/>
                <w:sz w:val="21"/>
                <w:szCs w:val="21"/>
              </w:rPr>
            </w:r>
          </w:p>
        </w:tc>
        <w:tc>
          <w:tcPr>
            <w:tcBorders/>
            <w:tcW w:w="1191" w:type="dxa"/>
            <w:vAlign w:val="center"/>
            <w:vMerge w:val="restart"/>
            <w:textDirection w:val="lrTb"/>
            <w:noWrap w:val="false"/>
          </w:tcPr>
          <w:p>
            <w:pPr>
              <w:widowControl w:val="true"/>
              <w:pBdr/>
              <w:spacing/>
              <w:ind/>
              <w:jc w:val="center"/>
              <w:rPr>
                <w:rFonts w:hint="eastAsia" w:ascii="宋体" w:hAnsi="宋体" w:eastAsia="宋体" w:cs="宋体"/>
                <w:sz w:val="21"/>
                <w:szCs w:val="21"/>
                <w:lang w:val="en-US" w:eastAsia="zh-CN"/>
              </w:rPr>
            </w:pPr>
            <w:r>
              <w:rPr>
                <w:rFonts w:hint="eastAsia" w:ascii="宋体" w:hAnsi="宋体" w:eastAsia="宋体" w:cs="宋体"/>
                <w:sz w:val="21"/>
                <w:szCs w:val="21"/>
              </w:rPr>
              <w:t xml:space="preserve">L0</w:t>
            </w:r>
            <w:r>
              <w:rPr>
                <w:rFonts w:hint="eastAsia" w:ascii="宋体" w:hAnsi="宋体" w:eastAsia="宋体" w:cs="宋体"/>
                <w:sz w:val="21"/>
                <w:szCs w:val="21"/>
                <w:lang w:val="en-US" w:eastAsia="zh-CN"/>
              </w:rPr>
              <w:t xml:space="preserve">25</w:t>
            </w:r>
            <w:r>
              <w:rPr>
                <w:rFonts w:hint="eastAsia" w:ascii="宋体" w:hAnsi="宋体" w:eastAsia="宋体" w:cs="宋体"/>
                <w:sz w:val="21"/>
                <w:szCs w:val="21"/>
                <w:lang w:val="en-US" w:eastAsia="zh-CN"/>
              </w:rPr>
            </w:r>
          </w:p>
        </w:tc>
        <w:tc>
          <w:tcPr>
            <w:tcBorders/>
            <w:tcW w:w="3119" w:type="dxa"/>
            <w:vAlign w:val="center"/>
            <w:textDirection w:val="lrTb"/>
            <w:noWrap w:val="false"/>
          </w:tcPr>
          <w:p>
            <w:pPr>
              <w:pBdr/>
              <w:spacing/>
              <w:ind/>
              <w:rPr>
                <w:rFonts w:hint="eastAsia" w:ascii="宋体" w:hAnsi="宋体" w:eastAsia="宋体" w:cs="宋体"/>
                <w:sz w:val="21"/>
                <w:szCs w:val="21"/>
              </w:rPr>
            </w:pPr>
            <w:r>
              <w:rPr>
                <w:rFonts w:hint="eastAsia" w:ascii="宋体" w:hAnsi="宋体" w:eastAsia="宋体" w:cs="宋体"/>
                <w:sz w:val="21"/>
                <w:szCs w:val="21"/>
              </w:rPr>
              <w:t xml:space="preserve">1、掌握慢性病管理相关知识，协助医生开展慢性病病人社区健康管理。 </w:t>
            </w:r>
            <w:r>
              <w:rPr>
                <w:rFonts w:hint="eastAsia" w:ascii="宋体" w:hAnsi="宋体" w:eastAsia="宋体" w:cs="宋体"/>
                <w:sz w:val="21"/>
                <w:szCs w:val="21"/>
              </w:rPr>
            </w:r>
          </w:p>
        </w:tc>
        <w:tc>
          <w:tcPr>
            <w:tcBorders/>
            <w:tcW w:w="1663" w:type="dxa"/>
            <w:vAlign w:val="center"/>
            <w:vMerge w:val="restart"/>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理论授课</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案例分析</w:t>
            </w:r>
            <w:r>
              <w:rPr>
                <w:rFonts w:hint="eastAsia" w:ascii="宋体" w:hAnsi="宋体" w:eastAsia="宋体" w:cs="宋体"/>
                <w:sz w:val="21"/>
                <w:szCs w:val="21"/>
              </w:rPr>
            </w:r>
          </w:p>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t xml:space="preserve">小组讨论</w:t>
            </w:r>
            <w:r>
              <w:rPr>
                <w:rFonts w:hint="eastAsia" w:ascii="宋体" w:hAnsi="宋体" w:eastAsia="宋体" w:cs="宋体"/>
                <w:sz w:val="21"/>
                <w:szCs w:val="21"/>
              </w:rPr>
            </w:r>
          </w:p>
        </w:tc>
        <w:tc>
          <w:tcPr>
            <w:tcBorders/>
            <w:tcW w:w="1177" w:type="dxa"/>
            <w:vAlign w:val="center"/>
            <w:vMerge w:val="restart"/>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平时表现</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案例分析报告</w:t>
            </w:r>
            <w:r>
              <w:rPr>
                <w:rFonts w:hint="eastAsia" w:ascii="宋体" w:hAnsi="宋体" w:eastAsia="宋体" w:cs="宋体"/>
                <w:sz w:val="21"/>
                <w:szCs w:val="21"/>
              </w:rPr>
            </w:r>
          </w:p>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理论考试</w:t>
            </w:r>
            <w:r>
              <w:rPr>
                <w:rFonts w:hint="eastAsia" w:ascii="宋体" w:hAnsi="宋体" w:eastAsia="宋体" w:cs="宋体"/>
                <w:sz w:val="21"/>
                <w:szCs w:val="21"/>
              </w:rPr>
            </w:r>
          </w:p>
        </w:tc>
      </w:tr>
      <w:tr>
        <w:trPr>
          <w:jc w:val="center"/>
        </w:trPr>
        <w:tc>
          <w:tcPr>
            <w:tcBorders/>
            <w:tcW w:w="505"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1191"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3119" w:type="dxa"/>
            <w:vAlign w:val="center"/>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t xml:space="preserve">2、能利用团队的力量，共同对健康干预方案进行跟踪随访。</w:t>
            </w:r>
            <w:r>
              <w:rPr>
                <w:rFonts w:hint="eastAsia" w:ascii="宋体" w:hAnsi="宋体" w:eastAsia="宋体" w:cs="宋体"/>
                <w:sz w:val="21"/>
                <w:szCs w:val="21"/>
              </w:rPr>
            </w:r>
          </w:p>
        </w:tc>
        <w:tc>
          <w:tcPr>
            <w:tcBorders/>
            <w:tcW w:w="1663" w:type="dxa"/>
            <w:vAlign w:val="center"/>
            <w:vMerge w:val="continue"/>
            <w:textDirection w:val="lrTb"/>
            <w:noWrap w:val="false"/>
          </w:tcPr>
          <w:p>
            <w:pPr>
              <w:widowControl w:val="true"/>
              <w:pBdr/>
              <w:spacing/>
              <w:ind/>
              <w:jc w:val="center"/>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c>
          <w:tcPr>
            <w:tcBorders/>
            <w:tcW w:w="1177" w:type="dxa"/>
            <w:vAlign w:val="center"/>
            <w:vMerge w:val="continue"/>
            <w:textDirection w:val="lrTb"/>
            <w:noWrap w:val="false"/>
          </w:tcPr>
          <w:p>
            <w:pPr>
              <w:widowControl w:val="true"/>
              <w:pBdr/>
              <w:spacing/>
              <w:ind/>
              <w:rPr>
                <w:rFonts w:hint="eastAsia" w:ascii="宋体" w:hAnsi="宋体" w:eastAsia="宋体" w:cs="宋体"/>
                <w:sz w:val="21"/>
                <w:szCs w:val="21"/>
              </w:rPr>
            </w:pPr>
            <w:r>
              <w:rPr>
                <w:rFonts w:hint="eastAsia" w:ascii="宋体" w:hAnsi="宋体" w:eastAsia="宋体" w:cs="宋体"/>
                <w:sz w:val="21"/>
                <w:szCs w:val="21"/>
              </w:rPr>
            </w:r>
            <w:r>
              <w:rPr>
                <w:rFonts w:hint="eastAsia" w:ascii="宋体" w:hAnsi="宋体" w:eastAsia="宋体" w:cs="宋体"/>
                <w:sz w:val="21"/>
                <w:szCs w:val="21"/>
              </w:rPr>
            </w:r>
          </w:p>
        </w:tc>
      </w:tr>
    </w:tbl>
    <w:p>
      <w:pPr>
        <w:widowControl w:val="true"/>
        <w:pBdr/>
        <w:spacing w:after="156" w:before="156" w:line="300" w:lineRule="exact"/>
        <w:ind w:firstLine="360"/>
        <w:jc w:val="left"/>
        <w:rPr>
          <w:rFonts w:hint="eastAsia" w:ascii="黑体" w:hAnsi="宋体" w:eastAsia="黑体"/>
          <w:sz w:val="24"/>
        </w:rPr>
      </w:pPr>
      <w:r>
        <w:rPr>
          <w:rFonts w:hint="eastAsia" w:ascii="黑体" w:hAnsi="宋体" w:eastAsia="黑体"/>
          <w:sz w:val="24"/>
        </w:rPr>
      </w:r>
      <w:r>
        <w:rPr>
          <w:rFonts w:hint="eastAsia" w:ascii="黑体" w:hAnsi="宋体" w:eastAsia="黑体"/>
          <w:sz w:val="24"/>
        </w:rPr>
      </w:r>
    </w:p>
    <w:p>
      <w:pPr>
        <w:widowControl w:val="true"/>
        <w:pBdr/>
        <w:spacing w:after="156" w:before="156" w:line="300" w:lineRule="exact"/>
        <w:ind w:firstLine="360"/>
        <w:jc w:val="left"/>
        <w:rPr>
          <w:rFonts w:hint="eastAsia" w:ascii="黑体" w:hAnsi="宋体" w:eastAsia="黑体"/>
          <w:sz w:val="24"/>
        </w:rPr>
      </w:pPr>
      <w:r>
        <w:rPr>
          <w:rFonts w:hint="eastAsia" w:ascii="黑体" w:hAnsi="宋体" w:eastAsia="黑体"/>
          <w:sz w:val="24"/>
        </w:rPr>
      </w:r>
      <w:r>
        <w:rPr>
          <w:rFonts w:hint="eastAsia" w:ascii="黑体" w:hAnsi="宋体" w:eastAsia="黑体"/>
          <w:sz w:val="24"/>
        </w:rPr>
      </w:r>
    </w:p>
    <w:p>
      <w:pPr>
        <w:widowControl w:val="true"/>
        <w:pBdr/>
        <w:spacing w:after="156" w:before="156" w:line="300" w:lineRule="exact"/>
        <w:ind w:firstLine="360"/>
        <w:jc w:val="left"/>
        <w:rPr>
          <w:rFonts w:hint="eastAsia" w:ascii="黑体" w:hAnsi="宋体" w:eastAsia="黑体"/>
          <w:sz w:val="24"/>
        </w:rPr>
      </w:pPr>
      <w:r>
        <w:rPr>
          <w:rFonts w:hint="eastAsia" w:ascii="黑体" w:hAnsi="宋体" w:eastAsia="黑体"/>
          <w:sz w:val="24"/>
        </w:rPr>
      </w:r>
      <w:r>
        <w:rPr>
          <w:rFonts w:hint="eastAsia" w:ascii="黑体" w:hAnsi="宋体" w:eastAsia="黑体"/>
          <w:sz w:val="24"/>
        </w:rPr>
      </w:r>
    </w:p>
    <w:p>
      <w:pPr>
        <w:widowControl w:val="true"/>
        <w:pBdr/>
        <w:spacing w:after="156" w:before="156" w:line="300" w:lineRule="exact"/>
        <w:ind w:firstLine="360"/>
        <w:jc w:val="left"/>
        <w:rPr>
          <w:rFonts w:hint="eastAsia" w:ascii="黑体" w:hAnsi="宋体" w:eastAsia="黑体"/>
          <w:sz w:val="24"/>
        </w:rPr>
      </w:pPr>
      <w:r>
        <w:rPr>
          <w:rFonts w:hint="eastAsia" w:ascii="黑体" w:hAnsi="宋体" w:eastAsia="黑体"/>
          <w:sz w:val="24"/>
        </w:rPr>
      </w:r>
      <w:r>
        <w:rPr>
          <w:rFonts w:hint="eastAsia" w:ascii="黑体" w:hAnsi="宋体" w:eastAsia="黑体"/>
          <w:sz w:val="24"/>
        </w:rPr>
      </w:r>
    </w:p>
    <w:p>
      <w:pPr>
        <w:widowControl w:val="true"/>
        <w:pBdr/>
        <w:spacing w:after="156" w:before="156" w:line="300" w:lineRule="exact"/>
        <w:ind w:firstLine="360"/>
        <w:jc w:val="left"/>
        <w:rPr>
          <w:rFonts w:ascii="黑体" w:hAnsi="宋体" w:eastAsia="黑体"/>
          <w:sz w:val="24"/>
        </w:rPr>
      </w:pPr>
      <w:r>
        <w:rPr>
          <w:rFonts w:hint="eastAsia" w:ascii="黑体" w:hAnsi="宋体" w:eastAsia="黑体"/>
          <w:sz w:val="24"/>
        </w:rPr>
        <w:t xml:space="preserve">六、</w:t>
      </w:r>
      <w:r>
        <w:rPr>
          <w:rFonts w:ascii="黑体" w:hAnsi="宋体" w:eastAsia="黑体"/>
          <w:sz w:val="24"/>
        </w:rPr>
        <w:t xml:space="preserve">课程内容</w:t>
      </w:r>
      <w:r>
        <w:rPr>
          <w:rFonts w:ascii="黑体" w:hAnsi="宋体" w:eastAsia="黑体"/>
          <w:sz w:val="24"/>
        </w:rPr>
      </w:r>
    </w:p>
    <w:tbl>
      <w:tblPr>
        <w:tblStyle w:val="622"/>
        <w:tblpPr w:horzAnchor="page" w:tblpXSpec="center" w:vertAnchor="text" w:tblpY="388" w:leftFromText="180" w:topFromText="0" w:rightFromText="180" w:bottomFromText="0"/>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474"/>
        <w:gridCol w:w="655"/>
        <w:gridCol w:w="2218"/>
        <w:gridCol w:w="2035"/>
        <w:gridCol w:w="1219"/>
        <w:gridCol w:w="436"/>
        <w:gridCol w:w="436"/>
        <w:gridCol w:w="437"/>
      </w:tblGrid>
      <w:tr>
        <w:trPr>
          <w:jc w:val="center"/>
          <w:trHeight w:val="1261"/>
        </w:trPr>
        <w:tc>
          <w:tcPr>
            <w:tcBorders/>
            <w:tcW w:w="474"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序号</w:t>
            </w:r>
            <w:r>
              <w:rPr>
                <w:rFonts w:ascii="宋体" w:hAnsi="宋体"/>
                <w:b/>
                <w:sz w:val="20"/>
                <w:szCs w:val="20"/>
              </w:rPr>
            </w:r>
          </w:p>
        </w:tc>
        <w:tc>
          <w:tcPr>
            <w:tcBorders/>
            <w:tcW w:w="655"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单元名称</w:t>
            </w:r>
            <w:r>
              <w:rPr>
                <w:rFonts w:ascii="宋体" w:hAnsi="宋体"/>
                <w:b/>
                <w:sz w:val="20"/>
                <w:szCs w:val="20"/>
              </w:rPr>
            </w:r>
          </w:p>
        </w:tc>
        <w:tc>
          <w:tcPr>
            <w:tcBorders/>
            <w:tcW w:w="2218"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知识点</w:t>
            </w:r>
            <w:r>
              <w:rPr>
                <w:rFonts w:ascii="宋体" w:hAnsi="宋体"/>
                <w:b/>
                <w:sz w:val="20"/>
                <w:szCs w:val="20"/>
              </w:rPr>
            </w:r>
          </w:p>
        </w:tc>
        <w:tc>
          <w:tcPr>
            <w:tcBorders/>
            <w:tcW w:w="2035"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能力目标</w:t>
            </w:r>
            <w:r>
              <w:rPr>
                <w:rFonts w:ascii="宋体" w:hAnsi="宋体"/>
                <w:b/>
                <w:sz w:val="20"/>
                <w:szCs w:val="20"/>
              </w:rPr>
            </w:r>
          </w:p>
        </w:tc>
        <w:tc>
          <w:tcPr>
            <w:tcBorders/>
            <w:tcW w:w="1219"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教学难点</w:t>
            </w:r>
            <w:r>
              <w:rPr>
                <w:rFonts w:ascii="宋体" w:hAnsi="宋体"/>
                <w:b/>
                <w:sz w:val="20"/>
                <w:szCs w:val="20"/>
              </w:rPr>
            </w:r>
          </w:p>
        </w:tc>
        <w:tc>
          <w:tcPr>
            <w:tcBorders/>
            <w:tcW w:w="436"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理论时数</w:t>
            </w:r>
            <w:r>
              <w:rPr>
                <w:rFonts w:ascii="宋体" w:hAnsi="宋体"/>
                <w:b/>
                <w:sz w:val="20"/>
                <w:szCs w:val="20"/>
              </w:rPr>
            </w:r>
          </w:p>
        </w:tc>
        <w:tc>
          <w:tcPr>
            <w:tcBorders/>
            <w:tcW w:w="436"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实践时数</w:t>
            </w:r>
            <w:r>
              <w:rPr>
                <w:rFonts w:ascii="宋体" w:hAnsi="宋体"/>
                <w:b/>
                <w:sz w:val="20"/>
                <w:szCs w:val="20"/>
              </w:rPr>
            </w:r>
          </w:p>
        </w:tc>
        <w:tc>
          <w:tcPr>
            <w:tcBorders/>
            <w:tcW w:w="437" w:type="dxa"/>
            <w:vAlign w:val="center"/>
            <w:textDirection w:val="lrTb"/>
            <w:noWrap w:val="false"/>
          </w:tcPr>
          <w:p>
            <w:pPr>
              <w:pBdr/>
              <w:spacing w:line="300" w:lineRule="exact"/>
              <w:ind/>
              <w:jc w:val="center"/>
              <w:rPr>
                <w:rFonts w:ascii="宋体" w:hAnsi="宋体"/>
                <w:b/>
                <w:sz w:val="20"/>
                <w:szCs w:val="20"/>
              </w:rPr>
            </w:pPr>
            <w:r>
              <w:rPr>
                <w:rFonts w:hint="eastAsia" w:ascii="宋体" w:hAnsi="宋体"/>
                <w:b/>
                <w:sz w:val="20"/>
                <w:szCs w:val="20"/>
              </w:rPr>
              <w:t xml:space="preserve">总时数</w:t>
            </w:r>
            <w:r>
              <w:rPr>
                <w:rFonts w:ascii="宋体" w:hAnsi="宋体"/>
                <w:b/>
                <w:sz w:val="20"/>
                <w:szCs w:val="20"/>
              </w:rPr>
            </w:r>
          </w:p>
        </w:tc>
      </w:tr>
      <w:tr>
        <w:trPr>
          <w:jc w:val="center"/>
        </w:trPr>
        <w:tc>
          <w:tcPr>
            <w:tcBorders/>
            <w:tcW w:w="474" w:type="dxa"/>
            <w:vAlign w:val="center"/>
            <w:textDirection w:val="lrTb"/>
            <w:noWrap w:val="false"/>
          </w:tcPr>
          <w:p>
            <w:pPr>
              <w:pBdr/>
              <w:spacing w:line="340" w:lineRule="exact"/>
              <w:ind/>
              <w:jc w:val="center"/>
              <w:rPr>
                <w:rFonts w:ascii="宋体" w:hAnsi="宋体"/>
                <w:sz w:val="20"/>
                <w:szCs w:val="20"/>
              </w:rPr>
            </w:pPr>
            <w:r>
              <w:rPr>
                <w:rFonts w:hint="eastAsia" w:ascii="宋体" w:hAnsi="宋体"/>
                <w:sz w:val="20"/>
                <w:szCs w:val="20"/>
              </w:rPr>
              <w:t xml:space="preserve">1</w:t>
            </w:r>
            <w:r>
              <w:rPr>
                <w:rFonts w:ascii="宋体" w:hAnsi="宋体"/>
                <w:sz w:val="20"/>
                <w:szCs w:val="20"/>
              </w:rPr>
            </w:r>
          </w:p>
        </w:tc>
        <w:tc>
          <w:tcPr>
            <w:tcBorders/>
            <w:tcW w:w="655" w:type="dxa"/>
            <w:vAlign w:val="center"/>
            <w:textDirection w:val="lrTb"/>
            <w:noWrap w:val="false"/>
          </w:tcPr>
          <w:p>
            <w:pPr>
              <w:pBdr/>
              <w:spacing w:line="340" w:lineRule="exact"/>
              <w:ind/>
              <w:jc w:val="left"/>
              <w:rPr>
                <w:rFonts w:ascii="宋体" w:hAnsi="宋体"/>
                <w:sz w:val="20"/>
                <w:szCs w:val="20"/>
              </w:rPr>
            </w:pPr>
            <w:r>
              <w:rPr>
                <w:rFonts w:hint="eastAsia" w:ascii="宋体" w:hAnsi="宋体"/>
                <w:sz w:val="20"/>
                <w:szCs w:val="20"/>
              </w:rPr>
              <w:t xml:space="preserve">绪论</w:t>
            </w:r>
            <w:r>
              <w:rPr>
                <w:rFonts w:ascii="宋体" w:hAnsi="宋体"/>
                <w:sz w:val="20"/>
                <w:szCs w:val="20"/>
              </w:rPr>
            </w:r>
          </w:p>
          <w:p>
            <w:pPr>
              <w:pBdr/>
              <w:spacing w:line="340" w:lineRule="exact"/>
              <w:ind/>
              <w:jc w:val="cente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职业卫生与职业医学研究方法与应用</w:t>
            </w:r>
            <w:r>
              <w:rPr>
                <w:rFonts w:ascii="宋体" w:hAnsi="宋体"/>
                <w:sz w:val="20"/>
                <w:szCs w:val="20"/>
              </w:rPr>
            </w:r>
          </w:p>
        </w:tc>
        <w:tc>
          <w:tcPr>
            <w:tcBorders/>
            <w:tcW w:w="2218" w:type="dxa"/>
            <w:textDirection w:val="lrTb"/>
            <w:noWrap w:val="false"/>
          </w:tcPr>
          <w:p>
            <w:pPr>
              <w:pBdr/>
              <w:spacing w:line="340" w:lineRule="exact"/>
              <w:ind/>
              <w:jc w:val="left"/>
              <w:rPr>
                <w:rFonts w:ascii="宋体" w:hAnsi="宋体"/>
                <w:sz w:val="20"/>
                <w:szCs w:val="20"/>
              </w:rPr>
            </w:pPr>
            <w:r>
              <w:rPr>
                <w:rFonts w:hint="eastAsia" w:ascii="宋体" w:hAnsi="宋体"/>
                <w:sz w:val="20"/>
                <w:szCs w:val="20"/>
              </w:rPr>
              <w:t xml:space="preserve">1.知道职业性有害因素的概念、职业与健康的关系、职业性损害的三级预防。</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2.了解职业流行病学的概念。</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3.知道职业生理学、心理学、工效学、职业紧张、职业生物力学、姿势负荷的概念。</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4.了解职业毒理学的概念；职业工效学的主要内容；脑力劳动的职业卫生要求。</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5.理解职业紧张反应的类型、劳动过程中的职业紧张因素、职业紧张反应的表现。</w:t>
            </w:r>
            <w:r>
              <w:rPr>
                <w:rFonts w:ascii="宋体" w:hAnsi="宋体"/>
                <w:sz w:val="20"/>
                <w:szCs w:val="20"/>
              </w:rPr>
            </w:r>
          </w:p>
        </w:tc>
        <w:tc>
          <w:tcPr>
            <w:tcBorders/>
            <w:tcW w:w="2035" w:type="dxa"/>
            <w:textDirection w:val="lrTb"/>
            <w:noWrap w:val="false"/>
          </w:tcPr>
          <w:p>
            <w:pPr>
              <w:pBdr/>
              <w:spacing w:line="340" w:lineRule="exact"/>
              <w:ind/>
              <w:jc w:val="left"/>
              <w:rPr>
                <w:rFonts w:ascii="宋体" w:hAnsi="宋体"/>
                <w:sz w:val="20"/>
                <w:szCs w:val="20"/>
              </w:rPr>
            </w:pPr>
            <w:r>
              <w:rPr>
                <w:rFonts w:hint="eastAsia" w:ascii="宋体" w:hAnsi="宋体"/>
                <w:sz w:val="20"/>
                <w:szCs w:val="20"/>
              </w:rPr>
              <w:t xml:space="preserve">1．能说出职业性有害因素的种类；能理解三级预防的原则。</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2．能运用职业流行病学调查方法；能说出职业生理学、心理学、工效学概念。</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3．能运用体力劳动强度分级的指标及分级。</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4．说出劳动负荷评价的目的、人体测量学的作用。</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5．能运用职业紧张控制和干预的综合性措施。</w:t>
            </w:r>
            <w:r>
              <w:rPr>
                <w:rFonts w:ascii="宋体" w:hAnsi="宋体"/>
                <w:sz w:val="20"/>
                <w:szCs w:val="20"/>
              </w:rPr>
            </w:r>
          </w:p>
        </w:tc>
        <w:tc>
          <w:tcPr>
            <w:tcBorders/>
            <w:tcW w:w="1219" w:type="dxa"/>
            <w:textDirection w:val="lrTb"/>
            <w:noWrap w:val="false"/>
          </w:tcPr>
          <w:p>
            <w:pPr>
              <w:pBdr/>
              <w:spacing w:line="340" w:lineRule="exact"/>
              <w:ind/>
              <w:jc w:val="left"/>
              <w:rPr>
                <w:rFonts w:ascii="宋体" w:hAnsi="宋体"/>
                <w:sz w:val="20"/>
                <w:szCs w:val="20"/>
              </w:rPr>
            </w:pPr>
            <w:r>
              <w:rPr>
                <w:rFonts w:hint="eastAsia" w:ascii="宋体" w:hAnsi="宋体"/>
                <w:sz w:val="20"/>
                <w:szCs w:val="20"/>
              </w:rPr>
              <w:t xml:space="preserve">1．三级预防的策略。2.职业病、工作有关疾病、工伤的鉴别。</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3.各类型调查注意的问题。</w:t>
            </w:r>
            <w:r>
              <w:rPr>
                <w:rFonts w:hint="eastAsia" w:ascii="宋体" w:hAnsi="宋体"/>
                <w:sz w:val="20"/>
                <w:szCs w:val="20"/>
              </w:rPr>
              <w:t xml:space="preserve"> </w:t>
            </w:r>
            <w:r>
              <w:rPr>
                <w:rFonts w:hint="eastAsia" w:ascii="宋体" w:hAnsi="宋体"/>
                <w:sz w:val="20"/>
                <w:szCs w:val="20"/>
              </w:rPr>
              <w:t xml:space="preserve">4.体力劳动过程的生理变化与适应。</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5.劳动负荷评价。</w:t>
            </w:r>
            <w:r>
              <w:rPr>
                <w:rFonts w:ascii="宋体" w:hAnsi="宋体"/>
                <w:sz w:val="20"/>
                <w:szCs w:val="20"/>
              </w:rPr>
            </w:r>
          </w:p>
          <w:p>
            <w:pPr>
              <w:pBdr/>
              <w:spacing w:line="340" w:lineRule="exact"/>
              <w:ind/>
              <w:jc w:val="left"/>
              <w:rPr>
                <w:rFonts w:ascii="宋体" w:hAnsi="宋体"/>
                <w:sz w:val="20"/>
                <w:szCs w:val="20"/>
              </w:rPr>
            </w:pPr>
            <w:r>
              <w:rPr>
                <w:rFonts w:hint="eastAsia" w:ascii="宋体" w:hAnsi="宋体"/>
                <w:sz w:val="20"/>
                <w:szCs w:val="20"/>
              </w:rPr>
              <w:t xml:space="preserve">6.作业能力的主要影响因素及其改善措施。</w:t>
            </w:r>
            <w:r>
              <w:rPr>
                <w:rFonts w:ascii="宋体" w:hAnsi="宋体"/>
                <w:sz w:val="20"/>
                <w:szCs w:val="20"/>
              </w:rPr>
            </w:r>
          </w:p>
        </w:tc>
        <w:tc>
          <w:tcPr>
            <w:tcBorders/>
            <w:tcW w:w="436" w:type="dxa"/>
            <w:vAlign w:val="center"/>
            <w:textDirection w:val="lrTb"/>
            <w:noWrap w:val="false"/>
          </w:tcPr>
          <w:p>
            <w:pPr>
              <w:pBdr/>
              <w:spacing w:line="340" w:lineRule="exact"/>
              <w:ind/>
              <w:jc w:val="center"/>
              <w:rPr>
                <w:rFonts w:ascii="宋体" w:hAnsi="宋体"/>
                <w:sz w:val="20"/>
                <w:szCs w:val="20"/>
              </w:rPr>
            </w:pPr>
            <w:r>
              <w:rPr>
                <w:rFonts w:hint="eastAsia" w:ascii="宋体" w:hAnsi="宋体"/>
                <w:sz w:val="20"/>
                <w:szCs w:val="20"/>
              </w:rPr>
              <w:t xml:space="preserve">4</w:t>
            </w:r>
            <w:r>
              <w:rPr>
                <w:rFonts w:ascii="宋体" w:hAnsi="宋体"/>
                <w:sz w:val="20"/>
                <w:szCs w:val="20"/>
              </w:rPr>
            </w:r>
          </w:p>
        </w:tc>
        <w:tc>
          <w:tcPr>
            <w:tcBorders/>
            <w:tcW w:w="436" w:type="dxa"/>
            <w:vAlign w:val="center"/>
            <w:textDirection w:val="lrTb"/>
            <w:noWrap w:val="false"/>
          </w:tcPr>
          <w:p>
            <w:pPr>
              <w:pBdr/>
              <w:spacing w:line="340" w:lineRule="exact"/>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tcBorders/>
            <w:tcW w:w="437" w:type="dxa"/>
            <w:vAlign w:val="center"/>
            <w:textDirection w:val="lrTb"/>
            <w:noWrap w:val="false"/>
          </w:tcPr>
          <w:p>
            <w:pPr>
              <w:pBdr/>
              <w:spacing w:line="34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r>
      <w:tr>
        <w:trPr>
          <w:jc w:val="center"/>
        </w:trPr>
        <w:tc>
          <w:tcPr>
            <w:tcBorders/>
            <w:tcW w:w="474"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tcBorders/>
            <w:tcW w:w="655"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生产性毒物与职业中毒</w:t>
            </w:r>
            <w:r>
              <w:rPr>
                <w:rFonts w:ascii="宋体" w:hAnsi="宋体"/>
                <w:sz w:val="20"/>
                <w:szCs w:val="20"/>
              </w:rPr>
            </w:r>
          </w:p>
        </w:tc>
        <w:tc>
          <w:tcPr>
            <w:tcBorders/>
            <w:tcW w:w="2218"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w:t>
            </w:r>
            <w:r>
              <w:rPr>
                <w:rFonts w:ascii="宋体" w:hAnsi="宋体"/>
                <w:sz w:val="20"/>
                <w:szCs w:val="20"/>
              </w:rPr>
              <w:t xml:space="preserve">知道</w:t>
            </w:r>
            <w:r>
              <w:rPr>
                <w:rFonts w:hint="eastAsia" w:ascii="宋体" w:hAnsi="宋体"/>
                <w:sz w:val="20"/>
                <w:szCs w:val="20"/>
              </w:rPr>
              <w:t xml:space="preserve">生产性毒物进入人体的主要途径；影响毒物对机体毒作用的因素；生产性毒物危害的控制原则。</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w:t>
            </w:r>
            <w:r>
              <w:rPr>
                <w:rFonts w:ascii="宋体" w:hAnsi="宋体"/>
                <w:sz w:val="20"/>
                <w:szCs w:val="20"/>
              </w:rPr>
              <w:t xml:space="preserve">知道</w:t>
            </w:r>
            <w:r>
              <w:rPr>
                <w:rFonts w:hint="eastAsia" w:ascii="宋体" w:hAnsi="宋体"/>
                <w:sz w:val="20"/>
                <w:szCs w:val="20"/>
              </w:rPr>
              <w:t xml:space="preserve">金属与类金属、刺激性气体、窒息性气体、有机溶剂、苯的氨基和硝基化合物、高分子化合物、农药中毒的概念、临床表现。</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3.理解处理原则及预防。</w:t>
            </w:r>
            <w:r>
              <w:rPr>
                <w:rFonts w:ascii="宋体" w:hAnsi="宋体"/>
                <w:sz w:val="20"/>
                <w:szCs w:val="20"/>
              </w:rPr>
            </w:r>
          </w:p>
        </w:tc>
        <w:tc>
          <w:tcPr>
            <w:tcBorders/>
            <w:tcW w:w="2035"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w:t>
            </w:r>
            <w:r>
              <w:rPr>
                <w:rFonts w:ascii="宋体" w:hAnsi="宋体"/>
                <w:sz w:val="20"/>
                <w:szCs w:val="20"/>
              </w:rPr>
              <w:t xml:space="preserve">能说出</w:t>
            </w:r>
            <w:r>
              <w:rPr>
                <w:rFonts w:hint="eastAsia" w:ascii="宋体" w:hAnsi="宋体"/>
                <w:sz w:val="20"/>
                <w:szCs w:val="20"/>
              </w:rPr>
              <w:t xml:space="preserve">职业生理学、职业心理学、职业工效学概念。</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2.能运用体力劳动强度分级的指标及分级。</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3.能说出劳动负荷评价的目的、人体测量学的作用。</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4．能运用职业紧张控制和干预的综合性措施。</w:t>
            </w:r>
            <w:r>
              <w:rPr>
                <w:rFonts w:ascii="宋体" w:hAnsi="宋体"/>
                <w:sz w:val="20"/>
                <w:szCs w:val="20"/>
              </w:rPr>
            </w:r>
          </w:p>
        </w:tc>
        <w:tc>
          <w:tcPr>
            <w:tcBorders/>
            <w:tcW w:w="1219"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1．体力劳动过程的生理变化与适应。</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2.劳动负荷评价。</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3.作业能力的主要影响因素及其改善措施。</w:t>
            </w:r>
            <w:r>
              <w:rPr>
                <w:rFonts w:ascii="宋体" w:hAnsi="宋体"/>
                <w:sz w:val="20"/>
                <w:szCs w:val="20"/>
              </w:rPr>
            </w:r>
          </w:p>
          <w:p>
            <w:pPr>
              <w:pBdr/>
              <w:spacing w:line="300" w:lineRule="exact"/>
              <w:ind/>
              <w:jc w:val="left"/>
              <w:rPr>
                <w:rFonts w:ascii="宋体" w:hAnsi="宋体"/>
                <w:sz w:val="20"/>
                <w:szCs w:val="20"/>
              </w:rPr>
            </w:pPr>
            <w:r>
              <w:rPr>
                <w:rFonts w:ascii="宋体" w:hAnsi="宋体"/>
                <w:sz w:val="20"/>
                <w:szCs w:val="20"/>
              </w:rPr>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4</w:t>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tcBorders/>
            <w:tcW w:w="437"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r>
      <w:tr>
        <w:trPr>
          <w:jc w:val="center"/>
        </w:trPr>
        <w:tc>
          <w:tcPr>
            <w:tcBorders/>
            <w:tcW w:w="474"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3</w:t>
            </w:r>
            <w:r>
              <w:rPr>
                <w:rFonts w:ascii="宋体" w:hAnsi="宋体"/>
                <w:sz w:val="20"/>
                <w:szCs w:val="20"/>
              </w:rPr>
            </w:r>
          </w:p>
        </w:tc>
        <w:tc>
          <w:tcPr>
            <w:tcBorders/>
            <w:tcW w:w="655" w:type="dxa"/>
            <w:vAlign w:val="center"/>
            <w:textDirection w:val="lrTb"/>
            <w:noWrap w:val="false"/>
          </w:tcPr>
          <w:p>
            <w:pPr>
              <w:pStyle w:val="625"/>
              <w:pBdr/>
              <w:spacing w:after="0" w:afterAutospacing="0" w:before="0" w:beforeAutospacing="0" w:line="300" w:lineRule="exact"/>
              <w:ind/>
              <w:rPr>
                <w:color w:val="auto"/>
                <w:sz w:val="20"/>
                <w:szCs w:val="20"/>
              </w:rPr>
            </w:pPr>
            <w:r>
              <w:rPr>
                <w:rFonts w:hint="eastAsia"/>
                <w:color w:val="auto"/>
                <w:sz w:val="20"/>
                <w:szCs w:val="20"/>
              </w:rPr>
              <w:t xml:space="preserve">生产性粉尘与职业性肺部疾病</w:t>
            </w:r>
            <w:r>
              <w:rPr>
                <w:color w:val="auto"/>
                <w:sz w:val="20"/>
                <w:szCs w:val="20"/>
              </w:rPr>
            </w:r>
          </w:p>
        </w:tc>
        <w:tc>
          <w:tcPr>
            <w:tcBorders/>
            <w:tcW w:w="2218"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1.知道生产性粉尘、尘肺病、矽肺、煤工尘肺、硅酸盐尘、硅酸盐尘肺、石棉肺的概念。</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2.理解生产性粉尘的理化特性及其卫生学意义；影响矽肺发病的主要因素、临床表现及诊断；煤工尘肺的病理、临床表现与诊断；理解有机粉尘的来源和分类。</w:t>
            </w:r>
            <w:r>
              <w:rPr>
                <w:rFonts w:ascii="宋体" w:hAnsi="宋体"/>
                <w:sz w:val="20"/>
                <w:szCs w:val="20"/>
              </w:rPr>
            </w:r>
          </w:p>
        </w:tc>
        <w:tc>
          <w:tcPr>
            <w:tcBorders/>
            <w:tcW w:w="2035"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1．能说出生产性粉尘对健康的影响。</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2．能运用生产性粉尘的控制与防护措施。</w:t>
            </w:r>
            <w:r>
              <w:rPr>
                <w:rFonts w:ascii="宋体" w:hAnsi="宋体"/>
                <w:sz w:val="20"/>
                <w:szCs w:val="20"/>
              </w:rPr>
            </w:r>
          </w:p>
        </w:tc>
        <w:tc>
          <w:tcPr>
            <w:tcBorders/>
            <w:tcW w:w="1219"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1.生产性粉尘及其危害。</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2.影响矽肺发病的主要因素、临床表现及诊断。</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3.煤工尘肺的病理、临床表现与诊断。</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4.硅酸盐尘肺的共同特点</w:t>
            </w:r>
            <w:r>
              <w:rPr>
                <w:rFonts w:ascii="宋体" w:hAnsi="宋体"/>
                <w:sz w:val="20"/>
                <w:szCs w:val="20"/>
              </w:rPr>
              <w:t xml:space="preserve">。</w:t>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4</w:t>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tcBorders/>
            <w:tcW w:w="437"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r>
      <w:tr>
        <w:trPr>
          <w:jc w:val="center"/>
        </w:trPr>
        <w:tc>
          <w:tcPr>
            <w:tcBorders/>
            <w:tcW w:w="474"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655"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物理因素及其对健康的影响</w:t>
            </w:r>
            <w:r>
              <w:rPr>
                <w:color w:val="auto"/>
                <w:sz w:val="20"/>
                <w:szCs w:val="20"/>
              </w:rPr>
            </w:r>
          </w:p>
        </w:tc>
        <w:tc>
          <w:tcPr>
            <w:tcBorders/>
            <w:tcW w:w="2218"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1.知道减压病、高原病、高温作业、中暑和热适应、慢性高山病、噪音、手臂振动病、非电离辐射、电离辐射的概念。</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2.知道中暑、冷损伤的类型、临床表现、急救方法和预防措施。</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3.知道高气压作业及低气压作业所致疾病的分类、诊断及治疗。</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4.知道噪声、振动对职业接触者健康的损害及其影响因素。</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5.理解非电离辐射、电离辐射的健康效应及防护原则。</w:t>
            </w:r>
            <w:r>
              <w:rPr>
                <w:rFonts w:ascii="宋体" w:hAnsi="宋体"/>
                <w:sz w:val="20"/>
                <w:szCs w:val="20"/>
              </w:rPr>
            </w:r>
          </w:p>
        </w:tc>
        <w:tc>
          <w:tcPr>
            <w:tcBorders/>
            <w:tcW w:w="2035"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1．能说出物理因素相关概念。</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2．能说出物理因素具有的共同特点。</w:t>
            </w:r>
            <w:r>
              <w:rPr>
                <w:rFonts w:ascii="宋体" w:hAnsi="宋体"/>
                <w:sz w:val="20"/>
                <w:szCs w:val="20"/>
              </w:rPr>
            </w:r>
          </w:p>
          <w:p>
            <w:pPr>
              <w:pBdr/>
              <w:spacing w:line="300" w:lineRule="exact"/>
              <w:ind/>
              <w:jc w:val="left"/>
              <w:rPr>
                <w:rFonts w:ascii="宋体" w:hAnsi="宋体"/>
                <w:sz w:val="20"/>
                <w:szCs w:val="20"/>
              </w:rPr>
            </w:pPr>
            <w:r>
              <w:rPr>
                <w:rFonts w:ascii="宋体" w:hAnsi="宋体"/>
                <w:sz w:val="20"/>
                <w:szCs w:val="20"/>
              </w:rPr>
              <w:t xml:space="preserve">3</w:t>
            </w:r>
            <w:r>
              <w:rPr>
                <w:rFonts w:hint="eastAsia" w:ascii="宋体" w:hAnsi="宋体"/>
                <w:sz w:val="20"/>
                <w:szCs w:val="20"/>
              </w:rPr>
              <w:t xml:space="preserve">．能分析运用各类物理损伤的救治方法及防护原则。</w:t>
            </w:r>
            <w:r>
              <w:rPr>
                <w:rFonts w:ascii="宋体" w:hAnsi="宋体"/>
                <w:sz w:val="20"/>
                <w:szCs w:val="20"/>
              </w:rPr>
            </w:r>
          </w:p>
          <w:p>
            <w:pPr>
              <w:pBdr/>
              <w:spacing w:line="300" w:lineRule="exact"/>
              <w:ind/>
              <w:jc w:val="left"/>
              <w:rPr>
                <w:rFonts w:ascii="宋体" w:hAnsi="宋体"/>
                <w:sz w:val="20"/>
                <w:szCs w:val="20"/>
              </w:rPr>
            </w:pPr>
            <w:r>
              <w:rPr>
                <w:rFonts w:ascii="宋体" w:hAnsi="宋体"/>
                <w:sz w:val="20"/>
                <w:szCs w:val="20"/>
              </w:rPr>
            </w:r>
            <w:r>
              <w:rPr>
                <w:rFonts w:ascii="宋体" w:hAnsi="宋体"/>
                <w:sz w:val="20"/>
                <w:szCs w:val="20"/>
              </w:rPr>
            </w:r>
          </w:p>
        </w:tc>
        <w:tc>
          <w:tcPr>
            <w:tcBorders/>
            <w:tcW w:w="1219"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1.中暑、冷损伤的类型、救治原则和预防措施</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2.高气压及低气压作业所致疾病的分类。</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3.噪声、振动对职业接触者健康的损害。</w:t>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4</w:t>
            </w:r>
            <w:r>
              <w:rPr>
                <w:rFonts w:ascii="宋体" w:hAnsi="宋体"/>
                <w:sz w:val="20"/>
                <w:szCs w:val="20"/>
              </w:rPr>
            </w:r>
          </w:p>
        </w:tc>
        <w:tc>
          <w:tcPr>
            <w:tcBorders/>
            <w:tcW w:w="436"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tcBorders/>
            <w:tcW w:w="437"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r>
      <w:tr>
        <w:trPr>
          <w:jc w:val="center"/>
        </w:trPr>
        <w:tc>
          <w:tcPr>
            <w:tcBorders/>
            <w:tcW w:w="474"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5</w:t>
            </w:r>
            <w:r>
              <w:rPr>
                <w:color w:val="auto"/>
                <w:sz w:val="20"/>
                <w:szCs w:val="20"/>
              </w:rPr>
            </w:r>
          </w:p>
        </w:tc>
        <w:tc>
          <w:tcPr>
            <w:tcBorders/>
            <w:tcW w:w="655"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职业性致癌因素与职业肿瘤</w:t>
            </w:r>
            <w:r>
              <w:rPr>
                <w:color w:val="auto"/>
                <w:sz w:val="20"/>
                <w:szCs w:val="20"/>
              </w:rPr>
            </w:r>
          </w:p>
        </w:tc>
        <w:tc>
          <w:tcPr>
            <w:tcBorders/>
            <w:tcW w:w="2218" w:type="dxa"/>
            <w:textDirection w:val="lrTb"/>
            <w:noWrap w:val="false"/>
          </w:tcPr>
          <w:p>
            <w:pPr>
              <w:pStyle w:val="625"/>
              <w:pBdr/>
              <w:spacing w:line="300" w:lineRule="exact"/>
              <w:ind/>
              <w:rPr>
                <w:color w:val="auto"/>
                <w:sz w:val="20"/>
                <w:szCs w:val="20"/>
              </w:rPr>
            </w:pPr>
            <w:r>
              <w:rPr>
                <w:rFonts w:hint="eastAsia"/>
                <w:color w:val="auto"/>
                <w:sz w:val="20"/>
                <w:szCs w:val="20"/>
              </w:rPr>
              <w:t xml:space="preserve">1.知道职业肿瘤、职业性致癌因素的概念。 </w:t>
            </w:r>
            <w:r>
              <w:rPr>
                <w:color w:val="auto"/>
                <w:sz w:val="20"/>
                <w:szCs w:val="20"/>
              </w:rPr>
              <w:t xml:space="preserve">             </w:t>
            </w:r>
            <w:r>
              <w:rPr>
                <w:rFonts w:hint="eastAsia"/>
                <w:color w:val="auto"/>
                <w:sz w:val="20"/>
                <w:szCs w:val="20"/>
              </w:rPr>
              <w:t xml:space="preserve">2.知道职业性肿瘤的特征、识别和判定职业肿瘤的途径。 </w:t>
            </w:r>
            <w:r>
              <w:rPr>
                <w:color w:val="auto"/>
                <w:sz w:val="20"/>
                <w:szCs w:val="20"/>
              </w:rPr>
              <w:t xml:space="preserve">        </w:t>
            </w:r>
            <w:r>
              <w:rPr>
                <w:rFonts w:hint="eastAsia"/>
                <w:color w:val="auto"/>
                <w:sz w:val="20"/>
                <w:szCs w:val="20"/>
              </w:rPr>
              <w:t xml:space="preserve">3.理解我国法定职业肿瘤的病因、预防原则。</w:t>
            </w:r>
            <w:r>
              <w:rPr>
                <w:color w:val="auto"/>
                <w:sz w:val="20"/>
                <w:szCs w:val="20"/>
              </w:rPr>
            </w:r>
          </w:p>
        </w:tc>
        <w:tc>
          <w:tcPr>
            <w:tcBorders/>
            <w:tcW w:w="2035" w:type="dxa"/>
            <w:textDirection w:val="lrTb"/>
            <w:noWrap w:val="false"/>
          </w:tcPr>
          <w:p>
            <w:pPr>
              <w:pStyle w:val="625"/>
              <w:pBdr/>
              <w:spacing w:line="300" w:lineRule="exact"/>
              <w:ind/>
              <w:rPr>
                <w:color w:val="auto"/>
                <w:sz w:val="20"/>
                <w:szCs w:val="20"/>
              </w:rPr>
            </w:pPr>
            <w:r>
              <w:rPr>
                <w:rFonts w:hint="eastAsia"/>
                <w:color w:val="auto"/>
                <w:sz w:val="20"/>
                <w:szCs w:val="20"/>
              </w:rPr>
              <w:t xml:space="preserve">1.能说出职业性肿瘤、职业性致癌因素的概念。 </w:t>
            </w:r>
            <w:r>
              <w:rPr>
                <w:color w:val="auto"/>
                <w:sz w:val="20"/>
                <w:szCs w:val="20"/>
              </w:rPr>
              <w:t xml:space="preserve">         </w:t>
            </w:r>
            <w:r>
              <w:rPr>
                <w:rFonts w:hint="eastAsia"/>
                <w:color w:val="auto"/>
                <w:sz w:val="20"/>
                <w:szCs w:val="20"/>
              </w:rPr>
              <w:t xml:space="preserve">2.能识别职业性致癌因素。</w:t>
            </w:r>
            <w:r>
              <w:rPr>
                <w:color w:val="auto"/>
                <w:sz w:val="20"/>
                <w:szCs w:val="20"/>
              </w:rPr>
            </w:r>
          </w:p>
          <w:p>
            <w:pPr>
              <w:pStyle w:val="625"/>
              <w:pBdr/>
              <w:spacing w:line="300" w:lineRule="exact"/>
              <w:ind/>
              <w:rPr>
                <w:color w:val="auto"/>
                <w:sz w:val="20"/>
                <w:szCs w:val="20"/>
              </w:rPr>
            </w:pPr>
            <w:r>
              <w:rPr>
                <w:color w:val="auto"/>
                <w:sz w:val="20"/>
                <w:szCs w:val="20"/>
              </w:rPr>
            </w:r>
            <w:r>
              <w:rPr>
                <w:color w:val="auto"/>
                <w:sz w:val="20"/>
                <w:szCs w:val="20"/>
              </w:rPr>
            </w:r>
          </w:p>
        </w:tc>
        <w:tc>
          <w:tcPr>
            <w:tcBorders/>
            <w:tcW w:w="1219" w:type="dxa"/>
            <w:textDirection w:val="lrTb"/>
            <w:noWrap w:val="false"/>
          </w:tcPr>
          <w:p>
            <w:pPr>
              <w:pStyle w:val="625"/>
              <w:pBdr/>
              <w:spacing w:line="300" w:lineRule="exact"/>
              <w:ind/>
              <w:rPr>
                <w:color w:val="auto"/>
                <w:sz w:val="20"/>
                <w:szCs w:val="20"/>
              </w:rPr>
            </w:pPr>
            <w:r>
              <w:rPr>
                <w:rFonts w:hint="eastAsia"/>
                <w:color w:val="auto"/>
                <w:sz w:val="20"/>
                <w:szCs w:val="20"/>
              </w:rPr>
              <w:t xml:space="preserve">1.我国职业性肿瘤的种类及职业性肿瘤的预防原则。</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2</w:t>
            </w:r>
            <w:r>
              <w:rPr>
                <w:color w:val="auto"/>
                <w:sz w:val="20"/>
                <w:szCs w:val="20"/>
              </w:rPr>
            </w:r>
          </w:p>
        </w:tc>
        <w:tc>
          <w:tcPr>
            <w:tcBorders/>
            <w:tcW w:w="437"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r>
      <w:tr>
        <w:trPr>
          <w:jc w:val="center"/>
        </w:trPr>
        <w:tc>
          <w:tcPr>
            <w:tcBorders/>
            <w:tcW w:w="474"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c>
          <w:tcPr>
            <w:tcBorders/>
            <w:tcW w:w="655" w:type="dxa"/>
            <w:vAlign w:val="center"/>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生物有害因素所致职业性损害和</w:t>
            </w:r>
            <w:r>
              <w:rPr>
                <w:rFonts w:ascii="宋体" w:hAnsi="宋体"/>
                <w:sz w:val="20"/>
                <w:szCs w:val="20"/>
              </w:rPr>
              <w:t xml:space="preserve">其他职业病</w:t>
            </w:r>
            <w:r>
              <w:rPr>
                <w:rFonts w:ascii="宋体" w:hAnsi="宋体"/>
                <w:sz w:val="20"/>
                <w:szCs w:val="20"/>
              </w:rPr>
            </w:r>
          </w:p>
        </w:tc>
        <w:tc>
          <w:tcPr>
            <w:tcBorders/>
            <w:tcW w:w="2218" w:type="dxa"/>
            <w:textDirection w:val="lrTb"/>
            <w:noWrap w:val="false"/>
          </w:tcPr>
          <w:p>
            <w:pPr>
              <w:pStyle w:val="625"/>
              <w:pBdr/>
              <w:spacing w:line="300" w:lineRule="exact"/>
              <w:ind/>
              <w:rPr>
                <w:color w:val="auto"/>
                <w:sz w:val="20"/>
                <w:szCs w:val="20"/>
              </w:rPr>
            </w:pPr>
            <w:r>
              <w:rPr>
                <w:rFonts w:hint="eastAsia"/>
                <w:color w:val="auto"/>
                <w:sz w:val="20"/>
                <w:szCs w:val="20"/>
              </w:rPr>
              <w:t xml:space="preserve">1.了解炭疽、布氏杆菌病、职业性森林脑炎的病因机制、流行特征、临床表现、诊断及处理原则。 </w:t>
            </w:r>
            <w:r>
              <w:rPr>
                <w:color w:val="auto"/>
                <w:sz w:val="20"/>
                <w:szCs w:val="20"/>
              </w:rPr>
              <w:t xml:space="preserve">            </w:t>
            </w:r>
            <w:r>
              <w:rPr>
                <w:rFonts w:hint="eastAsia"/>
                <w:color w:val="auto"/>
                <w:sz w:val="20"/>
                <w:szCs w:val="20"/>
              </w:rPr>
              <w:t xml:space="preserve">2.了解职业性皮炎、职业性黑变病、职业性痤疮、职业性皮肤溃疡的病因及接触机会、临床表现、诊断、预防和治疗。 </w:t>
            </w:r>
            <w:r>
              <w:rPr>
                <w:color w:val="auto"/>
                <w:sz w:val="20"/>
                <w:szCs w:val="20"/>
              </w:rPr>
              <w:t xml:space="preserve">              </w:t>
            </w:r>
            <w:r>
              <w:rPr>
                <w:rFonts w:hint="eastAsia"/>
                <w:color w:val="auto"/>
                <w:sz w:val="20"/>
                <w:szCs w:val="20"/>
              </w:rPr>
              <w:t xml:space="preserve">3.了解常见五官疾病致病因素、诊断、处理原则。</w:t>
            </w:r>
            <w:r>
              <w:rPr>
                <w:color w:val="auto"/>
                <w:sz w:val="20"/>
                <w:szCs w:val="20"/>
              </w:rPr>
            </w:r>
          </w:p>
        </w:tc>
        <w:tc>
          <w:tcPr>
            <w:tcBorders/>
            <w:tcW w:w="2035" w:type="dxa"/>
            <w:textDirection w:val="lrTb"/>
            <w:noWrap w:val="false"/>
          </w:tcPr>
          <w:p>
            <w:pPr>
              <w:pStyle w:val="625"/>
              <w:pBdr/>
              <w:spacing w:line="300" w:lineRule="exact"/>
              <w:ind/>
              <w:rPr>
                <w:color w:val="auto"/>
                <w:sz w:val="20"/>
                <w:szCs w:val="20"/>
              </w:rPr>
            </w:pPr>
            <w:r>
              <w:rPr>
                <w:rFonts w:hint="eastAsia"/>
                <w:color w:val="auto"/>
                <w:sz w:val="20"/>
                <w:szCs w:val="20"/>
              </w:rPr>
              <w:t xml:space="preserve">1．能识别职业性炭疽、布氏杆菌病、职业性森林脑炎的流行病学特点。 </w:t>
            </w:r>
            <w:r>
              <w:rPr>
                <w:color w:val="auto"/>
                <w:sz w:val="20"/>
                <w:szCs w:val="20"/>
              </w:rPr>
              <w:t xml:space="preserve">          </w:t>
            </w:r>
            <w:r>
              <w:rPr>
                <w:rFonts w:hint="eastAsia"/>
                <w:color w:val="auto"/>
                <w:sz w:val="20"/>
                <w:szCs w:val="20"/>
              </w:rPr>
              <w:t xml:space="preserve">2.能识别职业性皮肤病的临床类型。 </w:t>
            </w:r>
            <w:r>
              <w:rPr>
                <w:color w:val="auto"/>
                <w:sz w:val="20"/>
                <w:szCs w:val="20"/>
              </w:rPr>
              <w:t xml:space="preserve">       </w:t>
            </w:r>
            <w:r>
              <w:rPr>
                <w:rFonts w:hint="eastAsia"/>
                <w:color w:val="auto"/>
                <w:sz w:val="20"/>
                <w:szCs w:val="20"/>
              </w:rPr>
              <w:t xml:space="preserve">3.能说出我国法定职业性眼病内容。</w:t>
            </w:r>
            <w:r>
              <w:rPr>
                <w:color w:val="auto"/>
                <w:sz w:val="20"/>
                <w:szCs w:val="20"/>
              </w:rPr>
            </w:r>
          </w:p>
        </w:tc>
        <w:tc>
          <w:tcPr>
            <w:tcBorders/>
            <w:tcW w:w="1219" w:type="dxa"/>
            <w:textDirection w:val="lrTb"/>
            <w:noWrap w:val="false"/>
          </w:tcPr>
          <w:p>
            <w:pPr>
              <w:pStyle w:val="625"/>
              <w:pBdr/>
              <w:spacing w:line="300" w:lineRule="exact"/>
              <w:ind/>
              <w:rPr>
                <w:color w:val="auto"/>
                <w:sz w:val="20"/>
                <w:szCs w:val="20"/>
              </w:rPr>
            </w:pPr>
            <w:r>
              <w:rPr>
                <w:rFonts w:hint="eastAsia"/>
                <w:color w:val="auto"/>
                <w:sz w:val="20"/>
                <w:szCs w:val="20"/>
              </w:rPr>
              <w:t xml:space="preserve">1.生物所致职业性传染病种类及相关职业。 </w:t>
            </w:r>
            <w:r>
              <w:rPr>
                <w:color w:val="auto"/>
                <w:sz w:val="20"/>
                <w:szCs w:val="20"/>
              </w:rPr>
              <w:t xml:space="preserve">  </w:t>
            </w:r>
            <w:r>
              <w:rPr>
                <w:rFonts w:hint="eastAsia"/>
                <w:color w:val="auto"/>
                <w:sz w:val="20"/>
                <w:szCs w:val="20"/>
              </w:rPr>
              <w:t xml:space="preserve">2.职业性皮肤病、眼病、五官病的诊断处理原则。</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0</w:t>
            </w:r>
            <w:r>
              <w:rPr>
                <w:color w:val="auto"/>
                <w:sz w:val="20"/>
                <w:szCs w:val="20"/>
              </w:rPr>
            </w:r>
          </w:p>
        </w:tc>
        <w:tc>
          <w:tcPr>
            <w:tcBorders/>
            <w:tcW w:w="437"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r>
      <w:tr>
        <w:trPr>
          <w:jc w:val="center"/>
        </w:trPr>
        <w:tc>
          <w:tcPr>
            <w:tcBorders/>
            <w:tcW w:w="474"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7</w:t>
            </w:r>
            <w:r>
              <w:rPr>
                <w:rFonts w:ascii="宋体" w:hAnsi="宋体"/>
                <w:sz w:val="20"/>
                <w:szCs w:val="20"/>
              </w:rPr>
            </w:r>
          </w:p>
        </w:tc>
        <w:tc>
          <w:tcPr>
            <w:tcBorders/>
            <w:tcW w:w="655" w:type="dxa"/>
            <w:vAlign w:val="center"/>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职业性伤害和</w:t>
            </w:r>
            <w:r>
              <w:rPr>
                <w:rFonts w:ascii="宋体" w:hAnsi="宋体"/>
                <w:sz w:val="20"/>
                <w:szCs w:val="20"/>
              </w:rPr>
            </w:r>
          </w:p>
          <w:p>
            <w:pPr>
              <w:pBdr/>
              <w:spacing w:line="300" w:lineRule="exact"/>
              <w:ind/>
              <w:jc w:val="left"/>
              <w:rPr>
                <w:rFonts w:ascii="宋体" w:hAnsi="宋体"/>
                <w:sz w:val="20"/>
                <w:szCs w:val="20"/>
              </w:rPr>
            </w:pPr>
            <w:r>
              <w:rPr>
                <w:rFonts w:ascii="宋体" w:hAnsi="宋体"/>
                <w:sz w:val="20"/>
                <w:szCs w:val="20"/>
              </w:rPr>
              <w:t xml:space="preserve">职业性有害因素的识别与评价</w:t>
            </w:r>
            <w:r>
              <w:rPr>
                <w:rFonts w:ascii="宋体" w:hAnsi="宋体"/>
                <w:sz w:val="20"/>
                <w:szCs w:val="20"/>
              </w:rPr>
            </w:r>
          </w:p>
        </w:tc>
        <w:tc>
          <w:tcPr>
            <w:tcBorders/>
            <w:tcW w:w="2218" w:type="dxa"/>
            <w:textDirection w:val="lrTb"/>
            <w:noWrap w:val="false"/>
          </w:tcPr>
          <w:p>
            <w:pPr>
              <w:pStyle w:val="625"/>
              <w:pBdr/>
              <w:spacing w:line="300" w:lineRule="exact"/>
              <w:ind/>
              <w:rPr>
                <w:color w:val="auto"/>
                <w:sz w:val="20"/>
                <w:szCs w:val="20"/>
              </w:rPr>
            </w:pPr>
            <w:r>
              <w:rPr>
                <w:rFonts w:hint="eastAsia"/>
                <w:color w:val="auto"/>
                <w:sz w:val="20"/>
                <w:szCs w:val="20"/>
              </w:rPr>
              <w:t xml:space="preserve">1.理解职业伤害的概念、常见职业伤害事故类型及其主要原因及预防。 </w:t>
            </w:r>
            <w:r>
              <w:rPr>
                <w:color w:val="auto"/>
                <w:sz w:val="20"/>
                <w:szCs w:val="20"/>
              </w:rPr>
              <w:t xml:space="preserve">            </w:t>
            </w:r>
            <w:r>
              <w:rPr>
                <w:rFonts w:hint="eastAsia"/>
                <w:color w:val="auto"/>
                <w:sz w:val="20"/>
                <w:szCs w:val="20"/>
              </w:rPr>
              <w:t xml:space="preserve">2.了解职业伤害流行病学研究方法。 </w:t>
            </w:r>
            <w:r>
              <w:rPr>
                <w:color w:val="auto"/>
                <w:sz w:val="20"/>
                <w:szCs w:val="20"/>
              </w:rPr>
              <w:t xml:space="preserve">    </w:t>
            </w:r>
            <w:r>
              <w:rPr>
                <w:rFonts w:hint="eastAsia"/>
                <w:color w:val="auto"/>
                <w:sz w:val="20"/>
                <w:szCs w:val="20"/>
              </w:rPr>
              <w:t xml:space="preserve">3.知道职业环境监测、生物监测、职业接触生物限值、职业卫生调查的概念。 </w:t>
            </w:r>
            <w:r>
              <w:rPr>
                <w:color w:val="auto"/>
                <w:sz w:val="20"/>
                <w:szCs w:val="20"/>
              </w:rPr>
              <w:t xml:space="preserve">           </w:t>
            </w:r>
            <w:r>
              <w:rPr>
                <w:rFonts w:hint="eastAsia"/>
                <w:color w:val="auto"/>
                <w:sz w:val="20"/>
                <w:szCs w:val="20"/>
              </w:rPr>
              <w:t xml:space="preserve">4.知道职业性有害因素识别的原理、评价的类别。 </w:t>
            </w:r>
            <w:r>
              <w:rPr>
                <w:color w:val="auto"/>
                <w:sz w:val="20"/>
                <w:szCs w:val="20"/>
              </w:rPr>
              <w:t xml:space="preserve">                </w:t>
            </w:r>
            <w:r>
              <w:rPr>
                <w:rFonts w:hint="eastAsia"/>
                <w:color w:val="auto"/>
                <w:sz w:val="20"/>
                <w:szCs w:val="20"/>
              </w:rPr>
              <w:t xml:space="preserve">5.知道职业卫生调查的种类、职业卫生基本情况调查的主要内容。</w:t>
            </w:r>
            <w:r>
              <w:rPr>
                <w:color w:val="auto"/>
                <w:sz w:val="20"/>
                <w:szCs w:val="20"/>
              </w:rPr>
            </w:r>
          </w:p>
          <w:p>
            <w:pPr>
              <w:pStyle w:val="625"/>
              <w:pBdr/>
              <w:spacing w:line="300" w:lineRule="exact"/>
              <w:ind/>
              <w:rPr>
                <w:color w:val="auto"/>
                <w:sz w:val="20"/>
                <w:szCs w:val="20"/>
              </w:rPr>
            </w:pPr>
            <w:r>
              <w:rPr>
                <w:color w:val="auto"/>
                <w:sz w:val="20"/>
                <w:szCs w:val="20"/>
              </w:rPr>
            </w:r>
            <w:r>
              <w:rPr>
                <w:color w:val="auto"/>
                <w:sz w:val="20"/>
                <w:szCs w:val="20"/>
              </w:rPr>
            </w:r>
          </w:p>
        </w:tc>
        <w:tc>
          <w:tcPr>
            <w:tcBorders/>
            <w:tcW w:w="2035" w:type="dxa"/>
            <w:textDirection w:val="lrTb"/>
            <w:noWrap w:val="false"/>
          </w:tcPr>
          <w:p>
            <w:pPr>
              <w:pStyle w:val="625"/>
              <w:pBdr/>
              <w:spacing w:line="300" w:lineRule="exact"/>
              <w:ind/>
              <w:rPr>
                <w:color w:val="auto"/>
                <w:sz w:val="20"/>
                <w:szCs w:val="20"/>
              </w:rPr>
            </w:pPr>
            <w:r>
              <w:rPr>
                <w:rFonts w:hint="eastAsia"/>
                <w:color w:val="auto"/>
                <w:sz w:val="20"/>
                <w:szCs w:val="20"/>
              </w:rPr>
              <w:t xml:space="preserve">1.能说出职业伤害、职业环境监测、生物监测、职业接触生物限值、职业卫生调查的概念。 </w:t>
            </w:r>
            <w:r>
              <w:rPr>
                <w:color w:val="auto"/>
                <w:sz w:val="20"/>
                <w:szCs w:val="20"/>
              </w:rPr>
              <w:t xml:space="preserve">         </w:t>
            </w:r>
            <w:r>
              <w:rPr>
                <w:rFonts w:hint="eastAsia"/>
                <w:color w:val="auto"/>
                <w:sz w:val="20"/>
                <w:szCs w:val="20"/>
              </w:rPr>
              <w:t xml:space="preserve">2.能够理解未知职业性有害因素识别和鉴定的方法，已知职业性有害因素识别和筛选方法。 </w:t>
            </w:r>
            <w:r>
              <w:rPr>
                <w:color w:val="auto"/>
                <w:sz w:val="20"/>
                <w:szCs w:val="20"/>
              </w:rPr>
              <w:t xml:space="preserve">         </w:t>
            </w:r>
            <w:r>
              <w:rPr>
                <w:rFonts w:hint="eastAsia"/>
                <w:color w:val="auto"/>
                <w:sz w:val="20"/>
                <w:szCs w:val="20"/>
              </w:rPr>
              <w:t xml:space="preserve">3.能够了解工作场所空气中有害物质采样的方式及其优缺点。</w:t>
            </w:r>
            <w:r>
              <w:rPr>
                <w:color w:val="auto"/>
                <w:sz w:val="20"/>
                <w:szCs w:val="20"/>
              </w:rPr>
            </w:r>
          </w:p>
        </w:tc>
        <w:tc>
          <w:tcPr>
            <w:tcBorders/>
            <w:tcW w:w="1219" w:type="dxa"/>
            <w:textDirection w:val="lrTb"/>
            <w:noWrap w:val="false"/>
          </w:tcPr>
          <w:p>
            <w:pPr>
              <w:pStyle w:val="625"/>
              <w:pBdr/>
              <w:spacing w:line="300" w:lineRule="exact"/>
              <w:ind/>
              <w:rPr>
                <w:color w:val="auto"/>
                <w:sz w:val="20"/>
                <w:szCs w:val="20"/>
              </w:rPr>
            </w:pPr>
            <w:r>
              <w:rPr>
                <w:rFonts w:hint="eastAsia"/>
                <w:color w:val="auto"/>
                <w:sz w:val="20"/>
                <w:szCs w:val="20"/>
              </w:rPr>
              <w:t xml:space="preserve">1.职业性有害因素性质、强度及其时空分布与消长规律。 2.职业卫生调查的主要内容、专题调查的设计要求。 </w:t>
            </w:r>
            <w:r>
              <w:rPr>
                <w:color w:val="auto"/>
                <w:sz w:val="20"/>
                <w:szCs w:val="20"/>
              </w:rPr>
              <w:t xml:space="preserve">    </w:t>
            </w:r>
            <w:r>
              <w:rPr>
                <w:rFonts w:hint="eastAsia"/>
                <w:color w:val="auto"/>
                <w:sz w:val="20"/>
                <w:szCs w:val="20"/>
              </w:rPr>
              <w:t xml:space="preserve">3.生物标志物的常见类别，生物监测结果的解释及局限性。</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437"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8</w:t>
            </w:r>
            <w:r>
              <w:rPr>
                <w:color w:val="auto"/>
                <w:sz w:val="20"/>
                <w:szCs w:val="20"/>
              </w:rPr>
            </w:r>
          </w:p>
        </w:tc>
      </w:tr>
      <w:tr>
        <w:trPr>
          <w:jc w:val="center"/>
        </w:trPr>
        <w:tc>
          <w:tcPr>
            <w:tcBorders/>
            <w:tcW w:w="474" w:type="dxa"/>
            <w:vAlign w:val="center"/>
            <w:textDirection w:val="lrTb"/>
            <w:noWrap w:val="false"/>
          </w:tcPr>
          <w:p>
            <w:pPr>
              <w:pBdr/>
              <w:spacing w:line="300" w:lineRule="exact"/>
              <w:ind/>
              <w:jc w:val="center"/>
              <w:rPr>
                <w:rFonts w:ascii="宋体" w:hAnsi="宋体"/>
                <w:sz w:val="20"/>
                <w:szCs w:val="20"/>
              </w:rPr>
            </w:pPr>
            <w:r>
              <w:rPr>
                <w:rFonts w:hint="eastAsia" w:ascii="宋体" w:hAnsi="宋体"/>
                <w:sz w:val="20"/>
                <w:szCs w:val="20"/>
              </w:rPr>
              <w:t xml:space="preserve">8</w:t>
            </w:r>
            <w:r>
              <w:rPr>
                <w:rFonts w:ascii="宋体" w:hAnsi="宋体"/>
                <w:sz w:val="20"/>
                <w:szCs w:val="20"/>
              </w:rPr>
            </w:r>
          </w:p>
        </w:tc>
        <w:tc>
          <w:tcPr>
            <w:tcBorders/>
            <w:tcW w:w="655" w:type="dxa"/>
            <w:vAlign w:val="center"/>
            <w:textDirection w:val="lrTb"/>
            <w:noWrap w:val="false"/>
          </w:tcPr>
          <w:p>
            <w:pPr>
              <w:pStyle w:val="625"/>
              <w:pBdr/>
              <w:spacing w:after="0" w:afterAutospacing="0" w:before="0" w:beforeAutospacing="0" w:line="300" w:lineRule="exact"/>
              <w:ind/>
              <w:rPr>
                <w:color w:val="auto"/>
                <w:sz w:val="20"/>
                <w:szCs w:val="20"/>
              </w:rPr>
            </w:pPr>
            <w:r>
              <w:rPr>
                <w:rFonts w:hint="eastAsia"/>
                <w:color w:val="auto"/>
                <w:sz w:val="20"/>
                <w:szCs w:val="20"/>
              </w:rPr>
              <w:t xml:space="preserve">职业性有害因素的预防与控制和</w:t>
            </w:r>
            <w:r>
              <w:rPr>
                <w:color w:val="auto"/>
                <w:sz w:val="20"/>
                <w:szCs w:val="20"/>
              </w:rPr>
            </w:r>
          </w:p>
          <w:p>
            <w:pPr>
              <w:pStyle w:val="625"/>
              <w:pBdr/>
              <w:spacing w:after="0" w:afterAutospacing="0" w:before="0" w:beforeAutospacing="0" w:line="300" w:lineRule="exact"/>
              <w:ind/>
              <w:rPr>
                <w:color w:val="auto"/>
                <w:sz w:val="20"/>
                <w:szCs w:val="20"/>
              </w:rPr>
            </w:pPr>
            <w:r>
              <w:rPr>
                <w:color w:val="auto"/>
                <w:sz w:val="20"/>
                <w:szCs w:val="20"/>
              </w:rPr>
              <w:t xml:space="preserve">主要行业的职业卫生</w:t>
            </w:r>
            <w:r>
              <w:rPr>
                <w:color w:val="auto"/>
                <w:sz w:val="20"/>
                <w:szCs w:val="20"/>
              </w:rPr>
            </w:r>
          </w:p>
        </w:tc>
        <w:tc>
          <w:tcPr>
            <w:tcBorders/>
            <w:tcW w:w="2218" w:type="dxa"/>
            <w:textDirection w:val="lrTb"/>
            <w:noWrap w:val="false"/>
          </w:tcPr>
          <w:p>
            <w:pPr>
              <w:pBdr/>
              <w:spacing w:line="300" w:lineRule="exact"/>
              <w:ind/>
              <w:jc w:val="left"/>
              <w:rPr>
                <w:rFonts w:ascii="宋体" w:hAnsi="宋体"/>
                <w:sz w:val="20"/>
                <w:szCs w:val="20"/>
              </w:rPr>
            </w:pPr>
            <w:r>
              <w:rPr>
                <w:rFonts w:hint="eastAsia" w:ascii="宋体" w:hAnsi="宋体"/>
                <w:sz w:val="20"/>
                <w:szCs w:val="20"/>
              </w:rPr>
              <w:t xml:space="preserve">1.知道职业卫生与职业安全相关法律法规。</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2.知道职业卫生突发事件特征、调查处理原则及程序。</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3．知道工业通风、自然通风、热压、风压、个人防护用品、呼吸防护用品、职业健康监护的概念。</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4.知道早期职业性损害的发现与干预 </w:t>
            </w:r>
            <w:r>
              <w:rPr>
                <w:rFonts w:ascii="宋体" w:hAnsi="宋体"/>
                <w:sz w:val="20"/>
                <w:szCs w:val="20"/>
              </w:rPr>
              <w:t xml:space="preserve">                     </w:t>
            </w:r>
            <w:r>
              <w:rPr>
                <w:rFonts w:hint="eastAsia" w:ascii="宋体" w:hAnsi="宋体"/>
                <w:sz w:val="20"/>
                <w:szCs w:val="20"/>
              </w:rPr>
              <w:t xml:space="preserve">5.理解建筑行业、化工行业、机械制造业的主要职业卫生问题及防控。</w:t>
            </w:r>
            <w:r>
              <w:rPr>
                <w:rFonts w:ascii="宋体" w:hAnsi="宋体"/>
                <w:sz w:val="20"/>
                <w:szCs w:val="20"/>
              </w:rPr>
            </w:r>
          </w:p>
          <w:p>
            <w:pPr>
              <w:pBdr/>
              <w:spacing w:line="300" w:lineRule="exact"/>
              <w:ind/>
              <w:jc w:val="left"/>
              <w:rPr>
                <w:rFonts w:ascii="宋体" w:hAnsi="宋体"/>
                <w:sz w:val="20"/>
                <w:szCs w:val="20"/>
              </w:rPr>
            </w:pPr>
            <w:r>
              <w:rPr>
                <w:rFonts w:hint="eastAsia" w:ascii="宋体" w:hAnsi="宋体"/>
                <w:sz w:val="20"/>
                <w:szCs w:val="20"/>
              </w:rPr>
              <w:t xml:space="preserve">6.了解新兴产业职业卫生。</w:t>
            </w:r>
            <w:r>
              <w:rPr>
                <w:rFonts w:ascii="宋体" w:hAnsi="宋体"/>
                <w:sz w:val="20"/>
                <w:szCs w:val="20"/>
              </w:rPr>
            </w:r>
          </w:p>
        </w:tc>
        <w:tc>
          <w:tcPr>
            <w:tcBorders/>
            <w:tcW w:w="2035" w:type="dxa"/>
            <w:textDirection w:val="lrTb"/>
            <w:noWrap w:val="false"/>
          </w:tcPr>
          <w:p>
            <w:pPr>
              <w:pStyle w:val="625"/>
              <w:pBdr/>
              <w:spacing w:line="300" w:lineRule="exact"/>
              <w:ind/>
              <w:rPr>
                <w:color w:val="auto"/>
                <w:sz w:val="20"/>
                <w:szCs w:val="20"/>
              </w:rPr>
            </w:pPr>
            <w:r>
              <w:rPr>
                <w:rFonts w:hint="eastAsia"/>
                <w:color w:val="auto"/>
                <w:sz w:val="20"/>
                <w:szCs w:val="20"/>
              </w:rPr>
              <w:t xml:space="preserve">1.能够说出职业病防治法的立法宗旨、职业病防治策略。 </w:t>
            </w:r>
            <w:r>
              <w:rPr>
                <w:color w:val="auto"/>
                <w:sz w:val="20"/>
                <w:szCs w:val="20"/>
              </w:rPr>
              <w:t xml:space="preserve">   </w:t>
            </w:r>
            <w:r>
              <w:rPr>
                <w:rFonts w:hint="eastAsia"/>
                <w:color w:val="auto"/>
                <w:sz w:val="20"/>
                <w:szCs w:val="20"/>
              </w:rPr>
              <w:t xml:space="preserve">2.能够说出个人防护用品的作用及正确选择。 </w:t>
            </w:r>
            <w:r>
              <w:rPr>
                <w:color w:val="auto"/>
                <w:sz w:val="20"/>
                <w:szCs w:val="20"/>
              </w:rPr>
              <w:t xml:space="preserve">             </w:t>
            </w:r>
            <w:r>
              <w:rPr>
                <w:rFonts w:hint="eastAsia"/>
                <w:color w:val="auto"/>
                <w:sz w:val="20"/>
                <w:szCs w:val="20"/>
              </w:rPr>
              <w:t xml:space="preserve">3.能够说出早期职业性损害的发现与干预措施。</w:t>
            </w:r>
            <w:r>
              <w:rPr>
                <w:color w:val="auto"/>
                <w:sz w:val="20"/>
                <w:szCs w:val="20"/>
              </w:rPr>
            </w:r>
          </w:p>
        </w:tc>
        <w:tc>
          <w:tcPr>
            <w:tcBorders/>
            <w:tcW w:w="1219" w:type="dxa"/>
            <w:textDirection w:val="lrTb"/>
            <w:noWrap w:val="false"/>
          </w:tcPr>
          <w:p>
            <w:pPr>
              <w:pStyle w:val="625"/>
              <w:pBdr/>
              <w:spacing w:line="300" w:lineRule="exact"/>
              <w:ind/>
              <w:rPr>
                <w:color w:val="auto"/>
                <w:sz w:val="20"/>
                <w:szCs w:val="20"/>
              </w:rPr>
            </w:pPr>
            <w:r>
              <w:rPr>
                <w:rFonts w:hint="eastAsia"/>
                <w:color w:val="auto"/>
                <w:sz w:val="20"/>
                <w:szCs w:val="20"/>
              </w:rPr>
              <w:t xml:space="preserve">1.职业卫生与职业安全相关法律法规。2.职业卫生突发事件特征、调查处理原则及程序。3.不同行业暴露职业性有害因素的规律和特点。4.根据生产工艺过程分析有害因素。</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2</w:t>
            </w:r>
            <w:r>
              <w:rPr>
                <w:color w:val="auto"/>
                <w:sz w:val="20"/>
                <w:szCs w:val="20"/>
              </w:rPr>
            </w:r>
          </w:p>
        </w:tc>
        <w:tc>
          <w:tcPr>
            <w:tcBorders/>
            <w:tcW w:w="437"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6</w:t>
            </w:r>
            <w:r>
              <w:rPr>
                <w:color w:val="auto"/>
                <w:sz w:val="20"/>
                <w:szCs w:val="20"/>
              </w:rPr>
            </w:r>
          </w:p>
        </w:tc>
      </w:tr>
      <w:tr>
        <w:trPr>
          <w:jc w:val="center"/>
          <w:trHeight w:val="528"/>
        </w:trPr>
        <w:tc>
          <w:tcPr>
            <w:gridSpan w:val="5"/>
            <w:tcBorders/>
            <w:tcW w:w="6601" w:type="dxa"/>
            <w:vAlign w:val="center"/>
            <w:textDirection w:val="lrTb"/>
            <w:noWrap w:val="false"/>
          </w:tcPr>
          <w:p>
            <w:pPr>
              <w:pStyle w:val="625"/>
              <w:pBdr/>
              <w:spacing w:line="300" w:lineRule="exact"/>
              <w:ind/>
              <w:jc w:val="center"/>
              <w:rPr>
                <w:color w:val="auto"/>
                <w:sz w:val="20"/>
                <w:szCs w:val="20"/>
              </w:rPr>
            </w:pPr>
            <w:r>
              <w:rPr>
                <w:rFonts w:hint="eastAsia"/>
                <w:color w:val="auto"/>
                <w:sz w:val="20"/>
                <w:szCs w:val="20"/>
              </w:rPr>
              <w:t xml:space="preserve">合计</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32</w:t>
            </w:r>
            <w:r>
              <w:rPr>
                <w:color w:val="auto"/>
                <w:sz w:val="20"/>
                <w:szCs w:val="20"/>
              </w:rPr>
            </w:r>
          </w:p>
        </w:tc>
        <w:tc>
          <w:tcPr>
            <w:tcBorders/>
            <w:tcW w:w="436"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16</w:t>
            </w:r>
            <w:r>
              <w:rPr>
                <w:color w:val="auto"/>
                <w:sz w:val="20"/>
                <w:szCs w:val="20"/>
              </w:rPr>
            </w:r>
          </w:p>
        </w:tc>
        <w:tc>
          <w:tcPr>
            <w:tcBorders/>
            <w:tcW w:w="437" w:type="dxa"/>
            <w:vAlign w:val="center"/>
            <w:textDirection w:val="lrTb"/>
            <w:noWrap w:val="false"/>
          </w:tcPr>
          <w:p>
            <w:pPr>
              <w:pStyle w:val="625"/>
              <w:pBdr/>
              <w:spacing w:after="0" w:afterAutospacing="0" w:before="0" w:beforeAutospacing="0" w:line="300" w:lineRule="exact"/>
              <w:ind/>
              <w:jc w:val="center"/>
              <w:rPr>
                <w:color w:val="auto"/>
                <w:sz w:val="20"/>
                <w:szCs w:val="20"/>
              </w:rPr>
            </w:pPr>
            <w:r>
              <w:rPr>
                <w:rFonts w:hint="eastAsia"/>
                <w:color w:val="auto"/>
                <w:sz w:val="20"/>
                <w:szCs w:val="20"/>
              </w:rPr>
              <w:t xml:space="preserve">48</w:t>
            </w:r>
            <w:r>
              <w:rPr>
                <w:color w:val="auto"/>
                <w:sz w:val="20"/>
                <w:szCs w:val="20"/>
              </w:rPr>
            </w:r>
          </w:p>
        </w:tc>
      </w:tr>
    </w:tbl>
    <w:p>
      <w:pPr>
        <w:widowControl w:val="true"/>
        <w:pBdr/>
        <w:spacing w:after="156" w:before="156" w:line="288" w:lineRule="auto"/>
        <w:ind w:firstLine="360"/>
        <w:jc w:val="left"/>
        <w:rPr>
          <w:rFonts w:hint="eastAsia" w:ascii="黑体" w:hAnsi="宋体" w:eastAsia="黑体"/>
          <w:sz w:val="24"/>
        </w:rPr>
      </w:pPr>
      <w:r>
        <w:rPr>
          <w:rFonts w:hint="eastAsia" w:ascii="黑体" w:hAnsi="宋体" w:eastAsia="黑体"/>
          <w:sz w:val="24"/>
        </w:rPr>
      </w:r>
      <w:r>
        <w:rPr>
          <w:rFonts w:hint="eastAsia" w:ascii="黑体" w:hAnsi="宋体" w:eastAsia="黑体"/>
          <w:sz w:val="24"/>
        </w:rPr>
      </w:r>
    </w:p>
    <w:p>
      <w:pPr>
        <w:widowControl w:val="true"/>
        <w:pBdr/>
        <w:spacing w:after="156" w:before="156" w:line="288" w:lineRule="auto"/>
        <w:ind w:firstLine="360"/>
        <w:jc w:val="left"/>
        <w:rPr>
          <w:rFonts w:ascii="黑体" w:hAnsi="宋体" w:eastAsia="黑体"/>
          <w:sz w:val="24"/>
        </w:rPr>
      </w:pPr>
      <w:r>
        <w:rPr>
          <w:rFonts w:hint="eastAsia" w:ascii="黑体" w:hAnsi="宋体" w:eastAsia="黑体"/>
          <w:sz w:val="24"/>
        </w:rPr>
        <w:t xml:space="preserve">七、课内实验名称及基本要求</w:t>
      </w:r>
      <w:r>
        <w:rPr>
          <w:rFonts w:ascii="黑体" w:hAnsi="宋体" w:eastAsia="黑体"/>
          <w:sz w:val="24"/>
        </w:rPr>
      </w:r>
    </w:p>
    <w:tbl>
      <w:tblPr>
        <w:tblStyle w:val="62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541"/>
        <w:gridCol w:w="1623"/>
        <w:gridCol w:w="3239"/>
        <w:gridCol w:w="902"/>
        <w:gridCol w:w="1055"/>
        <w:gridCol w:w="1145"/>
      </w:tblGrid>
      <w:tr>
        <w:trPr>
          <w:trHeight w:val="560"/>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序号</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623"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实验名称</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239"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主要内容</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实验</w:t>
            </w:r>
            <w:r>
              <w:rPr>
                <w:rFonts w:ascii="宋体" w:hAnsi="宋体"/>
                <w:sz w:val="20"/>
                <w:szCs w:val="20"/>
              </w:rPr>
            </w:r>
          </w:p>
          <w:p>
            <w:pPr>
              <w:pBdr/>
              <w:spacing/>
              <w:ind/>
              <w:jc w:val="center"/>
              <w:rPr>
                <w:rFonts w:ascii="宋体" w:hAnsi="宋体"/>
                <w:sz w:val="20"/>
                <w:szCs w:val="20"/>
              </w:rPr>
            </w:pPr>
            <w:r>
              <w:rPr>
                <w:rFonts w:hint="eastAsia" w:ascii="宋体" w:hAnsi="宋体"/>
                <w:sz w:val="20"/>
                <w:szCs w:val="20"/>
              </w:rPr>
              <w:t xml:space="preserve">时数</w:t>
            </w:r>
            <w:r>
              <w:rPr>
                <w:rFonts w:ascii="宋体" w:hAnsi="宋体"/>
                <w:sz w:val="20"/>
                <w:szCs w:val="20"/>
              </w:rPr>
            </w:r>
          </w:p>
        </w:tc>
        <w:tc>
          <w:tcPr>
            <w:shd w:val="clear" w:color="auto" w:fill="auto"/>
            <w:tcBorders>
              <w:top w:val="single" w:color="auto" w:sz="4" w:space="0"/>
              <w:left w:val="single" w:color="auto" w:sz="4" w:space="0"/>
              <w:right w:val="single" w:color="auto" w:sz="4" w:space="0"/>
            </w:tcBorders>
            <w:tcW w:w="1055"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实验类型</w:t>
            </w:r>
            <w:r>
              <w:rPr>
                <w:rFonts w:ascii="宋体" w:hAnsi="宋体"/>
                <w:sz w:val="20"/>
                <w:szCs w:val="20"/>
              </w:rPr>
            </w:r>
          </w:p>
        </w:tc>
        <w:tc>
          <w:tcPr>
            <w:shd w:val="clear" w:color="auto" w:fill="auto"/>
            <w:tcBorders>
              <w:top w:val="single" w:color="auto" w:sz="4" w:space="0"/>
              <w:left w:val="single" w:color="auto" w:sz="4" w:space="0"/>
              <w:right w:val="single" w:color="auto" w:sz="4" w:space="0"/>
            </w:tcBorders>
            <w:tcW w:w="1145" w:type="dxa"/>
            <w:vAlign w:val="center"/>
            <w:textDirection w:val="lrTb"/>
            <w:noWrap w:val="false"/>
          </w:tcPr>
          <w:p>
            <w:pPr>
              <w:pBdr/>
              <w:spacing/>
              <w:ind/>
              <w:jc w:val="center"/>
              <w:rPr>
                <w:rFonts w:ascii="宋体" w:hAnsi="宋体"/>
                <w:sz w:val="20"/>
                <w:szCs w:val="20"/>
              </w:rPr>
            </w:pPr>
            <w:r>
              <w:rPr>
                <w:rFonts w:hint="eastAsia" w:ascii="宋体" w:hAnsi="宋体"/>
                <w:sz w:val="20"/>
                <w:szCs w:val="20"/>
              </w:rPr>
              <w:t xml:space="preserve">备注</w:t>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1</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623" w:type="dxa"/>
            <w:vAlign w:val="center"/>
            <w:textDirection w:val="lrTb"/>
            <w:noWrap w:val="false"/>
          </w:tcPr>
          <w:p>
            <w:pPr>
              <w:pBdr/>
              <w:spacing/>
              <w:ind/>
              <w:jc w:val="left"/>
              <w:rPr>
                <w:rFonts w:ascii="宋体" w:hAnsi="宋体"/>
                <w:sz w:val="20"/>
                <w:szCs w:val="20"/>
              </w:rPr>
            </w:pPr>
            <w:r>
              <w:rPr>
                <w:rFonts w:hint="eastAsia" w:ascii="宋体" w:hAnsi="宋体"/>
                <w:sz w:val="20"/>
                <w:szCs w:val="20"/>
              </w:rPr>
              <w:t xml:space="preserve">案例分析：职业流行病学调查</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结合案例分析，为在职业卫生工作中更好地推广和使用职业流行病学方法，结合既往研究和应用经验，采用案例进行分析和讨论，初步掌握职业流行病研究实施之前必须有科学合理的设计。</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1623" w:type="dxa"/>
            <w:vAlign w:val="center"/>
            <w:textDirection w:val="lrTb"/>
            <w:noWrap w:val="false"/>
          </w:tcPr>
          <w:p>
            <w:pPr>
              <w:pBdr/>
              <w:spacing/>
              <w:ind/>
              <w:rPr>
                <w:rFonts w:ascii="宋体" w:hAnsi="宋体"/>
                <w:sz w:val="20"/>
                <w:szCs w:val="20"/>
              </w:rPr>
            </w:pPr>
            <w:r>
              <w:rPr>
                <w:rFonts w:hint="eastAsia" w:ascii="宋体" w:hAnsi="宋体"/>
                <w:sz w:val="20"/>
                <w:szCs w:val="20"/>
              </w:rPr>
              <w:t xml:space="preserve">案例分析：生产毒物与职业中毒</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结合案例分析，明确发生职业中毒与职业暴露的关系，需进行的职业卫生现场调查，明确从职业卫生角度应采取的改进和预防措施。</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3</w:t>
            </w:r>
            <w:r>
              <w:rPr>
                <w:rFonts w:ascii="宋体" w:hAnsi="宋体"/>
                <w:sz w:val="20"/>
                <w:szCs w:val="20"/>
              </w:rPr>
            </w:r>
          </w:p>
        </w:tc>
        <w:tc>
          <w:tcPr>
            <w:tcBorders/>
            <w:tcW w:w="1623" w:type="dxa"/>
            <w:vAlign w:val="center"/>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案例分析：生产粉尘与职业性肺部疾患</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结合案例分析，明确生产性粉尘对呼吸系统的影响</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4</w:t>
            </w:r>
            <w:r>
              <w:rPr>
                <w:rFonts w:ascii="宋体" w:hAnsi="宋体"/>
                <w:sz w:val="20"/>
                <w:szCs w:val="20"/>
              </w:rPr>
            </w:r>
          </w:p>
        </w:tc>
        <w:tc>
          <w:tcPr>
            <w:tcBorders/>
            <w:tcW w:w="1623"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案例分析：物理因素对健康的影响</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结合案例分析，了解物理因素的特点，针对物理因素超出正常范围对人体健康构成的危害，明确需采取的办法。</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5</w:t>
            </w:r>
            <w:r>
              <w:rPr>
                <w:rFonts w:ascii="宋体" w:hAnsi="宋体"/>
                <w:sz w:val="20"/>
                <w:szCs w:val="20"/>
              </w:rPr>
            </w:r>
          </w:p>
        </w:tc>
        <w:tc>
          <w:tcPr>
            <w:tcBorders/>
            <w:tcW w:w="1623"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案例分析：职业性致癌因素与职业肿瘤</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结合案例分析，探索确定致癌因素的必要条件，明确针对性的</w:t>
            </w:r>
            <w:r>
              <w:rPr>
                <w:rFonts w:ascii="宋体" w:hAnsi="宋体"/>
                <w:sz w:val="20"/>
                <w:szCs w:val="20"/>
              </w:rPr>
              <w:t xml:space="preserve">预防原则及措施，</w:t>
            </w:r>
            <w:r>
              <w:rPr>
                <w:rFonts w:hint="eastAsia" w:ascii="宋体" w:hAnsi="宋体"/>
                <w:sz w:val="20"/>
                <w:szCs w:val="20"/>
              </w:rPr>
              <w:t xml:space="preserve">降低因职业接触所致的超额发病率。</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6</w:t>
            </w:r>
            <w:r>
              <w:rPr>
                <w:rFonts w:ascii="宋体" w:hAnsi="宋体"/>
                <w:sz w:val="20"/>
                <w:szCs w:val="20"/>
              </w:rPr>
            </w:r>
          </w:p>
        </w:tc>
        <w:tc>
          <w:tcPr>
            <w:tcBorders/>
            <w:tcW w:w="1623"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案例分析：职业性伤害</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结合案例分析，明确职业伤害的范围、认定及其报告系统，分析常见</w:t>
            </w:r>
            <w:r>
              <w:rPr>
                <w:rFonts w:ascii="宋体" w:hAnsi="宋体"/>
                <w:sz w:val="20"/>
                <w:szCs w:val="20"/>
              </w:rPr>
              <w:t xml:space="preserve">的职业伤害事故</w:t>
            </w:r>
            <w:r>
              <w:rPr>
                <w:rFonts w:hint="eastAsia" w:ascii="宋体" w:hAnsi="宋体"/>
                <w:sz w:val="20"/>
                <w:szCs w:val="20"/>
              </w:rPr>
              <w:t xml:space="preserve">类型，职业伤害的调查与评估。</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7</w:t>
            </w:r>
            <w:r>
              <w:rPr>
                <w:rFonts w:ascii="宋体" w:hAnsi="宋体"/>
                <w:sz w:val="20"/>
                <w:szCs w:val="20"/>
              </w:rPr>
            </w:r>
          </w:p>
        </w:tc>
        <w:tc>
          <w:tcPr>
            <w:tcBorders/>
            <w:tcW w:w="1623"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案例分析：职业性有害因素的识别与评价</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结合案例分析，明确拟定职业环境监测的采样方式和测定方式。</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c>
          <w:tcPr>
            <w:shd w:val="clear" w:color="auto" w:fill="auto"/>
            <w:tcBorders>
              <w:top w:val="single" w:color="auto" w:sz="4" w:space="0"/>
              <w:left w:val="single" w:color="auto" w:sz="4" w:space="0"/>
              <w:bottom w:val="single" w:color="auto" w:sz="4" w:space="0"/>
              <w:right w:val="single" w:color="auto" w:sz="4" w:space="0"/>
            </w:tcBorders>
            <w:tcW w:w="541"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8</w:t>
            </w:r>
            <w:r>
              <w:rPr>
                <w:rFonts w:ascii="宋体" w:hAnsi="宋体"/>
                <w:sz w:val="20"/>
                <w:szCs w:val="20"/>
              </w:rPr>
            </w:r>
          </w:p>
        </w:tc>
        <w:tc>
          <w:tcPr>
            <w:tcBorders/>
            <w:tcW w:w="1623"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案例分析：职业性有害因素的预防与控制</w:t>
            </w:r>
            <w:r>
              <w:rPr>
                <w:rFonts w:ascii="宋体" w:hAnsi="宋体"/>
                <w:sz w:val="20"/>
                <w:szCs w:val="20"/>
              </w:rPr>
            </w:r>
          </w:p>
        </w:tc>
        <w:tc>
          <w:tcPr>
            <w:tcBorders/>
            <w:tcW w:w="3239" w:type="dxa"/>
            <w:textDirection w:val="lrTb"/>
            <w:noWrap w:val="false"/>
          </w:tcPr>
          <w:p>
            <w:pPr>
              <w:pBdr/>
              <w:spacing w:after="156" w:before="156" w:line="288" w:lineRule="auto"/>
              <w:ind/>
              <w:jc w:val="left"/>
              <w:rPr>
                <w:rFonts w:ascii="宋体" w:hAnsi="宋体"/>
                <w:sz w:val="20"/>
                <w:szCs w:val="20"/>
              </w:rPr>
            </w:pPr>
            <w:r>
              <w:rPr>
                <w:rFonts w:hint="eastAsia" w:ascii="宋体" w:hAnsi="宋体"/>
                <w:sz w:val="20"/>
                <w:szCs w:val="20"/>
              </w:rPr>
              <w:t xml:space="preserve">结合案例分析，明确个人防护用品的使用标准。</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2</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综合型</w:t>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r>
        <w:trPr>
          <w:trHeight w:val="585" w:hRule="exact"/>
        </w:trPr>
        <w:tc>
          <w:tcPr>
            <w:gridSpan w:val="3"/>
            <w:shd w:val="clear" w:color="auto" w:fill="auto"/>
            <w:tcBorders>
              <w:top w:val="single" w:color="auto" w:sz="4" w:space="0"/>
              <w:left w:val="single" w:color="auto" w:sz="4" w:space="0"/>
              <w:bottom w:val="single" w:color="auto" w:sz="4" w:space="0"/>
            </w:tcBorders>
            <w:tcW w:w="5403"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合计</w:t>
            </w:r>
            <w:r>
              <w:rPr>
                <w:rFonts w:ascii="宋体" w:hAnsi="宋体"/>
                <w:sz w:val="20"/>
                <w:szCs w:val="20"/>
              </w:rPr>
            </w:r>
          </w:p>
        </w:tc>
        <w:tc>
          <w:tcPr>
            <w:shd w:val="clear" w:color="auto" w:fill="auto"/>
            <w:tcBorders>
              <w:top w:val="single" w:color="auto" w:sz="4" w:space="0"/>
              <w:left w:val="single" w:color="auto" w:sz="4" w:space="0"/>
              <w:bottom w:val="single" w:color="auto" w:sz="4" w:space="0"/>
              <w:right w:val="single" w:color="auto" w:sz="4" w:space="0"/>
            </w:tcBorders>
            <w:tcW w:w="902" w:type="dxa"/>
            <w:vAlign w:val="center"/>
            <w:textDirection w:val="lrTb"/>
            <w:noWrap w:val="false"/>
          </w:tcPr>
          <w:p>
            <w:pPr>
              <w:pBdr/>
              <w:spacing w:after="156" w:before="156" w:line="288" w:lineRule="auto"/>
              <w:ind/>
              <w:jc w:val="center"/>
              <w:rPr>
                <w:rFonts w:ascii="宋体" w:hAnsi="宋体"/>
                <w:sz w:val="20"/>
                <w:szCs w:val="20"/>
              </w:rPr>
            </w:pPr>
            <w:r>
              <w:rPr>
                <w:rFonts w:hint="eastAsia" w:ascii="宋体" w:hAnsi="宋体"/>
                <w:sz w:val="20"/>
                <w:szCs w:val="20"/>
              </w:rPr>
              <w:t xml:space="preserve">16</w:t>
            </w:r>
            <w:r>
              <w:rPr>
                <w:rFonts w:ascii="宋体" w:hAnsi="宋体"/>
                <w:sz w:val="20"/>
                <w:szCs w:val="20"/>
              </w:rPr>
            </w:r>
          </w:p>
        </w:tc>
        <w:tc>
          <w:tcPr>
            <w:shd w:val="clear" w:color="auto" w:fill="auto"/>
            <w:tcBorders>
              <w:left w:val="single" w:color="auto" w:sz="4" w:space="0"/>
              <w:right w:val="single" w:color="auto" w:sz="4" w:space="0"/>
            </w:tcBorders>
            <w:tcW w:w="105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c>
          <w:tcPr>
            <w:shd w:val="clear" w:color="auto" w:fill="auto"/>
            <w:tcBorders>
              <w:left w:val="single" w:color="auto" w:sz="4" w:space="0"/>
              <w:right w:val="single" w:color="auto" w:sz="4" w:space="0"/>
            </w:tcBorders>
            <w:tcW w:w="1145" w:type="dxa"/>
            <w:vAlign w:val="center"/>
            <w:textDirection w:val="lrTb"/>
            <w:noWrap w:val="false"/>
          </w:tcPr>
          <w:p>
            <w:pPr>
              <w:pBdr/>
              <w:spacing w:after="156" w:before="156" w:line="288" w:lineRule="auto"/>
              <w:ind/>
              <w:jc w:val="center"/>
              <w:rPr>
                <w:rFonts w:ascii="宋体" w:hAnsi="宋体"/>
                <w:sz w:val="20"/>
                <w:szCs w:val="20"/>
              </w:rPr>
            </w:pPr>
            <w:r>
              <w:rPr>
                <w:rFonts w:ascii="宋体" w:hAnsi="宋体"/>
                <w:sz w:val="20"/>
                <w:szCs w:val="20"/>
              </w:rPr>
            </w:r>
            <w:r>
              <w:rPr>
                <w:rFonts w:ascii="宋体" w:hAnsi="宋体"/>
                <w:sz w:val="20"/>
                <w:szCs w:val="20"/>
              </w:rPr>
            </w:r>
          </w:p>
        </w:tc>
      </w:tr>
    </w:tbl>
    <w:p>
      <w:pPr>
        <w:pBdr/>
        <w:spacing w:after="156" w:before="156" w:line="288" w:lineRule="auto"/>
        <w:ind w:firstLine="360"/>
        <w:jc w:val="left"/>
        <w:rPr>
          <w:rFonts w:ascii="黑体" w:hAnsi="宋体" w:eastAsia="黑体"/>
          <w:sz w:val="24"/>
        </w:rPr>
      </w:pPr>
      <w:r>
        <w:rPr>
          <w:rFonts w:ascii="黑体" w:hAnsi="宋体" w:eastAsia="黑体"/>
          <w:sz w:val="24"/>
        </w:rPr>
      </w:r>
      <w:r>
        <w:rPr>
          <w:rFonts w:ascii="黑体" w:hAnsi="宋体" w:eastAsia="黑体"/>
          <w:sz w:val="24"/>
        </w:rPr>
      </w:r>
    </w:p>
    <w:p>
      <w:pPr>
        <w:pBdr/>
        <w:spacing w:after="156" w:before="156" w:line="288" w:lineRule="auto"/>
        <w:ind w:firstLine="360"/>
        <w:jc w:val="left"/>
        <w:rPr>
          <w:rFonts w:ascii="黑体" w:hAnsi="宋体" w:eastAsia="黑体"/>
          <w:sz w:val="24"/>
        </w:rPr>
      </w:pPr>
      <w:r>
        <w:rPr>
          <w:rFonts w:ascii="黑体" w:hAnsi="宋体" w:eastAsia="黑体"/>
          <w:sz w:val="24"/>
        </w:rPr>
      </w:r>
      <w:r>
        <w:rPr>
          <w:rFonts w:ascii="黑体" w:hAnsi="宋体" w:eastAsia="黑体"/>
          <w:sz w:val="24"/>
        </w:rPr>
      </w:r>
    </w:p>
    <w:p>
      <w:pPr>
        <w:pBdr/>
        <w:spacing w:after="156" w:before="156" w:line="288" w:lineRule="auto"/>
        <w:ind w:firstLine="360"/>
        <w:jc w:val="left"/>
        <w:rPr>
          <w:rFonts w:ascii="黑体" w:hAnsi="宋体" w:eastAsia="黑体"/>
          <w:sz w:val="24"/>
        </w:rPr>
      </w:pPr>
      <w:r>
        <w:rPr>
          <w:rFonts w:ascii="黑体" w:hAnsi="宋体" w:eastAsia="黑体"/>
          <w:sz w:val="24"/>
        </w:rPr>
      </w:r>
      <w:r>
        <w:rPr>
          <w:rFonts w:ascii="黑体" w:hAnsi="宋体" w:eastAsia="黑体"/>
          <w:sz w:val="24"/>
        </w:rPr>
      </w:r>
    </w:p>
    <w:p>
      <w:pPr>
        <w:pBdr/>
        <w:spacing w:after="156" w:before="156" w:line="288" w:lineRule="auto"/>
        <w:ind w:firstLine="360"/>
        <w:jc w:val="left"/>
        <w:rPr>
          <w:rFonts w:ascii="黑体" w:hAnsi="宋体" w:eastAsia="黑体"/>
          <w:sz w:val="24"/>
        </w:rPr>
      </w:pPr>
      <w:r>
        <w:rPr>
          <w:rFonts w:ascii="黑体" w:hAnsi="宋体" w:eastAsia="黑体"/>
          <w:sz w:val="24"/>
        </w:rPr>
      </w:r>
      <w:r>
        <w:rPr>
          <w:rFonts w:ascii="黑体" w:hAnsi="宋体" w:eastAsia="黑体"/>
          <w:sz w:val="24"/>
        </w:rPr>
      </w:r>
    </w:p>
    <w:p>
      <w:pPr>
        <w:pBdr/>
        <w:spacing w:after="156" w:before="156" w:line="288" w:lineRule="auto"/>
        <w:ind w:firstLine="360"/>
        <w:jc w:val="left"/>
        <w:rPr>
          <w:rFonts w:ascii="黑体" w:hAnsi="宋体" w:eastAsia="黑体"/>
          <w:sz w:val="24"/>
        </w:rPr>
      </w:pPr>
      <w:r>
        <w:rPr>
          <w:rFonts w:hint="eastAsia" w:ascii="黑体" w:hAnsi="宋体" w:eastAsia="黑体"/>
          <w:sz w:val="24"/>
        </w:rPr>
        <w:t xml:space="preserve">八、评价方式与成绩</w:t>
      </w:r>
      <w:r>
        <w:rPr>
          <w:rFonts w:ascii="黑体" w:hAnsi="宋体" w:eastAsia="黑体"/>
          <w:sz w:val="24"/>
        </w:rPr>
      </w:r>
    </w:p>
    <w:tbl>
      <w:tblPr>
        <w:tblStyle w:val="622"/>
        <w:tblpPr w:horzAnchor="margin" w:tblpXSpec="center" w:vertAnchor="text" w:tblpY="186" w:leftFromText="180" w:topFromText="0" w:rightFromText="180" w:bottomFromText="0"/>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806"/>
        <w:gridCol w:w="5109"/>
        <w:gridCol w:w="1839"/>
      </w:tblGrid>
      <w:tr>
        <w:trPr>
          <w:jc w:val="center"/>
          <w:trHeight w:val="619"/>
        </w:trPr>
        <w:tc>
          <w:tcPr>
            <w:tcBorders/>
            <w:tcW w:w="1809" w:type="dxa"/>
            <w:vAlign w:val="center"/>
            <w:textDirection w:val="lrTb"/>
            <w:noWrap w:val="false"/>
          </w:tcPr>
          <w:p>
            <w:pPr>
              <w:pBdr/>
              <w:spacing w:after="156" w:before="156"/>
              <w:ind/>
              <w:jc w:val="center"/>
              <w:rPr>
                <w:rFonts w:ascii="宋体" w:hAnsi="宋体"/>
                <w:szCs w:val="21"/>
              </w:rPr>
            </w:pPr>
            <w:r>
              <w:rPr>
                <w:rFonts w:hint="eastAsia" w:ascii="宋体" w:hAnsi="宋体"/>
                <w:szCs w:val="21"/>
              </w:rPr>
              <w:t xml:space="preserve">总评构成（</w:t>
            </w:r>
            <w:r>
              <w:rPr>
                <w:rFonts w:ascii="宋体" w:hAnsi="宋体"/>
                <w:szCs w:val="21"/>
              </w:rPr>
              <w:t xml:space="preserve">1+X</w:t>
            </w:r>
            <w:r>
              <w:rPr>
                <w:rFonts w:hint="eastAsia" w:ascii="宋体" w:hAnsi="宋体"/>
                <w:szCs w:val="21"/>
              </w:rPr>
              <w:t xml:space="preserve">）</w:t>
            </w:r>
            <w:r>
              <w:rPr>
                <w:rFonts w:ascii="宋体" w:hAnsi="宋体"/>
                <w:szCs w:val="21"/>
              </w:rPr>
            </w:r>
          </w:p>
        </w:tc>
        <w:tc>
          <w:tcPr>
            <w:tcBorders/>
            <w:tcW w:w="5120" w:type="dxa"/>
            <w:vAlign w:val="center"/>
            <w:textDirection w:val="lrTb"/>
            <w:noWrap w:val="false"/>
          </w:tcPr>
          <w:p>
            <w:pPr>
              <w:pBdr/>
              <w:spacing w:after="156" w:before="156"/>
              <w:ind/>
              <w:jc w:val="center"/>
              <w:rPr>
                <w:rFonts w:ascii="宋体" w:hAnsi="宋体"/>
                <w:szCs w:val="21"/>
              </w:rPr>
            </w:pPr>
            <w:r>
              <w:rPr>
                <w:rFonts w:hint="eastAsia" w:ascii="宋体" w:hAnsi="宋体"/>
                <w:szCs w:val="21"/>
              </w:rPr>
              <w:t xml:space="preserve">评价方式</w:t>
            </w:r>
            <w:r>
              <w:rPr>
                <w:rFonts w:ascii="宋体" w:hAnsi="宋体"/>
                <w:szCs w:val="21"/>
              </w:rPr>
            </w:r>
          </w:p>
        </w:tc>
        <w:tc>
          <w:tcPr>
            <w:tcBorders/>
            <w:tcW w:w="1843" w:type="dxa"/>
            <w:vAlign w:val="center"/>
            <w:textDirection w:val="lrTb"/>
            <w:noWrap w:val="false"/>
          </w:tcPr>
          <w:p>
            <w:pPr>
              <w:pBdr/>
              <w:spacing w:after="156" w:before="156"/>
              <w:ind/>
              <w:jc w:val="center"/>
              <w:rPr>
                <w:rFonts w:ascii="宋体" w:hAnsi="宋体"/>
                <w:szCs w:val="21"/>
              </w:rPr>
            </w:pPr>
            <w:r>
              <w:rPr>
                <w:rFonts w:hint="eastAsia" w:ascii="宋体" w:hAnsi="宋体"/>
                <w:szCs w:val="21"/>
              </w:rPr>
              <w:t xml:space="preserve">占比</w:t>
            </w:r>
            <w:r>
              <w:rPr>
                <w:rFonts w:ascii="宋体" w:hAnsi="宋体"/>
                <w:szCs w:val="21"/>
              </w:rPr>
            </w:r>
          </w:p>
        </w:tc>
      </w:tr>
      <w:tr>
        <w:trPr>
          <w:jc w:val="center"/>
          <w:trHeight w:val="634"/>
        </w:trPr>
        <w:tc>
          <w:tcPr>
            <w:tcBorders/>
            <w:tcW w:w="1809"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cs="Arial"/>
                <w:szCs w:val="21"/>
              </w:rPr>
              <w:t xml:space="preserve">1</w:t>
            </w:r>
            <w:r>
              <w:rPr>
                <w:rFonts w:ascii="宋体" w:hAnsi="宋体"/>
                <w:bCs/>
                <w:szCs w:val="21"/>
              </w:rPr>
            </w:r>
          </w:p>
        </w:tc>
        <w:tc>
          <w:tcPr>
            <w:tcBorders/>
            <w:tcW w:w="5120" w:type="dxa"/>
            <w:vAlign w:val="center"/>
            <w:textDirection w:val="lrTb"/>
            <w:noWrap w:val="false"/>
          </w:tcPr>
          <w:p>
            <w:pPr>
              <w:widowControl w:val="true"/>
              <w:pBdr/>
              <w:spacing w:line="360" w:lineRule="auto"/>
              <w:ind/>
              <w:jc w:val="center"/>
              <w:rPr>
                <w:rFonts w:hint="eastAsia" w:ascii="宋体" w:hAnsi="宋体" w:eastAsia="宋体"/>
                <w:bCs/>
                <w:szCs w:val="21"/>
                <w:lang w:val="en-US" w:eastAsia="zh-CN"/>
              </w:rPr>
            </w:pPr>
            <w:r>
              <w:rPr>
                <w:rFonts w:hint="eastAsia" w:ascii="宋体" w:hAnsi="宋体" w:cs="Arial"/>
                <w:szCs w:val="21"/>
              </w:rPr>
              <w:t xml:space="preserve">期末闭卷考</w:t>
            </w:r>
            <w:r>
              <w:rPr>
                <w:rFonts w:hint="eastAsia" w:ascii="宋体" w:hAnsi="宋体" w:cs="Arial"/>
                <w:szCs w:val="21"/>
                <w:lang w:val="en-US" w:eastAsia="zh-CN"/>
              </w:rPr>
              <w:t xml:space="preserve">试</w:t>
            </w:r>
            <w:r>
              <w:rPr>
                <w:rFonts w:hint="eastAsia" w:ascii="宋体" w:hAnsi="宋体" w:eastAsia="宋体"/>
                <w:bCs/>
                <w:szCs w:val="21"/>
                <w:lang w:val="en-US" w:eastAsia="zh-CN"/>
              </w:rPr>
            </w:r>
          </w:p>
        </w:tc>
        <w:tc>
          <w:tcPr>
            <w:tcBorders/>
            <w:tcW w:w="1843" w:type="dxa"/>
            <w:vAlign w:val="center"/>
            <w:textDirection w:val="lrTb"/>
            <w:noWrap w:val="false"/>
          </w:tcPr>
          <w:p>
            <w:pPr>
              <w:widowControl w:val="true"/>
              <w:pBdr/>
              <w:spacing w:line="360" w:lineRule="auto"/>
              <w:ind/>
              <w:jc w:val="center"/>
              <w:rPr>
                <w:rFonts w:ascii="宋体" w:hAnsi="宋体"/>
                <w:bCs/>
                <w:szCs w:val="21"/>
              </w:rPr>
            </w:pPr>
            <w:r>
              <w:rPr>
                <w:rFonts w:ascii="宋体" w:hAnsi="宋体" w:cs="Arial"/>
                <w:szCs w:val="21"/>
              </w:rPr>
              <w:t xml:space="preserve">5</w:t>
            </w:r>
            <w:r>
              <w:rPr>
                <w:rFonts w:hint="eastAsia" w:ascii="宋体" w:hAnsi="宋体" w:cs="Arial"/>
                <w:szCs w:val="21"/>
              </w:rPr>
              <w:t xml:space="preserve">0%</w:t>
            </w:r>
            <w:r>
              <w:rPr>
                <w:rFonts w:ascii="宋体" w:hAnsi="宋体"/>
                <w:bCs/>
                <w:szCs w:val="21"/>
              </w:rPr>
            </w:r>
          </w:p>
        </w:tc>
      </w:tr>
      <w:tr>
        <w:trPr>
          <w:jc w:val="center"/>
          <w:trHeight w:val="634"/>
        </w:trPr>
        <w:tc>
          <w:tcPr>
            <w:tcBorders/>
            <w:tcW w:w="1809"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cs="Arial"/>
                <w:szCs w:val="21"/>
              </w:rPr>
              <w:t xml:space="preserve">X1</w:t>
            </w:r>
            <w:r>
              <w:rPr>
                <w:rFonts w:ascii="宋体" w:hAnsi="宋体"/>
                <w:bCs/>
                <w:szCs w:val="21"/>
              </w:rPr>
            </w:r>
          </w:p>
        </w:tc>
        <w:tc>
          <w:tcPr>
            <w:tcBorders/>
            <w:tcW w:w="5120"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bCs/>
                <w:szCs w:val="21"/>
              </w:rPr>
              <w:t xml:space="preserve">平时表现</w:t>
            </w:r>
            <w:r>
              <w:rPr>
                <w:rFonts w:ascii="宋体" w:hAnsi="宋体"/>
                <w:bCs/>
                <w:szCs w:val="21"/>
              </w:rPr>
            </w:r>
          </w:p>
        </w:tc>
        <w:tc>
          <w:tcPr>
            <w:tcBorders/>
            <w:tcW w:w="1843"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cs="Arial"/>
                <w:szCs w:val="21"/>
              </w:rPr>
              <w:t xml:space="preserve">20%</w:t>
            </w:r>
            <w:r>
              <w:rPr>
                <w:rFonts w:ascii="宋体" w:hAnsi="宋体"/>
                <w:bCs/>
                <w:szCs w:val="21"/>
              </w:rPr>
            </w:r>
          </w:p>
        </w:tc>
      </w:tr>
      <w:tr>
        <w:trPr>
          <w:jc w:val="center"/>
          <w:trHeight w:val="634"/>
        </w:trPr>
        <w:tc>
          <w:tcPr>
            <w:tcBorders/>
            <w:tcW w:w="1809" w:type="dxa"/>
            <w:vAlign w:val="center"/>
            <w:textDirection w:val="lrTb"/>
            <w:noWrap w:val="false"/>
          </w:tcPr>
          <w:p>
            <w:pPr>
              <w:widowControl w:val="true"/>
              <w:pBdr/>
              <w:spacing w:line="360" w:lineRule="auto"/>
              <w:ind/>
              <w:jc w:val="center"/>
              <w:rPr>
                <w:rFonts w:ascii="宋体" w:hAnsi="宋体" w:cs="Arial"/>
                <w:szCs w:val="21"/>
              </w:rPr>
            </w:pPr>
            <w:r>
              <w:rPr>
                <w:rFonts w:hint="eastAsia" w:ascii="宋体" w:hAnsi="宋体" w:cs="Arial"/>
                <w:szCs w:val="21"/>
              </w:rPr>
              <w:t xml:space="preserve">X2</w:t>
            </w:r>
            <w:r>
              <w:rPr>
                <w:rFonts w:ascii="宋体" w:hAnsi="宋体" w:cs="Arial"/>
                <w:szCs w:val="21"/>
              </w:rPr>
            </w:r>
          </w:p>
        </w:tc>
        <w:tc>
          <w:tcPr>
            <w:tcBorders/>
            <w:tcW w:w="5120" w:type="dxa"/>
            <w:vAlign w:val="center"/>
            <w:textDirection w:val="lrTb"/>
            <w:noWrap w:val="false"/>
          </w:tcPr>
          <w:p>
            <w:pPr>
              <w:pBdr/>
              <w:spacing w:line="288" w:lineRule="auto"/>
              <w:ind/>
              <w:jc w:val="center"/>
              <w:rPr>
                <w:rFonts w:ascii="宋体" w:hAnsi="宋体"/>
                <w:szCs w:val="21"/>
              </w:rPr>
            </w:pPr>
            <w:r>
              <w:rPr>
                <w:rFonts w:hint="eastAsia" w:ascii="宋体" w:hAnsi="宋体" w:cs="宋体"/>
                <w:szCs w:val="21"/>
              </w:rPr>
              <w:t xml:space="preserve">阶段测试</w:t>
            </w:r>
            <w:r>
              <w:rPr>
                <w:rFonts w:ascii="宋体" w:hAnsi="宋体"/>
                <w:szCs w:val="21"/>
              </w:rPr>
            </w:r>
          </w:p>
        </w:tc>
        <w:tc>
          <w:tcPr>
            <w:tcBorders/>
            <w:tcW w:w="1843" w:type="dxa"/>
            <w:vAlign w:val="center"/>
            <w:textDirection w:val="lrTb"/>
            <w:noWrap w:val="false"/>
          </w:tcPr>
          <w:p>
            <w:pPr>
              <w:widowControl w:val="true"/>
              <w:pBdr/>
              <w:spacing w:line="360" w:lineRule="auto"/>
              <w:ind/>
              <w:jc w:val="center"/>
              <w:rPr>
                <w:rFonts w:ascii="宋体" w:hAnsi="宋体"/>
                <w:szCs w:val="21"/>
              </w:rPr>
            </w:pPr>
            <w:r>
              <w:rPr>
                <w:rFonts w:hint="eastAsia" w:ascii="宋体" w:hAnsi="宋体" w:cs="Arial"/>
                <w:szCs w:val="21"/>
              </w:rPr>
              <w:t xml:space="preserve">1</w:t>
            </w:r>
            <w:r>
              <w:rPr>
                <w:rFonts w:ascii="宋体" w:hAnsi="宋体" w:cs="Arial"/>
                <w:szCs w:val="21"/>
              </w:rPr>
              <w:t xml:space="preserve">5</w:t>
            </w:r>
            <w:r>
              <w:rPr>
                <w:rFonts w:hint="eastAsia" w:ascii="宋体" w:hAnsi="宋体" w:cs="Arial"/>
                <w:szCs w:val="21"/>
              </w:rPr>
              <w:t xml:space="preserve">%</w:t>
            </w:r>
            <w:r>
              <w:rPr>
                <w:rFonts w:ascii="宋体" w:hAnsi="宋体"/>
                <w:szCs w:val="21"/>
              </w:rPr>
            </w:r>
          </w:p>
        </w:tc>
      </w:tr>
      <w:tr>
        <w:trPr>
          <w:jc w:val="center"/>
          <w:trHeight w:val="654"/>
        </w:trPr>
        <w:tc>
          <w:tcPr>
            <w:tcBorders/>
            <w:tcW w:w="1809"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szCs w:val="21"/>
              </w:rPr>
              <w:t xml:space="preserve">X3</w:t>
            </w:r>
            <w:r>
              <w:rPr>
                <w:rFonts w:ascii="宋体" w:hAnsi="宋体"/>
                <w:bCs/>
                <w:szCs w:val="21"/>
              </w:rPr>
            </w:r>
          </w:p>
        </w:tc>
        <w:tc>
          <w:tcPr>
            <w:tcBorders/>
            <w:tcW w:w="5120"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cs="Arial"/>
                <w:szCs w:val="21"/>
              </w:rPr>
              <w:t xml:space="preserve">实训报告</w:t>
            </w:r>
            <w:r>
              <w:rPr>
                <w:rFonts w:ascii="宋体" w:hAnsi="宋体"/>
                <w:bCs/>
                <w:szCs w:val="21"/>
              </w:rPr>
            </w:r>
          </w:p>
        </w:tc>
        <w:tc>
          <w:tcPr>
            <w:tcBorders/>
            <w:tcW w:w="1843" w:type="dxa"/>
            <w:vAlign w:val="center"/>
            <w:textDirection w:val="lrTb"/>
            <w:noWrap w:val="false"/>
          </w:tcPr>
          <w:p>
            <w:pPr>
              <w:widowControl w:val="true"/>
              <w:pBdr/>
              <w:spacing w:line="360" w:lineRule="auto"/>
              <w:ind/>
              <w:jc w:val="center"/>
              <w:rPr>
                <w:rFonts w:ascii="宋体" w:hAnsi="宋体"/>
                <w:bCs/>
                <w:szCs w:val="21"/>
              </w:rPr>
            </w:pPr>
            <w:r>
              <w:rPr>
                <w:rFonts w:hint="eastAsia" w:ascii="宋体" w:hAnsi="宋体" w:cs="Arial"/>
                <w:szCs w:val="21"/>
              </w:rPr>
              <w:t xml:space="preserve">15%</w:t>
            </w:r>
            <w:r>
              <w:rPr>
                <w:rFonts w:ascii="宋体" w:hAnsi="宋体"/>
                <w:bCs/>
                <w:szCs w:val="21"/>
              </w:rPr>
            </w:r>
          </w:p>
        </w:tc>
      </w:tr>
    </w:tbl>
    <w:p>
      <w:pPr>
        <w:pBdr/>
        <w:spacing w:line="288" w:lineRule="auto"/>
        <w:ind/>
        <w:jc w:val="both"/>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rPr>
      </w:r>
      <w:r>
        <w:rPr>
          <w:rFonts w:hint="eastAsia" w:asciiTheme="minorEastAsia" w:hAnsiTheme="minorEastAsia" w:eastAsiaTheme="minorEastAsia"/>
          <w:sz w:val="28"/>
          <w:szCs w:val="28"/>
          <w:highlight w:val="none"/>
        </w:rPr>
      </w:r>
    </w:p>
    <w:p>
      <w:pPr>
        <w:pBdr/>
        <w:spacing w:line="288" w:lineRule="auto"/>
        <w:ind/>
        <w:jc w:val="both"/>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 xml:space="preserve">撰写人：</w:t>
      </w:r>
      <w:r>
        <mc:AlternateContent>
          <mc:Choice Requires="wpg">
            <w:drawing>
              <wp:inline xmlns:wp="http://schemas.openxmlformats.org/drawingml/2006/wordprocessingDrawing" distT="0" distB="0" distL="0" distR="0">
                <wp:extent cx="647700" cy="462915"/>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r/>
                      </pic:nvPicPr>
                      <pic:blipFill>
                        <a:blip r:embed="rId11"/>
                        <a:stretch/>
                      </pic:blipFill>
                      <pic:spPr bwMode="auto">
                        <a:xfrm>
                          <a:off x="0" y="0"/>
                          <a:ext cx="647700" cy="46291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1.00pt;height:36.45pt;mso-wrap-distance-left:0.00pt;mso-wrap-distance-top:0.00pt;mso-wrap-distance-right:0.00pt;mso-wrap-distance-bottom:0.00pt;z-index:1;" stroked="f">
                <v:imagedata r:id="rId11" o:title=""/>
                <o:lock v:ext="edit" rotation="t"/>
              </v:shape>
            </w:pict>
          </mc:Fallback>
        </mc:AlternateContent>
      </w:r>
      <w:r>
        <w:rPr>
          <w:rFonts w:hint="eastAsia" w:asciiTheme="minorEastAsia" w:hAnsiTheme="minorEastAsia" w:eastAsiaTheme="minorEastAsia"/>
          <w:sz w:val="28"/>
          <w:szCs w:val="28"/>
          <w:highlight w:val="none"/>
        </w:rPr>
        <w:t xml:space="preserve"> </w:t>
      </w:r>
      <w:r>
        <w:rPr>
          <w:rFonts w:asciiTheme="minorEastAsia" w:hAnsiTheme="minorEastAsia" w:eastAsiaTheme="minorEastAsia"/>
          <w:sz w:val="28"/>
          <w:szCs w:val="28"/>
          <w:highlight w:val="non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系主任审核签名：</w:t>
      </w:r>
      <w:r>
        <mc:AlternateContent>
          <mc:Choice Requires="wpg">
            <w:drawing>
              <wp:inline xmlns:wp="http://schemas.openxmlformats.org/drawingml/2006/wordprocessingDrawing" distT="0" distB="0" distL="0" distR="0">
                <wp:extent cx="851535" cy="503555"/>
                <wp:effectExtent l="0" t="0" r="1905" b="14604"/>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r/>
                      </pic:nvPicPr>
                      <pic:blipFill>
                        <a:blip r:embed="rId12"/>
                        <a:stretch/>
                      </pic:blipFill>
                      <pic:spPr bwMode="auto">
                        <a:xfrm>
                          <a:off x="0" y="0"/>
                          <a:ext cx="851535" cy="50355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67.05pt;height:39.65pt;mso-wrap-distance-left:0.00pt;mso-wrap-distance-top:0.00pt;mso-wrap-distance-right:0.00pt;mso-wrap-distance-bottom:0.00pt;z-index:1;" stroked="f">
                <v:imagedata r:id="rId12" o:title=""/>
                <o:lock v:ext="edit" rotation="t"/>
              </v:shape>
            </w:pict>
          </mc:Fallback>
        </mc:AlternateContent>
      </w:r>
      <w:r>
        <w:rPr>
          <w:rFonts w:asciiTheme="minorEastAsia" w:hAnsiTheme="minorEastAsia" w:eastAsiaTheme="minorEastAsia"/>
          <w:sz w:val="28"/>
          <w:szCs w:val="28"/>
        </w:rPr>
      </w:r>
    </w:p>
    <w:p>
      <w:pPr>
        <w:pBdr/>
        <w:spacing w:line="288" w:lineRule="auto"/>
        <w:ind/>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审核时间：202</w:t>
      </w:r>
      <w:r>
        <w:rPr>
          <w:rFonts w:hint="eastAsia" w:asciiTheme="minorEastAsia" w:hAnsiTheme="minorEastAsia" w:eastAsiaTheme="minorEastAsia"/>
          <w:sz w:val="28"/>
          <w:szCs w:val="28"/>
          <w:lang w:val="en-US" w:eastAsia="zh-CN"/>
        </w:rPr>
        <w:t xml:space="preserve">3</w:t>
      </w:r>
      <w:r>
        <w:rPr>
          <w:rFonts w:hint="eastAsia" w:asciiTheme="minorEastAsia" w:hAnsiTheme="minorEastAsia" w:eastAsiaTheme="minorEastAsia"/>
          <w:sz w:val="28"/>
          <w:szCs w:val="28"/>
        </w:rPr>
        <w:t xml:space="preserve">年0</w:t>
      </w:r>
      <w:r>
        <w:rPr>
          <w:rFonts w:hint="eastAsia" w:asciiTheme="minorEastAsia" w:hAnsiTheme="minorEastAsia" w:eastAsiaTheme="minorEastAsia"/>
          <w:sz w:val="28"/>
          <w:szCs w:val="28"/>
          <w:lang w:val="en-US" w:eastAsia="zh-CN"/>
        </w:rPr>
        <w:t xml:space="preserve">9</w:t>
      </w:r>
      <w:r>
        <w:rPr>
          <w:rFonts w:hint="eastAsia" w:asciiTheme="minorEastAsia" w:hAnsiTheme="minorEastAsia" w:eastAsiaTheme="minorEastAsia"/>
          <w:sz w:val="28"/>
          <w:szCs w:val="28"/>
        </w:rPr>
        <w:t xml:space="preserve">月</w:t>
      </w:r>
      <w:r>
        <w:rPr>
          <w:rFonts w:hint="eastAsia" w:asciiTheme="minorEastAsia" w:hAnsiTheme="minorEastAsia" w:eastAsiaTheme="minorEastAsia"/>
          <w:sz w:val="28"/>
          <w:szCs w:val="28"/>
          <w:lang w:val="en-US" w:eastAsia="zh-CN"/>
        </w:rPr>
        <w:t xml:space="preserve">10</w:t>
      </w:r>
      <w:r>
        <w:rPr>
          <w:rFonts w:hint="eastAsia" w:asciiTheme="minorEastAsia" w:hAnsiTheme="minorEastAsia" w:eastAsiaTheme="minorEastAsia"/>
          <w:sz w:val="28"/>
          <w:szCs w:val="28"/>
        </w:rPr>
        <w:t xml:space="preserve">日</w:t>
      </w:r>
      <w:bookmarkStart w:id="3" w:name="_GoBack"/>
      <w:r/>
      <w:bookmarkEnd w:id="3"/>
      <w:r/>
      <w:r>
        <w:rPr>
          <w:rFonts w:asciiTheme="minorEastAsia" w:hAnsiTheme="minorEastAsia" w:eastAsiaTheme="minorEastAsia"/>
          <w:sz w:val="28"/>
          <w:szCs w:val="28"/>
        </w:rPr>
      </w:r>
    </w:p>
    <w:sectPr>
      <w:footnotePr/>
      <w:endnotePr/>
      <w:type w:val="nextPage"/>
      <w:pgSz w:h="16838" w:orient="landscape" w:w="11906"/>
      <w:pgMar w:top="1440" w:right="1800" w:bottom="1440" w:left="1800" w:header="851" w:footer="992" w:gutter="0"/>
      <w:cols w:num="1" w:sep="0" w:space="425"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00000000000000000"/>
  </w:font>
  <w:font w:name="仿宋">
    <w:panose1 w:val="02010609060101010101"/>
  </w:font>
  <w:font w:name="黑体">
    <w:panose1 w:val="02010609060101010101"/>
  </w:font>
  <w:font w:name="方正小标宋简体">
    <w:panose1 w:val="03000509000000000000"/>
  </w:font>
  <w:font w:name="Symbol">
    <w:panose1 w:val="05050102010706020507"/>
  </w:font>
  <w:font w:name="Wingdings">
    <w:panose1 w:val="05000000000000000000"/>
  </w:font>
  <w:font w:name="宋体">
    <w:panose1 w:val="02010600030101010101"/>
  </w:font>
  <w:font w:name="Courier New">
    <w:panose1 w:val="02070309020205020404"/>
  </w:font>
  <w:font w:name="Times New Roman">
    <w:panose1 w:val="02020603050405020304"/>
  </w:font>
  <w:font w:name="Arial">
    <w:panose1 w:val="020B0604020202020204"/>
  </w:font>
  <w:font w:name="Calibri">
    <w:panose1 w:val="020F0502020204030204"/>
  </w:font>
  <w:font w:name="等线">
    <w:panose1 w:val="02010600030101010101"/>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1"/>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1"/>
    <w:link w:val="624"/>
    <w:uiPriority w:val="99"/>
    <w:pPr>
      <w:pBdr/>
      <w:spacing/>
      <w:ind/>
    </w:pPr>
  </w:style>
  <w:style w:type="character" w:styleId="45">
    <w:name w:val="Footer Char"/>
    <w:basedOn w:val="621"/>
    <w:link w:val="623"/>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3"/>
    <w:uiPriority w:val="99"/>
    <w:pPr>
      <w:pBdr/>
      <w:spacing/>
      <w:ind/>
    </w:pPr>
  </w:style>
  <w:style w:type="table" w:styleId="49">
    <w:name w:val="Table Grid Light"/>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6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6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6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6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6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uiPriority w:val="0"/>
    <w:qFormat/>
    <w:pPr>
      <w:widowControl w:val="false"/>
      <w:pBdr/>
      <w:spacing/>
      <w:ind/>
      <w:jc w:val="both"/>
    </w:pPr>
    <w:rPr>
      <w:rFonts w:ascii="Calibri" w:hAnsi="Calibri" w:eastAsia="宋体" w:cs="Times New Roman"/>
      <w:sz w:val="21"/>
      <w:szCs w:val="22"/>
      <w:lang w:val="en-US" w:eastAsia="zh-CN" w:bidi="ar-SA"/>
    </w:rPr>
  </w:style>
  <w:style w:type="character" w:styleId="621" w:default="1">
    <w:name w:val="Default Paragraph Font"/>
    <w:uiPriority w:val="1"/>
    <w:semiHidden/>
    <w:unhideWhenUsed/>
    <w:qFormat/>
    <w:pPr>
      <w:pBdr/>
      <w:spacing/>
      <w:ind/>
    </w:pPr>
  </w:style>
  <w:style w:type="table" w:styleId="622"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3">
    <w:name w:val="Footer"/>
    <w:basedOn w:val="620"/>
    <w:link w:val="628"/>
    <w:uiPriority w:val="99"/>
    <w:unhideWhenUsed/>
    <w:qFormat/>
    <w:pPr>
      <w:pBdr/>
      <w:tabs>
        <w:tab w:val="center" w:leader="none" w:pos="4153"/>
        <w:tab w:val="right" w:leader="none" w:pos="8306"/>
      </w:tabs>
      <w:spacing/>
      <w:ind/>
      <w:jc w:val="left"/>
    </w:pPr>
    <w:rPr>
      <w:rFonts w:asciiTheme="minorHAnsi" w:hAnsiTheme="minorHAnsi" w:eastAsiaTheme="minorEastAsia" w:cstheme="minorBidi"/>
      <w:sz w:val="18"/>
      <w:szCs w:val="18"/>
    </w:rPr>
  </w:style>
  <w:style w:type="paragraph" w:styleId="624">
    <w:name w:val="Header"/>
    <w:basedOn w:val="620"/>
    <w:link w:val="627"/>
    <w:uiPriority w:val="99"/>
    <w:unhideWhenUsed/>
    <w:qFormat/>
    <w:pPr>
      <w:pBdr>
        <w:bottom w:val="single" w:color="000000" w:sz="6" w:space="1"/>
      </w:pBdr>
      <w:tabs>
        <w:tab w:val="center" w:leader="none" w:pos="4153"/>
        <w:tab w:val="right" w:leader="none" w:pos="8306"/>
      </w:tabs>
      <w:spacing/>
      <w:ind/>
      <w:jc w:val="center"/>
    </w:pPr>
    <w:rPr>
      <w:rFonts w:asciiTheme="minorHAnsi" w:hAnsiTheme="minorHAnsi" w:eastAsiaTheme="minorEastAsia" w:cstheme="minorBidi"/>
      <w:sz w:val="18"/>
      <w:szCs w:val="18"/>
    </w:rPr>
  </w:style>
  <w:style w:type="paragraph" w:styleId="625">
    <w:name w:val="Normal (Web)"/>
    <w:basedOn w:val="620"/>
    <w:uiPriority w:val="0"/>
    <w:qFormat/>
    <w:pPr>
      <w:widowControl w:val="true"/>
      <w:pBdr/>
      <w:spacing w:after="100" w:afterAutospacing="1" w:before="100" w:beforeAutospacing="1"/>
      <w:ind/>
      <w:jc w:val="left"/>
    </w:pPr>
    <w:rPr>
      <w:rFonts w:ascii="宋体" w:hAnsi="宋体"/>
      <w:color w:val="000000"/>
      <w:sz w:val="24"/>
      <w:szCs w:val="24"/>
    </w:rPr>
  </w:style>
  <w:style w:type="table" w:styleId="626">
    <w:name w:val="Table Grid"/>
    <w:basedOn w:val="622"/>
    <w:uiPriority w:val="0"/>
    <w:qFormat/>
    <w:pPr>
      <w:widowControl w:val="false"/>
      <w:pBdr/>
      <w:spacing/>
      <w:ind/>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627" w:customStyle="1">
    <w:name w:val="页眉 字符"/>
    <w:basedOn w:val="621"/>
    <w:link w:val="624"/>
    <w:uiPriority w:val="99"/>
    <w:semiHidden/>
    <w:qFormat/>
    <w:pPr>
      <w:pBdr/>
      <w:spacing/>
      <w:ind/>
    </w:pPr>
    <w:rPr>
      <w:sz w:val="18"/>
      <w:szCs w:val="18"/>
    </w:rPr>
  </w:style>
  <w:style w:type="character" w:styleId="628" w:customStyle="1">
    <w:name w:val="页脚 字符"/>
    <w:basedOn w:val="621"/>
    <w:link w:val="623"/>
    <w:uiPriority w:val="99"/>
    <w:semiHidden/>
    <w:qFormat/>
    <w:pPr>
      <w:pBdr/>
      <w:spacing/>
      <w:ind/>
    </w:pPr>
    <w:rPr>
      <w:sz w:val="18"/>
      <w:szCs w:val="18"/>
    </w:rPr>
  </w:style>
  <w:style w:type="paragraph" w:styleId="629">
    <w:name w:val="List Paragraph"/>
    <w:basedOn w:val="620"/>
    <w:uiPriority w:val="99"/>
    <w:qFormat/>
    <w:pPr>
      <w:pBdr/>
      <w:spacing/>
      <w:ind w:firstLine="420"/>
    </w:pPr>
  </w:style>
  <w:style w:type="numbering" w:styleId="4074"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image" Target="media/image1.pn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30D7386-E492-4715-9849-FBBD9B9FF5E8}"/>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www.gench.edu.cn</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匿名</cp:lastModifiedBy>
  <cp:revision>28</cp:revision>
  <dcterms:created xsi:type="dcterms:W3CDTF">2020-09-30T13:19:00Z</dcterms:created>
  <dcterms:modified xsi:type="dcterms:W3CDTF">2025-03-24T05:25:46Z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C9EAC769CACD4DBDBCA0BA7F2CCA0670_13</vt:lpwstr>
  </property>
</Properties>
</file>