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349D8">
      <w:pPr>
        <w:jc w:val="center"/>
        <w:rPr>
          <w:rFonts w:hint="eastAsia" w:ascii="黑体" w:hAnsi="黑体" w:eastAsia="黑体"/>
          <w:bCs/>
          <w:sz w:val="32"/>
          <w:szCs w:val="32"/>
          <w:lang w:eastAsia="zh-CN"/>
        </w:rPr>
      </w:pPr>
      <w:r>
        <w:rPr>
          <w:rFonts w:hint="eastAsia" w:ascii="黑体" w:hAnsi="黑体" w:eastAsia="黑体"/>
          <w:bCs/>
          <w:sz w:val="32"/>
          <w:szCs w:val="32"/>
        </w:rPr>
        <w:t>本科课程教学大纲</w:t>
      </w:r>
    </w:p>
    <w:p w14:paraId="1EE1B879">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C70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66F4C1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6D7BD28">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医学伦理学</w:t>
            </w:r>
          </w:p>
        </w:tc>
      </w:tr>
      <w:tr w14:paraId="6AC3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3CC7DA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84B489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Medical Ethics</w:t>
            </w:r>
          </w:p>
        </w:tc>
      </w:tr>
      <w:tr w14:paraId="6289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61E48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BF046B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2170</w:t>
            </w:r>
            <w:r>
              <w:rPr>
                <w:rFonts w:hint="eastAsia" w:ascii="黑体" w:hAnsi="黑体" w:eastAsia="黑体"/>
                <w:color w:val="000000" w:themeColor="text1"/>
                <w:sz w:val="21"/>
                <w:szCs w:val="21"/>
                <w:lang w:val="en-US" w:eastAsia="zh-CN"/>
                <w14:textFill>
                  <w14:solidFill>
                    <w14:schemeClr w14:val="tx1"/>
                  </w14:solidFill>
                </w14:textFill>
              </w:rPr>
              <w:t>115</w:t>
            </w:r>
          </w:p>
        </w:tc>
        <w:tc>
          <w:tcPr>
            <w:tcW w:w="2126" w:type="dxa"/>
            <w:gridSpan w:val="2"/>
            <w:vAlign w:val="center"/>
          </w:tcPr>
          <w:p w14:paraId="1660D70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960F99D">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43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6BD24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2F59CAB">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1351D85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CF8BBC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503676D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DB8B4BD">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4F3F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1C7DC5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936910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323F5A9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C2BC6BC">
            <w:pPr>
              <w:widowControl w:val="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养老服务管理</w:t>
            </w:r>
          </w:p>
          <w:p w14:paraId="40EAFA6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25级</w:t>
            </w:r>
          </w:p>
        </w:tc>
      </w:tr>
      <w:tr w14:paraId="3780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DBD8F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16B6E25">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必修</w:t>
            </w:r>
          </w:p>
        </w:tc>
        <w:tc>
          <w:tcPr>
            <w:tcW w:w="2126" w:type="dxa"/>
            <w:gridSpan w:val="2"/>
            <w:vAlign w:val="center"/>
          </w:tcPr>
          <w:p w14:paraId="1B5F2FA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12CDFB7">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833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AA286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4D5C810">
            <w:pPr>
              <w:widowControl w:val="0"/>
              <w:tabs>
                <w:tab w:val="left" w:pos="272"/>
                <w:tab w:val="center" w:pos="2167"/>
              </w:tabs>
              <w:jc w:val="both"/>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《医学伦理学》刘俊荣,严金</w:t>
            </w:r>
            <w:r>
              <w:rPr>
                <w:rFonts w:hint="eastAsia" w:ascii="Times New Roman" w:hAnsi="Times New Roman"/>
                <w:color w:val="000000" w:themeColor="text1"/>
                <w:sz w:val="21"/>
                <w:szCs w:val="21"/>
                <w:lang w:val="en-US" w:eastAsia="zh-CN"/>
                <w14:textFill>
                  <w14:solidFill>
                    <w14:schemeClr w14:val="tx1"/>
                  </w14:solidFill>
                </w14:textFill>
              </w:rPr>
              <w:t xml:space="preserve">海 </w:t>
            </w:r>
            <w:r>
              <w:rPr>
                <w:rFonts w:hint="eastAsia" w:ascii="Times New Roman" w:hAnsi="Times New Roman"/>
                <w:color w:val="000000" w:themeColor="text1"/>
                <w:sz w:val="21"/>
                <w:szCs w:val="21"/>
                <w14:textFill>
                  <w14:solidFill>
                    <w14:schemeClr w14:val="tx1"/>
                  </w14:solidFill>
                </w14:textFill>
              </w:rPr>
              <w:t>9787568055680</w:t>
            </w:r>
            <w:r>
              <w:rPr>
                <w:rFonts w:hint="eastAsia" w:ascii="Times New Roman" w:hAnsi="Times New Roman"/>
                <w:color w:val="000000" w:themeColor="text1"/>
                <w:sz w:val="21"/>
                <w:szCs w:val="21"/>
                <w:lang w:eastAsia="zh-CN"/>
                <w14:textFill>
                  <w14:solidFill>
                    <w14:schemeClr w14:val="tx1"/>
                  </w14:solidFill>
                </w14:textFill>
              </w:rPr>
              <w:t>，华中科技大学出版社，20</w:t>
            </w:r>
            <w:r>
              <w:rPr>
                <w:rFonts w:hint="eastAsia" w:ascii="Times New Roman" w:hAnsi="Times New Roman"/>
                <w:color w:val="000000" w:themeColor="text1"/>
                <w:sz w:val="21"/>
                <w:szCs w:val="21"/>
                <w:lang w:val="en-US" w:eastAsia="zh-CN"/>
                <w14:textFill>
                  <w14:solidFill>
                    <w14:schemeClr w14:val="tx1"/>
                  </w14:solidFill>
                </w14:textFill>
              </w:rPr>
              <w:t>21</w:t>
            </w:r>
            <w:r>
              <w:rPr>
                <w:rFonts w:hint="eastAsia" w:ascii="Times New Roman" w:hAnsi="Times New Roman"/>
                <w:color w:val="000000" w:themeColor="text1"/>
                <w:sz w:val="21"/>
                <w:szCs w:val="21"/>
                <w:lang w:eastAsia="zh-CN"/>
                <w14:textFill>
                  <w14:solidFill>
                    <w14:schemeClr w14:val="tx1"/>
                  </w14:solidFill>
                </w14:textFill>
              </w:rPr>
              <w:t>第1版</w:t>
            </w:r>
          </w:p>
        </w:tc>
        <w:tc>
          <w:tcPr>
            <w:tcW w:w="1413" w:type="dxa"/>
            <w:gridSpan w:val="2"/>
            <w:vAlign w:val="center"/>
          </w:tcPr>
          <w:p w14:paraId="14D5606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171C9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4956103">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06B0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1" w:hRule="atLeast"/>
        </w:trPr>
        <w:tc>
          <w:tcPr>
            <w:tcW w:w="1691" w:type="dxa"/>
            <w:tcBorders>
              <w:left w:val="single" w:color="auto" w:sz="12" w:space="0"/>
            </w:tcBorders>
            <w:shd w:val="clear" w:color="auto" w:fill="auto"/>
            <w:vAlign w:val="center"/>
          </w:tcPr>
          <w:p w14:paraId="3A1991D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EA7E6DE">
            <w:pPr>
              <w:pStyle w:val="14"/>
              <w:widowControl w:val="0"/>
              <w:jc w:val="both"/>
            </w:pPr>
            <w:r>
              <w:rPr>
                <w:rFonts w:hint="eastAsia" w:ascii="宋体" w:hAnsi="宋体"/>
                <w:sz w:val="20"/>
                <w:szCs w:val="20"/>
                <w:lang w:val="en-US" w:eastAsia="zh-CN"/>
              </w:rPr>
              <w:t>无</w:t>
            </w:r>
          </w:p>
        </w:tc>
      </w:tr>
      <w:tr w14:paraId="723A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66" w:hRule="atLeast"/>
        </w:trPr>
        <w:tc>
          <w:tcPr>
            <w:tcW w:w="1691" w:type="dxa"/>
            <w:tcBorders>
              <w:left w:val="single" w:color="auto" w:sz="12" w:space="0"/>
            </w:tcBorders>
            <w:shd w:val="clear" w:color="auto" w:fill="auto"/>
            <w:vAlign w:val="center"/>
          </w:tcPr>
          <w:p w14:paraId="2412B5C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5B03CB6">
            <w:pPr>
              <w:pStyle w:val="14"/>
              <w:widowControl w:val="0"/>
              <w:ind w:firstLine="420" w:firstLineChars="200"/>
              <w:jc w:val="both"/>
              <w:rPr>
                <w:rFonts w:hint="eastAsia"/>
              </w:rPr>
            </w:pPr>
            <w:r>
              <w:rPr>
                <w:rFonts w:hint="eastAsia"/>
              </w:rPr>
              <w:t>《医学伦理学》是运用一般伦理学的理论、方法，研究医学发展中人与人之间、医学与社会之间、医学与生态学之间的道德问题的学科。医学伦理学以医学实践中的道德现象为研究对象，包括医学道德意识现象、医学道德规范现象和医学道德实践现象。医学伦理学也是一门应用伦理学，它用伦理学理论和原则来探讨和解决医疗卫生工作中人类行为的是非善恶问题。</w:t>
            </w:r>
          </w:p>
          <w:p w14:paraId="60E312B9">
            <w:pPr>
              <w:pStyle w:val="14"/>
              <w:widowControl w:val="0"/>
              <w:ind w:firstLine="420" w:firstLineChars="200"/>
              <w:jc w:val="both"/>
            </w:pPr>
            <w:r>
              <w:rPr>
                <w:rFonts w:hint="eastAsia"/>
              </w:rPr>
              <w:t>通过本课程学习，旨在为学生提供正确的价值导向，帮助学生树立正确的生命观、健康观、死亡观和医学人道观，提高学生的综合素质，培养学生正确识别现实中的道德问题，并能够做出理性、公正决策，以在今后的</w:t>
            </w:r>
            <w:r>
              <w:rPr>
                <w:rFonts w:hint="eastAsia"/>
                <w:lang w:val="en-US" w:eastAsia="zh-CN"/>
              </w:rPr>
              <w:t>养老</w:t>
            </w:r>
            <w:r>
              <w:rPr>
                <w:rFonts w:hint="eastAsia"/>
              </w:rPr>
              <w:t>服务管理工作中能够正确的认识和处理相关伦理学问题，保证</w:t>
            </w:r>
            <w:r>
              <w:rPr>
                <w:rFonts w:hint="eastAsia"/>
                <w:lang w:val="en-US" w:eastAsia="zh-CN"/>
              </w:rPr>
              <w:t>老年人</w:t>
            </w:r>
            <w:r>
              <w:rPr>
                <w:rFonts w:hint="eastAsia"/>
              </w:rPr>
              <w:t>的最大权益。</w:t>
            </w:r>
          </w:p>
        </w:tc>
      </w:tr>
      <w:tr w14:paraId="64E3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02" w:hRule="atLeast"/>
        </w:trPr>
        <w:tc>
          <w:tcPr>
            <w:tcW w:w="1691" w:type="dxa"/>
            <w:tcBorders>
              <w:left w:val="single" w:color="auto" w:sz="12" w:space="0"/>
              <w:bottom w:val="double" w:color="auto" w:sz="4" w:space="0"/>
            </w:tcBorders>
            <w:shd w:val="clear" w:color="auto" w:fill="auto"/>
            <w:vAlign w:val="center"/>
          </w:tcPr>
          <w:p w14:paraId="3AED935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9972B89">
            <w:pPr>
              <w:pStyle w:val="14"/>
              <w:widowControl w:val="0"/>
              <w:ind w:firstLine="420" w:firstLineChars="200"/>
              <w:jc w:val="both"/>
              <w:rPr>
                <w:rFonts w:hint="default" w:eastAsia="宋体"/>
                <w:lang w:val="en-US" w:eastAsia="zh-CN"/>
              </w:rPr>
            </w:pPr>
            <w:r>
              <w:rPr>
                <w:rFonts w:hint="eastAsia"/>
              </w:rPr>
              <w:t>本课程适合</w:t>
            </w:r>
            <w:r>
              <w:rPr>
                <w:rFonts w:hint="eastAsia"/>
                <w:lang w:val="en-US" w:eastAsia="zh-CN"/>
              </w:rPr>
              <w:t>养老</w:t>
            </w:r>
            <w:r>
              <w:rPr>
                <w:rFonts w:hint="eastAsia"/>
              </w:rPr>
              <w:t>服务管理专业</w:t>
            </w:r>
            <w:r>
              <w:rPr>
                <w:rFonts w:hint="eastAsia"/>
                <w:lang w:val="en-US" w:eastAsia="zh-CN"/>
              </w:rPr>
              <w:t>一</w:t>
            </w:r>
            <w:r>
              <w:rPr>
                <w:rFonts w:hint="eastAsia"/>
              </w:rPr>
              <w:t>年级本科生授课，要求学生具有</w:t>
            </w:r>
            <w:r>
              <w:rPr>
                <w:rFonts w:hint="eastAsia"/>
                <w:lang w:val="en-US" w:eastAsia="zh-CN"/>
              </w:rPr>
              <w:t>一定的人文素养，遵纪守法，严格要求自己。具备</w:t>
            </w:r>
            <w:r>
              <w:rPr>
                <w:rFonts w:hint="eastAsia"/>
              </w:rPr>
              <w:t>正确的</w:t>
            </w:r>
            <w:r>
              <w:rPr>
                <w:rFonts w:hint="eastAsia"/>
                <w:lang w:val="en-US" w:eastAsia="zh-CN"/>
              </w:rPr>
              <w:t>人</w:t>
            </w:r>
            <w:r>
              <w:rPr>
                <w:rFonts w:hint="eastAsia"/>
              </w:rPr>
              <w:t>生观</w:t>
            </w:r>
            <w:r>
              <w:rPr>
                <w:rFonts w:hint="eastAsia"/>
                <w:lang w:val="en-US" w:eastAsia="zh-CN"/>
              </w:rPr>
              <w:t>和价值</w:t>
            </w:r>
            <w:r>
              <w:rPr>
                <w:rFonts w:hint="eastAsia"/>
              </w:rPr>
              <w:t>观</w:t>
            </w:r>
            <w:r>
              <w:rPr>
                <w:rFonts w:hint="eastAsia"/>
                <w:lang w:eastAsia="zh-CN"/>
              </w:rPr>
              <w:t>，</w:t>
            </w:r>
            <w:r>
              <w:rPr>
                <w:rFonts w:hint="eastAsia"/>
                <w:lang w:val="en-US" w:eastAsia="zh-CN"/>
              </w:rPr>
              <w:t>能正确判断是</w:t>
            </w:r>
            <w:r>
              <w:rPr>
                <w:rFonts w:hint="eastAsia"/>
              </w:rPr>
              <w:t>非善恶</w:t>
            </w:r>
            <w:r>
              <w:rPr>
                <w:rFonts w:hint="eastAsia"/>
                <w:lang w:eastAsia="zh-CN"/>
              </w:rPr>
              <w:t>，</w:t>
            </w:r>
            <w:r>
              <w:rPr>
                <w:rFonts w:hint="eastAsia"/>
                <w:lang w:val="en-US" w:eastAsia="zh-CN"/>
              </w:rPr>
              <w:t>并做到扬善弃恶，有爱心，有责任心。</w:t>
            </w:r>
          </w:p>
        </w:tc>
      </w:tr>
      <w:tr w14:paraId="7073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3BF935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4F6859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74040" cy="254635"/>
                  <wp:effectExtent l="0" t="0" r="5080" b="4445"/>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5"/>
                          <a:stretch>
                            <a:fillRect/>
                          </a:stretch>
                        </pic:blipFill>
                        <pic:spPr>
                          <a:xfrm>
                            <a:off x="0" y="0"/>
                            <a:ext cx="574040" cy="25463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6B71901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AD067B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2026.1</w:t>
            </w:r>
          </w:p>
        </w:tc>
      </w:tr>
      <w:tr w14:paraId="1D98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CD424E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4D3E03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92125" cy="346710"/>
                  <wp:effectExtent l="0" t="0" r="3175" b="15240"/>
                  <wp:docPr id="2" name="图片 2" descr="f1114f1d25838d99b5e6e81a95ff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114f1d25838d99b5e6e81a95ffed10"/>
                          <pic:cNvPicPr>
                            <a:picLocks noChangeAspect="1"/>
                          </pic:cNvPicPr>
                        </pic:nvPicPr>
                        <pic:blipFill>
                          <a:blip r:embed="rId6"/>
                          <a:stretch>
                            <a:fillRect/>
                          </a:stretch>
                        </pic:blipFill>
                        <pic:spPr>
                          <a:xfrm>
                            <a:off x="0" y="0"/>
                            <a:ext cx="492125" cy="346710"/>
                          </a:xfrm>
                          <a:prstGeom prst="rect">
                            <a:avLst/>
                          </a:prstGeom>
                        </pic:spPr>
                      </pic:pic>
                    </a:graphicData>
                  </a:graphic>
                </wp:inline>
              </w:drawing>
            </w:r>
            <w:r>
              <w:rPr>
                <w:rFonts w:hint="eastAsia"/>
                <w:sz w:val="21"/>
                <w:szCs w:val="21"/>
              </w:rPr>
              <w:t>（签名）</w:t>
            </w:r>
          </w:p>
        </w:tc>
        <w:tc>
          <w:tcPr>
            <w:tcW w:w="1425" w:type="dxa"/>
            <w:gridSpan w:val="2"/>
            <w:vAlign w:val="center"/>
          </w:tcPr>
          <w:p w14:paraId="095FEC2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E7D3AF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r w14:paraId="2853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E488B1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10C2FD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98145" cy="271145"/>
                  <wp:effectExtent l="0" t="0" r="1905" b="14605"/>
                  <wp:docPr id="3" name="图片 3" descr="f77e42f2653d6b00b29a3f33e0b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77e42f2653d6b00b29a3f33e0b31386"/>
                          <pic:cNvPicPr>
                            <a:picLocks noChangeAspect="1"/>
                          </pic:cNvPicPr>
                        </pic:nvPicPr>
                        <pic:blipFill>
                          <a:blip r:embed="rId7"/>
                          <a:stretch>
                            <a:fillRect/>
                          </a:stretch>
                        </pic:blipFill>
                        <pic:spPr>
                          <a:xfrm>
                            <a:off x="0" y="0"/>
                            <a:ext cx="398145" cy="27114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450B99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10381D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bl>
    <w:p w14:paraId="54F45641">
      <w:pPr>
        <w:spacing w:line="100" w:lineRule="exact"/>
        <w:rPr>
          <w:rFonts w:ascii="Arial" w:hAnsi="Arial" w:eastAsia="黑体"/>
        </w:rPr>
      </w:pPr>
      <w:r>
        <w:br w:type="page"/>
      </w:r>
    </w:p>
    <w:p w14:paraId="1A6F5B36">
      <w:pPr>
        <w:pStyle w:val="16"/>
        <w:spacing w:before="326" w:beforeLines="100" w:line="360" w:lineRule="auto"/>
        <w:rPr>
          <w:rFonts w:ascii="黑体" w:hAnsi="宋体"/>
        </w:rPr>
      </w:pPr>
      <w:r>
        <w:rPr>
          <w:rFonts w:hint="eastAsia" w:ascii="黑体" w:hAnsi="宋体"/>
        </w:rPr>
        <w:t>二、课程目标与毕业要求</w:t>
      </w:r>
    </w:p>
    <w:p w14:paraId="268F6424">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947C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34F2DD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F52F74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1864E1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9077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9FEC78E">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7AF28D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08904FE9">
            <w:pPr>
              <w:pStyle w:val="14"/>
              <w:jc w:val="left"/>
              <w:rPr>
                <w:rFonts w:ascii="宋体" w:hAnsi="宋体"/>
                <w:bCs/>
              </w:rPr>
            </w:pPr>
            <w:r>
              <w:rPr>
                <w:rFonts w:hint="eastAsia"/>
                <w:lang w:val="en-US" w:eastAsia="zh-CN"/>
              </w:rPr>
              <w:t>掌握医学</w:t>
            </w:r>
            <w:r>
              <w:rPr>
                <w:rFonts w:hint="eastAsia"/>
              </w:rPr>
              <w:t>伦理学理论和原则</w:t>
            </w:r>
            <w:r>
              <w:rPr>
                <w:rFonts w:hint="eastAsia"/>
                <w:lang w:eastAsia="zh-CN"/>
              </w:rPr>
              <w:t>，</w:t>
            </w:r>
            <w:r>
              <w:rPr>
                <w:rFonts w:hint="eastAsia" w:ascii="宋体" w:hAnsi="宋体"/>
                <w:bCs/>
              </w:rPr>
              <w:t>医学伦理学规范体系及其具体内容</w:t>
            </w:r>
          </w:p>
        </w:tc>
      </w:tr>
      <w:tr w14:paraId="36E58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9D7A521">
            <w:pPr>
              <w:pStyle w:val="14"/>
              <w:rPr>
                <w:bCs/>
              </w:rPr>
            </w:pPr>
          </w:p>
        </w:tc>
        <w:tc>
          <w:tcPr>
            <w:tcW w:w="782" w:type="dxa"/>
            <w:shd w:val="clear" w:color="auto" w:fill="auto"/>
            <w:vAlign w:val="center"/>
          </w:tcPr>
          <w:p w14:paraId="05FFD1E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6701D32F">
            <w:pPr>
              <w:pStyle w:val="14"/>
              <w:jc w:val="left"/>
              <w:rPr>
                <w:rFonts w:hint="default" w:ascii="宋体" w:hAnsi="宋体" w:eastAsia="宋体"/>
                <w:bCs/>
                <w:lang w:val="en-US" w:eastAsia="zh-CN"/>
              </w:rPr>
            </w:pPr>
            <w:r>
              <w:rPr>
                <w:rFonts w:hint="eastAsia"/>
                <w:lang w:val="en-US" w:eastAsia="zh-CN"/>
              </w:rPr>
              <w:t>掌握健康</w:t>
            </w:r>
            <w:r>
              <w:rPr>
                <w:rFonts w:hint="eastAsia"/>
                <w:lang w:eastAsia="zh-CN"/>
              </w:rPr>
              <w:t>、</w:t>
            </w:r>
            <w:r>
              <w:rPr>
                <w:rFonts w:hint="eastAsia"/>
                <w:lang w:val="en-US" w:eastAsia="zh-CN"/>
              </w:rPr>
              <w:t>公共卫生、医疗人际关系、教育、科研等领域的伦理要求</w:t>
            </w:r>
          </w:p>
        </w:tc>
      </w:tr>
      <w:tr w14:paraId="4673D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F1F9B9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F01517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04373069">
            <w:pPr>
              <w:pStyle w:val="14"/>
              <w:jc w:val="left"/>
              <w:rPr>
                <w:rFonts w:ascii="宋体" w:hAnsi="宋体"/>
                <w:bCs/>
              </w:rPr>
            </w:pPr>
            <w:r>
              <w:rPr>
                <w:rFonts w:hint="eastAsia" w:ascii="宋体" w:hAnsi="宋体"/>
                <w:bCs/>
              </w:rPr>
              <w:t>正确识别现实中的道德问题，并能够做出理性、公正决策，以在今后的健康服务与管理工作中能够正确的认识和处理相关伦理学问题，保证服务对象的最大权益</w:t>
            </w:r>
          </w:p>
        </w:tc>
      </w:tr>
      <w:tr w14:paraId="499BB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42A06B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D3BA97F">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B7D6BD9">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26CA3B04">
            <w:pPr>
              <w:pStyle w:val="14"/>
              <w:jc w:val="left"/>
              <w:rPr>
                <w:rFonts w:hint="eastAsia" w:ascii="宋体" w:hAnsi="宋体" w:eastAsia="宋体"/>
                <w:bCs/>
                <w:lang w:val="en-US" w:eastAsia="zh-CN"/>
              </w:rPr>
            </w:pPr>
            <w:r>
              <w:rPr>
                <w:rFonts w:hint="eastAsia" w:ascii="宋体" w:hAnsi="宋体"/>
                <w:bCs/>
                <w:lang w:val="en-US" w:eastAsia="zh-CN"/>
              </w:rPr>
              <w:t>具备与专业相适应的人文素养，</w:t>
            </w:r>
            <w:r>
              <w:rPr>
                <w:rFonts w:hint="eastAsia" w:ascii="宋体" w:hAnsi="宋体"/>
                <w:bCs/>
              </w:rPr>
              <w:t>诚信尽责，为人诚实，信守承诺</w:t>
            </w:r>
            <w:r>
              <w:rPr>
                <w:rFonts w:hint="eastAsia" w:ascii="宋体" w:hAnsi="宋体"/>
                <w:bCs/>
                <w:lang w:eastAsia="zh-CN"/>
              </w:rPr>
              <w:t>。</w:t>
            </w:r>
          </w:p>
        </w:tc>
      </w:tr>
      <w:tr w14:paraId="4167E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945187E">
            <w:pPr>
              <w:pStyle w:val="14"/>
              <w:rPr>
                <w:rFonts w:ascii="宋体" w:hAnsi="宋体"/>
              </w:rPr>
            </w:pPr>
          </w:p>
        </w:tc>
        <w:tc>
          <w:tcPr>
            <w:tcW w:w="782" w:type="dxa"/>
            <w:shd w:val="clear" w:color="auto" w:fill="auto"/>
            <w:vAlign w:val="center"/>
          </w:tcPr>
          <w:p w14:paraId="649653E7">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314CCF50">
            <w:pPr>
              <w:pStyle w:val="14"/>
              <w:jc w:val="left"/>
              <w:rPr>
                <w:rFonts w:ascii="宋体" w:hAnsi="宋体"/>
                <w:bCs/>
              </w:rPr>
            </w:pPr>
            <w:r>
              <w:rPr>
                <w:rFonts w:hint="eastAsia" w:ascii="宋体" w:hAnsi="宋体"/>
                <w:bCs/>
              </w:rPr>
              <w:t>爱岗敬业，热爱所学专业，勤学多练，锤炼技能。</w:t>
            </w:r>
          </w:p>
        </w:tc>
      </w:tr>
    </w:tbl>
    <w:p w14:paraId="4A2BA379">
      <w:pPr>
        <w:pStyle w:val="17"/>
        <w:spacing w:before="163" w:beforeLines="50" w:after="163"/>
        <w:rPr>
          <w:rFonts w:hint="eastAsia"/>
        </w:rPr>
      </w:pPr>
    </w:p>
    <w:p w14:paraId="220D9EFA">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AE20C4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6AE549A">
            <w:pPr>
              <w:pStyle w:val="14"/>
              <w:widowControl w:val="0"/>
              <w:jc w:val="left"/>
              <w:rPr>
                <w:rFonts w:hint="eastAsia" w:ascii="宋体" w:hAnsi="宋体"/>
                <w:bCs/>
              </w:rPr>
            </w:pPr>
            <w:r>
              <w:rPr>
                <w:rFonts w:hint="eastAsia"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AA09FC">
            <w:pPr>
              <w:pStyle w:val="14"/>
              <w:widowControl w:val="0"/>
              <w:jc w:val="left"/>
              <w:rPr>
                <w:rFonts w:hint="eastAsia" w:ascii="宋体" w:hAnsi="宋体"/>
                <w:bCs/>
              </w:rPr>
            </w:pPr>
            <w:r>
              <w:rPr>
                <w:rFonts w:hint="eastAsia" w:ascii="宋体" w:hAnsi="宋体"/>
                <w:bCs/>
              </w:rPr>
              <w:t xml:space="preserve">④诚信尽责，为人诚实，信守承诺，勤奋努力，精益求精，勇于担责。 </w:t>
            </w:r>
          </w:p>
          <w:p w14:paraId="673A05C6">
            <w:pPr>
              <w:pStyle w:val="14"/>
              <w:widowControl w:val="0"/>
              <w:jc w:val="left"/>
              <w:rPr>
                <w:rFonts w:hint="eastAsia" w:ascii="宋体" w:hAnsi="宋体"/>
                <w:bCs/>
              </w:rPr>
            </w:pPr>
            <w:r>
              <w:rPr>
                <w:rFonts w:hint="eastAsia" w:ascii="宋体" w:hAnsi="宋体"/>
                <w:bCs/>
              </w:rPr>
              <w:t>⑤爱岗敬业，热爱所学专业，勤学多练，锤炼技能。熟悉本专业相关的法律法规，在实习实践中自觉遵守职业规范，具备职业道德操守。</w:t>
            </w:r>
          </w:p>
        </w:tc>
      </w:tr>
      <w:tr w14:paraId="4B69F5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B9937A4">
            <w:pPr>
              <w:pStyle w:val="14"/>
              <w:widowControl w:val="0"/>
              <w:jc w:val="left"/>
              <w:rPr>
                <w:rFonts w:ascii="宋体" w:hAnsi="宋体"/>
                <w:bCs/>
              </w:rPr>
            </w:pPr>
            <w:r>
              <w:rPr>
                <w:rFonts w:hint="eastAsia" w:ascii="宋体" w:hAnsi="宋体"/>
                <w:bCs/>
              </w:rPr>
              <w:t>LO2专业能力：掌握管理学、社会学、护理学等学科基础理论和专门知识，能够熟练运用养老机构经营管理、老年健康管理、老年照护等专业技能，具备现代养老服务管理的理念和素养。</w:t>
            </w:r>
          </w:p>
          <w:p w14:paraId="1A6FDE02">
            <w:pPr>
              <w:pStyle w:val="14"/>
              <w:widowControl w:val="0"/>
              <w:jc w:val="left"/>
              <w:rPr>
                <w:rFonts w:hint="eastAsia" w:ascii="宋体" w:hAnsi="宋体"/>
                <w:bCs/>
              </w:rPr>
            </w:pPr>
            <w:r>
              <w:rPr>
                <w:rFonts w:hint="eastAsia" w:ascii="宋体" w:hAnsi="宋体"/>
                <w:bCs/>
              </w:rPr>
              <w:t>④健康教育能力：能确定老年人的健康需求，并采用合适的健康教育策略。</w:t>
            </w:r>
          </w:p>
        </w:tc>
      </w:tr>
      <w:tr w14:paraId="62CBA44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34B926C">
            <w:pPr>
              <w:pStyle w:val="14"/>
              <w:widowControl w:val="0"/>
              <w:jc w:val="left"/>
              <w:rPr>
                <w:rFonts w:hint="eastAsia" w:ascii="宋体" w:hAnsi="宋体"/>
                <w:bCs/>
              </w:rPr>
            </w:pPr>
            <w:r>
              <w:rPr>
                <w:rFonts w:hint="eastAsia" w:ascii="宋体" w:hAnsi="宋体"/>
                <w:bCs/>
              </w:rPr>
              <w:t>LO5健康发展：懂得审美、热爱劳动、为人热忱、身心健康、耐挫折，具有可持续发展的能力。</w:t>
            </w:r>
          </w:p>
          <w:p w14:paraId="006E3D5A">
            <w:pPr>
              <w:pStyle w:val="14"/>
              <w:widowControl w:val="0"/>
              <w:jc w:val="left"/>
              <w:rPr>
                <w:rFonts w:hint="eastAsia" w:ascii="宋体" w:hAnsi="宋体"/>
                <w:bCs/>
              </w:rPr>
            </w:pPr>
            <w:r>
              <w:rPr>
                <w:rFonts w:hint="eastAsia" w:ascii="宋体" w:hAnsi="宋体"/>
                <w:bCs/>
              </w:rPr>
              <w:t>②心理健康，学习和参与心理调适各项活动，耐挫折，能承受学习和生活中的压力。</w:t>
            </w:r>
          </w:p>
        </w:tc>
      </w:tr>
    </w:tbl>
    <w:p w14:paraId="3FA22C64">
      <w:pPr>
        <w:pStyle w:val="17"/>
        <w:spacing w:before="163" w:beforeLines="50" w:after="163"/>
        <w:rPr>
          <w:rFonts w:hint="eastAsia"/>
        </w:rPr>
      </w:pPr>
    </w:p>
    <w:p w14:paraId="5A29C8D5">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0ED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BE0C94C">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1C6F339">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8F20733">
            <w:pPr>
              <w:pStyle w:val="13"/>
              <w:rPr>
                <w:szCs w:val="16"/>
              </w:rPr>
            </w:pPr>
            <w:r>
              <w:rPr>
                <w:rFonts w:hint="eastAsia"/>
                <w:szCs w:val="16"/>
              </w:rPr>
              <w:t>支撑度</w:t>
            </w:r>
          </w:p>
        </w:tc>
        <w:tc>
          <w:tcPr>
            <w:tcW w:w="4763" w:type="dxa"/>
            <w:tcBorders>
              <w:top w:val="single" w:color="auto" w:sz="12" w:space="0"/>
            </w:tcBorders>
            <w:vAlign w:val="center"/>
          </w:tcPr>
          <w:p w14:paraId="28989889">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153B6A4">
            <w:pPr>
              <w:pStyle w:val="13"/>
              <w:rPr>
                <w:szCs w:val="16"/>
              </w:rPr>
            </w:pPr>
            <w:r>
              <w:rPr>
                <w:rFonts w:hint="eastAsia"/>
                <w:szCs w:val="16"/>
              </w:rPr>
              <w:t>对指标点的贡献度</w:t>
            </w:r>
          </w:p>
        </w:tc>
      </w:tr>
      <w:tr w14:paraId="3D40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BD4E04A">
            <w:pPr>
              <w:pStyle w:val="14"/>
            </w:pPr>
            <w:r>
              <w:rPr>
                <w:rFonts w:hint="eastAsia" w:ascii="宋体" w:hAnsi="宋体"/>
                <w:bCs/>
              </w:rPr>
              <w:t>LO1</w:t>
            </w:r>
          </w:p>
        </w:tc>
        <w:tc>
          <w:tcPr>
            <w:tcW w:w="794" w:type="dxa"/>
            <w:tcBorders>
              <w:left w:val="single" w:color="auto" w:sz="4" w:space="0"/>
            </w:tcBorders>
            <w:vAlign w:val="center"/>
          </w:tcPr>
          <w:p w14:paraId="1FB714E1">
            <w:pPr>
              <w:pStyle w:val="14"/>
              <w:rPr>
                <w:rFonts w:cs="Times New Roman"/>
                <w:bCs/>
              </w:rPr>
            </w:pPr>
            <w:r>
              <w:rPr>
                <w:rFonts w:hint="eastAsia" w:ascii="宋体" w:hAnsi="宋体"/>
                <w:bCs/>
              </w:rPr>
              <w:t>④</w:t>
            </w:r>
          </w:p>
        </w:tc>
        <w:tc>
          <w:tcPr>
            <w:tcW w:w="794" w:type="dxa"/>
            <w:tcBorders>
              <w:right w:val="double" w:color="auto" w:sz="4" w:space="0"/>
            </w:tcBorders>
            <w:shd w:val="clear" w:color="auto" w:fill="auto"/>
            <w:vAlign w:val="center"/>
          </w:tcPr>
          <w:p w14:paraId="2CE8D5F2">
            <w:pPr>
              <w:pStyle w:val="14"/>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2966464F">
            <w:pPr>
              <w:pStyle w:val="14"/>
              <w:jc w:val="left"/>
              <w:rPr>
                <w:rFonts w:ascii="宋体" w:hAnsi="宋体"/>
                <w:bCs/>
              </w:rPr>
            </w:pPr>
            <w:r>
              <w:rPr>
                <w:rFonts w:hint="eastAsia" w:ascii="宋体" w:hAnsi="宋体"/>
                <w:bCs/>
                <w:lang w:val="en-US" w:eastAsia="zh-CN"/>
              </w:rPr>
              <w:t>4.具备与专业相适应的人文素养，</w:t>
            </w:r>
            <w:r>
              <w:rPr>
                <w:rFonts w:hint="eastAsia" w:ascii="宋体" w:hAnsi="宋体"/>
                <w:bCs/>
              </w:rPr>
              <w:t>诚信尽责，为人诚实，信守承诺</w:t>
            </w:r>
          </w:p>
        </w:tc>
        <w:tc>
          <w:tcPr>
            <w:tcW w:w="1348" w:type="dxa"/>
            <w:tcBorders>
              <w:right w:val="single" w:color="auto" w:sz="12" w:space="0"/>
            </w:tcBorders>
            <w:vAlign w:val="center"/>
          </w:tcPr>
          <w:p w14:paraId="4F22616D">
            <w:pPr>
              <w:pStyle w:val="14"/>
              <w:rPr>
                <w:rFonts w:ascii="宋体" w:hAnsi="宋体"/>
                <w:bCs/>
              </w:rPr>
            </w:pPr>
            <w:r>
              <w:rPr>
                <w:rFonts w:hint="eastAsia" w:ascii="宋体" w:hAnsi="宋体"/>
                <w:bCs/>
                <w:lang w:val="en-US" w:eastAsia="zh-CN"/>
              </w:rPr>
              <w:t>50%</w:t>
            </w:r>
          </w:p>
        </w:tc>
      </w:tr>
      <w:tr w14:paraId="4A0E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19A0C17">
            <w:pPr>
              <w:pStyle w:val="14"/>
              <w:rPr>
                <w:b/>
              </w:rPr>
            </w:pPr>
          </w:p>
        </w:tc>
        <w:tc>
          <w:tcPr>
            <w:tcW w:w="794" w:type="dxa"/>
            <w:tcBorders>
              <w:left w:val="single" w:color="auto" w:sz="4" w:space="0"/>
            </w:tcBorders>
            <w:vAlign w:val="center"/>
          </w:tcPr>
          <w:p w14:paraId="61A1DB55">
            <w:pPr>
              <w:pStyle w:val="14"/>
              <w:rPr>
                <w:bCs/>
              </w:rPr>
            </w:pPr>
            <w:r>
              <w:rPr>
                <w:rFonts w:hint="eastAsia" w:ascii="宋体" w:hAnsi="宋体"/>
                <w:bCs/>
              </w:rPr>
              <w:t>⑤</w:t>
            </w:r>
          </w:p>
        </w:tc>
        <w:tc>
          <w:tcPr>
            <w:tcW w:w="794" w:type="dxa"/>
            <w:tcBorders>
              <w:right w:val="double" w:color="auto" w:sz="4" w:space="0"/>
            </w:tcBorders>
            <w:shd w:val="clear" w:color="auto" w:fill="auto"/>
            <w:vAlign w:val="center"/>
          </w:tcPr>
          <w:p w14:paraId="52EA513B">
            <w:pPr>
              <w:pStyle w:val="14"/>
              <w:rPr>
                <w:rFonts w:ascii="宋体" w:hAnsi="宋体"/>
              </w:rPr>
            </w:pPr>
            <w:r>
              <w:rPr>
                <w:rFonts w:hint="eastAsia" w:ascii="宋体" w:hAnsi="宋体"/>
                <w:lang w:val="en-US" w:eastAsia="zh-CN"/>
              </w:rPr>
              <w:t>H</w:t>
            </w:r>
          </w:p>
        </w:tc>
        <w:tc>
          <w:tcPr>
            <w:tcW w:w="4763" w:type="dxa"/>
            <w:vAlign w:val="center"/>
          </w:tcPr>
          <w:p w14:paraId="0C5B7875">
            <w:pPr>
              <w:pStyle w:val="14"/>
              <w:jc w:val="left"/>
              <w:rPr>
                <w:rFonts w:ascii="宋体" w:hAnsi="宋体"/>
                <w:bCs/>
              </w:rPr>
            </w:pPr>
            <w:r>
              <w:rPr>
                <w:rFonts w:hint="eastAsia" w:ascii="宋体" w:hAnsi="宋体"/>
                <w:bCs/>
                <w:lang w:val="en-US" w:eastAsia="zh-CN"/>
              </w:rPr>
              <w:t>5.</w:t>
            </w:r>
            <w:r>
              <w:rPr>
                <w:rFonts w:hint="eastAsia" w:ascii="宋体" w:hAnsi="宋体"/>
                <w:bCs/>
              </w:rPr>
              <w:t>爱岗敬业，热爱所学专业，勤学多练，锤炼技能。</w:t>
            </w:r>
          </w:p>
        </w:tc>
        <w:tc>
          <w:tcPr>
            <w:tcW w:w="1348" w:type="dxa"/>
            <w:tcBorders>
              <w:right w:val="single" w:color="auto" w:sz="12" w:space="0"/>
            </w:tcBorders>
            <w:vAlign w:val="center"/>
          </w:tcPr>
          <w:p w14:paraId="34C53B66">
            <w:pPr>
              <w:pStyle w:val="14"/>
              <w:rPr>
                <w:rFonts w:ascii="宋体" w:hAnsi="宋体"/>
                <w:bCs/>
              </w:rPr>
            </w:pPr>
            <w:r>
              <w:rPr>
                <w:rFonts w:hint="eastAsia" w:ascii="宋体" w:hAnsi="宋体"/>
                <w:bCs/>
                <w:lang w:val="en-US" w:eastAsia="zh-CN"/>
              </w:rPr>
              <w:t>50%</w:t>
            </w:r>
          </w:p>
        </w:tc>
      </w:tr>
      <w:tr w14:paraId="540A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777" w:type="dxa"/>
            <w:vMerge w:val="restart"/>
            <w:tcBorders>
              <w:left w:val="single" w:color="auto" w:sz="12" w:space="0"/>
              <w:right w:val="single" w:color="auto" w:sz="4" w:space="0"/>
            </w:tcBorders>
            <w:shd w:val="clear" w:color="auto" w:fill="auto"/>
            <w:vAlign w:val="center"/>
          </w:tcPr>
          <w:p w14:paraId="0B4A28DB">
            <w:pPr>
              <w:pStyle w:val="14"/>
            </w:pPr>
            <w:r>
              <w:rPr>
                <w:rFonts w:hint="eastAsia" w:ascii="宋体" w:hAnsi="宋体"/>
                <w:bCs/>
              </w:rPr>
              <w:t>LO2</w:t>
            </w:r>
          </w:p>
        </w:tc>
        <w:tc>
          <w:tcPr>
            <w:tcW w:w="794" w:type="dxa"/>
            <w:vMerge w:val="restart"/>
            <w:tcBorders>
              <w:left w:val="single" w:color="auto" w:sz="4" w:space="0"/>
            </w:tcBorders>
            <w:vAlign w:val="center"/>
          </w:tcPr>
          <w:p w14:paraId="5862439F">
            <w:pPr>
              <w:pStyle w:val="14"/>
              <w:rPr>
                <w:rFonts w:cs="Times New Roman"/>
                <w:bCs/>
              </w:rPr>
            </w:pPr>
            <w:r>
              <w:rPr>
                <w:rFonts w:hint="eastAsia" w:ascii="宋体" w:hAnsi="宋体"/>
                <w:bCs/>
              </w:rPr>
              <w:t>④</w:t>
            </w:r>
          </w:p>
        </w:tc>
        <w:tc>
          <w:tcPr>
            <w:tcW w:w="794" w:type="dxa"/>
            <w:vMerge w:val="restart"/>
            <w:tcBorders>
              <w:right w:val="double" w:color="auto" w:sz="4" w:space="0"/>
            </w:tcBorders>
            <w:shd w:val="clear" w:color="auto" w:fill="auto"/>
            <w:vAlign w:val="center"/>
          </w:tcPr>
          <w:p w14:paraId="3795955E">
            <w:pPr>
              <w:pStyle w:val="14"/>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457BB8A5">
            <w:pPr>
              <w:pStyle w:val="14"/>
              <w:jc w:val="left"/>
              <w:rPr>
                <w:rFonts w:ascii="宋体" w:hAnsi="宋体"/>
                <w:bCs/>
              </w:rPr>
            </w:pPr>
            <w:r>
              <w:rPr>
                <w:rFonts w:hint="eastAsia"/>
                <w:lang w:val="en-US" w:eastAsia="zh-CN"/>
              </w:rPr>
              <w:t>1.掌握医学</w:t>
            </w:r>
            <w:r>
              <w:rPr>
                <w:rFonts w:hint="eastAsia"/>
              </w:rPr>
              <w:t>伦理学理论和原则</w:t>
            </w:r>
            <w:r>
              <w:rPr>
                <w:rFonts w:hint="eastAsia"/>
                <w:lang w:eastAsia="zh-CN"/>
              </w:rPr>
              <w:t>，</w:t>
            </w:r>
            <w:r>
              <w:rPr>
                <w:rFonts w:hint="eastAsia" w:ascii="宋体" w:hAnsi="宋体"/>
                <w:bCs/>
              </w:rPr>
              <w:t>医学伦理学规范体系及其具体内容</w:t>
            </w:r>
          </w:p>
        </w:tc>
        <w:tc>
          <w:tcPr>
            <w:tcW w:w="1348" w:type="dxa"/>
            <w:tcBorders>
              <w:right w:val="single" w:color="auto" w:sz="12" w:space="0"/>
            </w:tcBorders>
            <w:vAlign w:val="center"/>
          </w:tcPr>
          <w:p w14:paraId="6C5B50F3">
            <w:pPr>
              <w:pStyle w:val="14"/>
              <w:rPr>
                <w:rFonts w:ascii="宋体" w:hAnsi="宋体"/>
                <w:bCs/>
              </w:rPr>
            </w:pPr>
            <w:r>
              <w:rPr>
                <w:rFonts w:hint="eastAsia" w:ascii="宋体" w:hAnsi="宋体"/>
                <w:bCs/>
                <w:lang w:val="en-US" w:eastAsia="zh-CN"/>
              </w:rPr>
              <w:t>40%</w:t>
            </w:r>
          </w:p>
        </w:tc>
      </w:tr>
      <w:tr w14:paraId="7C2E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777" w:type="dxa"/>
            <w:vMerge w:val="continue"/>
            <w:tcBorders>
              <w:left w:val="single" w:color="auto" w:sz="12" w:space="0"/>
              <w:right w:val="single" w:color="auto" w:sz="4" w:space="0"/>
            </w:tcBorders>
            <w:shd w:val="clear" w:color="auto" w:fill="auto"/>
            <w:vAlign w:val="center"/>
          </w:tcPr>
          <w:p w14:paraId="1D3EDF46">
            <w:pPr>
              <w:pStyle w:val="14"/>
              <w:jc w:val="left"/>
            </w:pPr>
          </w:p>
        </w:tc>
        <w:tc>
          <w:tcPr>
            <w:tcW w:w="794" w:type="dxa"/>
            <w:vMerge w:val="continue"/>
            <w:tcBorders>
              <w:left w:val="single" w:color="auto" w:sz="4" w:space="0"/>
            </w:tcBorders>
            <w:vAlign w:val="center"/>
          </w:tcPr>
          <w:p w14:paraId="04B715D8">
            <w:pPr>
              <w:pStyle w:val="14"/>
              <w:jc w:val="left"/>
            </w:pPr>
          </w:p>
        </w:tc>
        <w:tc>
          <w:tcPr>
            <w:tcW w:w="794" w:type="dxa"/>
            <w:vMerge w:val="continue"/>
            <w:tcBorders>
              <w:right w:val="double" w:color="auto" w:sz="4" w:space="0"/>
            </w:tcBorders>
            <w:shd w:val="clear" w:color="auto" w:fill="auto"/>
            <w:vAlign w:val="center"/>
          </w:tcPr>
          <w:p w14:paraId="644D380E">
            <w:pPr>
              <w:pStyle w:val="14"/>
              <w:jc w:val="left"/>
            </w:pPr>
          </w:p>
        </w:tc>
        <w:tc>
          <w:tcPr>
            <w:tcW w:w="4763" w:type="dxa"/>
            <w:vAlign w:val="center"/>
          </w:tcPr>
          <w:p w14:paraId="53066452">
            <w:pPr>
              <w:pStyle w:val="14"/>
              <w:jc w:val="left"/>
              <w:rPr>
                <w:rFonts w:hint="eastAsia"/>
                <w:lang w:val="en-US" w:eastAsia="zh-CN"/>
              </w:rPr>
            </w:pPr>
            <w:r>
              <w:rPr>
                <w:rFonts w:hint="eastAsia"/>
                <w:lang w:val="en-US" w:eastAsia="zh-CN"/>
              </w:rPr>
              <w:t>2.掌握健康</w:t>
            </w:r>
            <w:r>
              <w:rPr>
                <w:rFonts w:hint="eastAsia"/>
                <w:lang w:eastAsia="zh-CN"/>
              </w:rPr>
              <w:t>、</w:t>
            </w:r>
            <w:r>
              <w:rPr>
                <w:rFonts w:hint="eastAsia"/>
                <w:lang w:val="en-US" w:eastAsia="zh-CN"/>
              </w:rPr>
              <w:t>公共卫生、医疗人际关系、教育、科研等领域的伦理要求</w:t>
            </w:r>
          </w:p>
        </w:tc>
        <w:tc>
          <w:tcPr>
            <w:tcW w:w="1348" w:type="dxa"/>
            <w:tcBorders>
              <w:right w:val="single" w:color="auto" w:sz="12" w:space="0"/>
            </w:tcBorders>
            <w:vAlign w:val="center"/>
          </w:tcPr>
          <w:p w14:paraId="1C1A1BAB">
            <w:pPr>
              <w:pStyle w:val="14"/>
              <w:jc w:val="center"/>
              <w:rPr>
                <w:rFonts w:hint="eastAsia"/>
                <w:lang w:val="en-US" w:eastAsia="zh-CN"/>
              </w:rPr>
            </w:pPr>
            <w:r>
              <w:rPr>
                <w:rFonts w:hint="eastAsia" w:ascii="宋体" w:hAnsi="宋体"/>
                <w:bCs/>
                <w:lang w:val="en-US" w:eastAsia="zh-CN"/>
              </w:rPr>
              <w:t>60%</w:t>
            </w:r>
          </w:p>
        </w:tc>
      </w:tr>
      <w:tr w14:paraId="36B0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762235BE">
            <w:pPr>
              <w:pStyle w:val="14"/>
              <w:jc w:val="center"/>
            </w:pPr>
            <w:r>
              <w:rPr>
                <w:rFonts w:hint="eastAsia" w:ascii="宋体" w:hAnsi="宋体"/>
                <w:bCs/>
              </w:rPr>
              <w:t>LO5</w:t>
            </w:r>
          </w:p>
        </w:tc>
        <w:tc>
          <w:tcPr>
            <w:tcW w:w="794" w:type="dxa"/>
            <w:tcBorders>
              <w:left w:val="single" w:color="auto" w:sz="4" w:space="0"/>
            </w:tcBorders>
            <w:vAlign w:val="center"/>
          </w:tcPr>
          <w:p w14:paraId="59CE2A9F">
            <w:pPr>
              <w:pStyle w:val="14"/>
              <w:rPr>
                <w:rFonts w:cs="Times New Roman"/>
                <w:bCs/>
              </w:rPr>
            </w:pPr>
            <w:r>
              <w:rPr>
                <w:rFonts w:hint="eastAsia" w:ascii="宋体" w:hAnsi="宋体"/>
                <w:bCs/>
              </w:rPr>
              <w:t>②</w:t>
            </w:r>
          </w:p>
        </w:tc>
        <w:tc>
          <w:tcPr>
            <w:tcW w:w="794" w:type="dxa"/>
            <w:tcBorders>
              <w:right w:val="double" w:color="auto" w:sz="4" w:space="0"/>
            </w:tcBorders>
            <w:shd w:val="clear" w:color="auto" w:fill="auto"/>
            <w:vAlign w:val="center"/>
          </w:tcPr>
          <w:p w14:paraId="5C0810E3">
            <w:pPr>
              <w:pStyle w:val="14"/>
              <w:rPr>
                <w:rFonts w:hint="eastAsia" w:ascii="宋体" w:hAnsi="宋体" w:eastAsia="宋体"/>
                <w:lang w:val="en-US" w:eastAsia="zh-CN"/>
              </w:rPr>
            </w:pPr>
            <w:r>
              <w:rPr>
                <w:rFonts w:hint="eastAsia" w:ascii="宋体" w:hAnsi="宋体"/>
                <w:lang w:val="en-US" w:eastAsia="zh-CN"/>
              </w:rPr>
              <w:t>L</w:t>
            </w:r>
          </w:p>
        </w:tc>
        <w:tc>
          <w:tcPr>
            <w:tcW w:w="4763" w:type="dxa"/>
            <w:vAlign w:val="center"/>
          </w:tcPr>
          <w:p w14:paraId="557DD156">
            <w:pPr>
              <w:pStyle w:val="14"/>
              <w:jc w:val="left"/>
              <w:rPr>
                <w:rFonts w:ascii="宋体" w:hAnsi="宋体"/>
                <w:bCs/>
              </w:rPr>
            </w:pPr>
            <w:r>
              <w:rPr>
                <w:rFonts w:hint="eastAsia" w:ascii="宋体" w:hAnsi="宋体"/>
                <w:bCs/>
                <w:lang w:val="en-US" w:eastAsia="zh-CN"/>
              </w:rPr>
              <w:t>3.</w:t>
            </w:r>
            <w:r>
              <w:rPr>
                <w:rFonts w:hint="eastAsia" w:ascii="宋体" w:hAnsi="宋体"/>
                <w:bCs/>
              </w:rPr>
              <w:t>正确识别现实中的道德问题，并能够做出理性、公正决策，以在今后的健康服务与管理工作中能够正确的认识和处理相关伦理学问题，保证服务对象的最大权益</w:t>
            </w:r>
          </w:p>
        </w:tc>
        <w:tc>
          <w:tcPr>
            <w:tcW w:w="1348" w:type="dxa"/>
            <w:tcBorders>
              <w:right w:val="single" w:color="auto" w:sz="12" w:space="0"/>
            </w:tcBorders>
            <w:vAlign w:val="center"/>
          </w:tcPr>
          <w:p w14:paraId="38FD26DE">
            <w:pPr>
              <w:pStyle w:val="14"/>
              <w:rPr>
                <w:rFonts w:ascii="宋体" w:hAnsi="宋体"/>
                <w:bCs/>
              </w:rPr>
            </w:pPr>
            <w:r>
              <w:rPr>
                <w:rFonts w:hint="eastAsia" w:ascii="宋体" w:hAnsi="宋体"/>
                <w:bCs/>
                <w:lang w:val="en-US" w:eastAsia="zh-CN"/>
              </w:rPr>
              <w:t>100%</w:t>
            </w:r>
          </w:p>
        </w:tc>
      </w:tr>
    </w:tbl>
    <w:p w14:paraId="0604E2A4">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51E97B9">
      <w:pPr>
        <w:pStyle w:val="17"/>
        <w:spacing w:before="81" w:after="163"/>
      </w:pPr>
      <w:r>
        <w:rPr>
          <w:rFonts w:hint="eastAsia"/>
        </w:rPr>
        <w:t>（一）各教学单元预期学习成果与教学内容</w:t>
      </w:r>
    </w:p>
    <w:tbl>
      <w:tblPr>
        <w:tblStyle w:val="8"/>
        <w:tblW w:w="857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522"/>
        <w:gridCol w:w="679"/>
        <w:gridCol w:w="2460"/>
        <w:gridCol w:w="1716"/>
        <w:gridCol w:w="1813"/>
        <w:gridCol w:w="1387"/>
      </w:tblGrid>
      <w:tr w14:paraId="38D6C0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2393FD99">
            <w:pPr>
              <w:widowControl w:val="0"/>
              <w:snapToGrid w:val="0"/>
              <w:spacing w:line="288" w:lineRule="auto"/>
              <w:jc w:val="center"/>
              <w:rPr>
                <w:rFonts w:ascii="宋体" w:hAnsi="宋体" w:eastAsia="宋体" w:cs="宋体"/>
                <w:b/>
                <w:sz w:val="20"/>
                <w:szCs w:val="20"/>
                <w:lang w:val="en-US" w:eastAsia="zh-CN" w:bidi="ar-SA"/>
              </w:rPr>
            </w:pPr>
            <w:bookmarkStart w:id="0" w:name="OLE_LINK6"/>
            <w:bookmarkStart w:id="1" w:name="OLE_LINK5"/>
            <w:r>
              <w:rPr>
                <w:rFonts w:hint="eastAsia" w:ascii="宋体" w:hAnsi="宋体"/>
                <w:b/>
                <w:sz w:val="20"/>
                <w:szCs w:val="20"/>
              </w:rPr>
              <w:t>序号</w:t>
            </w:r>
          </w:p>
        </w:tc>
        <w:tc>
          <w:tcPr>
            <w:tcW w:w="679" w:type="dxa"/>
            <w:vAlign w:val="center"/>
          </w:tcPr>
          <w:p w14:paraId="239AB63E">
            <w:pPr>
              <w:widowControl w:val="0"/>
              <w:snapToGrid w:val="0"/>
              <w:spacing w:line="288" w:lineRule="auto"/>
              <w:jc w:val="center"/>
              <w:rPr>
                <w:rFonts w:ascii="宋体" w:hAnsi="宋体" w:eastAsia="宋体" w:cs="宋体"/>
                <w:b/>
                <w:sz w:val="20"/>
                <w:szCs w:val="20"/>
                <w:lang w:val="en-US" w:eastAsia="zh-CN" w:bidi="ar-SA"/>
              </w:rPr>
            </w:pPr>
            <w:r>
              <w:rPr>
                <w:rFonts w:hint="eastAsia" w:ascii="宋体" w:hAnsi="宋体"/>
                <w:b/>
                <w:sz w:val="20"/>
                <w:szCs w:val="20"/>
              </w:rPr>
              <w:t>单元名称</w:t>
            </w:r>
          </w:p>
        </w:tc>
        <w:tc>
          <w:tcPr>
            <w:tcW w:w="2460" w:type="dxa"/>
            <w:vAlign w:val="center"/>
          </w:tcPr>
          <w:p w14:paraId="3140FE63">
            <w:pPr>
              <w:widowControl w:val="0"/>
              <w:snapToGrid w:val="0"/>
              <w:spacing w:line="288" w:lineRule="auto"/>
              <w:jc w:val="center"/>
              <w:rPr>
                <w:rFonts w:ascii="宋体" w:hAnsi="宋体" w:eastAsia="宋体" w:cs="宋体"/>
                <w:b/>
                <w:sz w:val="20"/>
                <w:szCs w:val="20"/>
                <w:lang w:val="en-US" w:eastAsia="zh-CN" w:bidi="ar-SA"/>
              </w:rPr>
            </w:pPr>
            <w:r>
              <w:rPr>
                <w:rFonts w:hint="eastAsia" w:ascii="宋体" w:hAnsi="宋体"/>
                <w:b/>
                <w:sz w:val="20"/>
                <w:szCs w:val="20"/>
              </w:rPr>
              <w:t>知识目标</w:t>
            </w:r>
          </w:p>
        </w:tc>
        <w:tc>
          <w:tcPr>
            <w:tcW w:w="1716" w:type="dxa"/>
            <w:vAlign w:val="center"/>
          </w:tcPr>
          <w:p w14:paraId="63DB55B8">
            <w:pPr>
              <w:widowControl w:val="0"/>
              <w:snapToGrid w:val="0"/>
              <w:spacing w:line="288" w:lineRule="auto"/>
              <w:jc w:val="center"/>
              <w:rPr>
                <w:rFonts w:ascii="宋体" w:hAnsi="宋体" w:eastAsia="宋体" w:cs="宋体"/>
                <w:b/>
                <w:sz w:val="20"/>
                <w:szCs w:val="20"/>
                <w:lang w:val="en-US" w:eastAsia="zh-CN" w:bidi="ar-SA"/>
              </w:rPr>
            </w:pPr>
            <w:r>
              <w:rPr>
                <w:rFonts w:hint="eastAsia" w:ascii="宋体" w:hAnsi="宋体"/>
                <w:b/>
                <w:sz w:val="20"/>
                <w:szCs w:val="20"/>
              </w:rPr>
              <w:t>能力目标</w:t>
            </w:r>
          </w:p>
        </w:tc>
        <w:tc>
          <w:tcPr>
            <w:tcW w:w="1813" w:type="dxa"/>
            <w:vAlign w:val="center"/>
          </w:tcPr>
          <w:p w14:paraId="12369485">
            <w:pPr>
              <w:widowControl w:val="0"/>
              <w:snapToGrid w:val="0"/>
              <w:spacing w:line="288" w:lineRule="auto"/>
              <w:jc w:val="left"/>
              <w:rPr>
                <w:rFonts w:hint="eastAsia" w:ascii="宋体" w:hAnsi="宋体" w:eastAsia="宋体" w:cs="宋体"/>
                <w:b/>
                <w:sz w:val="20"/>
                <w:szCs w:val="20"/>
                <w:lang w:val="en-US" w:eastAsia="zh-CN" w:bidi="ar-SA"/>
              </w:rPr>
            </w:pPr>
            <w:r>
              <w:rPr>
                <w:rFonts w:hint="eastAsia" w:ascii="宋体" w:hAnsi="宋体"/>
                <w:b/>
                <w:sz w:val="20"/>
                <w:szCs w:val="20"/>
              </w:rPr>
              <w:t>情感目标</w:t>
            </w:r>
          </w:p>
        </w:tc>
        <w:tc>
          <w:tcPr>
            <w:tcW w:w="1387" w:type="dxa"/>
            <w:vAlign w:val="center"/>
          </w:tcPr>
          <w:p w14:paraId="2EF06626">
            <w:pPr>
              <w:widowControl w:val="0"/>
              <w:snapToGrid w:val="0"/>
              <w:spacing w:line="288" w:lineRule="auto"/>
              <w:jc w:val="center"/>
              <w:rPr>
                <w:rFonts w:ascii="宋体" w:hAnsi="宋体" w:eastAsia="宋体" w:cs="宋体"/>
                <w:b/>
                <w:sz w:val="20"/>
                <w:szCs w:val="20"/>
                <w:lang w:val="en-US" w:eastAsia="zh-CN" w:bidi="ar-SA"/>
              </w:rPr>
            </w:pPr>
            <w:r>
              <w:rPr>
                <w:rFonts w:hint="eastAsia" w:ascii="宋体" w:hAnsi="宋体"/>
                <w:b/>
                <w:sz w:val="20"/>
                <w:szCs w:val="20"/>
              </w:rPr>
              <w:t>教学难点</w:t>
            </w:r>
          </w:p>
        </w:tc>
      </w:tr>
      <w:bookmarkEnd w:id="0"/>
      <w:bookmarkEnd w:id="1"/>
      <w:tr w14:paraId="6ADA72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0A94D3AD">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1</w:t>
            </w:r>
          </w:p>
        </w:tc>
        <w:tc>
          <w:tcPr>
            <w:tcW w:w="679" w:type="dxa"/>
            <w:vAlign w:val="center"/>
          </w:tcPr>
          <w:p w14:paraId="678CEC63">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伦理学与医学伦理学</w:t>
            </w:r>
          </w:p>
        </w:tc>
        <w:tc>
          <w:tcPr>
            <w:tcW w:w="2460" w:type="dxa"/>
            <w:vAlign w:val="top"/>
          </w:tcPr>
          <w:p w14:paraId="7132D090">
            <w:pPr>
              <w:widowControl w:val="0"/>
              <w:spacing w:line="300" w:lineRule="exact"/>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1.知道道德、伦理学、医学伦理的内涵；医学伦理学的研究对象与内容。</w:t>
            </w:r>
          </w:p>
          <w:p w14:paraId="5664693D">
            <w:pPr>
              <w:widowControl w:val="0"/>
              <w:spacing w:line="300" w:lineRule="exact"/>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2.理解道德的特征和功能；医学伦理学的基本观点、基本理论、学科属性。</w:t>
            </w:r>
          </w:p>
        </w:tc>
        <w:tc>
          <w:tcPr>
            <w:tcW w:w="1716" w:type="dxa"/>
            <w:vAlign w:val="top"/>
          </w:tcPr>
          <w:p w14:paraId="2F3BC18F">
            <w:pPr>
              <w:widowControl w:val="0"/>
              <w:spacing w:line="300" w:lineRule="exact"/>
              <w:jc w:val="both"/>
              <w:rPr>
                <w:rFonts w:ascii="宋体" w:hAnsi="宋体" w:eastAsia="宋体" w:cs="宋体"/>
                <w:sz w:val="20"/>
                <w:szCs w:val="20"/>
                <w:lang w:val="en-US" w:eastAsia="zh-CN" w:bidi="ar-SA"/>
              </w:rPr>
            </w:pPr>
            <w:r>
              <w:rPr>
                <w:rFonts w:hint="eastAsia" w:ascii="宋体" w:hAnsi="宋体"/>
                <w:kern w:val="0"/>
                <w:sz w:val="20"/>
                <w:szCs w:val="20"/>
              </w:rPr>
              <w:t>能将理论联系实际、案例分析等方法运用到医学伦理学的学习过程中。</w:t>
            </w:r>
          </w:p>
        </w:tc>
        <w:tc>
          <w:tcPr>
            <w:tcW w:w="1813" w:type="dxa"/>
            <w:vAlign w:val="top"/>
          </w:tcPr>
          <w:p w14:paraId="04C2307A">
            <w:pPr>
              <w:widowControl w:val="0"/>
              <w:spacing w:line="300" w:lineRule="exact"/>
              <w:ind w:right="-154" w:rightChars="-64"/>
              <w:jc w:val="left"/>
              <w:rPr>
                <w:rFonts w:hint="eastAsia" w:ascii="宋体" w:hAnsi="宋体" w:eastAsia="宋体"/>
                <w:kern w:val="0"/>
                <w:sz w:val="20"/>
                <w:szCs w:val="20"/>
                <w:lang w:eastAsia="zh-CN"/>
              </w:rPr>
            </w:pPr>
            <w:r>
              <w:rPr>
                <w:rFonts w:hint="eastAsia" w:ascii="宋体" w:hAnsi="宋体"/>
                <w:kern w:val="0"/>
                <w:sz w:val="20"/>
                <w:szCs w:val="20"/>
              </w:rPr>
              <w:t>1.弘扬真诚、信仰、忠诚、自律的美德</w:t>
            </w:r>
            <w:r>
              <w:rPr>
                <w:rFonts w:hint="eastAsia" w:ascii="宋体" w:hAnsi="宋体"/>
                <w:kern w:val="0"/>
                <w:sz w:val="20"/>
                <w:szCs w:val="20"/>
                <w:lang w:eastAsia="zh-CN"/>
              </w:rPr>
              <w:t>。</w:t>
            </w:r>
          </w:p>
          <w:p w14:paraId="22B696D4">
            <w:pPr>
              <w:widowControl w:val="0"/>
              <w:spacing w:line="300" w:lineRule="exact"/>
              <w:ind w:right="-154" w:rightChars="-64"/>
              <w:jc w:val="left"/>
              <w:rPr>
                <w:rFonts w:hint="eastAsia" w:ascii="宋体" w:hAnsi="宋体" w:eastAsia="宋体" w:cs="宋体"/>
                <w:kern w:val="0"/>
                <w:sz w:val="20"/>
                <w:szCs w:val="20"/>
                <w:lang w:val="en-US" w:eastAsia="zh-CN" w:bidi="ar-SA"/>
              </w:rPr>
            </w:pPr>
            <w:r>
              <w:rPr>
                <w:rFonts w:hint="eastAsia" w:ascii="宋体" w:hAnsi="宋体"/>
                <w:kern w:val="0"/>
                <w:sz w:val="20"/>
                <w:szCs w:val="20"/>
              </w:rPr>
              <w:t>2.</w:t>
            </w:r>
            <w:r>
              <w:rPr>
                <w:rFonts w:hint="eastAsia" w:ascii="宋体" w:hAnsi="宋体"/>
                <w:kern w:val="0"/>
                <w:sz w:val="20"/>
                <w:szCs w:val="20"/>
                <w:lang w:val="en-US" w:eastAsia="zh-CN"/>
              </w:rPr>
              <w:t>培养</w:t>
            </w:r>
            <w:r>
              <w:rPr>
                <w:rFonts w:hint="eastAsia" w:ascii="宋体" w:hAnsi="宋体"/>
                <w:kern w:val="0"/>
                <w:sz w:val="20"/>
                <w:szCs w:val="20"/>
              </w:rPr>
              <w:t>平等、善良、奉献、尊重的职业</w:t>
            </w:r>
            <w:r>
              <w:rPr>
                <w:rFonts w:hint="eastAsia" w:ascii="宋体" w:hAnsi="宋体"/>
                <w:kern w:val="0"/>
                <w:sz w:val="20"/>
                <w:szCs w:val="20"/>
                <w:lang w:val="en-US" w:eastAsia="zh-CN"/>
              </w:rPr>
              <w:t>精神。</w:t>
            </w:r>
          </w:p>
        </w:tc>
        <w:tc>
          <w:tcPr>
            <w:tcW w:w="1387" w:type="dxa"/>
            <w:vAlign w:val="top"/>
          </w:tcPr>
          <w:p w14:paraId="72461F96">
            <w:pPr>
              <w:widowControl w:val="0"/>
              <w:spacing w:line="300" w:lineRule="exact"/>
              <w:ind w:right="-154" w:rightChars="-64"/>
              <w:jc w:val="left"/>
              <w:rPr>
                <w:rFonts w:ascii="宋体" w:hAnsi="宋体"/>
                <w:kern w:val="0"/>
                <w:sz w:val="20"/>
                <w:szCs w:val="20"/>
              </w:rPr>
            </w:pPr>
            <w:r>
              <w:rPr>
                <w:rFonts w:hint="eastAsia" w:ascii="宋体" w:hAnsi="宋体"/>
                <w:kern w:val="0"/>
                <w:sz w:val="20"/>
                <w:szCs w:val="20"/>
              </w:rPr>
              <w:t>1.道德、伦理学、医学伦理的内涵；</w:t>
            </w:r>
          </w:p>
          <w:p w14:paraId="68380D8F">
            <w:pPr>
              <w:widowControl w:val="0"/>
              <w:spacing w:line="300" w:lineRule="exact"/>
              <w:ind w:right="-154" w:rightChars="-64"/>
              <w:jc w:val="left"/>
              <w:rPr>
                <w:rFonts w:ascii="宋体" w:hAnsi="宋体" w:eastAsia="宋体" w:cs="宋体"/>
                <w:sz w:val="20"/>
                <w:szCs w:val="20"/>
                <w:lang w:val="en-US" w:eastAsia="zh-CN" w:bidi="ar-SA"/>
              </w:rPr>
            </w:pPr>
            <w:r>
              <w:rPr>
                <w:rFonts w:hint="eastAsia" w:ascii="宋体" w:hAnsi="宋体"/>
                <w:kern w:val="0"/>
                <w:sz w:val="20"/>
                <w:szCs w:val="20"/>
              </w:rPr>
              <w:t>2.医学伦理学的研究对象与内容。</w:t>
            </w:r>
          </w:p>
        </w:tc>
      </w:tr>
      <w:tr w14:paraId="1A3771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359C287D">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2</w:t>
            </w:r>
          </w:p>
        </w:tc>
        <w:tc>
          <w:tcPr>
            <w:tcW w:w="679" w:type="dxa"/>
            <w:vAlign w:val="center"/>
          </w:tcPr>
          <w:p w14:paraId="79F0963A">
            <w:pPr>
              <w:widowControl w:val="0"/>
              <w:spacing w:line="300" w:lineRule="exact"/>
              <w:jc w:val="left"/>
              <w:rPr>
                <w:rFonts w:ascii="宋体" w:hAnsi="宋体" w:eastAsia="宋体" w:cs="宋体"/>
                <w:sz w:val="20"/>
                <w:szCs w:val="20"/>
                <w:lang w:val="en-US" w:eastAsia="zh-CN" w:bidi="ar-SA"/>
              </w:rPr>
            </w:pPr>
            <w:r>
              <w:rPr>
                <w:rFonts w:hint="eastAsia" w:ascii="宋体" w:hAnsi="宋体"/>
                <w:sz w:val="20"/>
                <w:szCs w:val="20"/>
              </w:rPr>
              <w:t>医学伦理学规范体系</w:t>
            </w:r>
          </w:p>
        </w:tc>
        <w:tc>
          <w:tcPr>
            <w:tcW w:w="2460" w:type="dxa"/>
            <w:vAlign w:val="top"/>
          </w:tcPr>
          <w:p w14:paraId="49355E7C">
            <w:pPr>
              <w:widowControl w:val="0"/>
              <w:spacing w:line="300" w:lineRule="exact"/>
              <w:jc w:val="both"/>
              <w:rPr>
                <w:rFonts w:ascii="宋体" w:hAnsi="宋体"/>
                <w:sz w:val="20"/>
                <w:szCs w:val="20"/>
              </w:rPr>
            </w:pPr>
            <w:r>
              <w:rPr>
                <w:rFonts w:hint="eastAsia" w:ascii="宋体" w:hAnsi="宋体"/>
                <w:sz w:val="20"/>
                <w:szCs w:val="20"/>
              </w:rPr>
              <w:t>1.知道医学伦理学规范体系的三个组成部分及其具体内容。</w:t>
            </w:r>
          </w:p>
          <w:p w14:paraId="02743402">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2.医学伦理学基本原则、规范和范畴对医务人员的伦理要求。</w:t>
            </w:r>
          </w:p>
        </w:tc>
        <w:tc>
          <w:tcPr>
            <w:tcW w:w="1716" w:type="dxa"/>
            <w:vAlign w:val="top"/>
          </w:tcPr>
          <w:p w14:paraId="2603FC69">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能运用医学伦理学基本原则和规范指导和评价医疗活动。</w:t>
            </w:r>
          </w:p>
        </w:tc>
        <w:tc>
          <w:tcPr>
            <w:tcW w:w="1813" w:type="dxa"/>
            <w:vAlign w:val="top"/>
          </w:tcPr>
          <w:p w14:paraId="6F361C98">
            <w:pPr>
              <w:widowControl w:val="0"/>
              <w:spacing w:line="300" w:lineRule="exact"/>
              <w:ind w:right="-154" w:rightChars="-64"/>
              <w:jc w:val="left"/>
              <w:rPr>
                <w:rFonts w:hint="eastAsia" w:ascii="宋体" w:hAnsi="宋体"/>
                <w:sz w:val="20"/>
                <w:szCs w:val="20"/>
              </w:rPr>
            </w:pPr>
            <w:r>
              <w:rPr>
                <w:rFonts w:hint="eastAsia" w:ascii="宋体" w:hAnsi="宋体"/>
                <w:sz w:val="20"/>
                <w:szCs w:val="20"/>
              </w:rPr>
              <w:t>坚定理想信念,培育</w:t>
            </w:r>
            <w:r>
              <w:rPr>
                <w:rFonts w:hint="eastAsia" w:ascii="宋体" w:hAnsi="宋体"/>
                <w:sz w:val="20"/>
                <w:szCs w:val="20"/>
                <w:lang w:val="en-US" w:eastAsia="zh-CN"/>
              </w:rPr>
              <w:t>并</w:t>
            </w:r>
            <w:r>
              <w:rPr>
                <w:rFonts w:hint="eastAsia" w:ascii="宋体" w:hAnsi="宋体"/>
                <w:sz w:val="20"/>
                <w:szCs w:val="20"/>
              </w:rPr>
              <w:t>践行社会主义核心价值观</w:t>
            </w:r>
          </w:p>
          <w:p w14:paraId="676FD9C8">
            <w:pPr>
              <w:widowControl w:val="0"/>
              <w:spacing w:line="300" w:lineRule="exact"/>
              <w:ind w:right="-154" w:rightChars="-64"/>
              <w:jc w:val="left"/>
              <w:rPr>
                <w:rFonts w:hint="eastAsia" w:ascii="宋体" w:hAnsi="宋体" w:eastAsia="宋体" w:cs="宋体"/>
                <w:sz w:val="20"/>
                <w:szCs w:val="20"/>
                <w:lang w:val="en-US" w:eastAsia="zh-CN" w:bidi="ar-SA"/>
              </w:rPr>
            </w:pPr>
          </w:p>
        </w:tc>
        <w:tc>
          <w:tcPr>
            <w:tcW w:w="1387" w:type="dxa"/>
            <w:vAlign w:val="top"/>
          </w:tcPr>
          <w:p w14:paraId="041681E7">
            <w:pPr>
              <w:widowControl w:val="0"/>
              <w:spacing w:line="300" w:lineRule="exact"/>
              <w:ind w:right="-154" w:rightChars="-64"/>
              <w:jc w:val="left"/>
              <w:rPr>
                <w:rFonts w:ascii="宋体" w:hAnsi="宋体"/>
                <w:sz w:val="20"/>
                <w:szCs w:val="20"/>
              </w:rPr>
            </w:pPr>
            <w:r>
              <w:rPr>
                <w:rFonts w:hint="eastAsia" w:ascii="宋体" w:hAnsi="宋体"/>
                <w:sz w:val="20"/>
                <w:szCs w:val="20"/>
              </w:rPr>
              <w:t>1.医学伦理学规范体系的三个组成部分及其具体内容。</w:t>
            </w:r>
          </w:p>
          <w:p w14:paraId="1687A6D2">
            <w:pPr>
              <w:widowControl w:val="0"/>
              <w:spacing w:line="300" w:lineRule="exact"/>
              <w:ind w:right="-154" w:rightChars="-64"/>
              <w:jc w:val="left"/>
              <w:rPr>
                <w:rFonts w:ascii="宋体" w:hAnsi="宋体" w:eastAsia="宋体" w:cs="宋体"/>
                <w:sz w:val="20"/>
                <w:szCs w:val="20"/>
                <w:lang w:val="en-US" w:eastAsia="zh-CN" w:bidi="ar-SA"/>
              </w:rPr>
            </w:pPr>
            <w:r>
              <w:rPr>
                <w:rFonts w:hint="eastAsia" w:ascii="宋体" w:hAnsi="宋体"/>
                <w:sz w:val="20"/>
                <w:szCs w:val="20"/>
              </w:rPr>
              <w:t>2.医学伦理学基本原则。</w:t>
            </w:r>
          </w:p>
        </w:tc>
      </w:tr>
      <w:tr w14:paraId="18E665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491D1E14">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3</w:t>
            </w:r>
          </w:p>
        </w:tc>
        <w:tc>
          <w:tcPr>
            <w:tcW w:w="679" w:type="dxa"/>
            <w:vAlign w:val="center"/>
          </w:tcPr>
          <w:p w14:paraId="1408E79D">
            <w:pPr>
              <w:pStyle w:val="6"/>
              <w:widowControl w:val="0"/>
              <w:spacing w:before="0" w:beforeAutospacing="0" w:after="0" w:afterAutospacing="0"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健康伦理</w:t>
            </w:r>
          </w:p>
        </w:tc>
        <w:tc>
          <w:tcPr>
            <w:tcW w:w="2460" w:type="dxa"/>
            <w:vAlign w:val="top"/>
          </w:tcPr>
          <w:p w14:paraId="72B1B751">
            <w:pPr>
              <w:widowControl w:val="0"/>
              <w:spacing w:line="300" w:lineRule="exact"/>
              <w:jc w:val="both"/>
              <w:rPr>
                <w:rFonts w:ascii="宋体" w:hAnsi="宋体"/>
                <w:sz w:val="20"/>
                <w:szCs w:val="20"/>
              </w:rPr>
            </w:pPr>
            <w:r>
              <w:rPr>
                <w:rFonts w:hint="eastAsia" w:ascii="宋体" w:hAnsi="宋体"/>
                <w:sz w:val="20"/>
                <w:szCs w:val="20"/>
              </w:rPr>
              <w:t>1.知道健康伦理的概念与内涵。</w:t>
            </w:r>
          </w:p>
          <w:p w14:paraId="4859F6A0">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2.理解健康伦理的价值与意义；健康的权利与义务</w:t>
            </w:r>
          </w:p>
        </w:tc>
        <w:tc>
          <w:tcPr>
            <w:tcW w:w="1716" w:type="dxa"/>
            <w:vAlign w:val="top"/>
          </w:tcPr>
          <w:p w14:paraId="3683FDE6">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能贯彻健康中国战略，开展健康教育，促进健康行为养成。</w:t>
            </w:r>
          </w:p>
        </w:tc>
        <w:tc>
          <w:tcPr>
            <w:tcW w:w="1813" w:type="dxa"/>
            <w:vAlign w:val="top"/>
          </w:tcPr>
          <w:p w14:paraId="7C8B715C">
            <w:pPr>
              <w:widowControl w:val="0"/>
              <w:spacing w:line="300" w:lineRule="exact"/>
              <w:ind w:right="-154" w:rightChars="-64"/>
              <w:jc w:val="left"/>
              <w:rPr>
                <w:rFonts w:hint="eastAsia" w:ascii="宋体" w:hAnsi="宋体" w:eastAsia="宋体" w:cs="宋体"/>
                <w:sz w:val="20"/>
                <w:szCs w:val="20"/>
                <w:lang w:val="en-US" w:eastAsia="zh-CN" w:bidi="ar-SA"/>
              </w:rPr>
            </w:pPr>
            <w:r>
              <w:rPr>
                <w:rFonts w:hint="eastAsia" w:ascii="宋体" w:hAnsi="宋体"/>
                <w:sz w:val="20"/>
                <w:szCs w:val="20"/>
              </w:rPr>
              <w:t>树立正确的健康观</w:t>
            </w:r>
            <w:r>
              <w:rPr>
                <w:rFonts w:hint="eastAsia" w:ascii="宋体" w:hAnsi="宋体"/>
                <w:sz w:val="20"/>
                <w:szCs w:val="20"/>
                <w:lang w:eastAsia="zh-CN"/>
              </w:rPr>
              <w:t>，</w:t>
            </w:r>
            <w:r>
              <w:rPr>
                <w:rFonts w:hint="eastAsia" w:ascii="宋体" w:hAnsi="宋体"/>
                <w:sz w:val="20"/>
                <w:szCs w:val="20"/>
                <w:lang w:val="en-US" w:eastAsia="zh-CN"/>
              </w:rPr>
              <w:t>自觉维护、履行</w:t>
            </w:r>
            <w:r>
              <w:rPr>
                <w:rFonts w:hint="eastAsia" w:ascii="宋体" w:hAnsi="宋体"/>
                <w:sz w:val="20"/>
                <w:szCs w:val="20"/>
              </w:rPr>
              <w:t>健康的权利与义务</w:t>
            </w:r>
          </w:p>
        </w:tc>
        <w:tc>
          <w:tcPr>
            <w:tcW w:w="1387" w:type="dxa"/>
            <w:vAlign w:val="top"/>
          </w:tcPr>
          <w:p w14:paraId="322566AC">
            <w:pPr>
              <w:widowControl w:val="0"/>
              <w:spacing w:line="300" w:lineRule="exact"/>
              <w:ind w:right="-154" w:rightChars="-64"/>
              <w:jc w:val="left"/>
              <w:rPr>
                <w:rFonts w:ascii="宋体" w:hAnsi="宋体"/>
                <w:sz w:val="20"/>
                <w:szCs w:val="20"/>
              </w:rPr>
            </w:pPr>
            <w:r>
              <w:rPr>
                <w:rFonts w:hint="eastAsia" w:ascii="宋体" w:hAnsi="宋体"/>
                <w:sz w:val="20"/>
                <w:szCs w:val="20"/>
              </w:rPr>
              <w:t>1.健康伦理的概念与内涵。</w:t>
            </w:r>
          </w:p>
          <w:p w14:paraId="76128151">
            <w:pPr>
              <w:widowControl w:val="0"/>
              <w:spacing w:line="300" w:lineRule="exact"/>
              <w:ind w:right="-154" w:rightChars="-64"/>
              <w:jc w:val="left"/>
              <w:rPr>
                <w:rFonts w:ascii="宋体" w:hAnsi="宋体" w:eastAsia="宋体" w:cs="宋体"/>
                <w:sz w:val="20"/>
                <w:szCs w:val="20"/>
                <w:lang w:val="en-US" w:eastAsia="zh-CN" w:bidi="ar-SA"/>
              </w:rPr>
            </w:pPr>
            <w:r>
              <w:rPr>
                <w:rFonts w:hint="eastAsia" w:ascii="宋体" w:hAnsi="宋体"/>
                <w:sz w:val="20"/>
                <w:szCs w:val="20"/>
              </w:rPr>
              <w:t>2.健康的权利与义务。</w:t>
            </w:r>
          </w:p>
        </w:tc>
      </w:tr>
      <w:tr w14:paraId="395CB8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24630658">
            <w:pPr>
              <w:pStyle w:val="6"/>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4</w:t>
            </w:r>
          </w:p>
        </w:tc>
        <w:tc>
          <w:tcPr>
            <w:tcW w:w="679" w:type="dxa"/>
            <w:vAlign w:val="center"/>
          </w:tcPr>
          <w:p w14:paraId="40C1397E">
            <w:pPr>
              <w:pStyle w:val="6"/>
              <w:widowControl w:val="0"/>
              <w:spacing w:before="0" w:beforeAutospacing="0" w:after="0" w:afterAutospacing="0"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公共卫生伦理</w:t>
            </w:r>
          </w:p>
        </w:tc>
        <w:tc>
          <w:tcPr>
            <w:tcW w:w="2460" w:type="dxa"/>
            <w:vAlign w:val="top"/>
          </w:tcPr>
          <w:p w14:paraId="64FE047C">
            <w:pPr>
              <w:widowControl w:val="0"/>
              <w:spacing w:line="300" w:lineRule="exact"/>
              <w:jc w:val="both"/>
              <w:rPr>
                <w:rFonts w:ascii="宋体" w:hAnsi="宋体"/>
                <w:sz w:val="20"/>
                <w:szCs w:val="20"/>
              </w:rPr>
            </w:pPr>
            <w:r>
              <w:rPr>
                <w:rFonts w:hint="eastAsia" w:ascii="宋体" w:hAnsi="宋体"/>
                <w:sz w:val="20"/>
                <w:szCs w:val="20"/>
              </w:rPr>
              <w:t>1.知道公共卫生的基本概念、特点和伦理原则。</w:t>
            </w:r>
          </w:p>
          <w:p w14:paraId="12CCECCA">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2.理解疾病预防和控制、食品卫生工作中的道德规范和要求。</w:t>
            </w:r>
          </w:p>
        </w:tc>
        <w:tc>
          <w:tcPr>
            <w:tcW w:w="1716" w:type="dxa"/>
            <w:vAlign w:val="top"/>
          </w:tcPr>
          <w:p w14:paraId="701FA00E">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能运用公共卫生突发事件处置的 伦理原则。</w:t>
            </w:r>
          </w:p>
        </w:tc>
        <w:tc>
          <w:tcPr>
            <w:tcW w:w="1813" w:type="dxa"/>
            <w:vAlign w:val="top"/>
          </w:tcPr>
          <w:p w14:paraId="0A081E36">
            <w:pPr>
              <w:widowControl w:val="0"/>
              <w:spacing w:line="300" w:lineRule="exact"/>
              <w:ind w:right="-154" w:rightChars="-64"/>
              <w:jc w:val="left"/>
              <w:rPr>
                <w:rFonts w:hint="eastAsia" w:ascii="宋体" w:hAnsi="宋体" w:eastAsia="宋体" w:cs="宋体"/>
                <w:sz w:val="20"/>
                <w:szCs w:val="20"/>
                <w:lang w:val="en-US" w:eastAsia="zh-CN" w:bidi="ar-SA"/>
              </w:rPr>
            </w:pPr>
            <w:r>
              <w:rPr>
                <w:rFonts w:hint="eastAsia" w:ascii="宋体" w:hAnsi="宋体"/>
                <w:sz w:val="20"/>
                <w:szCs w:val="20"/>
                <w:lang w:val="en-US" w:eastAsia="zh-CN"/>
              </w:rPr>
              <w:t>培育“</w:t>
            </w:r>
            <w:r>
              <w:rPr>
                <w:rFonts w:hint="eastAsia" w:ascii="宋体" w:hAnsi="宋体"/>
                <w:sz w:val="20"/>
                <w:szCs w:val="20"/>
              </w:rPr>
              <w:t>个人利益服从社会利益、局部利益服从全局利益、眼前利益服从长远利益</w:t>
            </w:r>
            <w:r>
              <w:rPr>
                <w:rFonts w:hint="eastAsia" w:ascii="宋体" w:hAnsi="宋体"/>
                <w:sz w:val="20"/>
                <w:szCs w:val="20"/>
                <w:lang w:eastAsia="zh-CN"/>
              </w:rPr>
              <w:t>”</w:t>
            </w:r>
            <w:r>
              <w:rPr>
                <w:rFonts w:hint="eastAsia" w:ascii="宋体" w:hAnsi="宋体"/>
                <w:sz w:val="20"/>
                <w:szCs w:val="20"/>
              </w:rPr>
              <w:t>的道德素养。</w:t>
            </w:r>
          </w:p>
        </w:tc>
        <w:tc>
          <w:tcPr>
            <w:tcW w:w="1387" w:type="dxa"/>
            <w:vAlign w:val="top"/>
          </w:tcPr>
          <w:p w14:paraId="4F371FB1">
            <w:pPr>
              <w:widowControl w:val="0"/>
              <w:spacing w:line="300" w:lineRule="exact"/>
              <w:ind w:right="-154" w:rightChars="-64"/>
              <w:jc w:val="left"/>
              <w:rPr>
                <w:rFonts w:ascii="宋体" w:hAnsi="宋体"/>
                <w:sz w:val="20"/>
                <w:szCs w:val="20"/>
              </w:rPr>
            </w:pPr>
            <w:r>
              <w:rPr>
                <w:rFonts w:hint="eastAsia" w:ascii="宋体" w:hAnsi="宋体"/>
                <w:sz w:val="20"/>
                <w:szCs w:val="20"/>
              </w:rPr>
              <w:t>1.公共卫生的基本概念、特点和伦理原则。</w:t>
            </w:r>
          </w:p>
          <w:p w14:paraId="6CA79C4B">
            <w:pPr>
              <w:widowControl w:val="0"/>
              <w:spacing w:line="300" w:lineRule="exact"/>
              <w:ind w:right="-154" w:rightChars="-64"/>
              <w:jc w:val="left"/>
              <w:rPr>
                <w:rFonts w:ascii="宋体" w:hAnsi="宋体" w:eastAsia="宋体" w:cs="宋体"/>
                <w:sz w:val="20"/>
                <w:szCs w:val="20"/>
                <w:lang w:val="en-US" w:eastAsia="zh-CN" w:bidi="ar-SA"/>
              </w:rPr>
            </w:pPr>
            <w:r>
              <w:rPr>
                <w:rFonts w:hint="eastAsia" w:ascii="宋体" w:hAnsi="宋体"/>
                <w:sz w:val="20"/>
                <w:szCs w:val="20"/>
              </w:rPr>
              <w:t>2.公共卫生突发事件处置的 伦理原则。</w:t>
            </w:r>
          </w:p>
        </w:tc>
      </w:tr>
      <w:tr w14:paraId="73DDA8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309D4F2C">
            <w:pPr>
              <w:pStyle w:val="6"/>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5</w:t>
            </w:r>
          </w:p>
        </w:tc>
        <w:tc>
          <w:tcPr>
            <w:tcW w:w="679" w:type="dxa"/>
            <w:vAlign w:val="center"/>
          </w:tcPr>
          <w:p w14:paraId="4EA25328">
            <w:pPr>
              <w:pStyle w:val="6"/>
              <w:widowControl w:val="0"/>
              <w:spacing w:before="0" w:beforeAutospacing="0" w:after="0" w:afterAutospacing="0"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医疗人际关系伦理</w:t>
            </w:r>
          </w:p>
        </w:tc>
        <w:tc>
          <w:tcPr>
            <w:tcW w:w="2460" w:type="dxa"/>
            <w:vAlign w:val="top"/>
          </w:tcPr>
          <w:p w14:paraId="1B79690B">
            <w:pPr>
              <w:widowControl w:val="0"/>
              <w:spacing w:line="300" w:lineRule="exact"/>
              <w:jc w:val="both"/>
              <w:rPr>
                <w:rFonts w:hint="eastAsia" w:ascii="宋体" w:hAnsi="宋体"/>
                <w:kern w:val="0"/>
                <w:sz w:val="20"/>
                <w:szCs w:val="20"/>
              </w:rPr>
            </w:pPr>
            <w:r>
              <w:rPr>
                <w:rFonts w:hint="eastAsia" w:ascii="宋体" w:hAnsi="宋体"/>
                <w:kern w:val="0"/>
                <w:sz w:val="20"/>
                <w:szCs w:val="20"/>
                <w:lang w:val="en-US" w:eastAsia="zh-CN"/>
              </w:rPr>
              <w:t>1.</w:t>
            </w:r>
            <w:r>
              <w:rPr>
                <w:rFonts w:hint="eastAsia" w:ascii="宋体" w:hAnsi="宋体"/>
                <w:kern w:val="0"/>
                <w:sz w:val="20"/>
                <w:szCs w:val="20"/>
              </w:rPr>
              <w:t>知道医患关系的含义、特点 、性质及模式， 调试医患关系的道德要求。协调好医患关系的意义。 理解医际关系和患际关系的含义及特点。</w:t>
            </w:r>
          </w:p>
          <w:p w14:paraId="04081BE0">
            <w:pPr>
              <w:widowControl w:val="0"/>
              <w:spacing w:line="300" w:lineRule="exact"/>
              <w:jc w:val="both"/>
              <w:rPr>
                <w:rFonts w:ascii="宋体" w:hAnsi="宋体" w:eastAsia="宋体" w:cs="宋体"/>
                <w:color w:val="auto"/>
                <w:kern w:val="2"/>
                <w:sz w:val="20"/>
                <w:szCs w:val="20"/>
                <w:lang w:val="en-US" w:eastAsia="zh-CN" w:bidi="ar-SA"/>
              </w:rPr>
            </w:pPr>
            <w:r>
              <w:rPr>
                <w:rFonts w:hint="eastAsia" w:ascii="宋体" w:hAnsi="宋体"/>
                <w:kern w:val="0"/>
                <w:sz w:val="20"/>
                <w:szCs w:val="20"/>
                <w:lang w:val="en-US" w:eastAsia="zh-CN"/>
              </w:rPr>
              <w:t>2.</w:t>
            </w:r>
            <w:r>
              <w:rPr>
                <w:rFonts w:hint="eastAsia" w:ascii="宋体" w:hAnsi="宋体"/>
                <w:kern w:val="0"/>
                <w:sz w:val="20"/>
                <w:szCs w:val="20"/>
              </w:rPr>
              <w:t>了解协调医际关系和患际关系的道德要求。</w:t>
            </w:r>
          </w:p>
        </w:tc>
        <w:tc>
          <w:tcPr>
            <w:tcW w:w="1716" w:type="dxa"/>
            <w:vAlign w:val="top"/>
          </w:tcPr>
          <w:p w14:paraId="39EA4703">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能正确处理医患和医际关系。</w:t>
            </w:r>
          </w:p>
        </w:tc>
        <w:tc>
          <w:tcPr>
            <w:tcW w:w="1813" w:type="dxa"/>
            <w:vAlign w:val="top"/>
          </w:tcPr>
          <w:p w14:paraId="525F1849">
            <w:pPr>
              <w:pStyle w:val="6"/>
              <w:widowControl w:val="0"/>
              <w:spacing w:line="300" w:lineRule="exact"/>
              <w:ind w:right="-154" w:rightChars="-64"/>
              <w:jc w:val="left"/>
              <w:rPr>
                <w:rFonts w:hint="eastAsia" w:ascii="宋体" w:hAnsi="宋体" w:eastAsia="宋体" w:cs="宋体"/>
                <w:color w:val="auto"/>
                <w:kern w:val="2"/>
                <w:sz w:val="20"/>
                <w:szCs w:val="20"/>
                <w:lang w:val="en-US" w:eastAsia="zh-CN" w:bidi="ar-SA"/>
              </w:rPr>
            </w:pPr>
            <w:r>
              <w:rPr>
                <w:rFonts w:hint="eastAsia"/>
                <w:color w:val="auto"/>
                <w:kern w:val="2"/>
                <w:sz w:val="20"/>
                <w:szCs w:val="20"/>
              </w:rPr>
              <w:t>以诚信为基础</w:t>
            </w:r>
            <w:r>
              <w:rPr>
                <w:rFonts w:hint="eastAsia"/>
                <w:color w:val="auto"/>
                <w:kern w:val="2"/>
                <w:sz w:val="20"/>
                <w:szCs w:val="20"/>
                <w:lang w:eastAsia="zh-CN"/>
              </w:rPr>
              <w:t>，尊重理解</w:t>
            </w:r>
            <w:r>
              <w:rPr>
                <w:rFonts w:hint="eastAsia"/>
                <w:color w:val="auto"/>
                <w:kern w:val="2"/>
                <w:sz w:val="20"/>
                <w:szCs w:val="20"/>
                <w:lang w:val="en-US" w:eastAsia="zh-CN"/>
              </w:rPr>
              <w:t>为前提，正确处理医疗人际关系。</w:t>
            </w:r>
          </w:p>
        </w:tc>
        <w:tc>
          <w:tcPr>
            <w:tcW w:w="1387" w:type="dxa"/>
            <w:vAlign w:val="top"/>
          </w:tcPr>
          <w:p w14:paraId="73C2BADE">
            <w:pPr>
              <w:pStyle w:val="6"/>
              <w:widowControl w:val="0"/>
              <w:spacing w:line="300" w:lineRule="exact"/>
              <w:ind w:right="-154" w:rightChars="-64"/>
              <w:jc w:val="both"/>
              <w:rPr>
                <w:rFonts w:ascii="宋体" w:hAnsi="宋体" w:eastAsia="宋体" w:cs="宋体"/>
                <w:color w:val="auto"/>
                <w:kern w:val="2"/>
                <w:sz w:val="20"/>
                <w:szCs w:val="20"/>
                <w:lang w:val="en-US" w:eastAsia="zh-CN" w:bidi="ar-SA"/>
              </w:rPr>
            </w:pPr>
            <w:r>
              <w:rPr>
                <w:rFonts w:hint="eastAsia"/>
                <w:color w:val="auto"/>
                <w:kern w:val="2"/>
                <w:sz w:val="20"/>
                <w:szCs w:val="20"/>
              </w:rPr>
              <w:t xml:space="preserve">1.医患关系的含义、特点 、性质及模式， 调试医患关系的道德要求。 </w:t>
            </w:r>
            <w:r>
              <w:rPr>
                <w:color w:val="auto"/>
                <w:kern w:val="2"/>
                <w:sz w:val="20"/>
                <w:szCs w:val="20"/>
              </w:rPr>
              <w:t xml:space="preserve"> </w:t>
            </w:r>
            <w:r>
              <w:rPr>
                <w:rFonts w:hint="eastAsia"/>
                <w:color w:val="auto"/>
                <w:kern w:val="2"/>
                <w:sz w:val="20"/>
                <w:szCs w:val="20"/>
              </w:rPr>
              <w:t>2.协调好医际关系的意义。</w:t>
            </w:r>
          </w:p>
        </w:tc>
      </w:tr>
      <w:tr w14:paraId="56840A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362A945A">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6</w:t>
            </w:r>
          </w:p>
        </w:tc>
        <w:tc>
          <w:tcPr>
            <w:tcW w:w="679" w:type="dxa"/>
            <w:vAlign w:val="center"/>
          </w:tcPr>
          <w:p w14:paraId="20E67B79">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临床诊疗伦理</w:t>
            </w:r>
          </w:p>
        </w:tc>
        <w:tc>
          <w:tcPr>
            <w:tcW w:w="2460" w:type="dxa"/>
            <w:vAlign w:val="top"/>
          </w:tcPr>
          <w:p w14:paraId="3CF1A4AE">
            <w:pPr>
              <w:widowControl w:val="0"/>
              <w:spacing w:line="300" w:lineRule="exact"/>
              <w:jc w:val="both"/>
              <w:rPr>
                <w:rFonts w:hint="eastAsia" w:ascii="宋体" w:hAnsi="宋体"/>
                <w:kern w:val="0"/>
                <w:sz w:val="20"/>
                <w:szCs w:val="20"/>
              </w:rPr>
            </w:pPr>
            <w:r>
              <w:rPr>
                <w:rFonts w:hint="eastAsia" w:ascii="宋体" w:hAnsi="宋体"/>
                <w:kern w:val="0"/>
                <w:sz w:val="20"/>
                <w:szCs w:val="20"/>
                <w:lang w:val="en-US" w:eastAsia="zh-CN"/>
              </w:rPr>
              <w:t>1.</w:t>
            </w:r>
            <w:r>
              <w:rPr>
                <w:rFonts w:hint="eastAsia" w:ascii="宋体" w:hAnsi="宋体"/>
                <w:kern w:val="0"/>
                <w:sz w:val="20"/>
                <w:szCs w:val="20"/>
              </w:rPr>
              <w:t>知道临床诊疗伦理的具体原则，包括患者至上、最优化、知情同意、保密守信原则）。</w:t>
            </w:r>
          </w:p>
          <w:p w14:paraId="2E89FF25">
            <w:pPr>
              <w:widowControl w:val="0"/>
              <w:spacing w:line="300" w:lineRule="exact"/>
              <w:jc w:val="both"/>
              <w:rPr>
                <w:rFonts w:hint="eastAsia" w:ascii="宋体" w:hAnsi="宋体"/>
                <w:kern w:val="0"/>
                <w:sz w:val="20"/>
                <w:szCs w:val="20"/>
              </w:rPr>
            </w:pPr>
            <w:r>
              <w:rPr>
                <w:rFonts w:hint="eastAsia" w:ascii="宋体" w:hAnsi="宋体"/>
                <w:kern w:val="0"/>
                <w:sz w:val="20"/>
                <w:szCs w:val="20"/>
              </w:rPr>
              <w:t xml:space="preserve">2.理解药物治疗、手术治疗、心理 治疗、康复治疗、饮食营养 治疗的伦理要求。     </w:t>
            </w:r>
          </w:p>
          <w:p w14:paraId="6A4FBDAB">
            <w:pPr>
              <w:widowControl w:val="0"/>
              <w:spacing w:line="300" w:lineRule="exact"/>
              <w:jc w:val="both"/>
              <w:rPr>
                <w:rFonts w:hint="eastAsia" w:ascii="宋体" w:hAnsi="宋体" w:eastAsia="宋体" w:cs="宋体"/>
                <w:kern w:val="0"/>
                <w:sz w:val="20"/>
                <w:szCs w:val="20"/>
                <w:lang w:val="en-US" w:eastAsia="zh-CN" w:bidi="ar-SA"/>
              </w:rPr>
            </w:pPr>
            <w:r>
              <w:rPr>
                <w:rFonts w:hint="eastAsia" w:ascii="宋体" w:hAnsi="宋体"/>
                <w:kern w:val="0"/>
                <w:sz w:val="20"/>
                <w:szCs w:val="20"/>
              </w:rPr>
              <w:t>3.了解询问病史、体格检查和辅助 检查的伦理要求；急救工作、儿科治疗、精神科治疗、 传染科治疗的伦理要求。</w:t>
            </w:r>
          </w:p>
        </w:tc>
        <w:tc>
          <w:tcPr>
            <w:tcW w:w="1716" w:type="dxa"/>
            <w:vAlign w:val="top"/>
          </w:tcPr>
          <w:p w14:paraId="131B0419">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1.能将临床诊疗伦理的具体原则用于工作实践中。</w:t>
            </w:r>
          </w:p>
        </w:tc>
        <w:tc>
          <w:tcPr>
            <w:tcW w:w="1813" w:type="dxa"/>
            <w:vAlign w:val="top"/>
          </w:tcPr>
          <w:p w14:paraId="24857A49">
            <w:pPr>
              <w:pStyle w:val="6"/>
              <w:widowControl w:val="0"/>
              <w:spacing w:line="300" w:lineRule="exact"/>
              <w:ind w:right="-154" w:rightChars="-64"/>
              <w:jc w:val="left"/>
              <w:rPr>
                <w:rFonts w:hint="eastAsia" w:ascii="宋体" w:hAnsi="宋体" w:eastAsia="宋体" w:cs="宋体"/>
                <w:color w:val="auto"/>
                <w:kern w:val="2"/>
                <w:sz w:val="20"/>
                <w:szCs w:val="20"/>
                <w:lang w:val="en-US" w:eastAsia="zh-CN" w:bidi="ar-SA"/>
              </w:rPr>
            </w:pPr>
            <w:r>
              <w:rPr>
                <w:rFonts w:hint="eastAsia"/>
                <w:color w:val="auto"/>
                <w:kern w:val="2"/>
                <w:sz w:val="20"/>
                <w:szCs w:val="20"/>
                <w:lang w:val="en-US" w:eastAsia="zh-CN"/>
              </w:rPr>
              <w:t>确立</w:t>
            </w:r>
            <w:r>
              <w:rPr>
                <w:rFonts w:hint="eastAsia"/>
                <w:color w:val="auto"/>
                <w:kern w:val="2"/>
                <w:sz w:val="20"/>
                <w:szCs w:val="20"/>
              </w:rPr>
              <w:t>患者至上</w:t>
            </w:r>
            <w:r>
              <w:rPr>
                <w:rFonts w:hint="eastAsia"/>
                <w:color w:val="auto"/>
                <w:kern w:val="2"/>
                <w:sz w:val="20"/>
                <w:szCs w:val="20"/>
                <w:lang w:val="en-US" w:eastAsia="zh-CN"/>
              </w:rPr>
              <w:t>的服务理念，坚持</w:t>
            </w:r>
            <w:r>
              <w:rPr>
                <w:rFonts w:hint="eastAsia"/>
                <w:color w:val="auto"/>
                <w:kern w:val="2"/>
                <w:sz w:val="20"/>
                <w:szCs w:val="20"/>
              </w:rPr>
              <w:t>最优化、知情同意</w:t>
            </w:r>
            <w:r>
              <w:rPr>
                <w:rFonts w:hint="eastAsia"/>
                <w:color w:val="auto"/>
                <w:kern w:val="2"/>
                <w:sz w:val="20"/>
                <w:szCs w:val="20"/>
                <w:lang w:val="en-US" w:eastAsia="zh-CN"/>
              </w:rPr>
              <w:t>和</w:t>
            </w:r>
            <w:r>
              <w:rPr>
                <w:rFonts w:hint="eastAsia"/>
                <w:color w:val="auto"/>
                <w:kern w:val="2"/>
                <w:sz w:val="20"/>
                <w:szCs w:val="20"/>
              </w:rPr>
              <w:t>保密守信原则</w:t>
            </w:r>
            <w:r>
              <w:rPr>
                <w:rFonts w:hint="eastAsia"/>
                <w:color w:val="auto"/>
                <w:kern w:val="2"/>
                <w:sz w:val="20"/>
                <w:szCs w:val="20"/>
                <w:lang w:eastAsia="zh-CN"/>
              </w:rPr>
              <w:t>。</w:t>
            </w:r>
          </w:p>
        </w:tc>
        <w:tc>
          <w:tcPr>
            <w:tcW w:w="1387" w:type="dxa"/>
            <w:vAlign w:val="top"/>
          </w:tcPr>
          <w:p w14:paraId="115C2EB0">
            <w:pPr>
              <w:pStyle w:val="6"/>
              <w:widowControl w:val="0"/>
              <w:spacing w:line="300" w:lineRule="exact"/>
              <w:ind w:right="-154" w:rightChars="-64"/>
              <w:jc w:val="both"/>
              <w:rPr>
                <w:color w:val="auto"/>
                <w:kern w:val="2"/>
                <w:sz w:val="20"/>
                <w:szCs w:val="20"/>
              </w:rPr>
            </w:pPr>
            <w:r>
              <w:rPr>
                <w:rFonts w:hint="eastAsia"/>
                <w:color w:val="auto"/>
                <w:kern w:val="2"/>
                <w:sz w:val="20"/>
                <w:szCs w:val="20"/>
              </w:rPr>
              <w:t>1.临床诊疗伦理的具体原则，包括患者至上、最优化、知情同意、保密守信原则）。</w:t>
            </w:r>
          </w:p>
          <w:p w14:paraId="30534985">
            <w:pPr>
              <w:pStyle w:val="6"/>
              <w:widowControl w:val="0"/>
              <w:spacing w:line="300" w:lineRule="exact"/>
              <w:ind w:right="-154" w:rightChars="-64"/>
              <w:jc w:val="both"/>
              <w:rPr>
                <w:rFonts w:ascii="宋体" w:hAnsi="宋体" w:eastAsia="宋体" w:cs="宋体"/>
                <w:color w:val="auto"/>
                <w:kern w:val="2"/>
                <w:sz w:val="20"/>
                <w:szCs w:val="20"/>
                <w:lang w:val="en-US" w:eastAsia="zh-CN" w:bidi="ar-SA"/>
              </w:rPr>
            </w:pPr>
          </w:p>
        </w:tc>
      </w:tr>
      <w:tr w14:paraId="795CD3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065D1C65">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7</w:t>
            </w:r>
          </w:p>
        </w:tc>
        <w:tc>
          <w:tcPr>
            <w:tcW w:w="679" w:type="dxa"/>
            <w:vAlign w:val="center"/>
          </w:tcPr>
          <w:p w14:paraId="04C5978A">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临终关怀与死亡伦理</w:t>
            </w:r>
          </w:p>
        </w:tc>
        <w:tc>
          <w:tcPr>
            <w:tcW w:w="2460" w:type="dxa"/>
            <w:vAlign w:val="top"/>
          </w:tcPr>
          <w:p w14:paraId="23384DC9">
            <w:pPr>
              <w:widowControl w:val="0"/>
              <w:spacing w:line="300" w:lineRule="exact"/>
              <w:jc w:val="both"/>
              <w:rPr>
                <w:rFonts w:hint="eastAsia" w:ascii="宋体" w:hAnsi="宋体" w:eastAsia="宋体" w:cs="宋体"/>
                <w:kern w:val="0"/>
                <w:sz w:val="20"/>
                <w:szCs w:val="20"/>
                <w:lang w:val="en-US" w:eastAsia="zh-CN" w:bidi="ar-SA"/>
              </w:rPr>
            </w:pPr>
            <w:r>
              <w:rPr>
                <w:rFonts w:hint="eastAsia" w:ascii="宋体" w:hAnsi="宋体"/>
                <w:kern w:val="0"/>
                <w:sz w:val="20"/>
                <w:szCs w:val="20"/>
                <w:lang w:val="en-US" w:eastAsia="zh-CN"/>
              </w:rPr>
              <w:t>1.</w:t>
            </w:r>
            <w:r>
              <w:rPr>
                <w:rFonts w:hint="eastAsia" w:ascii="宋体" w:hAnsi="宋体"/>
                <w:kern w:val="0"/>
                <w:sz w:val="20"/>
                <w:szCs w:val="20"/>
              </w:rPr>
              <w:t xml:space="preserve">知道临终关怀的道德要求。安乐死的伦理争论与期待。死亡标准的具体内容。理解临终关怀的意义。               </w:t>
            </w:r>
            <w:r>
              <w:rPr>
                <w:rFonts w:hint="eastAsia" w:ascii="宋体" w:hAnsi="宋体"/>
                <w:kern w:val="0"/>
                <w:sz w:val="20"/>
                <w:szCs w:val="20"/>
                <w:lang w:val="en-US" w:eastAsia="zh-CN"/>
              </w:rPr>
              <w:t>2</w:t>
            </w:r>
            <w:r>
              <w:rPr>
                <w:rFonts w:hint="eastAsia" w:ascii="宋体" w:hAnsi="宋体"/>
                <w:kern w:val="0"/>
                <w:sz w:val="20"/>
                <w:szCs w:val="20"/>
              </w:rPr>
              <w:t>.了解临终关怀的概念与历史 安乐死的定义与发展。</w:t>
            </w:r>
          </w:p>
        </w:tc>
        <w:tc>
          <w:tcPr>
            <w:tcW w:w="1716" w:type="dxa"/>
            <w:vAlign w:val="top"/>
          </w:tcPr>
          <w:p w14:paraId="7CF9D93A">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1.能正确指导并实施临终关怀</w:t>
            </w:r>
          </w:p>
        </w:tc>
        <w:tc>
          <w:tcPr>
            <w:tcW w:w="1813" w:type="dxa"/>
            <w:vAlign w:val="top"/>
          </w:tcPr>
          <w:p w14:paraId="232A0B53">
            <w:pPr>
              <w:pStyle w:val="6"/>
              <w:widowControl w:val="0"/>
              <w:spacing w:line="300" w:lineRule="exact"/>
              <w:ind w:right="-154" w:rightChars="-64"/>
              <w:jc w:val="left"/>
              <w:rPr>
                <w:rFonts w:hint="eastAsia" w:ascii="宋体" w:hAnsi="宋体" w:eastAsia="宋体" w:cs="宋体"/>
                <w:color w:val="auto"/>
                <w:kern w:val="2"/>
                <w:sz w:val="20"/>
                <w:szCs w:val="20"/>
                <w:lang w:val="en-US" w:eastAsia="zh-CN" w:bidi="ar-SA"/>
              </w:rPr>
            </w:pPr>
            <w:r>
              <w:rPr>
                <w:rFonts w:hint="eastAsia"/>
                <w:color w:val="auto"/>
                <w:kern w:val="2"/>
                <w:sz w:val="20"/>
                <w:szCs w:val="20"/>
                <w:lang w:val="en-US" w:eastAsia="zh-CN"/>
              </w:rPr>
              <w:t>具有</w:t>
            </w:r>
            <w:r>
              <w:rPr>
                <w:rFonts w:hint="eastAsia"/>
                <w:color w:val="auto"/>
                <w:kern w:val="2"/>
                <w:sz w:val="20"/>
                <w:szCs w:val="20"/>
              </w:rPr>
              <w:t>关爱尊敬临终者，爱岗敬业、无私奉献的职业观</w:t>
            </w:r>
          </w:p>
        </w:tc>
        <w:tc>
          <w:tcPr>
            <w:tcW w:w="1387" w:type="dxa"/>
            <w:vAlign w:val="top"/>
          </w:tcPr>
          <w:p w14:paraId="115DA379">
            <w:pPr>
              <w:widowControl w:val="0"/>
              <w:spacing w:line="300" w:lineRule="exact"/>
              <w:jc w:val="both"/>
              <w:rPr>
                <w:rFonts w:hint="eastAsia" w:ascii="宋体" w:hAnsi="宋体"/>
                <w:kern w:val="0"/>
                <w:sz w:val="20"/>
                <w:szCs w:val="20"/>
                <w:lang w:val="en-US" w:eastAsia="zh-CN"/>
              </w:rPr>
            </w:pPr>
            <w:r>
              <w:rPr>
                <w:rFonts w:hint="eastAsia" w:ascii="宋体" w:hAnsi="宋体"/>
                <w:kern w:val="0"/>
                <w:sz w:val="20"/>
                <w:szCs w:val="20"/>
                <w:lang w:val="en-US" w:eastAsia="zh-CN"/>
              </w:rPr>
              <w:t>1.临终关怀的道德要求。   2.安乐死的伦理争论与期待。</w:t>
            </w:r>
          </w:p>
          <w:p w14:paraId="519E1C33">
            <w:pPr>
              <w:widowControl w:val="0"/>
              <w:spacing w:line="300" w:lineRule="exact"/>
              <w:jc w:val="both"/>
              <w:rPr>
                <w:rFonts w:ascii="宋体" w:hAnsi="宋体" w:eastAsia="宋体" w:cs="宋体"/>
                <w:color w:val="auto"/>
                <w:kern w:val="2"/>
                <w:sz w:val="20"/>
                <w:szCs w:val="20"/>
                <w:lang w:val="en-US" w:eastAsia="zh-CN" w:bidi="ar-SA"/>
              </w:rPr>
            </w:pPr>
            <w:r>
              <w:rPr>
                <w:rFonts w:hint="eastAsia" w:ascii="宋体" w:hAnsi="宋体"/>
                <w:kern w:val="0"/>
                <w:sz w:val="20"/>
                <w:szCs w:val="20"/>
                <w:lang w:val="en-US" w:eastAsia="zh-CN"/>
              </w:rPr>
              <w:t>3.死亡标准的具体内容。</w:t>
            </w:r>
          </w:p>
        </w:tc>
      </w:tr>
      <w:tr w14:paraId="05DE97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119B46B6">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8</w:t>
            </w:r>
          </w:p>
        </w:tc>
        <w:tc>
          <w:tcPr>
            <w:tcW w:w="679" w:type="dxa"/>
            <w:vAlign w:val="center"/>
          </w:tcPr>
          <w:p w14:paraId="0F9780B5">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医学科研伦理</w:t>
            </w:r>
          </w:p>
        </w:tc>
        <w:tc>
          <w:tcPr>
            <w:tcW w:w="2460" w:type="dxa"/>
            <w:vAlign w:val="top"/>
          </w:tcPr>
          <w:p w14:paraId="02DA5D21">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 xml:space="preserve">1.知道医学科研伦理的要求；涉及人的生物医学研究的伦理原则；动物实验的伦理原则和特点；医学伦理审查的原则。 </w:t>
            </w:r>
            <w:r>
              <w:rPr>
                <w:color w:val="auto"/>
                <w:kern w:val="2"/>
                <w:sz w:val="20"/>
                <w:szCs w:val="20"/>
              </w:rPr>
              <w:t xml:space="preserve">          </w:t>
            </w:r>
            <w:r>
              <w:rPr>
                <w:rFonts w:hint="eastAsia"/>
                <w:color w:val="auto"/>
                <w:kern w:val="2"/>
                <w:sz w:val="20"/>
                <w:szCs w:val="20"/>
              </w:rPr>
              <w:t>2.理解医学科研的含义；涉及人的生物医学研究的含义及类型；动物实验的 概念；医学伦理审查的机构和内容。</w:t>
            </w:r>
          </w:p>
        </w:tc>
        <w:tc>
          <w:tcPr>
            <w:tcW w:w="1716" w:type="dxa"/>
            <w:vAlign w:val="top"/>
          </w:tcPr>
          <w:p w14:paraId="35E0DC86">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 xml:space="preserve">1.能够在涉及人及动物的科学试验中先进行伦理审查。 </w:t>
            </w:r>
            <w:r>
              <w:rPr>
                <w:color w:val="auto"/>
                <w:kern w:val="2"/>
                <w:sz w:val="20"/>
                <w:szCs w:val="20"/>
              </w:rPr>
              <w:t xml:space="preserve">     </w:t>
            </w:r>
            <w:r>
              <w:rPr>
                <w:rFonts w:hint="eastAsia"/>
                <w:color w:val="auto"/>
                <w:kern w:val="2"/>
                <w:sz w:val="20"/>
                <w:szCs w:val="20"/>
              </w:rPr>
              <w:t xml:space="preserve">2.能够在科学实验中遵循知情同意、保护受试者的原则。 </w:t>
            </w:r>
            <w:r>
              <w:rPr>
                <w:color w:val="auto"/>
                <w:kern w:val="2"/>
                <w:sz w:val="20"/>
                <w:szCs w:val="20"/>
              </w:rPr>
              <w:t xml:space="preserve">   </w:t>
            </w:r>
            <w:r>
              <w:rPr>
                <w:rFonts w:hint="eastAsia"/>
                <w:color w:val="auto"/>
                <w:kern w:val="2"/>
                <w:sz w:val="20"/>
                <w:szCs w:val="20"/>
              </w:rPr>
              <w:t>3.能够在写科研论文实事求是，不做假。</w:t>
            </w:r>
          </w:p>
        </w:tc>
        <w:tc>
          <w:tcPr>
            <w:tcW w:w="1813" w:type="dxa"/>
            <w:vAlign w:val="top"/>
          </w:tcPr>
          <w:p w14:paraId="652FA484">
            <w:pPr>
              <w:widowControl w:val="0"/>
              <w:snapToGrid w:val="0"/>
              <w:spacing w:line="288" w:lineRule="auto"/>
              <w:jc w:val="left"/>
              <w:rPr>
                <w:rFonts w:hint="eastAsia" w:ascii="宋体" w:hAnsi="宋体" w:eastAsia="宋体" w:cs="Times New Roman"/>
                <w:color w:val="auto"/>
                <w:kern w:val="2"/>
                <w:sz w:val="20"/>
                <w:szCs w:val="20"/>
                <w:lang w:val="en-US" w:eastAsia="zh-CN" w:bidi="ar-SA"/>
              </w:rPr>
            </w:pPr>
            <w:r>
              <w:rPr>
                <w:rFonts w:hint="eastAsia" w:ascii="宋体" w:hAnsi="宋体" w:eastAsia="宋体" w:cs="Times New Roman"/>
                <w:color w:val="auto"/>
                <w:kern w:val="2"/>
                <w:sz w:val="20"/>
                <w:szCs w:val="20"/>
                <w:lang w:val="en-US" w:eastAsia="zh-CN" w:bidi="ar-SA"/>
              </w:rPr>
              <w:t>1.弘扬学术道德，恪守规范</w:t>
            </w:r>
          </w:p>
          <w:p w14:paraId="7BC0B65E">
            <w:pPr>
              <w:widowControl w:val="0"/>
              <w:snapToGrid w:val="0"/>
              <w:spacing w:line="288" w:lineRule="auto"/>
              <w:jc w:val="left"/>
              <w:rPr>
                <w:rFonts w:hint="eastAsia" w:ascii="宋体" w:hAnsi="宋体" w:eastAsia="宋体" w:cs="Times New Roman"/>
                <w:color w:val="auto"/>
                <w:kern w:val="2"/>
                <w:sz w:val="20"/>
                <w:szCs w:val="20"/>
                <w:lang w:val="en-US" w:eastAsia="zh-CN" w:bidi="ar-SA"/>
              </w:rPr>
            </w:pPr>
            <w:r>
              <w:rPr>
                <w:rFonts w:hint="eastAsia" w:ascii="宋体" w:hAnsi="宋体" w:eastAsia="宋体" w:cs="Times New Roman"/>
                <w:color w:val="auto"/>
                <w:kern w:val="2"/>
                <w:sz w:val="20"/>
                <w:szCs w:val="20"/>
                <w:lang w:val="en-US" w:eastAsia="zh-CN" w:bidi="ar-SA"/>
              </w:rPr>
              <w:t>2.尊重科学、尊重事实、坚持真理</w:t>
            </w:r>
          </w:p>
          <w:p w14:paraId="133DBEF5">
            <w:pPr>
              <w:widowControl w:val="0"/>
              <w:snapToGrid w:val="0"/>
              <w:spacing w:line="288" w:lineRule="auto"/>
              <w:jc w:val="left"/>
              <w:rPr>
                <w:rFonts w:hint="eastAsia" w:ascii="宋体" w:hAnsi="宋体" w:eastAsia="宋体" w:cs="宋体"/>
                <w:color w:val="auto"/>
                <w:kern w:val="2"/>
                <w:sz w:val="20"/>
                <w:szCs w:val="20"/>
                <w:lang w:val="en-US" w:eastAsia="zh-CN" w:bidi="ar-SA"/>
              </w:rPr>
            </w:pPr>
            <w:r>
              <w:rPr>
                <w:rFonts w:hint="eastAsia" w:ascii="宋体" w:hAnsi="宋体" w:eastAsia="宋体" w:cs="Times New Roman"/>
                <w:color w:val="auto"/>
                <w:kern w:val="2"/>
                <w:sz w:val="20"/>
                <w:szCs w:val="20"/>
                <w:lang w:val="en-US" w:eastAsia="zh-CN" w:bidi="ar-SA"/>
              </w:rPr>
              <w:t>3.培养创新思维和科研兴趣</w:t>
            </w:r>
          </w:p>
        </w:tc>
        <w:tc>
          <w:tcPr>
            <w:tcW w:w="1387" w:type="dxa"/>
            <w:vAlign w:val="top"/>
          </w:tcPr>
          <w:p w14:paraId="60012D96">
            <w:pPr>
              <w:widowControl w:val="0"/>
              <w:spacing w:line="300" w:lineRule="exact"/>
              <w:jc w:val="both"/>
              <w:rPr>
                <w:rFonts w:hint="eastAsia" w:ascii="宋体" w:hAnsi="宋体"/>
                <w:kern w:val="0"/>
                <w:sz w:val="20"/>
                <w:szCs w:val="20"/>
              </w:rPr>
            </w:pPr>
            <w:r>
              <w:rPr>
                <w:rFonts w:hint="eastAsia" w:ascii="宋体" w:hAnsi="宋体"/>
                <w:kern w:val="0"/>
                <w:sz w:val="20"/>
                <w:szCs w:val="20"/>
              </w:rPr>
              <w:t>1.医学科研伦理的要求；   2.涉及人的生物医学研究的伦理原则；</w:t>
            </w:r>
          </w:p>
          <w:p w14:paraId="29288806">
            <w:pPr>
              <w:widowControl w:val="0"/>
              <w:spacing w:line="300" w:lineRule="exact"/>
              <w:jc w:val="left"/>
              <w:rPr>
                <w:rFonts w:ascii="宋体" w:hAnsi="宋体" w:eastAsia="宋体" w:cs="宋体"/>
                <w:color w:val="auto"/>
                <w:kern w:val="2"/>
                <w:sz w:val="20"/>
                <w:szCs w:val="20"/>
                <w:lang w:val="en-US" w:eastAsia="zh-CN" w:bidi="ar-SA"/>
              </w:rPr>
            </w:pPr>
            <w:r>
              <w:rPr>
                <w:rFonts w:hint="eastAsia" w:ascii="宋体" w:hAnsi="宋体"/>
                <w:kern w:val="0"/>
                <w:sz w:val="20"/>
                <w:szCs w:val="20"/>
                <w:lang w:val="en-US" w:eastAsia="zh-CN"/>
              </w:rPr>
              <w:t>3.</w:t>
            </w:r>
            <w:r>
              <w:rPr>
                <w:rFonts w:hint="eastAsia" w:ascii="宋体" w:hAnsi="宋体"/>
                <w:kern w:val="0"/>
                <w:sz w:val="20"/>
                <w:szCs w:val="20"/>
              </w:rPr>
              <w:t>动物实验的伦理原则和特点；     4.医学伦理审查的原则。</w:t>
            </w:r>
          </w:p>
        </w:tc>
      </w:tr>
      <w:tr w14:paraId="33AB2E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5C6840F2">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9</w:t>
            </w:r>
          </w:p>
        </w:tc>
        <w:tc>
          <w:tcPr>
            <w:tcW w:w="679" w:type="dxa"/>
            <w:vAlign w:val="center"/>
          </w:tcPr>
          <w:p w14:paraId="1041DF22">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卫生管理伦理</w:t>
            </w:r>
          </w:p>
        </w:tc>
        <w:tc>
          <w:tcPr>
            <w:tcW w:w="2460" w:type="dxa"/>
            <w:vAlign w:val="top"/>
          </w:tcPr>
          <w:p w14:paraId="60699128">
            <w:pPr>
              <w:widowControl w:val="0"/>
              <w:spacing w:line="300" w:lineRule="exact"/>
              <w:jc w:val="left"/>
              <w:rPr>
                <w:rFonts w:hint="eastAsia" w:ascii="宋体" w:hAnsi="宋体"/>
                <w:kern w:val="0"/>
                <w:sz w:val="20"/>
                <w:szCs w:val="20"/>
                <w:lang w:val="en-US" w:eastAsia="zh-CN"/>
              </w:rPr>
            </w:pPr>
            <w:r>
              <w:rPr>
                <w:rFonts w:hint="eastAsia" w:ascii="宋体" w:hAnsi="宋体"/>
                <w:kern w:val="0"/>
                <w:sz w:val="20"/>
                <w:szCs w:val="20"/>
                <w:lang w:val="en-US" w:eastAsia="zh-CN"/>
              </w:rPr>
              <w:t>1.知道卫生管理伦理的含义、作用及实质。</w:t>
            </w:r>
          </w:p>
          <w:p w14:paraId="4D6586E3">
            <w:pPr>
              <w:widowControl w:val="0"/>
              <w:spacing w:line="300" w:lineRule="exact"/>
              <w:jc w:val="left"/>
              <w:rPr>
                <w:rFonts w:ascii="宋体" w:hAnsi="宋体" w:eastAsia="宋体" w:cs="宋体"/>
                <w:color w:val="auto"/>
                <w:kern w:val="2"/>
                <w:sz w:val="20"/>
                <w:szCs w:val="20"/>
                <w:lang w:val="en-US" w:eastAsia="zh-CN" w:bidi="ar-SA"/>
              </w:rPr>
            </w:pPr>
            <w:r>
              <w:rPr>
                <w:rFonts w:hint="eastAsia" w:ascii="宋体" w:hAnsi="宋体"/>
                <w:kern w:val="0"/>
                <w:sz w:val="20"/>
                <w:szCs w:val="20"/>
                <w:lang w:val="en-US" w:eastAsia="zh-CN"/>
              </w:rPr>
              <w:t>2.理解卫生管理伦理的特殊性与具体原则。               3.了解卫生管理中的有关伦理难题。</w:t>
            </w:r>
          </w:p>
        </w:tc>
        <w:tc>
          <w:tcPr>
            <w:tcW w:w="1716" w:type="dxa"/>
            <w:vAlign w:val="top"/>
          </w:tcPr>
          <w:p w14:paraId="749A011C">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1．能将卫生管理伦理要求运用于实际工作中。</w:t>
            </w:r>
          </w:p>
        </w:tc>
        <w:tc>
          <w:tcPr>
            <w:tcW w:w="1813" w:type="dxa"/>
            <w:vAlign w:val="top"/>
          </w:tcPr>
          <w:p w14:paraId="4FEE478D">
            <w:pPr>
              <w:widowControl w:val="0"/>
              <w:snapToGrid w:val="0"/>
              <w:spacing w:line="288" w:lineRule="auto"/>
              <w:jc w:val="left"/>
              <w:rPr>
                <w:rFonts w:hint="eastAsia" w:ascii="宋体" w:hAnsi="宋体" w:eastAsia="宋体" w:cs="宋体"/>
                <w:color w:val="auto"/>
                <w:kern w:val="2"/>
                <w:sz w:val="20"/>
                <w:szCs w:val="20"/>
                <w:lang w:val="en-US" w:eastAsia="zh-CN" w:bidi="ar-SA"/>
              </w:rPr>
            </w:pPr>
            <w:r>
              <w:rPr>
                <w:rFonts w:hint="eastAsia" w:ascii="宋体" w:hAnsi="宋体"/>
                <w:color w:val="000000"/>
                <w:sz w:val="20"/>
                <w:szCs w:val="20"/>
                <w:lang w:val="en-US" w:eastAsia="zh-CN"/>
              </w:rPr>
              <w:t>树立“责任、义务、奉献、担当”的精神信念</w:t>
            </w:r>
          </w:p>
        </w:tc>
        <w:tc>
          <w:tcPr>
            <w:tcW w:w="1387" w:type="dxa"/>
            <w:vAlign w:val="top"/>
          </w:tcPr>
          <w:p w14:paraId="69F67CD6">
            <w:pPr>
              <w:pStyle w:val="6"/>
              <w:widowControl w:val="0"/>
              <w:spacing w:line="300" w:lineRule="exact"/>
              <w:ind w:right="-154" w:rightChars="-64"/>
              <w:jc w:val="both"/>
              <w:rPr>
                <w:rFonts w:ascii="宋体" w:hAnsi="宋体" w:eastAsia="宋体" w:cs="宋体"/>
                <w:color w:val="auto"/>
                <w:kern w:val="2"/>
                <w:sz w:val="20"/>
                <w:szCs w:val="20"/>
                <w:lang w:val="en-US" w:eastAsia="zh-CN" w:bidi="ar-SA"/>
              </w:rPr>
            </w:pPr>
            <w:r>
              <w:rPr>
                <w:rFonts w:hint="eastAsia"/>
                <w:color w:val="auto"/>
                <w:kern w:val="2"/>
                <w:sz w:val="20"/>
                <w:szCs w:val="20"/>
              </w:rPr>
              <w:t>1.卫生管理伦理的含义、作用及实质。</w:t>
            </w:r>
          </w:p>
        </w:tc>
      </w:tr>
      <w:tr w14:paraId="1D863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74DC94DC">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10</w:t>
            </w:r>
          </w:p>
        </w:tc>
        <w:tc>
          <w:tcPr>
            <w:tcW w:w="679" w:type="dxa"/>
            <w:vAlign w:val="center"/>
          </w:tcPr>
          <w:p w14:paraId="0643E566">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医学伦理教育、修养与评价</w:t>
            </w:r>
          </w:p>
        </w:tc>
        <w:tc>
          <w:tcPr>
            <w:tcW w:w="2460" w:type="dxa"/>
            <w:vAlign w:val="top"/>
          </w:tcPr>
          <w:p w14:paraId="782EBDAB">
            <w:pPr>
              <w:pStyle w:val="6"/>
              <w:widowControl w:val="0"/>
              <w:tabs>
                <w:tab w:val="left" w:pos="312"/>
              </w:tabs>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 xml:space="preserve">1.知道医学伦理修养的途径与境界；医学伦理评价的标准、依据和方式。 </w:t>
            </w:r>
            <w:r>
              <w:rPr>
                <w:color w:val="auto"/>
                <w:kern w:val="2"/>
                <w:sz w:val="20"/>
                <w:szCs w:val="20"/>
              </w:rPr>
              <w:t xml:space="preserve">            </w:t>
            </w:r>
            <w:r>
              <w:rPr>
                <w:rFonts w:hint="eastAsia"/>
                <w:color w:val="auto"/>
                <w:kern w:val="2"/>
                <w:sz w:val="20"/>
                <w:szCs w:val="20"/>
              </w:rPr>
              <w:t xml:space="preserve">2.理解医学伦理教育、修养和 评价的概念和内涵。 </w:t>
            </w:r>
            <w:r>
              <w:rPr>
                <w:color w:val="auto"/>
                <w:kern w:val="2"/>
                <w:sz w:val="20"/>
                <w:szCs w:val="20"/>
              </w:rPr>
              <w:t xml:space="preserve">            </w:t>
            </w:r>
            <w:r>
              <w:rPr>
                <w:rFonts w:hint="eastAsia"/>
                <w:color w:val="auto"/>
                <w:kern w:val="2"/>
                <w:sz w:val="20"/>
                <w:szCs w:val="20"/>
              </w:rPr>
              <w:t>3.了解医学伦理教育、修养和评价的过程及意义。</w:t>
            </w:r>
          </w:p>
        </w:tc>
        <w:tc>
          <w:tcPr>
            <w:tcW w:w="1716" w:type="dxa"/>
            <w:vAlign w:val="top"/>
          </w:tcPr>
          <w:p w14:paraId="18771BA4">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1.能不断加强自身医学伦理修养，成为具有服务企业、服务社会意愿和行为能力的合格人才。</w:t>
            </w:r>
          </w:p>
        </w:tc>
        <w:tc>
          <w:tcPr>
            <w:tcW w:w="1813" w:type="dxa"/>
            <w:vAlign w:val="top"/>
          </w:tcPr>
          <w:p w14:paraId="484A4EA1">
            <w:pPr>
              <w:pStyle w:val="6"/>
              <w:widowControl w:val="0"/>
              <w:spacing w:line="300" w:lineRule="exact"/>
              <w:ind w:right="-154" w:rightChars="-64"/>
              <w:jc w:val="left"/>
              <w:rPr>
                <w:rFonts w:hint="default" w:ascii="宋体" w:hAnsi="宋体" w:cs="宋体" w:eastAsiaTheme="minorEastAsia"/>
                <w:color w:val="auto"/>
                <w:kern w:val="2"/>
                <w:sz w:val="20"/>
                <w:szCs w:val="20"/>
                <w:lang w:val="en-US" w:eastAsia="zh-CN" w:bidi="ar-SA"/>
              </w:rPr>
            </w:pPr>
            <w:r>
              <w:rPr>
                <w:rFonts w:hint="eastAsia"/>
                <w:color w:val="auto"/>
                <w:kern w:val="2"/>
                <w:sz w:val="20"/>
                <w:szCs w:val="20"/>
                <w:lang w:val="en-US" w:eastAsia="zh-CN"/>
              </w:rPr>
              <w:t>能从“</w:t>
            </w:r>
            <w:r>
              <w:rPr>
                <w:rFonts w:hint="eastAsia"/>
                <w:color w:val="auto"/>
                <w:kern w:val="2"/>
                <w:sz w:val="20"/>
                <w:szCs w:val="20"/>
              </w:rPr>
              <w:t>理论、意识、情感、行为、智</w:t>
            </w:r>
            <w:r>
              <w:rPr>
                <w:rFonts w:hint="eastAsia" w:asciiTheme="minorEastAsia" w:hAnsiTheme="minorEastAsia" w:eastAsiaTheme="minorEastAsia" w:cstheme="minorEastAsia"/>
                <w:sz w:val="20"/>
                <w:szCs w:val="20"/>
              </w:rPr>
              <w:t>慧</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五个方面，不断提高自身伦理修养。</w:t>
            </w:r>
          </w:p>
        </w:tc>
        <w:tc>
          <w:tcPr>
            <w:tcW w:w="1387" w:type="dxa"/>
            <w:vAlign w:val="top"/>
          </w:tcPr>
          <w:p w14:paraId="0745513E">
            <w:pPr>
              <w:pStyle w:val="6"/>
              <w:widowControl w:val="0"/>
              <w:tabs>
                <w:tab w:val="left" w:pos="312"/>
              </w:tabs>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lang w:val="en-US" w:eastAsia="zh-CN"/>
              </w:rPr>
              <w:t>1.</w:t>
            </w:r>
            <w:r>
              <w:rPr>
                <w:rFonts w:hint="eastAsia"/>
                <w:color w:val="auto"/>
                <w:kern w:val="2"/>
                <w:sz w:val="20"/>
                <w:szCs w:val="20"/>
              </w:rPr>
              <w:t xml:space="preserve">医学伦理修养的途径与境界。      </w:t>
            </w:r>
            <w:r>
              <w:rPr>
                <w:rFonts w:hint="eastAsia"/>
                <w:color w:val="auto"/>
                <w:kern w:val="2"/>
                <w:sz w:val="20"/>
                <w:szCs w:val="20"/>
                <w:lang w:val="en-US" w:eastAsia="zh-CN"/>
              </w:rPr>
              <w:t>2.</w:t>
            </w:r>
            <w:r>
              <w:rPr>
                <w:rFonts w:hint="eastAsia"/>
                <w:color w:val="auto"/>
                <w:kern w:val="2"/>
                <w:sz w:val="20"/>
                <w:szCs w:val="20"/>
              </w:rPr>
              <w:t>医学伦理评价的标准、依据和方式。</w:t>
            </w:r>
          </w:p>
        </w:tc>
      </w:tr>
    </w:tbl>
    <w:p w14:paraId="23E5E599">
      <w:pPr>
        <w:pStyle w:val="17"/>
        <w:spacing w:before="81" w:after="163"/>
        <w:rPr>
          <w:rFonts w:hint="eastAsia"/>
        </w:rPr>
      </w:pPr>
    </w:p>
    <w:p w14:paraId="6DE5628A">
      <w:pPr>
        <w:pStyle w:val="17"/>
        <w:spacing w:before="81" w:after="163"/>
      </w:pPr>
      <w:r>
        <w:rPr>
          <w:rFonts w:hint="eastAsia"/>
        </w:rPr>
        <w:t>（二）教学单元对课程目标的支撑关系</w:t>
      </w:r>
    </w:p>
    <w:tbl>
      <w:tblPr>
        <w:tblStyle w:val="7"/>
        <w:tblW w:w="4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87"/>
        <w:gridCol w:w="950"/>
        <w:gridCol w:w="950"/>
        <w:gridCol w:w="950"/>
        <w:gridCol w:w="950"/>
        <w:gridCol w:w="954"/>
      </w:tblGrid>
      <w:tr w14:paraId="0FC9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487" w:type="dxa"/>
            <w:tcBorders>
              <w:top w:val="single" w:color="auto" w:sz="12" w:space="0"/>
              <w:left w:val="single" w:color="auto" w:sz="12" w:space="0"/>
              <w:tl2br w:val="single" w:color="auto" w:sz="4" w:space="0"/>
            </w:tcBorders>
          </w:tcPr>
          <w:p w14:paraId="185D0C30">
            <w:pPr>
              <w:pStyle w:val="13"/>
              <w:ind w:firstLine="489"/>
              <w:jc w:val="right"/>
              <w:rPr>
                <w:szCs w:val="16"/>
              </w:rPr>
            </w:pPr>
            <w:r>
              <w:rPr>
                <w:rFonts w:hint="eastAsia"/>
                <w:szCs w:val="16"/>
              </w:rPr>
              <w:t>课程目标</w:t>
            </w:r>
          </w:p>
          <w:p w14:paraId="16A8A263">
            <w:pPr>
              <w:pStyle w:val="13"/>
              <w:ind w:right="210"/>
              <w:jc w:val="left"/>
              <w:rPr>
                <w:rFonts w:hint="eastAsia"/>
                <w:szCs w:val="16"/>
              </w:rPr>
            </w:pPr>
          </w:p>
          <w:p w14:paraId="513C28B6">
            <w:pPr>
              <w:pStyle w:val="13"/>
              <w:ind w:right="210"/>
              <w:jc w:val="left"/>
              <w:rPr>
                <w:szCs w:val="16"/>
              </w:rPr>
            </w:pPr>
            <w:r>
              <w:rPr>
                <w:rFonts w:hint="eastAsia"/>
                <w:szCs w:val="16"/>
              </w:rPr>
              <w:t>教学单元</w:t>
            </w:r>
          </w:p>
        </w:tc>
        <w:tc>
          <w:tcPr>
            <w:tcW w:w="950" w:type="dxa"/>
            <w:tcBorders>
              <w:top w:val="single" w:color="auto" w:sz="12" w:space="0"/>
            </w:tcBorders>
            <w:vAlign w:val="center"/>
          </w:tcPr>
          <w:p w14:paraId="13A9B7E5">
            <w:pPr>
              <w:pStyle w:val="13"/>
              <w:rPr>
                <w:rFonts w:hint="eastAsia" w:eastAsia="黑体"/>
                <w:szCs w:val="16"/>
                <w:lang w:val="en-US" w:eastAsia="zh-CN"/>
              </w:rPr>
            </w:pPr>
            <w:r>
              <w:rPr>
                <w:rFonts w:hint="eastAsia"/>
                <w:szCs w:val="16"/>
                <w:lang w:val="en-US" w:eastAsia="zh-CN"/>
              </w:rPr>
              <w:t>1</w:t>
            </w:r>
          </w:p>
        </w:tc>
        <w:tc>
          <w:tcPr>
            <w:tcW w:w="950" w:type="dxa"/>
            <w:tcBorders>
              <w:top w:val="single" w:color="auto" w:sz="12" w:space="0"/>
            </w:tcBorders>
            <w:vAlign w:val="center"/>
          </w:tcPr>
          <w:p w14:paraId="47CDE076">
            <w:pPr>
              <w:pStyle w:val="13"/>
              <w:rPr>
                <w:rFonts w:hint="eastAsia" w:eastAsia="黑体"/>
                <w:szCs w:val="16"/>
                <w:lang w:val="en-US" w:eastAsia="zh-CN"/>
              </w:rPr>
            </w:pPr>
            <w:r>
              <w:rPr>
                <w:rFonts w:hint="eastAsia"/>
                <w:szCs w:val="16"/>
                <w:lang w:val="en-US" w:eastAsia="zh-CN"/>
              </w:rPr>
              <w:t>2</w:t>
            </w:r>
          </w:p>
        </w:tc>
        <w:tc>
          <w:tcPr>
            <w:tcW w:w="950" w:type="dxa"/>
            <w:tcBorders>
              <w:top w:val="single" w:color="auto" w:sz="12" w:space="0"/>
            </w:tcBorders>
            <w:vAlign w:val="center"/>
          </w:tcPr>
          <w:p w14:paraId="1993A032">
            <w:pPr>
              <w:pStyle w:val="13"/>
              <w:rPr>
                <w:rFonts w:hint="eastAsia" w:eastAsia="黑体"/>
                <w:szCs w:val="16"/>
                <w:lang w:val="en-US" w:eastAsia="zh-CN"/>
              </w:rPr>
            </w:pPr>
            <w:r>
              <w:rPr>
                <w:rFonts w:hint="eastAsia"/>
                <w:szCs w:val="16"/>
                <w:lang w:val="en-US" w:eastAsia="zh-CN"/>
              </w:rPr>
              <w:t>3</w:t>
            </w:r>
          </w:p>
        </w:tc>
        <w:tc>
          <w:tcPr>
            <w:tcW w:w="950" w:type="dxa"/>
            <w:tcBorders>
              <w:top w:val="single" w:color="auto" w:sz="12" w:space="0"/>
            </w:tcBorders>
            <w:vAlign w:val="center"/>
          </w:tcPr>
          <w:p w14:paraId="06C015EB">
            <w:pPr>
              <w:pStyle w:val="13"/>
              <w:rPr>
                <w:rFonts w:hint="eastAsia" w:eastAsia="黑体"/>
                <w:szCs w:val="16"/>
                <w:lang w:val="en-US" w:eastAsia="zh-CN"/>
              </w:rPr>
            </w:pPr>
            <w:r>
              <w:rPr>
                <w:rFonts w:hint="eastAsia"/>
                <w:szCs w:val="16"/>
                <w:lang w:val="en-US" w:eastAsia="zh-CN"/>
              </w:rPr>
              <w:t>4</w:t>
            </w:r>
          </w:p>
        </w:tc>
        <w:tc>
          <w:tcPr>
            <w:tcW w:w="954" w:type="dxa"/>
            <w:tcBorders>
              <w:top w:val="single" w:color="auto" w:sz="12" w:space="0"/>
              <w:right w:val="single" w:color="auto" w:sz="12" w:space="0"/>
            </w:tcBorders>
            <w:vAlign w:val="center"/>
          </w:tcPr>
          <w:p w14:paraId="198D850B">
            <w:pPr>
              <w:pStyle w:val="13"/>
              <w:rPr>
                <w:rFonts w:hint="eastAsia" w:eastAsia="黑体"/>
                <w:szCs w:val="16"/>
                <w:lang w:val="en-US" w:eastAsia="zh-CN"/>
              </w:rPr>
            </w:pPr>
            <w:r>
              <w:rPr>
                <w:rFonts w:hint="eastAsia"/>
                <w:szCs w:val="16"/>
                <w:lang w:val="en-US" w:eastAsia="zh-CN"/>
              </w:rPr>
              <w:t>5</w:t>
            </w:r>
          </w:p>
        </w:tc>
      </w:tr>
      <w:tr w14:paraId="06ED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1C2ACBFD">
            <w:pPr>
              <w:snapToGrid w:val="0"/>
              <w:spacing w:line="300" w:lineRule="exact"/>
              <w:jc w:val="left"/>
            </w:pPr>
            <w:r>
              <w:rPr>
                <w:rFonts w:hint="eastAsia"/>
                <w:sz w:val="20"/>
                <w:szCs w:val="20"/>
                <w:lang w:val="en-US" w:eastAsia="zh-CN"/>
              </w:rPr>
              <w:t xml:space="preserve">第一章 </w:t>
            </w:r>
            <w:r>
              <w:rPr>
                <w:rFonts w:hint="eastAsia" w:ascii="宋体" w:hAnsi="宋体"/>
                <w:sz w:val="20"/>
                <w:szCs w:val="20"/>
              </w:rPr>
              <w:t>伦理学与医学伦理学</w:t>
            </w:r>
          </w:p>
        </w:tc>
        <w:tc>
          <w:tcPr>
            <w:tcW w:w="950" w:type="dxa"/>
            <w:vAlign w:val="center"/>
          </w:tcPr>
          <w:p w14:paraId="27EC6D08">
            <w:pPr>
              <w:pStyle w:val="14"/>
              <w:jc w:val="center"/>
            </w:pPr>
            <w:r>
              <w:rPr>
                <w:rFonts w:hint="default" w:ascii="Arial" w:hAnsi="Arial" w:cs="Arial"/>
              </w:rPr>
              <w:t>√</w:t>
            </w:r>
          </w:p>
        </w:tc>
        <w:tc>
          <w:tcPr>
            <w:tcW w:w="950" w:type="dxa"/>
            <w:vAlign w:val="center"/>
          </w:tcPr>
          <w:p w14:paraId="6008E4C9">
            <w:pPr>
              <w:pStyle w:val="14"/>
              <w:jc w:val="center"/>
            </w:pPr>
          </w:p>
        </w:tc>
        <w:tc>
          <w:tcPr>
            <w:tcW w:w="950" w:type="dxa"/>
            <w:vAlign w:val="center"/>
          </w:tcPr>
          <w:p w14:paraId="1058F65A">
            <w:pPr>
              <w:jc w:val="center"/>
            </w:pPr>
            <w:r>
              <w:rPr>
                <w:rFonts w:hint="default" w:ascii="Arial" w:hAnsi="Arial" w:cs="Arial"/>
              </w:rPr>
              <w:t>√</w:t>
            </w:r>
          </w:p>
        </w:tc>
        <w:tc>
          <w:tcPr>
            <w:tcW w:w="950" w:type="dxa"/>
            <w:vAlign w:val="center"/>
          </w:tcPr>
          <w:p w14:paraId="5CB3A970">
            <w:pPr>
              <w:jc w:val="center"/>
            </w:pPr>
          </w:p>
        </w:tc>
        <w:tc>
          <w:tcPr>
            <w:tcW w:w="954" w:type="dxa"/>
            <w:tcBorders>
              <w:right w:val="single" w:color="auto" w:sz="12" w:space="0"/>
            </w:tcBorders>
            <w:vAlign w:val="center"/>
          </w:tcPr>
          <w:p w14:paraId="643965F0">
            <w:pPr>
              <w:jc w:val="center"/>
            </w:pPr>
          </w:p>
        </w:tc>
      </w:tr>
      <w:tr w14:paraId="5AC0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3E80C244">
            <w:pPr>
              <w:spacing w:line="300" w:lineRule="exact"/>
              <w:jc w:val="left"/>
            </w:pPr>
            <w:r>
              <w:rPr>
                <w:rFonts w:hint="eastAsia"/>
                <w:sz w:val="20"/>
                <w:szCs w:val="20"/>
                <w:lang w:val="en-US" w:eastAsia="zh-CN"/>
              </w:rPr>
              <w:t xml:space="preserve">第二章 </w:t>
            </w:r>
            <w:r>
              <w:rPr>
                <w:rFonts w:hint="eastAsia" w:ascii="宋体" w:hAnsi="宋体"/>
                <w:sz w:val="20"/>
                <w:szCs w:val="20"/>
              </w:rPr>
              <w:t>医学伦理学规范体系</w:t>
            </w:r>
          </w:p>
        </w:tc>
        <w:tc>
          <w:tcPr>
            <w:tcW w:w="950" w:type="dxa"/>
            <w:vAlign w:val="center"/>
          </w:tcPr>
          <w:p w14:paraId="48502637">
            <w:pPr>
              <w:pStyle w:val="14"/>
              <w:jc w:val="center"/>
            </w:pPr>
            <w:r>
              <w:rPr>
                <w:rFonts w:hint="default" w:ascii="Arial" w:hAnsi="Arial" w:cs="Arial"/>
              </w:rPr>
              <w:t>√</w:t>
            </w:r>
          </w:p>
        </w:tc>
        <w:tc>
          <w:tcPr>
            <w:tcW w:w="950" w:type="dxa"/>
            <w:vAlign w:val="center"/>
          </w:tcPr>
          <w:p w14:paraId="2A01097E">
            <w:pPr>
              <w:pStyle w:val="14"/>
              <w:jc w:val="center"/>
            </w:pPr>
          </w:p>
        </w:tc>
        <w:tc>
          <w:tcPr>
            <w:tcW w:w="950" w:type="dxa"/>
            <w:vAlign w:val="center"/>
          </w:tcPr>
          <w:p w14:paraId="4A1C6069">
            <w:pPr>
              <w:jc w:val="center"/>
            </w:pPr>
            <w:r>
              <w:rPr>
                <w:rFonts w:hint="default" w:ascii="Arial" w:hAnsi="Arial" w:cs="Arial"/>
              </w:rPr>
              <w:t>√</w:t>
            </w:r>
          </w:p>
        </w:tc>
        <w:tc>
          <w:tcPr>
            <w:tcW w:w="950" w:type="dxa"/>
            <w:vAlign w:val="center"/>
          </w:tcPr>
          <w:p w14:paraId="12014524">
            <w:pPr>
              <w:jc w:val="center"/>
            </w:pPr>
          </w:p>
        </w:tc>
        <w:tc>
          <w:tcPr>
            <w:tcW w:w="954" w:type="dxa"/>
            <w:tcBorders>
              <w:right w:val="single" w:color="auto" w:sz="12" w:space="0"/>
            </w:tcBorders>
            <w:vAlign w:val="center"/>
          </w:tcPr>
          <w:p w14:paraId="1C85D716">
            <w:pPr>
              <w:jc w:val="center"/>
            </w:pPr>
          </w:p>
        </w:tc>
      </w:tr>
      <w:tr w14:paraId="255F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753995ED">
            <w:pPr>
              <w:pStyle w:val="6"/>
              <w:spacing w:before="0" w:beforeAutospacing="0" w:after="0" w:afterAutospacing="0" w:line="300" w:lineRule="exact"/>
            </w:pPr>
            <w:r>
              <w:rPr>
                <w:rFonts w:hint="eastAsia"/>
                <w:sz w:val="20"/>
                <w:szCs w:val="20"/>
                <w:lang w:val="en-US" w:eastAsia="zh-CN"/>
              </w:rPr>
              <w:t xml:space="preserve">第三章 </w:t>
            </w:r>
            <w:r>
              <w:rPr>
                <w:rFonts w:hint="eastAsia"/>
                <w:color w:val="auto"/>
                <w:kern w:val="2"/>
                <w:sz w:val="20"/>
                <w:szCs w:val="20"/>
              </w:rPr>
              <w:t>健康伦理</w:t>
            </w:r>
          </w:p>
        </w:tc>
        <w:tc>
          <w:tcPr>
            <w:tcW w:w="950" w:type="dxa"/>
            <w:vAlign w:val="center"/>
          </w:tcPr>
          <w:p w14:paraId="53F9B2BA">
            <w:pPr>
              <w:pStyle w:val="14"/>
              <w:jc w:val="center"/>
            </w:pPr>
          </w:p>
        </w:tc>
        <w:tc>
          <w:tcPr>
            <w:tcW w:w="950" w:type="dxa"/>
            <w:vAlign w:val="center"/>
          </w:tcPr>
          <w:p w14:paraId="0D683BA7">
            <w:pPr>
              <w:jc w:val="center"/>
            </w:pPr>
            <w:r>
              <w:rPr>
                <w:rFonts w:hint="default" w:ascii="Arial" w:hAnsi="Arial" w:cs="Arial"/>
              </w:rPr>
              <w:t>√</w:t>
            </w:r>
          </w:p>
        </w:tc>
        <w:tc>
          <w:tcPr>
            <w:tcW w:w="950" w:type="dxa"/>
            <w:vAlign w:val="center"/>
          </w:tcPr>
          <w:p w14:paraId="2BF4FFE1">
            <w:pPr>
              <w:jc w:val="center"/>
            </w:pPr>
            <w:r>
              <w:rPr>
                <w:rFonts w:hint="default" w:ascii="Arial" w:hAnsi="Arial" w:cs="Arial"/>
              </w:rPr>
              <w:t>√</w:t>
            </w:r>
          </w:p>
        </w:tc>
        <w:tc>
          <w:tcPr>
            <w:tcW w:w="950" w:type="dxa"/>
            <w:vAlign w:val="center"/>
          </w:tcPr>
          <w:p w14:paraId="08060629">
            <w:pPr>
              <w:jc w:val="center"/>
            </w:pPr>
            <w:r>
              <w:rPr>
                <w:rFonts w:hint="default" w:ascii="Arial" w:hAnsi="Arial" w:cs="Arial"/>
              </w:rPr>
              <w:t>√</w:t>
            </w:r>
          </w:p>
        </w:tc>
        <w:tc>
          <w:tcPr>
            <w:tcW w:w="954" w:type="dxa"/>
            <w:tcBorders>
              <w:right w:val="single" w:color="auto" w:sz="12" w:space="0"/>
            </w:tcBorders>
            <w:vAlign w:val="center"/>
          </w:tcPr>
          <w:p w14:paraId="725C6135">
            <w:pPr>
              <w:jc w:val="center"/>
            </w:pPr>
            <w:r>
              <w:rPr>
                <w:rFonts w:hint="default" w:ascii="Arial" w:hAnsi="Arial" w:cs="Arial"/>
              </w:rPr>
              <w:t>√</w:t>
            </w:r>
          </w:p>
        </w:tc>
      </w:tr>
      <w:tr w14:paraId="2021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52F98852">
            <w:pPr>
              <w:pStyle w:val="6"/>
              <w:spacing w:before="0" w:beforeAutospacing="0" w:after="0" w:afterAutospacing="0" w:line="300" w:lineRule="exact"/>
            </w:pPr>
            <w:r>
              <w:rPr>
                <w:rFonts w:hint="eastAsia"/>
                <w:sz w:val="20"/>
                <w:szCs w:val="20"/>
                <w:lang w:val="en-US" w:eastAsia="zh-CN"/>
              </w:rPr>
              <w:t xml:space="preserve">第四章 </w:t>
            </w:r>
            <w:r>
              <w:rPr>
                <w:rFonts w:hint="eastAsia"/>
                <w:color w:val="auto"/>
                <w:kern w:val="2"/>
                <w:sz w:val="20"/>
                <w:szCs w:val="20"/>
              </w:rPr>
              <w:t>公共卫生伦理</w:t>
            </w:r>
          </w:p>
        </w:tc>
        <w:tc>
          <w:tcPr>
            <w:tcW w:w="950" w:type="dxa"/>
            <w:vAlign w:val="center"/>
          </w:tcPr>
          <w:p w14:paraId="61F320AE">
            <w:pPr>
              <w:pStyle w:val="14"/>
              <w:jc w:val="center"/>
            </w:pPr>
          </w:p>
        </w:tc>
        <w:tc>
          <w:tcPr>
            <w:tcW w:w="950" w:type="dxa"/>
            <w:vAlign w:val="center"/>
          </w:tcPr>
          <w:p w14:paraId="7E4B82DE">
            <w:pPr>
              <w:jc w:val="center"/>
            </w:pPr>
            <w:r>
              <w:rPr>
                <w:rFonts w:hint="default" w:ascii="Arial" w:hAnsi="Arial" w:cs="Arial"/>
              </w:rPr>
              <w:t>√</w:t>
            </w:r>
          </w:p>
        </w:tc>
        <w:tc>
          <w:tcPr>
            <w:tcW w:w="950" w:type="dxa"/>
            <w:vAlign w:val="center"/>
          </w:tcPr>
          <w:p w14:paraId="1E2B9FEF">
            <w:pPr>
              <w:jc w:val="center"/>
            </w:pPr>
            <w:r>
              <w:rPr>
                <w:rFonts w:hint="default" w:ascii="Arial" w:hAnsi="Arial" w:cs="Arial"/>
              </w:rPr>
              <w:t>√</w:t>
            </w:r>
          </w:p>
        </w:tc>
        <w:tc>
          <w:tcPr>
            <w:tcW w:w="950" w:type="dxa"/>
            <w:vAlign w:val="center"/>
          </w:tcPr>
          <w:p w14:paraId="6D00BB82">
            <w:pPr>
              <w:jc w:val="center"/>
            </w:pPr>
            <w:r>
              <w:rPr>
                <w:rFonts w:hint="default" w:ascii="Arial" w:hAnsi="Arial" w:cs="Arial"/>
              </w:rPr>
              <w:t>√</w:t>
            </w:r>
          </w:p>
        </w:tc>
        <w:tc>
          <w:tcPr>
            <w:tcW w:w="954" w:type="dxa"/>
            <w:tcBorders>
              <w:right w:val="single" w:color="auto" w:sz="12" w:space="0"/>
            </w:tcBorders>
            <w:vAlign w:val="center"/>
          </w:tcPr>
          <w:p w14:paraId="7EEF62D1">
            <w:pPr>
              <w:jc w:val="center"/>
            </w:pPr>
            <w:r>
              <w:rPr>
                <w:rFonts w:hint="default" w:ascii="Arial" w:hAnsi="Arial" w:cs="Arial"/>
              </w:rPr>
              <w:t>√</w:t>
            </w:r>
          </w:p>
        </w:tc>
      </w:tr>
      <w:tr w14:paraId="61D3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035A089B">
            <w:pPr>
              <w:pStyle w:val="6"/>
              <w:spacing w:before="0" w:beforeAutospacing="0" w:after="0" w:afterAutospacing="0" w:line="300" w:lineRule="exact"/>
              <w:jc w:val="both"/>
            </w:pPr>
            <w:r>
              <w:rPr>
                <w:rFonts w:hint="eastAsia"/>
                <w:sz w:val="20"/>
                <w:szCs w:val="20"/>
                <w:lang w:val="en-US" w:eastAsia="zh-CN"/>
              </w:rPr>
              <w:t xml:space="preserve">第五章 </w:t>
            </w:r>
            <w:r>
              <w:rPr>
                <w:rFonts w:hint="eastAsia"/>
                <w:color w:val="auto"/>
                <w:kern w:val="2"/>
                <w:sz w:val="20"/>
                <w:szCs w:val="20"/>
              </w:rPr>
              <w:t>医疗人际关系伦理</w:t>
            </w:r>
          </w:p>
        </w:tc>
        <w:tc>
          <w:tcPr>
            <w:tcW w:w="950" w:type="dxa"/>
            <w:vAlign w:val="center"/>
          </w:tcPr>
          <w:p w14:paraId="0EFDCBC8">
            <w:pPr>
              <w:pStyle w:val="14"/>
              <w:jc w:val="center"/>
            </w:pPr>
          </w:p>
        </w:tc>
        <w:tc>
          <w:tcPr>
            <w:tcW w:w="950" w:type="dxa"/>
            <w:vAlign w:val="center"/>
          </w:tcPr>
          <w:p w14:paraId="38E5298F">
            <w:pPr>
              <w:jc w:val="center"/>
            </w:pPr>
            <w:r>
              <w:rPr>
                <w:rFonts w:hint="default" w:ascii="Arial" w:hAnsi="Arial" w:cs="Arial"/>
              </w:rPr>
              <w:t>√</w:t>
            </w:r>
          </w:p>
        </w:tc>
        <w:tc>
          <w:tcPr>
            <w:tcW w:w="950" w:type="dxa"/>
            <w:vAlign w:val="center"/>
          </w:tcPr>
          <w:p w14:paraId="67CC06CA">
            <w:pPr>
              <w:jc w:val="center"/>
            </w:pPr>
            <w:r>
              <w:rPr>
                <w:rFonts w:hint="default" w:ascii="Arial" w:hAnsi="Arial" w:cs="Arial"/>
              </w:rPr>
              <w:t>√</w:t>
            </w:r>
          </w:p>
        </w:tc>
        <w:tc>
          <w:tcPr>
            <w:tcW w:w="950" w:type="dxa"/>
            <w:vAlign w:val="center"/>
          </w:tcPr>
          <w:p w14:paraId="105BD1D2">
            <w:pPr>
              <w:jc w:val="center"/>
            </w:pPr>
            <w:r>
              <w:rPr>
                <w:rFonts w:hint="default" w:ascii="Arial" w:hAnsi="Arial" w:cs="Arial"/>
              </w:rPr>
              <w:t>√</w:t>
            </w:r>
          </w:p>
        </w:tc>
        <w:tc>
          <w:tcPr>
            <w:tcW w:w="954" w:type="dxa"/>
            <w:tcBorders>
              <w:right w:val="single" w:color="auto" w:sz="12" w:space="0"/>
            </w:tcBorders>
            <w:vAlign w:val="center"/>
          </w:tcPr>
          <w:p w14:paraId="40639668">
            <w:pPr>
              <w:jc w:val="center"/>
            </w:pPr>
            <w:r>
              <w:rPr>
                <w:rFonts w:hint="default" w:ascii="Arial" w:hAnsi="Arial" w:cs="Arial"/>
              </w:rPr>
              <w:t>√</w:t>
            </w:r>
          </w:p>
        </w:tc>
      </w:tr>
      <w:tr w14:paraId="6384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7F988101">
            <w:pPr>
              <w:snapToGrid w:val="0"/>
              <w:spacing w:line="300" w:lineRule="exact"/>
              <w:jc w:val="both"/>
            </w:pPr>
            <w:r>
              <w:rPr>
                <w:rFonts w:hint="eastAsia"/>
                <w:sz w:val="20"/>
                <w:szCs w:val="20"/>
                <w:lang w:val="en-US" w:eastAsia="zh-CN"/>
              </w:rPr>
              <w:t xml:space="preserve">第六章 </w:t>
            </w:r>
            <w:r>
              <w:rPr>
                <w:rFonts w:hint="eastAsia" w:ascii="宋体" w:hAnsi="宋体"/>
                <w:sz w:val="20"/>
                <w:szCs w:val="20"/>
              </w:rPr>
              <w:t>临床诊疗伦理</w:t>
            </w:r>
          </w:p>
        </w:tc>
        <w:tc>
          <w:tcPr>
            <w:tcW w:w="950" w:type="dxa"/>
            <w:vAlign w:val="center"/>
          </w:tcPr>
          <w:p w14:paraId="5672A2E0">
            <w:pPr>
              <w:pStyle w:val="14"/>
              <w:jc w:val="center"/>
            </w:pPr>
          </w:p>
        </w:tc>
        <w:tc>
          <w:tcPr>
            <w:tcW w:w="950" w:type="dxa"/>
            <w:vAlign w:val="center"/>
          </w:tcPr>
          <w:p w14:paraId="30EBA9D5">
            <w:pPr>
              <w:jc w:val="center"/>
            </w:pPr>
            <w:r>
              <w:rPr>
                <w:rFonts w:hint="default" w:ascii="Arial" w:hAnsi="Arial" w:cs="Arial"/>
              </w:rPr>
              <w:t>√</w:t>
            </w:r>
          </w:p>
        </w:tc>
        <w:tc>
          <w:tcPr>
            <w:tcW w:w="950" w:type="dxa"/>
            <w:vAlign w:val="center"/>
          </w:tcPr>
          <w:p w14:paraId="5BE92170">
            <w:pPr>
              <w:jc w:val="center"/>
            </w:pPr>
            <w:r>
              <w:rPr>
                <w:rFonts w:hint="default" w:ascii="Arial" w:hAnsi="Arial" w:cs="Arial"/>
              </w:rPr>
              <w:t>√</w:t>
            </w:r>
          </w:p>
        </w:tc>
        <w:tc>
          <w:tcPr>
            <w:tcW w:w="950" w:type="dxa"/>
            <w:vAlign w:val="center"/>
          </w:tcPr>
          <w:p w14:paraId="2ED87807">
            <w:pPr>
              <w:jc w:val="center"/>
            </w:pPr>
            <w:r>
              <w:rPr>
                <w:rFonts w:hint="default" w:ascii="Arial" w:hAnsi="Arial" w:cs="Arial"/>
              </w:rPr>
              <w:t>√</w:t>
            </w:r>
          </w:p>
        </w:tc>
        <w:tc>
          <w:tcPr>
            <w:tcW w:w="954" w:type="dxa"/>
            <w:tcBorders>
              <w:right w:val="single" w:color="auto" w:sz="12" w:space="0"/>
            </w:tcBorders>
            <w:vAlign w:val="center"/>
          </w:tcPr>
          <w:p w14:paraId="76AAF450">
            <w:pPr>
              <w:jc w:val="center"/>
            </w:pPr>
            <w:r>
              <w:rPr>
                <w:rFonts w:hint="default" w:ascii="Arial" w:hAnsi="Arial" w:cs="Arial"/>
              </w:rPr>
              <w:t>√</w:t>
            </w:r>
          </w:p>
        </w:tc>
      </w:tr>
      <w:tr w14:paraId="06D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6D90B461">
            <w:pPr>
              <w:snapToGrid w:val="0"/>
              <w:spacing w:line="300" w:lineRule="exact"/>
              <w:jc w:val="left"/>
            </w:pPr>
            <w:r>
              <w:rPr>
                <w:rFonts w:hint="eastAsia"/>
                <w:sz w:val="20"/>
                <w:szCs w:val="20"/>
                <w:lang w:val="en-US" w:eastAsia="zh-CN"/>
              </w:rPr>
              <w:t xml:space="preserve">第七章 </w:t>
            </w:r>
            <w:r>
              <w:rPr>
                <w:rFonts w:hint="eastAsia" w:ascii="宋体" w:hAnsi="宋体"/>
                <w:sz w:val="20"/>
                <w:szCs w:val="20"/>
              </w:rPr>
              <w:t>临终关怀与死亡伦理</w:t>
            </w:r>
          </w:p>
        </w:tc>
        <w:tc>
          <w:tcPr>
            <w:tcW w:w="950" w:type="dxa"/>
            <w:vAlign w:val="center"/>
          </w:tcPr>
          <w:p w14:paraId="14D462A0">
            <w:pPr>
              <w:pStyle w:val="14"/>
              <w:jc w:val="center"/>
            </w:pPr>
          </w:p>
        </w:tc>
        <w:tc>
          <w:tcPr>
            <w:tcW w:w="950" w:type="dxa"/>
            <w:vAlign w:val="center"/>
          </w:tcPr>
          <w:p w14:paraId="4CDF62F0">
            <w:pPr>
              <w:jc w:val="center"/>
            </w:pPr>
            <w:r>
              <w:rPr>
                <w:rFonts w:hint="default" w:ascii="Arial" w:hAnsi="Arial" w:cs="Arial"/>
              </w:rPr>
              <w:t>√</w:t>
            </w:r>
          </w:p>
        </w:tc>
        <w:tc>
          <w:tcPr>
            <w:tcW w:w="950" w:type="dxa"/>
            <w:vAlign w:val="center"/>
          </w:tcPr>
          <w:p w14:paraId="7C880C80">
            <w:pPr>
              <w:jc w:val="center"/>
            </w:pPr>
            <w:r>
              <w:rPr>
                <w:rFonts w:hint="default" w:ascii="Arial" w:hAnsi="Arial" w:cs="Arial"/>
              </w:rPr>
              <w:t>√</w:t>
            </w:r>
          </w:p>
        </w:tc>
        <w:tc>
          <w:tcPr>
            <w:tcW w:w="950" w:type="dxa"/>
            <w:vAlign w:val="center"/>
          </w:tcPr>
          <w:p w14:paraId="0C4D0BAD">
            <w:pPr>
              <w:jc w:val="center"/>
            </w:pPr>
            <w:r>
              <w:rPr>
                <w:rFonts w:hint="default" w:ascii="Arial" w:hAnsi="Arial" w:cs="Arial"/>
              </w:rPr>
              <w:t>√</w:t>
            </w:r>
          </w:p>
        </w:tc>
        <w:tc>
          <w:tcPr>
            <w:tcW w:w="954" w:type="dxa"/>
            <w:tcBorders>
              <w:right w:val="single" w:color="auto" w:sz="12" w:space="0"/>
            </w:tcBorders>
            <w:vAlign w:val="center"/>
          </w:tcPr>
          <w:p w14:paraId="7C69581B">
            <w:pPr>
              <w:jc w:val="center"/>
            </w:pPr>
            <w:r>
              <w:rPr>
                <w:rFonts w:hint="default" w:ascii="Arial" w:hAnsi="Arial" w:cs="Arial"/>
              </w:rPr>
              <w:t>√</w:t>
            </w:r>
          </w:p>
        </w:tc>
      </w:tr>
      <w:tr w14:paraId="5EE0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212C93E8">
            <w:pPr>
              <w:snapToGrid w:val="0"/>
              <w:spacing w:line="300" w:lineRule="exact"/>
              <w:jc w:val="left"/>
            </w:pPr>
            <w:r>
              <w:rPr>
                <w:rFonts w:hint="eastAsia"/>
                <w:sz w:val="20"/>
                <w:szCs w:val="20"/>
                <w:lang w:val="en-US" w:eastAsia="zh-CN"/>
              </w:rPr>
              <w:t xml:space="preserve">第八章 </w:t>
            </w:r>
            <w:r>
              <w:rPr>
                <w:rFonts w:hint="eastAsia" w:ascii="宋体" w:hAnsi="宋体"/>
                <w:sz w:val="20"/>
                <w:szCs w:val="20"/>
              </w:rPr>
              <w:t>医学科研伦理</w:t>
            </w:r>
          </w:p>
        </w:tc>
        <w:tc>
          <w:tcPr>
            <w:tcW w:w="950" w:type="dxa"/>
            <w:vAlign w:val="center"/>
          </w:tcPr>
          <w:p w14:paraId="4427A9FE">
            <w:pPr>
              <w:pStyle w:val="14"/>
              <w:jc w:val="center"/>
            </w:pPr>
          </w:p>
        </w:tc>
        <w:tc>
          <w:tcPr>
            <w:tcW w:w="950" w:type="dxa"/>
            <w:vAlign w:val="center"/>
          </w:tcPr>
          <w:p w14:paraId="398A9645">
            <w:pPr>
              <w:jc w:val="center"/>
            </w:pPr>
            <w:r>
              <w:rPr>
                <w:rFonts w:hint="default" w:ascii="Arial" w:hAnsi="Arial" w:cs="Arial"/>
              </w:rPr>
              <w:t>√</w:t>
            </w:r>
          </w:p>
        </w:tc>
        <w:tc>
          <w:tcPr>
            <w:tcW w:w="950" w:type="dxa"/>
            <w:vAlign w:val="center"/>
          </w:tcPr>
          <w:p w14:paraId="21D0D8F0">
            <w:pPr>
              <w:jc w:val="center"/>
            </w:pPr>
            <w:r>
              <w:rPr>
                <w:rFonts w:hint="default" w:ascii="Arial" w:hAnsi="Arial" w:cs="Arial"/>
              </w:rPr>
              <w:t>√</w:t>
            </w:r>
          </w:p>
        </w:tc>
        <w:tc>
          <w:tcPr>
            <w:tcW w:w="950" w:type="dxa"/>
            <w:vAlign w:val="center"/>
          </w:tcPr>
          <w:p w14:paraId="2BCCF538">
            <w:pPr>
              <w:jc w:val="center"/>
            </w:pPr>
            <w:r>
              <w:rPr>
                <w:rFonts w:hint="default" w:ascii="Arial" w:hAnsi="Arial" w:cs="Arial"/>
              </w:rPr>
              <w:t>√</w:t>
            </w:r>
          </w:p>
        </w:tc>
        <w:tc>
          <w:tcPr>
            <w:tcW w:w="954" w:type="dxa"/>
            <w:tcBorders>
              <w:right w:val="single" w:color="auto" w:sz="12" w:space="0"/>
            </w:tcBorders>
            <w:vAlign w:val="center"/>
          </w:tcPr>
          <w:p w14:paraId="79C2ADB0">
            <w:pPr>
              <w:jc w:val="center"/>
            </w:pPr>
            <w:r>
              <w:rPr>
                <w:rFonts w:hint="default" w:ascii="Arial" w:hAnsi="Arial" w:cs="Arial"/>
              </w:rPr>
              <w:t>√</w:t>
            </w:r>
          </w:p>
        </w:tc>
      </w:tr>
      <w:tr w14:paraId="6BA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15998B29">
            <w:pPr>
              <w:snapToGrid w:val="0"/>
              <w:spacing w:line="300" w:lineRule="exact"/>
              <w:jc w:val="left"/>
            </w:pPr>
            <w:r>
              <w:rPr>
                <w:rFonts w:hint="eastAsia"/>
                <w:sz w:val="20"/>
                <w:szCs w:val="20"/>
                <w:lang w:val="en-US" w:eastAsia="zh-CN"/>
              </w:rPr>
              <w:t xml:space="preserve">第九章 </w:t>
            </w:r>
            <w:r>
              <w:rPr>
                <w:rFonts w:hint="eastAsia" w:ascii="宋体" w:hAnsi="宋体"/>
                <w:sz w:val="20"/>
                <w:szCs w:val="20"/>
              </w:rPr>
              <w:t>卫生管理伦理</w:t>
            </w:r>
          </w:p>
        </w:tc>
        <w:tc>
          <w:tcPr>
            <w:tcW w:w="950" w:type="dxa"/>
            <w:vAlign w:val="center"/>
          </w:tcPr>
          <w:p w14:paraId="0C4A66C7">
            <w:pPr>
              <w:pStyle w:val="14"/>
              <w:jc w:val="center"/>
            </w:pPr>
          </w:p>
        </w:tc>
        <w:tc>
          <w:tcPr>
            <w:tcW w:w="950" w:type="dxa"/>
            <w:vAlign w:val="center"/>
          </w:tcPr>
          <w:p w14:paraId="3E841D1D">
            <w:pPr>
              <w:jc w:val="center"/>
            </w:pPr>
            <w:r>
              <w:rPr>
                <w:rFonts w:hint="default" w:ascii="Arial" w:hAnsi="Arial" w:cs="Arial"/>
              </w:rPr>
              <w:t>√</w:t>
            </w:r>
          </w:p>
        </w:tc>
        <w:tc>
          <w:tcPr>
            <w:tcW w:w="950" w:type="dxa"/>
            <w:vAlign w:val="center"/>
          </w:tcPr>
          <w:p w14:paraId="0742099D">
            <w:pPr>
              <w:jc w:val="center"/>
            </w:pPr>
            <w:r>
              <w:rPr>
                <w:rFonts w:hint="default" w:ascii="Arial" w:hAnsi="Arial" w:cs="Arial"/>
              </w:rPr>
              <w:t>√</w:t>
            </w:r>
          </w:p>
        </w:tc>
        <w:tc>
          <w:tcPr>
            <w:tcW w:w="950" w:type="dxa"/>
            <w:vAlign w:val="center"/>
          </w:tcPr>
          <w:p w14:paraId="28A90B4D">
            <w:pPr>
              <w:jc w:val="center"/>
            </w:pPr>
            <w:r>
              <w:rPr>
                <w:rFonts w:hint="default" w:ascii="Arial" w:hAnsi="Arial" w:cs="Arial"/>
              </w:rPr>
              <w:t>√</w:t>
            </w:r>
          </w:p>
        </w:tc>
        <w:tc>
          <w:tcPr>
            <w:tcW w:w="954" w:type="dxa"/>
            <w:tcBorders>
              <w:right w:val="single" w:color="auto" w:sz="12" w:space="0"/>
            </w:tcBorders>
            <w:vAlign w:val="center"/>
          </w:tcPr>
          <w:p w14:paraId="5B41AC0F">
            <w:pPr>
              <w:jc w:val="center"/>
            </w:pPr>
            <w:r>
              <w:rPr>
                <w:rFonts w:hint="default" w:ascii="Arial" w:hAnsi="Arial" w:cs="Arial"/>
              </w:rPr>
              <w:t>√</w:t>
            </w:r>
          </w:p>
        </w:tc>
      </w:tr>
      <w:tr w14:paraId="5048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bottom w:val="single" w:color="auto" w:sz="12" w:space="0"/>
            </w:tcBorders>
            <w:vAlign w:val="center"/>
          </w:tcPr>
          <w:p w14:paraId="7966311F">
            <w:pPr>
              <w:snapToGrid w:val="0"/>
              <w:spacing w:line="300" w:lineRule="exact"/>
              <w:jc w:val="left"/>
            </w:pPr>
            <w:r>
              <w:rPr>
                <w:rFonts w:hint="eastAsia"/>
                <w:sz w:val="20"/>
                <w:szCs w:val="20"/>
                <w:lang w:val="en-US" w:eastAsia="zh-CN"/>
              </w:rPr>
              <w:t xml:space="preserve">第十章 </w:t>
            </w:r>
            <w:r>
              <w:rPr>
                <w:rFonts w:hint="eastAsia" w:ascii="宋体" w:hAnsi="宋体"/>
                <w:sz w:val="20"/>
                <w:szCs w:val="20"/>
              </w:rPr>
              <w:t>医学伦理教育、修养与评价</w:t>
            </w:r>
          </w:p>
        </w:tc>
        <w:tc>
          <w:tcPr>
            <w:tcW w:w="950" w:type="dxa"/>
            <w:tcBorders>
              <w:bottom w:val="single" w:color="auto" w:sz="12" w:space="0"/>
            </w:tcBorders>
            <w:vAlign w:val="center"/>
          </w:tcPr>
          <w:p w14:paraId="0A007DCF">
            <w:pPr>
              <w:pStyle w:val="14"/>
              <w:jc w:val="center"/>
            </w:pPr>
          </w:p>
        </w:tc>
        <w:tc>
          <w:tcPr>
            <w:tcW w:w="950" w:type="dxa"/>
            <w:tcBorders>
              <w:bottom w:val="single" w:color="auto" w:sz="12" w:space="0"/>
            </w:tcBorders>
            <w:vAlign w:val="center"/>
          </w:tcPr>
          <w:p w14:paraId="3497AF2D">
            <w:pPr>
              <w:jc w:val="center"/>
            </w:pPr>
            <w:r>
              <w:rPr>
                <w:rFonts w:hint="default" w:ascii="Arial" w:hAnsi="Arial" w:cs="Arial"/>
              </w:rPr>
              <w:t>√</w:t>
            </w:r>
          </w:p>
        </w:tc>
        <w:tc>
          <w:tcPr>
            <w:tcW w:w="950" w:type="dxa"/>
            <w:tcBorders>
              <w:bottom w:val="single" w:color="auto" w:sz="12" w:space="0"/>
            </w:tcBorders>
            <w:vAlign w:val="center"/>
          </w:tcPr>
          <w:p w14:paraId="408EF753">
            <w:pPr>
              <w:jc w:val="center"/>
            </w:pPr>
            <w:r>
              <w:rPr>
                <w:rFonts w:hint="default" w:ascii="Arial" w:hAnsi="Arial" w:cs="Arial"/>
              </w:rPr>
              <w:t>√</w:t>
            </w:r>
          </w:p>
        </w:tc>
        <w:tc>
          <w:tcPr>
            <w:tcW w:w="950" w:type="dxa"/>
            <w:tcBorders>
              <w:bottom w:val="single" w:color="auto" w:sz="12" w:space="0"/>
            </w:tcBorders>
            <w:vAlign w:val="center"/>
          </w:tcPr>
          <w:p w14:paraId="3C2181DD">
            <w:pPr>
              <w:jc w:val="center"/>
            </w:pPr>
            <w:r>
              <w:rPr>
                <w:rFonts w:hint="default" w:ascii="Arial" w:hAnsi="Arial" w:cs="Arial"/>
              </w:rPr>
              <w:t>√</w:t>
            </w:r>
          </w:p>
        </w:tc>
        <w:tc>
          <w:tcPr>
            <w:tcW w:w="954" w:type="dxa"/>
            <w:tcBorders>
              <w:bottom w:val="single" w:color="auto" w:sz="12" w:space="0"/>
              <w:right w:val="single" w:color="auto" w:sz="12" w:space="0"/>
            </w:tcBorders>
            <w:vAlign w:val="center"/>
          </w:tcPr>
          <w:p w14:paraId="7439324F">
            <w:pPr>
              <w:jc w:val="center"/>
            </w:pPr>
            <w:r>
              <w:rPr>
                <w:rFonts w:hint="default" w:ascii="Arial" w:hAnsi="Arial" w:cs="Arial"/>
              </w:rPr>
              <w:t>√</w:t>
            </w:r>
          </w:p>
        </w:tc>
      </w:tr>
    </w:tbl>
    <w:p w14:paraId="7E8BD255">
      <w:pPr>
        <w:pStyle w:val="17"/>
        <w:spacing w:before="326" w:beforeLines="100" w:after="163"/>
        <w:rPr>
          <w:rFonts w:hint="eastAsia"/>
        </w:rPr>
      </w:pPr>
    </w:p>
    <w:p w14:paraId="48B5A66A">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48"/>
        <w:gridCol w:w="2369"/>
        <w:gridCol w:w="1948"/>
        <w:gridCol w:w="725"/>
        <w:gridCol w:w="669"/>
        <w:gridCol w:w="717"/>
      </w:tblGrid>
      <w:tr w14:paraId="66BD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48" w:type="dxa"/>
            <w:vMerge w:val="restart"/>
            <w:tcBorders>
              <w:top w:val="single" w:color="auto" w:sz="12" w:space="0"/>
              <w:left w:val="single" w:color="auto" w:sz="12" w:space="0"/>
            </w:tcBorders>
            <w:vAlign w:val="center"/>
          </w:tcPr>
          <w:p w14:paraId="17874B8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369" w:type="dxa"/>
            <w:vMerge w:val="restart"/>
            <w:tcBorders>
              <w:top w:val="single" w:color="auto" w:sz="12" w:space="0"/>
            </w:tcBorders>
            <w:vAlign w:val="center"/>
          </w:tcPr>
          <w:p w14:paraId="43AA1237">
            <w:pPr>
              <w:pStyle w:val="13"/>
              <w:widowControl w:val="0"/>
              <w:rPr>
                <w:szCs w:val="21"/>
              </w:rPr>
            </w:pPr>
            <w:r>
              <w:rPr>
                <w:rFonts w:hint="eastAsia" w:ascii="黑体" w:hAnsi="黑体"/>
                <w:szCs w:val="21"/>
              </w:rPr>
              <w:t>教与学方式</w:t>
            </w:r>
          </w:p>
        </w:tc>
        <w:tc>
          <w:tcPr>
            <w:tcW w:w="1948" w:type="dxa"/>
            <w:vMerge w:val="restart"/>
            <w:tcBorders>
              <w:top w:val="single" w:color="auto" w:sz="12" w:space="0"/>
            </w:tcBorders>
            <w:vAlign w:val="center"/>
          </w:tcPr>
          <w:p w14:paraId="221B5653">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3CD0BB8">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AF1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48" w:type="dxa"/>
            <w:vMerge w:val="continue"/>
            <w:tcBorders>
              <w:left w:val="single" w:color="auto" w:sz="12" w:space="0"/>
            </w:tcBorders>
          </w:tcPr>
          <w:p w14:paraId="17CEC2C5">
            <w:pPr>
              <w:widowControl w:val="0"/>
              <w:snapToGrid w:val="0"/>
              <w:jc w:val="center"/>
              <w:rPr>
                <w:rFonts w:ascii="黑体" w:hAnsi="黑体" w:eastAsia="黑体"/>
                <w:bCs/>
                <w:sz w:val="21"/>
                <w:szCs w:val="21"/>
              </w:rPr>
            </w:pPr>
          </w:p>
        </w:tc>
        <w:tc>
          <w:tcPr>
            <w:tcW w:w="2369" w:type="dxa"/>
            <w:vMerge w:val="continue"/>
          </w:tcPr>
          <w:p w14:paraId="2E98A8D4">
            <w:pPr>
              <w:widowControl w:val="0"/>
              <w:snapToGrid w:val="0"/>
              <w:jc w:val="center"/>
              <w:rPr>
                <w:rFonts w:ascii="黑体" w:hAnsi="黑体" w:eastAsia="黑体"/>
                <w:bCs/>
                <w:sz w:val="21"/>
                <w:szCs w:val="21"/>
              </w:rPr>
            </w:pPr>
          </w:p>
        </w:tc>
        <w:tc>
          <w:tcPr>
            <w:tcW w:w="1948" w:type="dxa"/>
            <w:vMerge w:val="continue"/>
          </w:tcPr>
          <w:p w14:paraId="7B792694">
            <w:pPr>
              <w:widowControl w:val="0"/>
              <w:snapToGrid w:val="0"/>
              <w:jc w:val="center"/>
              <w:rPr>
                <w:rFonts w:ascii="黑体" w:hAnsi="黑体" w:eastAsia="黑体"/>
                <w:bCs/>
                <w:sz w:val="21"/>
                <w:szCs w:val="21"/>
              </w:rPr>
            </w:pPr>
          </w:p>
        </w:tc>
        <w:tc>
          <w:tcPr>
            <w:tcW w:w="725" w:type="dxa"/>
            <w:vAlign w:val="center"/>
          </w:tcPr>
          <w:p w14:paraId="4B5A982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8CA936F">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0816EF9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DEB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47EA4DDD">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第一章 </w:t>
            </w:r>
            <w:r>
              <w:rPr>
                <w:rFonts w:hint="eastAsia" w:ascii="宋体" w:hAnsi="宋体"/>
                <w:sz w:val="20"/>
                <w:szCs w:val="20"/>
              </w:rPr>
              <w:t>伦理学与医学伦理学</w:t>
            </w:r>
          </w:p>
        </w:tc>
        <w:tc>
          <w:tcPr>
            <w:tcW w:w="2369" w:type="dxa"/>
            <w:vAlign w:val="center"/>
          </w:tcPr>
          <w:p w14:paraId="38C568E8">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6EB754F9">
            <w:pPr>
              <w:widowControl w:val="0"/>
              <w:snapToGrid w:val="0"/>
              <w:jc w:val="center"/>
              <w:rPr>
                <w:rFonts w:hint="eastAsia"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1D74F44F">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79E41BBE">
            <w:pPr>
              <w:widowControl w:val="0"/>
              <w:spacing w:line="300" w:lineRule="exact"/>
              <w:jc w:val="both"/>
              <w:rPr>
                <w:rFonts w:ascii="Times New Roman" w:hAnsi="Times New Roman"/>
                <w:bCs/>
                <w:sz w:val="21"/>
                <w:szCs w:val="21"/>
              </w:rPr>
            </w:pPr>
            <w:r>
              <w:rPr>
                <w:rFonts w:hint="eastAsia" w:ascii="宋体" w:hAnsi="宋体"/>
                <w:sz w:val="20"/>
                <w:szCs w:val="20"/>
              </w:rPr>
              <w:t>2</w:t>
            </w:r>
          </w:p>
        </w:tc>
        <w:tc>
          <w:tcPr>
            <w:tcW w:w="669" w:type="dxa"/>
            <w:vAlign w:val="center"/>
          </w:tcPr>
          <w:p w14:paraId="38209B7C">
            <w:pPr>
              <w:widowControl w:val="0"/>
              <w:spacing w:line="300" w:lineRule="exact"/>
              <w:jc w:val="both"/>
              <w:rPr>
                <w:rFonts w:ascii="Times New Roman" w:hAnsi="Times New Roman"/>
                <w:bCs/>
                <w:sz w:val="21"/>
                <w:szCs w:val="21"/>
              </w:rPr>
            </w:pPr>
            <w:r>
              <w:rPr>
                <w:rFonts w:hint="eastAsia" w:ascii="宋体" w:hAnsi="宋体"/>
                <w:sz w:val="20"/>
                <w:szCs w:val="20"/>
              </w:rPr>
              <w:t>0</w:t>
            </w:r>
          </w:p>
        </w:tc>
        <w:tc>
          <w:tcPr>
            <w:tcW w:w="717" w:type="dxa"/>
            <w:tcBorders>
              <w:right w:val="single" w:color="auto" w:sz="12" w:space="0"/>
            </w:tcBorders>
            <w:vAlign w:val="center"/>
          </w:tcPr>
          <w:p w14:paraId="6AE867E5">
            <w:pPr>
              <w:widowControl w:val="0"/>
              <w:spacing w:line="300" w:lineRule="exact"/>
              <w:jc w:val="both"/>
              <w:rPr>
                <w:rFonts w:ascii="Times New Roman" w:hAnsi="Times New Roman"/>
                <w:bCs/>
                <w:sz w:val="21"/>
                <w:szCs w:val="21"/>
              </w:rPr>
            </w:pPr>
            <w:r>
              <w:rPr>
                <w:rFonts w:hint="eastAsia" w:ascii="宋体" w:hAnsi="宋体"/>
                <w:sz w:val="20"/>
                <w:szCs w:val="20"/>
              </w:rPr>
              <w:t>2</w:t>
            </w:r>
          </w:p>
        </w:tc>
      </w:tr>
      <w:tr w14:paraId="1B64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3B58A4C2">
            <w:pPr>
              <w:widowControl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第二章 </w:t>
            </w:r>
            <w:r>
              <w:rPr>
                <w:rFonts w:hint="eastAsia" w:ascii="宋体" w:hAnsi="宋体"/>
                <w:sz w:val="20"/>
                <w:szCs w:val="20"/>
              </w:rPr>
              <w:t>医学伦理学规范体系</w:t>
            </w:r>
          </w:p>
        </w:tc>
        <w:tc>
          <w:tcPr>
            <w:tcW w:w="2369" w:type="dxa"/>
            <w:vAlign w:val="center"/>
          </w:tcPr>
          <w:p w14:paraId="4F0AD8F8">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59E40FB9">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5D4260B9">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7BDA8B65">
            <w:pPr>
              <w:widowControl w:val="0"/>
              <w:spacing w:line="300" w:lineRule="exact"/>
              <w:jc w:val="both"/>
              <w:rPr>
                <w:rFonts w:ascii="Times New Roman" w:hAnsi="Times New Roman"/>
                <w:bCs/>
                <w:sz w:val="21"/>
                <w:szCs w:val="21"/>
              </w:rPr>
            </w:pPr>
            <w:r>
              <w:rPr>
                <w:rFonts w:hint="eastAsia" w:ascii="宋体" w:hAnsi="宋体"/>
                <w:sz w:val="20"/>
                <w:szCs w:val="20"/>
              </w:rPr>
              <w:t>2</w:t>
            </w:r>
          </w:p>
        </w:tc>
        <w:tc>
          <w:tcPr>
            <w:tcW w:w="669" w:type="dxa"/>
            <w:vAlign w:val="center"/>
          </w:tcPr>
          <w:p w14:paraId="5E55BB7B">
            <w:pPr>
              <w:widowControl w:val="0"/>
              <w:spacing w:line="300" w:lineRule="exact"/>
              <w:jc w:val="both"/>
              <w:rPr>
                <w:rFonts w:ascii="Times New Roman" w:hAnsi="Times New Roman"/>
                <w:bCs/>
                <w:sz w:val="21"/>
                <w:szCs w:val="21"/>
              </w:rPr>
            </w:pPr>
            <w:r>
              <w:rPr>
                <w:rFonts w:hint="eastAsia" w:ascii="宋体" w:hAnsi="宋体"/>
                <w:sz w:val="20"/>
                <w:szCs w:val="20"/>
              </w:rPr>
              <w:t>0</w:t>
            </w:r>
          </w:p>
        </w:tc>
        <w:tc>
          <w:tcPr>
            <w:tcW w:w="717" w:type="dxa"/>
            <w:tcBorders>
              <w:right w:val="single" w:color="auto" w:sz="12" w:space="0"/>
            </w:tcBorders>
            <w:vAlign w:val="center"/>
          </w:tcPr>
          <w:p w14:paraId="4C64DA03">
            <w:pPr>
              <w:widowControl w:val="0"/>
              <w:spacing w:line="300" w:lineRule="exact"/>
              <w:jc w:val="both"/>
              <w:rPr>
                <w:rFonts w:ascii="Times New Roman" w:hAnsi="Times New Roman"/>
                <w:bCs/>
                <w:sz w:val="21"/>
                <w:szCs w:val="21"/>
              </w:rPr>
            </w:pPr>
            <w:r>
              <w:rPr>
                <w:rFonts w:hint="eastAsia" w:ascii="宋体" w:hAnsi="宋体"/>
                <w:sz w:val="20"/>
                <w:szCs w:val="20"/>
              </w:rPr>
              <w:t>2</w:t>
            </w:r>
          </w:p>
        </w:tc>
      </w:tr>
      <w:tr w14:paraId="1DD4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671907B5">
            <w:pPr>
              <w:pStyle w:val="6"/>
              <w:widowControl w:val="0"/>
              <w:spacing w:before="0" w:beforeAutospacing="0" w:after="0" w:afterAutospacing="0" w:line="300" w:lineRule="exact"/>
              <w:jc w:val="both"/>
              <w:rPr>
                <w:rFonts w:ascii="宋体" w:hAnsi="宋体" w:eastAsia="宋体" w:cs="宋体"/>
                <w:sz w:val="24"/>
                <w:szCs w:val="24"/>
                <w:lang w:val="en-US" w:eastAsia="zh-CN" w:bidi="ar-SA"/>
              </w:rPr>
            </w:pPr>
            <w:r>
              <w:rPr>
                <w:rFonts w:hint="eastAsia"/>
                <w:sz w:val="20"/>
                <w:szCs w:val="20"/>
                <w:lang w:val="en-US" w:eastAsia="zh-CN"/>
              </w:rPr>
              <w:t xml:space="preserve">第三章 </w:t>
            </w:r>
            <w:r>
              <w:rPr>
                <w:rFonts w:hint="eastAsia"/>
                <w:color w:val="auto"/>
                <w:kern w:val="2"/>
                <w:sz w:val="20"/>
                <w:szCs w:val="20"/>
              </w:rPr>
              <w:t>健康伦理</w:t>
            </w:r>
          </w:p>
        </w:tc>
        <w:tc>
          <w:tcPr>
            <w:tcW w:w="2369" w:type="dxa"/>
            <w:vAlign w:val="center"/>
          </w:tcPr>
          <w:p w14:paraId="06F01B21">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41BC462D">
            <w:pPr>
              <w:widowControl w:val="0"/>
              <w:snapToGrid w:val="0"/>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实作学习</w:t>
            </w:r>
          </w:p>
        </w:tc>
        <w:tc>
          <w:tcPr>
            <w:tcW w:w="1948" w:type="dxa"/>
            <w:vAlign w:val="center"/>
          </w:tcPr>
          <w:p w14:paraId="28AAF646">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r>
              <w:rPr>
                <w:rFonts w:hint="eastAsia" w:cs="宋体"/>
                <w:color w:val="000000"/>
                <w:kern w:val="0"/>
                <w:sz w:val="20"/>
                <w:szCs w:val="20"/>
                <w:lang w:val="en-US" w:eastAsia="zh-CN"/>
              </w:rPr>
              <w:t>、</w:t>
            </w:r>
            <w:r>
              <w:rPr>
                <w:rFonts w:hint="eastAsia" w:ascii="宋体" w:hAnsi="宋体" w:cs="宋体"/>
                <w:color w:val="000000"/>
                <w:kern w:val="0"/>
                <w:sz w:val="20"/>
                <w:szCs w:val="20"/>
                <w:lang w:val="en-US" w:eastAsia="zh-CN"/>
              </w:rPr>
              <w:t>实训</w:t>
            </w:r>
            <w:r>
              <w:rPr>
                <w:rFonts w:hint="eastAsia" w:ascii="宋体" w:hAnsi="宋体" w:eastAsia="宋体" w:cs="宋体"/>
                <w:color w:val="000000"/>
                <w:kern w:val="0"/>
                <w:sz w:val="20"/>
                <w:szCs w:val="20"/>
              </w:rPr>
              <w:t>表现</w:t>
            </w:r>
          </w:p>
        </w:tc>
        <w:tc>
          <w:tcPr>
            <w:tcW w:w="725" w:type="dxa"/>
            <w:vAlign w:val="center"/>
          </w:tcPr>
          <w:p w14:paraId="7FE38ACE">
            <w:pPr>
              <w:widowControl w:val="0"/>
              <w:spacing w:line="300" w:lineRule="exact"/>
              <w:jc w:val="both"/>
              <w:rPr>
                <w:rFonts w:ascii="Times New Roman" w:hAnsi="Times New Roman"/>
                <w:bCs/>
                <w:sz w:val="21"/>
                <w:szCs w:val="21"/>
              </w:rPr>
            </w:pPr>
            <w:r>
              <w:rPr>
                <w:rFonts w:hint="eastAsia" w:ascii="宋体" w:hAnsi="宋体"/>
                <w:sz w:val="20"/>
                <w:szCs w:val="20"/>
              </w:rPr>
              <w:t>4</w:t>
            </w:r>
          </w:p>
        </w:tc>
        <w:tc>
          <w:tcPr>
            <w:tcW w:w="669" w:type="dxa"/>
            <w:vAlign w:val="center"/>
          </w:tcPr>
          <w:p w14:paraId="17209253">
            <w:pPr>
              <w:widowControl w:val="0"/>
              <w:spacing w:line="300" w:lineRule="exact"/>
              <w:jc w:val="both"/>
              <w:rPr>
                <w:rFonts w:ascii="Times New Roman" w:hAnsi="Times New Roman"/>
                <w:bCs/>
                <w:sz w:val="21"/>
                <w:szCs w:val="21"/>
              </w:rPr>
            </w:pPr>
            <w:r>
              <w:rPr>
                <w:rFonts w:hint="eastAsia" w:ascii="宋体" w:hAnsi="宋体"/>
                <w:sz w:val="20"/>
                <w:szCs w:val="20"/>
              </w:rPr>
              <w:t>2</w:t>
            </w:r>
          </w:p>
        </w:tc>
        <w:tc>
          <w:tcPr>
            <w:tcW w:w="717" w:type="dxa"/>
            <w:tcBorders>
              <w:right w:val="single" w:color="auto" w:sz="12" w:space="0"/>
            </w:tcBorders>
            <w:vAlign w:val="center"/>
          </w:tcPr>
          <w:p w14:paraId="1BAA527B">
            <w:pPr>
              <w:widowControl w:val="0"/>
              <w:spacing w:line="300" w:lineRule="exact"/>
              <w:jc w:val="both"/>
              <w:rPr>
                <w:rFonts w:ascii="Times New Roman" w:hAnsi="Times New Roman"/>
                <w:bCs/>
                <w:sz w:val="21"/>
                <w:szCs w:val="21"/>
              </w:rPr>
            </w:pPr>
            <w:r>
              <w:rPr>
                <w:rFonts w:hint="eastAsia" w:ascii="宋体" w:hAnsi="宋体"/>
                <w:sz w:val="20"/>
                <w:szCs w:val="20"/>
              </w:rPr>
              <w:t>6</w:t>
            </w:r>
          </w:p>
        </w:tc>
      </w:tr>
      <w:tr w14:paraId="426F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3A751E42">
            <w:pPr>
              <w:pStyle w:val="6"/>
              <w:widowControl w:val="0"/>
              <w:spacing w:before="0" w:beforeAutospacing="0" w:after="0" w:afterAutospacing="0" w:line="300" w:lineRule="exact"/>
              <w:jc w:val="both"/>
              <w:rPr>
                <w:rFonts w:ascii="宋体" w:hAnsi="宋体" w:eastAsia="宋体" w:cs="宋体"/>
                <w:sz w:val="24"/>
                <w:szCs w:val="24"/>
                <w:lang w:val="en-US" w:eastAsia="zh-CN" w:bidi="ar-SA"/>
              </w:rPr>
            </w:pPr>
            <w:r>
              <w:rPr>
                <w:rFonts w:hint="eastAsia"/>
                <w:sz w:val="20"/>
                <w:szCs w:val="20"/>
                <w:lang w:val="en-US" w:eastAsia="zh-CN"/>
              </w:rPr>
              <w:t xml:space="preserve">第四章 </w:t>
            </w:r>
            <w:r>
              <w:rPr>
                <w:rFonts w:hint="eastAsia"/>
                <w:color w:val="auto"/>
                <w:kern w:val="2"/>
                <w:sz w:val="20"/>
                <w:szCs w:val="20"/>
              </w:rPr>
              <w:t>公共卫生伦理</w:t>
            </w:r>
          </w:p>
        </w:tc>
        <w:tc>
          <w:tcPr>
            <w:tcW w:w="2369" w:type="dxa"/>
            <w:vAlign w:val="center"/>
          </w:tcPr>
          <w:p w14:paraId="4801682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65837D46">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实作学习</w:t>
            </w:r>
          </w:p>
        </w:tc>
        <w:tc>
          <w:tcPr>
            <w:tcW w:w="1948" w:type="dxa"/>
            <w:vAlign w:val="center"/>
          </w:tcPr>
          <w:p w14:paraId="17F3959A">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r>
              <w:rPr>
                <w:rFonts w:hint="eastAsia" w:cs="宋体"/>
                <w:color w:val="000000"/>
                <w:kern w:val="0"/>
                <w:sz w:val="20"/>
                <w:szCs w:val="20"/>
                <w:lang w:val="en-US" w:eastAsia="zh-CN"/>
              </w:rPr>
              <w:t>、</w:t>
            </w:r>
            <w:r>
              <w:rPr>
                <w:rFonts w:hint="eastAsia" w:ascii="宋体" w:hAnsi="宋体" w:cs="宋体"/>
                <w:color w:val="000000"/>
                <w:kern w:val="0"/>
                <w:sz w:val="20"/>
                <w:szCs w:val="20"/>
                <w:lang w:val="en-US" w:eastAsia="zh-CN"/>
              </w:rPr>
              <w:t>实训</w:t>
            </w:r>
            <w:r>
              <w:rPr>
                <w:rFonts w:hint="eastAsia" w:ascii="宋体" w:hAnsi="宋体" w:eastAsia="宋体" w:cs="宋体"/>
                <w:color w:val="000000"/>
                <w:kern w:val="0"/>
                <w:sz w:val="20"/>
                <w:szCs w:val="20"/>
              </w:rPr>
              <w:t>表现</w:t>
            </w:r>
          </w:p>
        </w:tc>
        <w:tc>
          <w:tcPr>
            <w:tcW w:w="725" w:type="dxa"/>
            <w:vAlign w:val="center"/>
          </w:tcPr>
          <w:p w14:paraId="3E9FA391">
            <w:pPr>
              <w:widowControl w:val="0"/>
              <w:spacing w:line="300" w:lineRule="exact"/>
              <w:jc w:val="both"/>
              <w:rPr>
                <w:rFonts w:ascii="Times New Roman" w:hAnsi="Times New Roman"/>
                <w:bCs/>
                <w:sz w:val="21"/>
                <w:szCs w:val="21"/>
              </w:rPr>
            </w:pPr>
            <w:r>
              <w:rPr>
                <w:rFonts w:hint="eastAsia" w:ascii="宋体" w:hAnsi="宋体"/>
                <w:sz w:val="20"/>
                <w:szCs w:val="20"/>
              </w:rPr>
              <w:t>4</w:t>
            </w:r>
          </w:p>
        </w:tc>
        <w:tc>
          <w:tcPr>
            <w:tcW w:w="669" w:type="dxa"/>
            <w:vAlign w:val="center"/>
          </w:tcPr>
          <w:p w14:paraId="0FAAE7C4">
            <w:pPr>
              <w:widowControl w:val="0"/>
              <w:spacing w:line="300" w:lineRule="exact"/>
              <w:jc w:val="both"/>
              <w:rPr>
                <w:rFonts w:ascii="Times New Roman" w:hAnsi="Times New Roman"/>
                <w:bCs/>
                <w:sz w:val="21"/>
                <w:szCs w:val="21"/>
              </w:rPr>
            </w:pPr>
            <w:r>
              <w:rPr>
                <w:rFonts w:hint="eastAsia" w:ascii="宋体" w:hAnsi="宋体"/>
                <w:sz w:val="20"/>
                <w:szCs w:val="20"/>
              </w:rPr>
              <w:t>2</w:t>
            </w:r>
          </w:p>
        </w:tc>
        <w:tc>
          <w:tcPr>
            <w:tcW w:w="717" w:type="dxa"/>
            <w:tcBorders>
              <w:right w:val="single" w:color="auto" w:sz="12" w:space="0"/>
            </w:tcBorders>
            <w:vAlign w:val="center"/>
          </w:tcPr>
          <w:p w14:paraId="676D47B1">
            <w:pPr>
              <w:widowControl w:val="0"/>
              <w:spacing w:line="300" w:lineRule="exact"/>
              <w:jc w:val="both"/>
              <w:rPr>
                <w:rFonts w:ascii="Times New Roman" w:hAnsi="Times New Roman"/>
                <w:bCs/>
                <w:sz w:val="21"/>
                <w:szCs w:val="21"/>
              </w:rPr>
            </w:pPr>
            <w:r>
              <w:rPr>
                <w:rFonts w:hint="eastAsia" w:ascii="宋体" w:hAnsi="宋体"/>
                <w:sz w:val="20"/>
                <w:szCs w:val="20"/>
              </w:rPr>
              <w:t>6</w:t>
            </w:r>
          </w:p>
        </w:tc>
      </w:tr>
      <w:tr w14:paraId="1D85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248118A0">
            <w:pPr>
              <w:pStyle w:val="6"/>
              <w:widowControl w:val="0"/>
              <w:spacing w:before="0" w:beforeAutospacing="0" w:after="0" w:afterAutospacing="0" w:line="300" w:lineRule="exact"/>
              <w:jc w:val="both"/>
              <w:rPr>
                <w:rFonts w:ascii="宋体" w:hAnsi="宋体" w:eastAsia="宋体" w:cs="宋体"/>
                <w:sz w:val="24"/>
                <w:szCs w:val="24"/>
                <w:lang w:val="en-US" w:eastAsia="zh-CN" w:bidi="ar-SA"/>
              </w:rPr>
            </w:pPr>
            <w:r>
              <w:rPr>
                <w:rFonts w:hint="eastAsia"/>
                <w:sz w:val="20"/>
                <w:szCs w:val="20"/>
                <w:lang w:val="en-US" w:eastAsia="zh-CN"/>
              </w:rPr>
              <w:t xml:space="preserve">第五章 </w:t>
            </w:r>
            <w:r>
              <w:rPr>
                <w:rFonts w:hint="eastAsia"/>
                <w:color w:val="auto"/>
                <w:kern w:val="2"/>
                <w:sz w:val="20"/>
                <w:szCs w:val="20"/>
              </w:rPr>
              <w:t>医疗人际关系伦理</w:t>
            </w:r>
          </w:p>
        </w:tc>
        <w:tc>
          <w:tcPr>
            <w:tcW w:w="2369" w:type="dxa"/>
            <w:vAlign w:val="center"/>
          </w:tcPr>
          <w:p w14:paraId="543BE80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78DDE1DE">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合作学习</w:t>
            </w:r>
          </w:p>
        </w:tc>
        <w:tc>
          <w:tcPr>
            <w:tcW w:w="1948" w:type="dxa"/>
            <w:vAlign w:val="center"/>
          </w:tcPr>
          <w:p w14:paraId="72FF861F">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r>
              <w:rPr>
                <w:rFonts w:hint="eastAsia" w:cs="宋体"/>
                <w:color w:val="000000"/>
                <w:kern w:val="0"/>
                <w:sz w:val="20"/>
                <w:szCs w:val="20"/>
                <w:lang w:val="en-US" w:eastAsia="zh-CN"/>
              </w:rPr>
              <w:t>、</w:t>
            </w:r>
            <w:r>
              <w:rPr>
                <w:rFonts w:hint="eastAsia" w:ascii="宋体" w:hAnsi="宋体" w:cs="宋体"/>
                <w:color w:val="000000"/>
                <w:kern w:val="0"/>
                <w:sz w:val="20"/>
                <w:szCs w:val="20"/>
                <w:lang w:val="en-US" w:eastAsia="zh-CN"/>
              </w:rPr>
              <w:t>实训</w:t>
            </w:r>
            <w:r>
              <w:rPr>
                <w:rFonts w:hint="eastAsia" w:ascii="宋体" w:hAnsi="宋体" w:eastAsia="宋体" w:cs="宋体"/>
                <w:color w:val="000000"/>
                <w:kern w:val="0"/>
                <w:sz w:val="20"/>
                <w:szCs w:val="20"/>
              </w:rPr>
              <w:t>表现</w:t>
            </w:r>
          </w:p>
        </w:tc>
        <w:tc>
          <w:tcPr>
            <w:tcW w:w="725" w:type="dxa"/>
            <w:vAlign w:val="center"/>
          </w:tcPr>
          <w:p w14:paraId="6E0DE608">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7A58F348">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717" w:type="dxa"/>
            <w:tcBorders>
              <w:right w:val="single" w:color="auto" w:sz="12" w:space="0"/>
            </w:tcBorders>
            <w:vAlign w:val="center"/>
          </w:tcPr>
          <w:p w14:paraId="3FB29872">
            <w:pPr>
              <w:widowControl w:val="0"/>
              <w:spacing w:line="300" w:lineRule="exact"/>
              <w:jc w:val="both"/>
              <w:rPr>
                <w:rFonts w:ascii="Times New Roman" w:hAnsi="Times New Roman"/>
                <w:bCs/>
                <w:sz w:val="21"/>
                <w:szCs w:val="21"/>
              </w:rPr>
            </w:pPr>
            <w:r>
              <w:rPr>
                <w:rFonts w:hint="eastAsia" w:ascii="宋体" w:hAnsi="宋体"/>
                <w:sz w:val="20"/>
                <w:szCs w:val="20"/>
              </w:rPr>
              <w:t>4</w:t>
            </w:r>
          </w:p>
        </w:tc>
      </w:tr>
      <w:tr w14:paraId="5256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614E0E26">
            <w:pPr>
              <w:widowControl w:val="0"/>
              <w:snapToGrid w:val="0"/>
              <w:spacing w:line="300" w:lineRule="exact"/>
              <w:jc w:val="both"/>
              <w:rPr>
                <w:rFonts w:ascii="宋体" w:hAnsi="宋体" w:eastAsia="宋体" w:cs="宋体"/>
                <w:sz w:val="24"/>
                <w:szCs w:val="24"/>
                <w:lang w:val="en-US" w:eastAsia="zh-CN" w:bidi="ar-SA"/>
              </w:rPr>
            </w:pPr>
            <w:r>
              <w:rPr>
                <w:rFonts w:hint="eastAsia"/>
                <w:sz w:val="20"/>
                <w:szCs w:val="20"/>
                <w:lang w:val="en-US" w:eastAsia="zh-CN"/>
              </w:rPr>
              <w:t xml:space="preserve">第六章 </w:t>
            </w:r>
            <w:r>
              <w:rPr>
                <w:rFonts w:hint="eastAsia" w:ascii="宋体" w:hAnsi="宋体"/>
                <w:sz w:val="20"/>
                <w:szCs w:val="20"/>
              </w:rPr>
              <w:t>临床诊疗伦理</w:t>
            </w:r>
          </w:p>
        </w:tc>
        <w:tc>
          <w:tcPr>
            <w:tcW w:w="2369" w:type="dxa"/>
            <w:vAlign w:val="center"/>
          </w:tcPr>
          <w:p w14:paraId="0B8E90C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23FB7092">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67A01E63">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1BB8CAD6">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12CF9C92">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0</w:t>
            </w:r>
          </w:p>
        </w:tc>
        <w:tc>
          <w:tcPr>
            <w:tcW w:w="717" w:type="dxa"/>
            <w:tcBorders>
              <w:right w:val="single" w:color="auto" w:sz="12" w:space="0"/>
            </w:tcBorders>
            <w:vAlign w:val="center"/>
          </w:tcPr>
          <w:p w14:paraId="777BF2DC">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r>
      <w:tr w14:paraId="594E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6E3530C0">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第七章 </w:t>
            </w:r>
            <w:r>
              <w:rPr>
                <w:rFonts w:hint="eastAsia" w:ascii="宋体" w:hAnsi="宋体"/>
                <w:sz w:val="20"/>
                <w:szCs w:val="20"/>
              </w:rPr>
              <w:t>临终关怀与死亡伦理</w:t>
            </w:r>
          </w:p>
        </w:tc>
        <w:tc>
          <w:tcPr>
            <w:tcW w:w="2369" w:type="dxa"/>
            <w:vAlign w:val="center"/>
          </w:tcPr>
          <w:p w14:paraId="6B8BAC02">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35D57A74">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61452783">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3BA672A7">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63D339A9">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0</w:t>
            </w:r>
          </w:p>
        </w:tc>
        <w:tc>
          <w:tcPr>
            <w:tcW w:w="717" w:type="dxa"/>
            <w:tcBorders>
              <w:right w:val="single" w:color="auto" w:sz="12" w:space="0"/>
            </w:tcBorders>
            <w:vAlign w:val="center"/>
          </w:tcPr>
          <w:p w14:paraId="3CAF8067">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r>
      <w:tr w14:paraId="6A34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290DDE83">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第八章 </w:t>
            </w:r>
            <w:r>
              <w:rPr>
                <w:rFonts w:hint="eastAsia" w:ascii="宋体" w:hAnsi="宋体"/>
                <w:sz w:val="20"/>
                <w:szCs w:val="20"/>
              </w:rPr>
              <w:t>医学科研伦理</w:t>
            </w:r>
          </w:p>
        </w:tc>
        <w:tc>
          <w:tcPr>
            <w:tcW w:w="2369" w:type="dxa"/>
            <w:vAlign w:val="center"/>
          </w:tcPr>
          <w:p w14:paraId="0B062F3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01F93BB6">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1ABF7890">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0435F8AE">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0AF93C22">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0</w:t>
            </w:r>
          </w:p>
        </w:tc>
        <w:tc>
          <w:tcPr>
            <w:tcW w:w="717" w:type="dxa"/>
            <w:tcBorders>
              <w:right w:val="single" w:color="auto" w:sz="12" w:space="0"/>
            </w:tcBorders>
            <w:vAlign w:val="center"/>
          </w:tcPr>
          <w:p w14:paraId="1D462E95">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r>
      <w:tr w14:paraId="5AE4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75FA867B">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第九章 </w:t>
            </w:r>
            <w:r>
              <w:rPr>
                <w:rFonts w:hint="eastAsia" w:ascii="宋体" w:hAnsi="宋体"/>
                <w:sz w:val="20"/>
                <w:szCs w:val="20"/>
              </w:rPr>
              <w:t>卫生管理伦理</w:t>
            </w:r>
          </w:p>
        </w:tc>
        <w:tc>
          <w:tcPr>
            <w:tcW w:w="2369" w:type="dxa"/>
            <w:vAlign w:val="center"/>
          </w:tcPr>
          <w:p w14:paraId="06B5984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47977968">
            <w:pPr>
              <w:widowControl w:val="0"/>
              <w:snapToGrid w:val="0"/>
              <w:jc w:val="center"/>
              <w:rPr>
                <w:rFonts w:hint="eastAsia"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113DE853">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1F5BDF67">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17AEAEA4">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0</w:t>
            </w:r>
          </w:p>
        </w:tc>
        <w:tc>
          <w:tcPr>
            <w:tcW w:w="717" w:type="dxa"/>
            <w:tcBorders>
              <w:right w:val="single" w:color="auto" w:sz="12" w:space="0"/>
            </w:tcBorders>
            <w:vAlign w:val="center"/>
          </w:tcPr>
          <w:p w14:paraId="5F3EA8CB">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r>
      <w:tr w14:paraId="16E4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48" w:type="dxa"/>
            <w:tcBorders>
              <w:left w:val="single" w:color="auto" w:sz="12" w:space="0"/>
            </w:tcBorders>
            <w:vAlign w:val="center"/>
          </w:tcPr>
          <w:p w14:paraId="1E3267DF">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第十章 </w:t>
            </w:r>
            <w:r>
              <w:rPr>
                <w:rFonts w:hint="eastAsia" w:ascii="宋体" w:hAnsi="宋体"/>
                <w:sz w:val="20"/>
                <w:szCs w:val="20"/>
              </w:rPr>
              <w:t>医学伦理教育、修养与评价</w:t>
            </w:r>
          </w:p>
        </w:tc>
        <w:tc>
          <w:tcPr>
            <w:tcW w:w="2369" w:type="dxa"/>
            <w:vAlign w:val="center"/>
          </w:tcPr>
          <w:p w14:paraId="23DAF0B5">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7B71AA81">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专题学习</w:t>
            </w:r>
          </w:p>
        </w:tc>
        <w:tc>
          <w:tcPr>
            <w:tcW w:w="1948" w:type="dxa"/>
            <w:vAlign w:val="center"/>
          </w:tcPr>
          <w:p w14:paraId="26DB7236">
            <w:pPr>
              <w:widowControl w:val="0"/>
              <w:snapToGrid w:val="0"/>
              <w:jc w:val="center"/>
              <w:rPr>
                <w:rFonts w:hint="default" w:ascii="Times New Roman" w:hAnsi="Times New Roman"/>
                <w:bCs/>
                <w:sz w:val="21"/>
                <w:szCs w:val="21"/>
                <w:lang w:val="en-US"/>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r>
              <w:rPr>
                <w:rFonts w:hint="eastAsia" w:cs="宋体"/>
                <w:color w:val="000000"/>
                <w:kern w:val="0"/>
                <w:sz w:val="20"/>
                <w:szCs w:val="20"/>
                <w:lang w:val="en-US" w:eastAsia="zh-CN"/>
              </w:rPr>
              <w:t>、小论文</w:t>
            </w:r>
          </w:p>
        </w:tc>
        <w:tc>
          <w:tcPr>
            <w:tcW w:w="725" w:type="dxa"/>
            <w:vAlign w:val="center"/>
          </w:tcPr>
          <w:p w14:paraId="2893FCE5">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343D3955">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717" w:type="dxa"/>
            <w:tcBorders>
              <w:right w:val="single" w:color="auto" w:sz="12" w:space="0"/>
            </w:tcBorders>
            <w:vAlign w:val="center"/>
          </w:tcPr>
          <w:p w14:paraId="1CCBEE05">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4</w:t>
            </w:r>
          </w:p>
        </w:tc>
      </w:tr>
      <w:tr w14:paraId="5091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C14C776">
            <w:pPr>
              <w:pStyle w:val="13"/>
              <w:widowControl w:val="0"/>
            </w:pPr>
            <w:r>
              <w:rPr>
                <w:rFonts w:hint="eastAsia"/>
              </w:rPr>
              <w:t>合计</w:t>
            </w:r>
          </w:p>
        </w:tc>
        <w:tc>
          <w:tcPr>
            <w:tcW w:w="725" w:type="dxa"/>
            <w:tcBorders>
              <w:bottom w:val="single" w:color="auto" w:sz="12" w:space="0"/>
            </w:tcBorders>
            <w:vAlign w:val="center"/>
          </w:tcPr>
          <w:p w14:paraId="39938D32">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24</w:t>
            </w:r>
          </w:p>
        </w:tc>
        <w:tc>
          <w:tcPr>
            <w:tcW w:w="669" w:type="dxa"/>
            <w:tcBorders>
              <w:bottom w:val="single" w:color="auto" w:sz="12" w:space="0"/>
            </w:tcBorders>
            <w:vAlign w:val="center"/>
          </w:tcPr>
          <w:p w14:paraId="0068F108">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8</w:t>
            </w:r>
          </w:p>
        </w:tc>
        <w:tc>
          <w:tcPr>
            <w:tcW w:w="717" w:type="dxa"/>
            <w:tcBorders>
              <w:bottom w:val="single" w:color="auto" w:sz="12" w:space="0"/>
              <w:right w:val="single" w:color="auto" w:sz="12" w:space="0"/>
            </w:tcBorders>
            <w:vAlign w:val="center"/>
          </w:tcPr>
          <w:p w14:paraId="40D83CB1">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32</w:t>
            </w:r>
          </w:p>
        </w:tc>
      </w:tr>
    </w:tbl>
    <w:p w14:paraId="5DECF08B">
      <w:pPr>
        <w:pStyle w:val="17"/>
        <w:spacing w:before="326" w:beforeLines="100" w:after="163"/>
        <w:rPr>
          <w:rFonts w:hint="eastAsia"/>
        </w:rPr>
      </w:pPr>
    </w:p>
    <w:p w14:paraId="56499287">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0677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173AFC8E">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5D57A741">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224C911">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5D60CBB9">
            <w:pPr>
              <w:pStyle w:val="13"/>
              <w:rPr>
                <w:szCs w:val="16"/>
              </w:rPr>
            </w:pPr>
            <w:r>
              <w:rPr>
                <w:rFonts w:hint="eastAsia"/>
                <w:szCs w:val="16"/>
              </w:rPr>
              <w:t>实验</w:t>
            </w:r>
          </w:p>
          <w:p w14:paraId="73756938">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0B6EB0B">
            <w:pPr>
              <w:pStyle w:val="13"/>
              <w:rPr>
                <w:szCs w:val="16"/>
              </w:rPr>
            </w:pPr>
            <w:r>
              <w:rPr>
                <w:rFonts w:hint="eastAsia"/>
                <w:szCs w:val="16"/>
              </w:rPr>
              <w:t>实验</w:t>
            </w:r>
          </w:p>
          <w:p w14:paraId="0B022214">
            <w:pPr>
              <w:pStyle w:val="13"/>
              <w:rPr>
                <w:szCs w:val="16"/>
              </w:rPr>
            </w:pPr>
            <w:r>
              <w:rPr>
                <w:rFonts w:hint="eastAsia"/>
                <w:szCs w:val="16"/>
              </w:rPr>
              <w:t>类型</w:t>
            </w:r>
          </w:p>
        </w:tc>
      </w:tr>
      <w:tr w14:paraId="2C22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60C481D">
            <w:pPr>
              <w:snapToGrid w:val="0"/>
              <w:spacing w:before="156" w:beforeLines="50" w:after="156" w:afterLines="50" w:line="288" w:lineRule="auto"/>
              <w:jc w:val="center"/>
            </w:pPr>
            <w:r>
              <w:rPr>
                <w:rFonts w:hint="eastAsia" w:ascii="宋体" w:hAnsi="宋体"/>
                <w:sz w:val="20"/>
                <w:szCs w:val="20"/>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F772B50">
            <w:pPr>
              <w:jc w:val="left"/>
            </w:pPr>
            <w:r>
              <w:rPr>
                <w:rFonts w:hint="eastAsia" w:ascii="宋体" w:hAnsi="宋体"/>
                <w:kern w:val="10"/>
                <w:sz w:val="20"/>
                <w:szCs w:val="20"/>
              </w:rPr>
              <w:t>健康教育活动策划</w:t>
            </w:r>
          </w:p>
        </w:tc>
        <w:tc>
          <w:tcPr>
            <w:tcW w:w="4061" w:type="dxa"/>
            <w:tcBorders>
              <w:top w:val="single" w:color="auto" w:sz="4" w:space="0"/>
              <w:left w:val="single" w:color="auto" w:sz="4" w:space="0"/>
              <w:bottom w:val="single" w:color="auto" w:sz="4" w:space="0"/>
              <w:right w:val="single" w:color="auto" w:sz="4" w:space="0"/>
            </w:tcBorders>
            <w:vAlign w:val="center"/>
          </w:tcPr>
          <w:p w14:paraId="3EAD9336">
            <w:pPr>
              <w:snapToGrid w:val="0"/>
              <w:spacing w:before="156" w:beforeLines="50" w:after="156" w:afterLines="50" w:line="288" w:lineRule="auto"/>
              <w:jc w:val="left"/>
            </w:pPr>
            <w:r>
              <w:rPr>
                <w:rFonts w:hint="eastAsia" w:ascii="宋体" w:hAnsi="宋体"/>
                <w:sz w:val="20"/>
                <w:szCs w:val="20"/>
              </w:rPr>
              <w:t>结合案例，</w:t>
            </w:r>
            <w:r>
              <w:rPr>
                <w:rFonts w:hint="eastAsia" w:ascii="宋体" w:hAnsi="宋体"/>
                <w:kern w:val="10"/>
                <w:sz w:val="20"/>
                <w:szCs w:val="20"/>
              </w:rPr>
              <w:t>组织策划一次以“控烟”为主题的校园健康教育活动</w:t>
            </w:r>
          </w:p>
        </w:tc>
        <w:tc>
          <w:tcPr>
            <w:tcW w:w="862" w:type="dxa"/>
            <w:tcBorders>
              <w:left w:val="single" w:color="auto" w:sz="4" w:space="0"/>
              <w:right w:val="single" w:color="auto" w:sz="4" w:space="0"/>
            </w:tcBorders>
            <w:shd w:val="clear" w:color="auto" w:fill="auto"/>
            <w:vAlign w:val="center"/>
          </w:tcPr>
          <w:p w14:paraId="7F2313C8">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32F5A8B7">
            <w:pPr>
              <w:snapToGrid w:val="0"/>
              <w:spacing w:before="156" w:beforeLines="50" w:after="156" w:afterLines="50" w:line="288" w:lineRule="auto"/>
              <w:jc w:val="center"/>
            </w:pPr>
            <w:r>
              <w:rPr>
                <w:rFonts w:hint="eastAsia"/>
              </w:rPr>
              <w:t>④</w:t>
            </w:r>
          </w:p>
        </w:tc>
      </w:tr>
      <w:tr w14:paraId="293A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020EB4C">
            <w:pPr>
              <w:snapToGrid w:val="0"/>
              <w:spacing w:before="156" w:beforeLines="50" w:after="156" w:afterLines="50" w:line="288" w:lineRule="auto"/>
              <w:jc w:val="center"/>
            </w:pPr>
            <w:r>
              <w:rPr>
                <w:rFonts w:hint="eastAsia" w:ascii="宋体" w:hAnsi="宋体"/>
                <w:sz w:val="20"/>
                <w:szCs w:val="20"/>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0A7CAC">
            <w:r>
              <w:rPr>
                <w:rFonts w:hint="eastAsia" w:ascii="宋体" w:hAnsi="宋体"/>
                <w:sz w:val="20"/>
                <w:szCs w:val="20"/>
              </w:rPr>
              <w:t>案例分析：公共卫生突发事件处置的伦理原则</w:t>
            </w:r>
          </w:p>
        </w:tc>
        <w:tc>
          <w:tcPr>
            <w:tcW w:w="4061" w:type="dxa"/>
            <w:tcBorders>
              <w:top w:val="single" w:color="auto" w:sz="4" w:space="0"/>
              <w:left w:val="single" w:color="auto" w:sz="4" w:space="0"/>
              <w:bottom w:val="single" w:color="auto" w:sz="4" w:space="0"/>
              <w:right w:val="single" w:color="auto" w:sz="4" w:space="0"/>
            </w:tcBorders>
            <w:vAlign w:val="center"/>
          </w:tcPr>
          <w:p w14:paraId="73081D3F">
            <w:pPr>
              <w:snapToGrid w:val="0"/>
              <w:spacing w:before="156" w:beforeLines="50" w:after="156" w:afterLines="50" w:line="288" w:lineRule="auto"/>
              <w:jc w:val="left"/>
            </w:pPr>
            <w:r>
              <w:rPr>
                <w:rFonts w:hint="eastAsia" w:ascii="宋体" w:hAnsi="宋体"/>
                <w:sz w:val="20"/>
                <w:szCs w:val="20"/>
              </w:rPr>
              <w:t>结合案例，明确如何做到“预防第一、防治结合”</w:t>
            </w:r>
            <w:r>
              <w:rPr>
                <w:rFonts w:hint="eastAsia" w:ascii="宋体" w:hAnsi="宋体"/>
                <w:sz w:val="20"/>
                <w:szCs w:val="20"/>
                <w:lang w:eastAsia="zh-CN"/>
              </w:rPr>
              <w:t>？</w:t>
            </w:r>
            <w:r>
              <w:rPr>
                <w:rFonts w:hint="eastAsia" w:ascii="宋体" w:hAnsi="宋体"/>
                <w:sz w:val="20"/>
                <w:szCs w:val="20"/>
              </w:rPr>
              <w:t>在处置突发性公共卫生事件中，如何遵循政府责任和个人责任相结合；患者利益第一、医患利益兼顾；集体利益第一、个人和集体利益兼顾的原则</w:t>
            </w:r>
            <w:r>
              <w:rPr>
                <w:rFonts w:hint="eastAsia" w:ascii="宋体" w:hAnsi="宋体"/>
                <w:sz w:val="20"/>
                <w:szCs w:val="20"/>
                <w:lang w:eastAsia="zh-CN"/>
              </w:rPr>
              <w:t>。</w:t>
            </w:r>
          </w:p>
        </w:tc>
        <w:tc>
          <w:tcPr>
            <w:tcW w:w="862" w:type="dxa"/>
            <w:tcBorders>
              <w:left w:val="single" w:color="auto" w:sz="4" w:space="0"/>
              <w:bottom w:val="single" w:color="auto" w:sz="4" w:space="0"/>
              <w:right w:val="single" w:color="auto" w:sz="4" w:space="0"/>
            </w:tcBorders>
            <w:shd w:val="clear" w:color="auto" w:fill="auto"/>
            <w:vAlign w:val="center"/>
          </w:tcPr>
          <w:p w14:paraId="664F9F99">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bottom w:val="single" w:color="auto" w:sz="4" w:space="0"/>
              <w:right w:val="single" w:color="auto" w:sz="12" w:space="0"/>
            </w:tcBorders>
            <w:shd w:val="clear" w:color="auto" w:fill="auto"/>
            <w:vAlign w:val="center"/>
          </w:tcPr>
          <w:p w14:paraId="1791B59F">
            <w:pPr>
              <w:snapToGrid w:val="0"/>
              <w:spacing w:before="156" w:beforeLines="50" w:after="156" w:afterLines="50" w:line="288" w:lineRule="auto"/>
              <w:jc w:val="center"/>
            </w:pPr>
            <w:r>
              <w:rPr>
                <w:rFonts w:hint="eastAsia"/>
              </w:rPr>
              <w:t>④</w:t>
            </w:r>
          </w:p>
        </w:tc>
      </w:tr>
      <w:tr w14:paraId="51DD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9AA2F28">
            <w:pPr>
              <w:snapToGrid w:val="0"/>
              <w:spacing w:before="156" w:beforeLines="50" w:after="156" w:afterLines="50" w:line="288" w:lineRule="auto"/>
              <w:jc w:val="center"/>
              <w:rPr>
                <w:rFonts w:hint="eastAsia" w:eastAsia="宋体"/>
                <w:lang w:val="en-US" w:eastAsia="zh-CN"/>
              </w:rPr>
            </w:pPr>
            <w:r>
              <w:rPr>
                <w:rFonts w:hint="eastAsia" w:ascii="宋体" w:hAnsi="宋体"/>
                <w:sz w:val="20"/>
                <w:szCs w:val="20"/>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A9ED16A">
            <w:pPr>
              <w:snapToGrid w:val="0"/>
              <w:spacing w:before="156" w:beforeLines="50" w:after="156" w:afterLines="50" w:line="288" w:lineRule="auto"/>
              <w:jc w:val="left"/>
            </w:pPr>
            <w:r>
              <w:rPr>
                <w:rFonts w:hint="eastAsia" w:ascii="宋体" w:hAnsi="宋体"/>
                <w:sz w:val="20"/>
                <w:szCs w:val="20"/>
              </w:rPr>
              <w:t>情景剧：医患沟通</w:t>
            </w:r>
          </w:p>
        </w:tc>
        <w:tc>
          <w:tcPr>
            <w:tcW w:w="4061" w:type="dxa"/>
            <w:tcBorders>
              <w:top w:val="single" w:color="auto" w:sz="4" w:space="0"/>
              <w:left w:val="single" w:color="auto" w:sz="4" w:space="0"/>
              <w:bottom w:val="single" w:color="auto" w:sz="4" w:space="0"/>
              <w:right w:val="single" w:color="auto" w:sz="4" w:space="0"/>
            </w:tcBorders>
            <w:vAlign w:val="center"/>
          </w:tcPr>
          <w:p w14:paraId="5DB985BD">
            <w:pPr>
              <w:snapToGrid w:val="0"/>
              <w:spacing w:before="156" w:beforeLines="50" w:after="156" w:afterLines="50" w:line="288" w:lineRule="auto"/>
              <w:jc w:val="left"/>
              <w:rPr>
                <w:rFonts w:ascii="宋体" w:hAnsi="宋体"/>
                <w:sz w:val="20"/>
                <w:szCs w:val="20"/>
              </w:rPr>
            </w:pPr>
            <w:r>
              <w:rPr>
                <w:rFonts w:hint="eastAsia" w:ascii="宋体" w:hAnsi="宋体"/>
                <w:sz w:val="20"/>
                <w:szCs w:val="20"/>
              </w:rPr>
              <w:t>结合案例，情景剧的形式演绎医患间如何进行有效沟通。</w:t>
            </w:r>
          </w:p>
          <w:p w14:paraId="245E8C46">
            <w:pPr>
              <w:snapToGrid w:val="0"/>
              <w:spacing w:before="156" w:beforeLines="50" w:after="156" w:afterLines="50" w:line="288" w:lineRule="auto"/>
              <w:jc w:val="left"/>
            </w:pPr>
          </w:p>
        </w:tc>
        <w:tc>
          <w:tcPr>
            <w:tcW w:w="862" w:type="dxa"/>
            <w:tcBorders>
              <w:left w:val="single" w:color="auto" w:sz="4" w:space="0"/>
              <w:bottom w:val="single" w:color="auto" w:sz="4" w:space="0"/>
              <w:right w:val="single" w:color="auto" w:sz="4" w:space="0"/>
            </w:tcBorders>
            <w:shd w:val="clear" w:color="auto" w:fill="auto"/>
            <w:vAlign w:val="center"/>
          </w:tcPr>
          <w:p w14:paraId="14B81095">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bottom w:val="single" w:color="auto" w:sz="4" w:space="0"/>
              <w:right w:val="single" w:color="auto" w:sz="12" w:space="0"/>
            </w:tcBorders>
            <w:shd w:val="clear" w:color="auto" w:fill="auto"/>
            <w:vAlign w:val="center"/>
          </w:tcPr>
          <w:p w14:paraId="503C3DE7">
            <w:pPr>
              <w:snapToGrid w:val="0"/>
              <w:spacing w:before="156" w:beforeLines="50" w:after="156" w:afterLines="50" w:line="288" w:lineRule="auto"/>
              <w:jc w:val="center"/>
            </w:pPr>
            <w:r>
              <w:rPr>
                <w:rFonts w:hint="eastAsia"/>
              </w:rPr>
              <w:t>①</w:t>
            </w:r>
          </w:p>
        </w:tc>
      </w:tr>
      <w:tr w14:paraId="7EB4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3546117">
            <w:pPr>
              <w:snapToGrid w:val="0"/>
              <w:spacing w:before="156" w:beforeLines="50" w:after="156" w:afterLines="50" w:line="288" w:lineRule="auto"/>
              <w:jc w:val="center"/>
              <w:rPr>
                <w:rFonts w:hint="eastAsia" w:eastAsia="宋体"/>
                <w:lang w:eastAsia="zh-CN"/>
              </w:rPr>
            </w:pPr>
            <w:r>
              <w:rPr>
                <w:rFonts w:hint="eastAsia" w:ascii="宋体" w:hAnsi="宋体"/>
                <w:sz w:val="20"/>
                <w:szCs w:val="20"/>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23201DC8">
            <w:pPr>
              <w:snapToGrid w:val="0"/>
              <w:spacing w:before="156" w:beforeLines="50" w:after="156" w:afterLines="50" w:line="288" w:lineRule="auto"/>
              <w:jc w:val="left"/>
            </w:pPr>
            <w:r>
              <w:rPr>
                <w:rFonts w:hint="eastAsia" w:ascii="宋体" w:hAnsi="宋体"/>
                <w:sz w:val="20"/>
                <w:szCs w:val="20"/>
              </w:rPr>
              <w:t>课堂讨论：医学伦理教育、修养与评价</w:t>
            </w:r>
          </w:p>
        </w:tc>
        <w:tc>
          <w:tcPr>
            <w:tcW w:w="4061" w:type="dxa"/>
            <w:tcBorders>
              <w:top w:val="single" w:color="auto" w:sz="4" w:space="0"/>
              <w:left w:val="single" w:color="auto" w:sz="4" w:space="0"/>
              <w:bottom w:val="single" w:color="auto" w:sz="4" w:space="0"/>
              <w:right w:val="single" w:color="auto" w:sz="4" w:space="0"/>
            </w:tcBorders>
            <w:vAlign w:val="top"/>
          </w:tcPr>
          <w:p w14:paraId="4BFDC1AC">
            <w:pPr>
              <w:snapToGrid w:val="0"/>
              <w:spacing w:before="156" w:beforeLines="50" w:after="156" w:afterLines="50" w:line="288" w:lineRule="auto"/>
              <w:jc w:val="left"/>
            </w:pPr>
            <w:r>
              <w:rPr>
                <w:rFonts w:hint="eastAsia" w:ascii="宋体" w:hAnsi="宋体"/>
                <w:sz w:val="20"/>
                <w:szCs w:val="20"/>
              </w:rPr>
              <w:t>结合先进事例，课堂讨论：明确如何加强自身健康伦理修养，成为具有服务企业、服务社会意愿和行为能力的合格人才。</w:t>
            </w:r>
          </w:p>
        </w:tc>
        <w:tc>
          <w:tcPr>
            <w:tcW w:w="862" w:type="dxa"/>
            <w:tcBorders>
              <w:left w:val="single" w:color="auto" w:sz="4" w:space="0"/>
              <w:right w:val="single" w:color="auto" w:sz="4" w:space="0"/>
            </w:tcBorders>
            <w:shd w:val="clear" w:color="auto" w:fill="auto"/>
            <w:vAlign w:val="center"/>
          </w:tcPr>
          <w:p w14:paraId="407B5EBE">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6A1498E7">
            <w:pPr>
              <w:snapToGrid w:val="0"/>
              <w:spacing w:before="156" w:beforeLines="50" w:after="156" w:afterLines="50" w:line="288" w:lineRule="auto"/>
              <w:jc w:val="center"/>
            </w:pPr>
            <w:r>
              <w:rPr>
                <w:rFonts w:hint="eastAsia"/>
              </w:rPr>
              <w:t>④</w:t>
            </w:r>
          </w:p>
        </w:tc>
      </w:tr>
      <w:tr w14:paraId="57E5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0F72A58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8FCD153">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983D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22B92AD">
            <w:pPr>
              <w:pStyle w:val="14"/>
              <w:widowControl w:val="0"/>
              <w:jc w:val="left"/>
              <w:rPr>
                <w:rFonts w:hint="eastAsia" w:ascii="宋体" w:hAnsi="宋体"/>
                <w:bCs/>
              </w:rPr>
            </w:pPr>
            <w:r>
              <w:rPr>
                <w:rFonts w:hint="eastAsia"/>
              </w:rPr>
              <w:t>1.本课程思政建设的内容重点：教育引导学生</w:t>
            </w:r>
            <w:r>
              <w:rPr>
                <w:rFonts w:hint="eastAsia" w:ascii="宋体" w:hAnsi="宋体"/>
                <w:bCs/>
                <w:lang w:val="en-US" w:eastAsia="zh-CN"/>
              </w:rPr>
              <w:t>具备与专业相适应的人文素养，</w:t>
            </w:r>
            <w:r>
              <w:rPr>
                <w:rFonts w:hint="eastAsia" w:ascii="宋体" w:hAnsi="宋体"/>
                <w:bCs/>
              </w:rPr>
              <w:t>诚信尽责，为人诚实，信守承诺</w:t>
            </w:r>
            <w:r>
              <w:rPr>
                <w:rFonts w:hint="eastAsia" w:ascii="宋体" w:hAnsi="宋体"/>
                <w:bCs/>
                <w:lang w:eastAsia="zh-CN"/>
              </w:rPr>
              <w:t>。</w:t>
            </w:r>
            <w:r>
              <w:rPr>
                <w:rFonts w:hint="eastAsia" w:ascii="宋体" w:hAnsi="宋体"/>
                <w:bCs/>
              </w:rPr>
              <w:t>爱岗敬业，热爱所学专业，勤学多练，锤炼技能。</w:t>
            </w:r>
          </w:p>
          <w:p w14:paraId="3674311A">
            <w:pPr>
              <w:pStyle w:val="14"/>
              <w:widowControl w:val="0"/>
              <w:jc w:val="left"/>
              <w:rPr>
                <w:rFonts w:hint="default"/>
                <w:lang w:val="en-US" w:eastAsia="zh-CN"/>
              </w:rPr>
            </w:pPr>
            <w:r>
              <w:rPr>
                <w:rFonts w:hint="eastAsia"/>
              </w:rPr>
              <w:t>2.</w:t>
            </w:r>
            <w:r>
              <w:rPr>
                <w:rFonts w:hint="eastAsia" w:ascii="宋体" w:hAnsi="宋体"/>
                <w:bCs/>
              </w:rPr>
              <w:t>理论课程思政教学设计:</w:t>
            </w:r>
            <w:r>
              <w:rPr>
                <w:rFonts w:hint="eastAsia"/>
              </w:rPr>
              <w:t>深度挖掘提炼本课程知识中所蕴含的思想价值和精神内涵，增加课程的知识性、人文性，提升引领性、时代性和开放性。如结合“美德论”，</w:t>
            </w:r>
            <w:r>
              <w:rPr>
                <w:rFonts w:hint="eastAsia"/>
                <w:lang w:val="en-US" w:eastAsia="zh-CN"/>
              </w:rPr>
              <w:t>引导学生畅</w:t>
            </w:r>
            <w:r>
              <w:rPr>
                <w:rFonts w:hint="eastAsia"/>
              </w:rPr>
              <w:t>谈“最美逆行者”的感动事迹给我们的启迪。结合《古希波克拉底誓言》，介绍医学的道德要求。结合医学伦理学的历史发展</w:t>
            </w:r>
            <w:r>
              <w:rPr>
                <w:rFonts w:hint="eastAsia"/>
                <w:lang w:eastAsia="zh-CN"/>
              </w:rPr>
              <w:t>，</w:t>
            </w:r>
            <w:r>
              <w:rPr>
                <w:rFonts w:hint="eastAsia"/>
                <w:lang w:val="en-US" w:eastAsia="zh-CN"/>
              </w:rPr>
              <w:t>引导学生</w:t>
            </w:r>
            <w:r>
              <w:rPr>
                <w:rFonts w:hint="eastAsia"/>
                <w:lang w:eastAsia="zh-CN"/>
              </w:rPr>
              <w:t>树立正确的生命观、健康观、死亡观和医学人道观。结合“死亡观”，弘扬中国共产党大无畏的牺牲精神，</w:t>
            </w:r>
            <w:r>
              <w:rPr>
                <w:rFonts w:hint="eastAsia"/>
                <w:lang w:val="en-US" w:eastAsia="zh-CN"/>
              </w:rPr>
              <w:t>倡导大家向</w:t>
            </w:r>
            <w:r>
              <w:rPr>
                <w:rFonts w:hint="eastAsia"/>
                <w:lang w:eastAsia="zh-CN"/>
              </w:rPr>
              <w:t>刘胡兰</w:t>
            </w:r>
            <w:r>
              <w:rPr>
                <w:rFonts w:hint="eastAsia"/>
                <w:lang w:val="en-US" w:eastAsia="zh-CN"/>
              </w:rPr>
              <w:t>学习</w:t>
            </w:r>
            <w:r>
              <w:rPr>
                <w:rFonts w:hint="eastAsia"/>
                <w:lang w:eastAsia="zh-CN"/>
              </w:rPr>
              <w:t>——生的伟大，死的光荣</w:t>
            </w:r>
            <w:r>
              <w:rPr>
                <w:rFonts w:hint="eastAsia"/>
              </w:rPr>
              <w:t>。结合医务人员的行为规范中的“重视人文”，介绍“新医科”发展要求之一是医文理工融合的意义</w:t>
            </w:r>
            <w:r>
              <w:rPr>
                <w:rFonts w:hint="eastAsia"/>
                <w:lang w:eastAsia="zh-CN"/>
              </w:rPr>
              <w:t>。</w:t>
            </w:r>
            <w:r>
              <w:rPr>
                <w:rFonts w:hint="eastAsia"/>
                <w:lang w:val="en-US" w:eastAsia="zh-CN"/>
              </w:rPr>
              <w:t>结合“</w:t>
            </w:r>
            <w:r>
              <w:rPr>
                <w:rFonts w:hint="eastAsia"/>
              </w:rPr>
              <w:t>荣誉</w:t>
            </w:r>
            <w:r>
              <w:rPr>
                <w:rFonts w:hint="eastAsia"/>
                <w:lang w:eastAsia="zh-CN"/>
              </w:rPr>
              <w:t>”，</w:t>
            </w:r>
            <w:r>
              <w:rPr>
                <w:rFonts w:hint="eastAsia"/>
                <w:lang w:val="en-US" w:eastAsia="zh-CN"/>
              </w:rPr>
              <w:t>解读2020年9月8日上午,全国抗击新冠肺炎疫情表彰大会在北京人民大会堂隆重举行，习近平总书记在表彰大会上讲话，向作出杰出贡献的功勋模范人物颁授共和国勋章和国家荣誉称号奖章，表彰抗疫先进个人和先进集体，要求弘扬伟大抗疫精神，为决胜全面建成小康社会、夺取新时代中国特色社会主义伟大胜利而不懈奋斗！结合健康权利的实现，以事实证明：优越的社会制度为“减低死胎率和婴儿死亡率”提供了保障，以此激发大家的爱国热情。结合</w:t>
            </w:r>
            <w:r>
              <w:rPr>
                <w:rFonts w:hint="eastAsia" w:ascii="宋体" w:hAnsi="宋体"/>
                <w:sz w:val="20"/>
                <w:szCs w:val="20"/>
              </w:rPr>
              <w:t>公共卫生突发事件处置的伦理原则</w:t>
            </w:r>
            <w:r>
              <w:rPr>
                <w:rFonts w:hint="eastAsia" w:ascii="宋体" w:hAnsi="宋体"/>
                <w:sz w:val="20"/>
                <w:szCs w:val="20"/>
                <w:lang w:eastAsia="zh-CN"/>
              </w:rPr>
              <w:t>，</w:t>
            </w:r>
            <w:r>
              <w:rPr>
                <w:rFonts w:hint="eastAsia" w:ascii="宋体" w:hAnsi="宋体"/>
                <w:sz w:val="20"/>
                <w:szCs w:val="20"/>
                <w:lang w:val="en-US" w:eastAsia="zh-CN"/>
              </w:rPr>
              <w:t>强调</w:t>
            </w:r>
            <w:r>
              <w:rPr>
                <w:rFonts w:hint="eastAsia"/>
                <w:lang w:val="en-US" w:eastAsia="zh-CN"/>
              </w:rPr>
              <w:t>“个人利益服从社会利益、局部利益服从全局利益、眼前利益服从长远利益”这是新时期公民必须具备的道德素养。结合临终关怀伦理，引用“生如夏花之绚烂，死如秋叶之静美”——印度诗人泰戈尔所作《飞鸟集》诠释何为全人关怀。</w:t>
            </w:r>
          </w:p>
          <w:p w14:paraId="7E3F49D7">
            <w:pPr>
              <w:pStyle w:val="14"/>
              <w:widowControl w:val="0"/>
              <w:jc w:val="left"/>
              <w:rPr>
                <w:rFonts w:hint="eastAsia"/>
              </w:rPr>
            </w:pPr>
            <w:r>
              <w:rPr>
                <w:rFonts w:hint="eastAsia"/>
              </w:rPr>
              <w:t>3.</w:t>
            </w:r>
            <w:r>
              <w:rPr>
                <w:rFonts w:hint="eastAsia" w:ascii="宋体" w:hAnsi="宋体"/>
                <w:bCs/>
              </w:rPr>
              <w:t>实践课程思政教学设计:</w:t>
            </w:r>
            <w:r>
              <w:rPr>
                <w:rFonts w:hint="eastAsia"/>
              </w:rPr>
              <w:t>在实践课程中，</w:t>
            </w:r>
            <w:r>
              <w:rPr>
                <w:rFonts w:hint="eastAsia"/>
                <w:lang w:val="en-US" w:eastAsia="zh-CN"/>
              </w:rPr>
              <w:t>着力培育学生</w:t>
            </w:r>
            <w:r>
              <w:rPr>
                <w:rFonts w:hint="eastAsia" w:ascii="宋体" w:hAnsi="宋体"/>
                <w:bCs/>
              </w:rPr>
              <w:t>爱岗敬业，热爱所学专业，勤学多练，锤炼技能。</w:t>
            </w:r>
            <w:r>
              <w:rPr>
                <w:rFonts w:hint="eastAsia"/>
              </w:rPr>
              <w:t>增强学生勇于探索的创新精神、善于解决问题的实践能力。</w:t>
            </w:r>
            <w:r>
              <w:rPr>
                <w:rFonts w:hint="eastAsia"/>
                <w:lang w:val="en-US" w:eastAsia="zh-CN"/>
              </w:rPr>
              <w:t>无论是</w:t>
            </w:r>
            <w:r>
              <w:rPr>
                <w:rFonts w:hint="eastAsia" w:ascii="宋体" w:hAnsi="宋体"/>
                <w:kern w:val="10"/>
                <w:sz w:val="20"/>
                <w:szCs w:val="20"/>
              </w:rPr>
              <w:t>健康教育活动策划</w:t>
            </w:r>
            <w:r>
              <w:rPr>
                <w:rFonts w:hint="eastAsia" w:ascii="宋体" w:hAnsi="宋体"/>
                <w:kern w:val="10"/>
                <w:sz w:val="20"/>
                <w:szCs w:val="20"/>
                <w:lang w:eastAsia="zh-CN"/>
              </w:rPr>
              <w:t>，</w:t>
            </w:r>
            <w:r>
              <w:rPr>
                <w:rFonts w:hint="eastAsia" w:ascii="宋体" w:hAnsi="宋体"/>
                <w:kern w:val="10"/>
                <w:sz w:val="20"/>
                <w:szCs w:val="20"/>
                <w:lang w:val="en-US" w:eastAsia="zh-CN"/>
              </w:rPr>
              <w:t>还是</w:t>
            </w:r>
            <w:r>
              <w:rPr>
                <w:rFonts w:hint="eastAsia" w:ascii="宋体" w:hAnsi="宋体"/>
                <w:sz w:val="20"/>
                <w:szCs w:val="20"/>
              </w:rPr>
              <w:t>医患沟通情景剧</w:t>
            </w:r>
            <w:r>
              <w:rPr>
                <w:rFonts w:hint="eastAsia" w:ascii="宋体" w:hAnsi="宋体"/>
                <w:sz w:val="20"/>
                <w:szCs w:val="20"/>
                <w:lang w:val="en-US" w:eastAsia="zh-CN"/>
              </w:rPr>
              <w:t>演绎，</w:t>
            </w:r>
            <w:r>
              <w:rPr>
                <w:rFonts w:hint="eastAsia"/>
                <w:lang w:val="en-US" w:eastAsia="zh-CN"/>
              </w:rPr>
              <w:t>都注重</w:t>
            </w:r>
            <w:r>
              <w:rPr>
                <w:rFonts w:hint="eastAsia"/>
              </w:rPr>
              <w:t>培养</w:t>
            </w:r>
            <w:r>
              <w:rPr>
                <w:rFonts w:hint="eastAsia"/>
                <w:lang w:val="en-US" w:eastAsia="zh-CN"/>
              </w:rPr>
              <w:t>学生的</w:t>
            </w:r>
            <w:r>
              <w:rPr>
                <w:rFonts w:hint="eastAsia"/>
              </w:rPr>
              <w:t>独立思考能力与解决实际问题的能力；</w:t>
            </w:r>
            <w:r>
              <w:rPr>
                <w:rFonts w:hint="eastAsia" w:ascii="宋体" w:hAnsi="宋体"/>
                <w:sz w:val="20"/>
                <w:szCs w:val="20"/>
              </w:rPr>
              <w:t>公共卫生突发事件处置的伦理原则案例分析</w:t>
            </w:r>
            <w:r>
              <w:rPr>
                <w:rFonts w:hint="eastAsia" w:ascii="宋体" w:hAnsi="宋体"/>
                <w:sz w:val="20"/>
                <w:szCs w:val="20"/>
                <w:lang w:eastAsia="zh-CN"/>
              </w:rPr>
              <w:t>，</w:t>
            </w:r>
            <w:r>
              <w:rPr>
                <w:rFonts w:hint="eastAsia"/>
              </w:rPr>
              <w:t>教育引导学生</w:t>
            </w:r>
            <w:r>
              <w:rPr>
                <w:rFonts w:hint="eastAsia" w:ascii="宋体" w:hAnsi="宋体"/>
                <w:bCs/>
              </w:rPr>
              <w:t>热爱所学专业，勤学多练，锤炼技能。</w:t>
            </w:r>
            <w:r>
              <w:rPr>
                <w:rFonts w:hint="eastAsia"/>
              </w:rPr>
              <w:t>通过</w:t>
            </w:r>
            <w:r>
              <w:rPr>
                <w:rFonts w:hint="eastAsia"/>
                <w:lang w:eastAsia="zh-CN"/>
              </w:rPr>
              <w:t>“</w:t>
            </w:r>
            <w:r>
              <w:rPr>
                <w:rFonts w:hint="eastAsia" w:ascii="宋体" w:hAnsi="宋体"/>
                <w:sz w:val="20"/>
                <w:szCs w:val="20"/>
              </w:rPr>
              <w:t>医学伦理教育、修养与评价</w:t>
            </w:r>
            <w:r>
              <w:rPr>
                <w:rFonts w:hint="eastAsia" w:ascii="宋体" w:hAnsi="宋体"/>
                <w:sz w:val="20"/>
                <w:szCs w:val="20"/>
                <w:lang w:eastAsia="zh-CN"/>
              </w:rPr>
              <w:t>”</w:t>
            </w:r>
            <w:r>
              <w:rPr>
                <w:rFonts w:hint="eastAsia" w:ascii="宋体" w:hAnsi="宋体"/>
                <w:sz w:val="20"/>
                <w:szCs w:val="20"/>
                <w:lang w:val="en-US" w:eastAsia="zh-CN"/>
              </w:rPr>
              <w:t>大讨论，</w:t>
            </w:r>
            <w:r>
              <w:rPr>
                <w:rFonts w:hint="eastAsia" w:ascii="宋体" w:hAnsi="宋体"/>
                <w:sz w:val="20"/>
                <w:szCs w:val="20"/>
              </w:rPr>
              <w:t>明确如何加强自身健康伦理修养，成为具有服务企业、服务社会意愿和行为能力的合格人才。</w:t>
            </w:r>
          </w:p>
        </w:tc>
      </w:tr>
    </w:tbl>
    <w:p w14:paraId="413CF8F8">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63"/>
        <w:gridCol w:w="2534"/>
        <w:gridCol w:w="863"/>
        <w:gridCol w:w="659"/>
        <w:gridCol w:w="659"/>
        <w:gridCol w:w="659"/>
        <w:gridCol w:w="660"/>
        <w:gridCol w:w="760"/>
      </w:tblGrid>
      <w:tr w14:paraId="6EB0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0" w:type="dxa"/>
            <w:vMerge w:val="restart"/>
            <w:tcBorders>
              <w:top w:val="single" w:color="auto" w:sz="12" w:space="0"/>
              <w:left w:val="single" w:color="auto" w:sz="12" w:space="0"/>
            </w:tcBorders>
            <w:vAlign w:val="center"/>
          </w:tcPr>
          <w:p w14:paraId="769F463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63" w:type="dxa"/>
            <w:vMerge w:val="restart"/>
            <w:tcBorders>
              <w:top w:val="single" w:color="auto" w:sz="12" w:space="0"/>
            </w:tcBorders>
            <w:vAlign w:val="center"/>
          </w:tcPr>
          <w:p w14:paraId="5189705F">
            <w:pPr>
              <w:pStyle w:val="16"/>
              <w:widowControl w:val="0"/>
              <w:spacing w:line="240" w:lineRule="auto"/>
              <w:jc w:val="center"/>
              <w:rPr>
                <w:rFonts w:ascii="黑体" w:hAnsi="宋体"/>
              </w:rPr>
            </w:pPr>
            <w:r>
              <w:rPr>
                <w:rFonts w:hint="eastAsia" w:ascii="黑体" w:hAnsi="黑体"/>
                <w:bCs/>
                <w:sz w:val="21"/>
                <w:szCs w:val="21"/>
              </w:rPr>
              <w:t>占比</w:t>
            </w:r>
          </w:p>
        </w:tc>
        <w:tc>
          <w:tcPr>
            <w:tcW w:w="2534" w:type="dxa"/>
            <w:vMerge w:val="restart"/>
            <w:tcBorders>
              <w:top w:val="single" w:color="auto" w:sz="12" w:space="0"/>
              <w:right w:val="double" w:color="auto" w:sz="4" w:space="0"/>
            </w:tcBorders>
            <w:vAlign w:val="center"/>
          </w:tcPr>
          <w:p w14:paraId="040C7180">
            <w:pPr>
              <w:pStyle w:val="16"/>
              <w:widowControl w:val="0"/>
              <w:jc w:val="center"/>
              <w:rPr>
                <w:rFonts w:ascii="黑体" w:hAnsi="黑体"/>
                <w:bCs/>
                <w:sz w:val="21"/>
                <w:szCs w:val="21"/>
              </w:rPr>
            </w:pPr>
            <w:r>
              <w:rPr>
                <w:rFonts w:hint="eastAsia" w:ascii="黑体" w:hAnsi="黑体"/>
                <w:bCs/>
                <w:sz w:val="21"/>
                <w:szCs w:val="21"/>
              </w:rPr>
              <w:t>考核方式</w:t>
            </w:r>
          </w:p>
        </w:tc>
        <w:tc>
          <w:tcPr>
            <w:tcW w:w="3500" w:type="dxa"/>
            <w:gridSpan w:val="5"/>
            <w:tcBorders>
              <w:top w:val="single" w:color="auto" w:sz="12" w:space="0"/>
              <w:right w:val="single" w:color="auto" w:sz="12" w:space="0"/>
            </w:tcBorders>
            <w:vAlign w:val="center"/>
          </w:tcPr>
          <w:p w14:paraId="537CA7C7">
            <w:pPr>
              <w:pStyle w:val="1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760" w:type="dxa"/>
            <w:tcBorders>
              <w:top w:val="single" w:color="auto" w:sz="12" w:space="0"/>
              <w:right w:val="single" w:color="auto" w:sz="12" w:space="0"/>
            </w:tcBorders>
            <w:vAlign w:val="center"/>
          </w:tcPr>
          <w:p w14:paraId="4CFA8449">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50D4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00" w:type="dxa"/>
            <w:vMerge w:val="continue"/>
            <w:tcBorders>
              <w:left w:val="single" w:color="auto" w:sz="12" w:space="0"/>
            </w:tcBorders>
          </w:tcPr>
          <w:p w14:paraId="03F72F5B">
            <w:pPr>
              <w:widowControl w:val="0"/>
              <w:snapToGrid w:val="0"/>
              <w:jc w:val="center"/>
              <w:rPr>
                <w:rFonts w:ascii="黑体" w:hAnsi="黑体" w:eastAsia="黑体"/>
                <w:bCs/>
                <w:sz w:val="21"/>
                <w:szCs w:val="21"/>
              </w:rPr>
            </w:pPr>
          </w:p>
        </w:tc>
        <w:tc>
          <w:tcPr>
            <w:tcW w:w="763" w:type="dxa"/>
            <w:vMerge w:val="continue"/>
          </w:tcPr>
          <w:p w14:paraId="15E073A3">
            <w:pPr>
              <w:pStyle w:val="16"/>
              <w:widowControl w:val="0"/>
              <w:jc w:val="both"/>
              <w:rPr>
                <w:rFonts w:ascii="黑体" w:hAnsi="黑体"/>
                <w:bCs/>
                <w:sz w:val="21"/>
                <w:szCs w:val="21"/>
              </w:rPr>
            </w:pPr>
          </w:p>
        </w:tc>
        <w:tc>
          <w:tcPr>
            <w:tcW w:w="2534" w:type="dxa"/>
            <w:vMerge w:val="continue"/>
            <w:tcBorders>
              <w:right w:val="double" w:color="auto" w:sz="4" w:space="0"/>
            </w:tcBorders>
          </w:tcPr>
          <w:p w14:paraId="53390B7B">
            <w:pPr>
              <w:pStyle w:val="16"/>
              <w:widowControl w:val="0"/>
              <w:jc w:val="both"/>
              <w:rPr>
                <w:rFonts w:ascii="黑体" w:hAnsi="黑体"/>
                <w:bCs/>
                <w:sz w:val="21"/>
                <w:szCs w:val="21"/>
              </w:rPr>
            </w:pPr>
          </w:p>
        </w:tc>
        <w:tc>
          <w:tcPr>
            <w:tcW w:w="863" w:type="dxa"/>
            <w:tcBorders>
              <w:left w:val="double" w:color="auto" w:sz="4" w:space="0"/>
            </w:tcBorders>
            <w:vAlign w:val="center"/>
          </w:tcPr>
          <w:p w14:paraId="470413D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59" w:type="dxa"/>
            <w:vAlign w:val="center"/>
          </w:tcPr>
          <w:p w14:paraId="19BC84E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59" w:type="dxa"/>
            <w:vAlign w:val="center"/>
          </w:tcPr>
          <w:p w14:paraId="7778BAF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59" w:type="dxa"/>
            <w:vAlign w:val="center"/>
          </w:tcPr>
          <w:p w14:paraId="7AE9D4C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60" w:type="dxa"/>
            <w:vAlign w:val="center"/>
          </w:tcPr>
          <w:p w14:paraId="76D1B21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760" w:type="dxa"/>
            <w:tcBorders>
              <w:right w:val="single" w:color="auto" w:sz="12" w:space="0"/>
            </w:tcBorders>
          </w:tcPr>
          <w:p w14:paraId="6D1CC2B6">
            <w:pPr>
              <w:pStyle w:val="16"/>
              <w:widowControl w:val="0"/>
              <w:spacing w:line="240" w:lineRule="auto"/>
              <w:jc w:val="center"/>
              <w:rPr>
                <w:rFonts w:ascii="黑体" w:hAnsi="黑体"/>
                <w:bCs/>
                <w:sz w:val="21"/>
                <w:szCs w:val="21"/>
              </w:rPr>
            </w:pPr>
          </w:p>
        </w:tc>
      </w:tr>
      <w:tr w14:paraId="7278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0" w:type="dxa"/>
            <w:tcBorders>
              <w:left w:val="single" w:color="auto" w:sz="12" w:space="0"/>
            </w:tcBorders>
            <w:vAlign w:val="center"/>
          </w:tcPr>
          <w:p w14:paraId="65191799">
            <w:pPr>
              <w:widowControl w:val="0"/>
              <w:snapToGrid w:val="0"/>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X1</w:t>
            </w:r>
          </w:p>
        </w:tc>
        <w:tc>
          <w:tcPr>
            <w:tcW w:w="763" w:type="dxa"/>
            <w:vAlign w:val="center"/>
          </w:tcPr>
          <w:p w14:paraId="341FACF3">
            <w:pPr>
              <w:widowControl/>
              <w:spacing w:line="360" w:lineRule="auto"/>
              <w:jc w:val="center"/>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5</w:t>
            </w:r>
            <w:r>
              <w:rPr>
                <w:rFonts w:hint="eastAsia" w:ascii="宋体" w:hAnsi="宋体" w:eastAsia="宋体" w:cs="宋体"/>
                <w:bCs/>
                <w:color w:val="000000"/>
                <w:sz w:val="21"/>
                <w:szCs w:val="21"/>
                <w:lang w:val="en-US" w:eastAsia="zh-CN" w:bidi="ar-SA"/>
              </w:rPr>
              <w:t>0%</w:t>
            </w:r>
          </w:p>
        </w:tc>
        <w:tc>
          <w:tcPr>
            <w:tcW w:w="2534" w:type="dxa"/>
            <w:tcBorders>
              <w:right w:val="double" w:color="auto" w:sz="4" w:space="0"/>
            </w:tcBorders>
            <w:vAlign w:val="center"/>
          </w:tcPr>
          <w:p w14:paraId="55B8AC40">
            <w:pPr>
              <w:widowControl/>
              <w:spacing w:line="360" w:lineRule="auto"/>
              <w:jc w:val="center"/>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随堂测验</w:t>
            </w:r>
          </w:p>
        </w:tc>
        <w:tc>
          <w:tcPr>
            <w:tcW w:w="863" w:type="dxa"/>
            <w:tcBorders>
              <w:left w:val="double" w:color="auto" w:sz="4" w:space="0"/>
            </w:tcBorders>
            <w:vAlign w:val="center"/>
          </w:tcPr>
          <w:p w14:paraId="6CA323AE">
            <w:pPr>
              <w:pStyle w:val="14"/>
              <w:widowControl w:val="0"/>
              <w:rPr>
                <w:rFonts w:hint="default" w:eastAsia="宋体"/>
                <w:lang w:val="en-US" w:eastAsia="zh-CN"/>
              </w:rPr>
            </w:pPr>
            <w:r>
              <w:rPr>
                <w:rFonts w:hint="eastAsia"/>
                <w:lang w:val="en-US" w:eastAsia="zh-CN"/>
              </w:rPr>
              <w:t>20</w:t>
            </w:r>
          </w:p>
        </w:tc>
        <w:tc>
          <w:tcPr>
            <w:tcW w:w="659" w:type="dxa"/>
            <w:vAlign w:val="center"/>
          </w:tcPr>
          <w:p w14:paraId="515EB974">
            <w:pPr>
              <w:pStyle w:val="14"/>
              <w:widowControl w:val="0"/>
              <w:rPr>
                <w:rFonts w:hint="default" w:eastAsia="宋体"/>
                <w:lang w:val="en-US" w:eastAsia="zh-CN"/>
              </w:rPr>
            </w:pPr>
            <w:r>
              <w:rPr>
                <w:rFonts w:hint="eastAsia"/>
                <w:lang w:val="en-US" w:eastAsia="zh-CN"/>
              </w:rPr>
              <w:t>40</w:t>
            </w:r>
          </w:p>
        </w:tc>
        <w:tc>
          <w:tcPr>
            <w:tcW w:w="659" w:type="dxa"/>
            <w:vAlign w:val="center"/>
          </w:tcPr>
          <w:p w14:paraId="2B5A8CD8">
            <w:pPr>
              <w:pStyle w:val="14"/>
              <w:widowControl w:val="0"/>
              <w:rPr>
                <w:rFonts w:hint="default" w:eastAsia="宋体"/>
                <w:lang w:val="en-US" w:eastAsia="zh-CN"/>
              </w:rPr>
            </w:pPr>
            <w:r>
              <w:rPr>
                <w:rFonts w:hint="eastAsia"/>
                <w:lang w:val="en-US" w:eastAsia="zh-CN"/>
              </w:rPr>
              <w:t>20</w:t>
            </w:r>
          </w:p>
        </w:tc>
        <w:tc>
          <w:tcPr>
            <w:tcW w:w="659" w:type="dxa"/>
            <w:vAlign w:val="center"/>
          </w:tcPr>
          <w:p w14:paraId="6B6C005A">
            <w:pPr>
              <w:pStyle w:val="14"/>
              <w:widowControl w:val="0"/>
              <w:rPr>
                <w:rFonts w:hint="default" w:eastAsia="宋体"/>
                <w:lang w:val="en-US" w:eastAsia="zh-CN"/>
              </w:rPr>
            </w:pPr>
            <w:r>
              <w:rPr>
                <w:rFonts w:hint="eastAsia"/>
                <w:lang w:val="en-US" w:eastAsia="zh-CN"/>
              </w:rPr>
              <w:t>10</w:t>
            </w:r>
          </w:p>
        </w:tc>
        <w:tc>
          <w:tcPr>
            <w:tcW w:w="660" w:type="dxa"/>
            <w:vAlign w:val="center"/>
          </w:tcPr>
          <w:p w14:paraId="76233EFB">
            <w:pPr>
              <w:pStyle w:val="14"/>
              <w:widowControl w:val="0"/>
              <w:rPr>
                <w:rFonts w:hint="default" w:eastAsia="宋体"/>
                <w:lang w:val="en-US" w:eastAsia="zh-CN"/>
              </w:rPr>
            </w:pPr>
            <w:r>
              <w:rPr>
                <w:rFonts w:hint="eastAsia"/>
                <w:lang w:val="en-US" w:eastAsia="zh-CN"/>
              </w:rPr>
              <w:t>10</w:t>
            </w:r>
          </w:p>
        </w:tc>
        <w:tc>
          <w:tcPr>
            <w:tcW w:w="760" w:type="dxa"/>
            <w:tcBorders>
              <w:right w:val="single" w:color="auto" w:sz="12" w:space="0"/>
            </w:tcBorders>
            <w:vAlign w:val="center"/>
          </w:tcPr>
          <w:p w14:paraId="253878A3">
            <w:pPr>
              <w:pStyle w:val="14"/>
              <w:widowControl w:val="0"/>
            </w:pPr>
            <w:r>
              <w:rPr>
                <w:rFonts w:hint="eastAsia"/>
              </w:rPr>
              <w:t>1</w:t>
            </w:r>
            <w:r>
              <w:t>00</w:t>
            </w:r>
          </w:p>
        </w:tc>
      </w:tr>
      <w:tr w14:paraId="4111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0" w:type="dxa"/>
            <w:tcBorders>
              <w:left w:val="single" w:color="auto" w:sz="12" w:space="0"/>
            </w:tcBorders>
            <w:vAlign w:val="center"/>
          </w:tcPr>
          <w:p w14:paraId="5F38F1B4">
            <w:pPr>
              <w:widowControl w:val="0"/>
              <w:snapToGrid w:val="0"/>
              <w:jc w:val="center"/>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X</w:t>
            </w:r>
            <w:r>
              <w:rPr>
                <w:rFonts w:hint="eastAsia" w:cs="宋体"/>
                <w:bCs/>
                <w:color w:val="000000"/>
                <w:sz w:val="21"/>
                <w:szCs w:val="21"/>
                <w:lang w:val="en-US" w:eastAsia="zh-CN" w:bidi="ar-SA"/>
              </w:rPr>
              <w:t>2</w:t>
            </w:r>
          </w:p>
        </w:tc>
        <w:tc>
          <w:tcPr>
            <w:tcW w:w="763" w:type="dxa"/>
            <w:vAlign w:val="center"/>
          </w:tcPr>
          <w:p w14:paraId="4DC74ACC">
            <w:pPr>
              <w:widowControl/>
              <w:spacing w:line="360" w:lineRule="auto"/>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20%</w:t>
            </w:r>
          </w:p>
        </w:tc>
        <w:tc>
          <w:tcPr>
            <w:tcW w:w="2534" w:type="dxa"/>
            <w:tcBorders>
              <w:right w:val="double" w:color="auto" w:sz="4" w:space="0"/>
            </w:tcBorders>
            <w:vAlign w:val="center"/>
          </w:tcPr>
          <w:p w14:paraId="580CA099">
            <w:pPr>
              <w:widowControl/>
              <w:spacing w:line="360" w:lineRule="auto"/>
              <w:jc w:val="center"/>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课程</w:t>
            </w:r>
            <w:r>
              <w:rPr>
                <w:rFonts w:hint="eastAsia" w:ascii="宋体" w:hAnsi="宋体" w:eastAsia="宋体" w:cs="宋体"/>
                <w:bCs/>
                <w:color w:val="000000"/>
                <w:sz w:val="21"/>
                <w:szCs w:val="21"/>
                <w:lang w:val="en-US" w:eastAsia="zh-CN" w:bidi="ar-SA"/>
              </w:rPr>
              <w:t>论文</w:t>
            </w:r>
          </w:p>
        </w:tc>
        <w:tc>
          <w:tcPr>
            <w:tcW w:w="863" w:type="dxa"/>
            <w:tcBorders>
              <w:left w:val="double" w:color="auto" w:sz="4" w:space="0"/>
            </w:tcBorders>
            <w:vAlign w:val="center"/>
          </w:tcPr>
          <w:p w14:paraId="35CC2752">
            <w:pPr>
              <w:pStyle w:val="14"/>
              <w:widowControl w:val="0"/>
              <w:rPr>
                <w:rFonts w:hint="default" w:eastAsia="宋体"/>
                <w:lang w:val="en-US" w:eastAsia="zh-CN"/>
              </w:rPr>
            </w:pPr>
            <w:r>
              <w:rPr>
                <w:rFonts w:hint="eastAsia"/>
                <w:lang w:val="en-US" w:eastAsia="zh-CN"/>
              </w:rPr>
              <w:t>20</w:t>
            </w:r>
          </w:p>
        </w:tc>
        <w:tc>
          <w:tcPr>
            <w:tcW w:w="659" w:type="dxa"/>
            <w:vAlign w:val="center"/>
          </w:tcPr>
          <w:p w14:paraId="7671FA45">
            <w:pPr>
              <w:pStyle w:val="14"/>
              <w:widowControl w:val="0"/>
            </w:pPr>
          </w:p>
        </w:tc>
        <w:tc>
          <w:tcPr>
            <w:tcW w:w="659" w:type="dxa"/>
            <w:vAlign w:val="center"/>
          </w:tcPr>
          <w:p w14:paraId="7FEF303C">
            <w:pPr>
              <w:pStyle w:val="14"/>
              <w:widowControl w:val="0"/>
              <w:rPr>
                <w:rFonts w:hint="default" w:eastAsia="宋体"/>
                <w:lang w:val="en-US" w:eastAsia="zh-CN"/>
              </w:rPr>
            </w:pPr>
            <w:r>
              <w:rPr>
                <w:rFonts w:hint="eastAsia"/>
                <w:lang w:val="en-US" w:eastAsia="zh-CN"/>
              </w:rPr>
              <w:t>30</w:t>
            </w:r>
          </w:p>
        </w:tc>
        <w:tc>
          <w:tcPr>
            <w:tcW w:w="659" w:type="dxa"/>
            <w:vAlign w:val="center"/>
          </w:tcPr>
          <w:p w14:paraId="458DC342">
            <w:pPr>
              <w:pStyle w:val="14"/>
              <w:widowControl w:val="0"/>
              <w:rPr>
                <w:rFonts w:hint="default" w:eastAsia="宋体"/>
                <w:lang w:val="en-US" w:eastAsia="zh-CN"/>
              </w:rPr>
            </w:pPr>
            <w:r>
              <w:rPr>
                <w:rFonts w:hint="eastAsia"/>
                <w:lang w:val="en-US" w:eastAsia="zh-CN"/>
              </w:rPr>
              <w:t>30</w:t>
            </w:r>
          </w:p>
        </w:tc>
        <w:tc>
          <w:tcPr>
            <w:tcW w:w="660" w:type="dxa"/>
            <w:vAlign w:val="center"/>
          </w:tcPr>
          <w:p w14:paraId="71918FB4">
            <w:pPr>
              <w:pStyle w:val="14"/>
              <w:widowControl w:val="0"/>
              <w:rPr>
                <w:rFonts w:hint="default" w:eastAsia="宋体"/>
                <w:lang w:val="en-US" w:eastAsia="zh-CN"/>
              </w:rPr>
            </w:pPr>
            <w:r>
              <w:rPr>
                <w:rFonts w:hint="eastAsia"/>
                <w:lang w:val="en-US" w:eastAsia="zh-CN"/>
              </w:rPr>
              <w:t>20</w:t>
            </w:r>
          </w:p>
        </w:tc>
        <w:tc>
          <w:tcPr>
            <w:tcW w:w="760" w:type="dxa"/>
            <w:tcBorders>
              <w:right w:val="single" w:color="auto" w:sz="12" w:space="0"/>
            </w:tcBorders>
            <w:vAlign w:val="center"/>
          </w:tcPr>
          <w:p w14:paraId="5B1CF555">
            <w:pPr>
              <w:pStyle w:val="14"/>
              <w:widowControl w:val="0"/>
            </w:pPr>
            <w:r>
              <w:rPr>
                <w:rFonts w:hint="eastAsia"/>
              </w:rPr>
              <w:t>1</w:t>
            </w:r>
            <w:r>
              <w:t>00</w:t>
            </w:r>
          </w:p>
        </w:tc>
      </w:tr>
      <w:tr w14:paraId="7A87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0" w:type="dxa"/>
            <w:tcBorders>
              <w:left w:val="single" w:color="auto" w:sz="12" w:space="0"/>
            </w:tcBorders>
            <w:vAlign w:val="center"/>
          </w:tcPr>
          <w:p w14:paraId="7CE16286">
            <w:pPr>
              <w:widowControl w:val="0"/>
              <w:snapToGrid w:val="0"/>
              <w:jc w:val="center"/>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X</w:t>
            </w:r>
            <w:r>
              <w:rPr>
                <w:rFonts w:hint="eastAsia" w:cs="宋体"/>
                <w:bCs/>
                <w:color w:val="000000"/>
                <w:sz w:val="21"/>
                <w:szCs w:val="21"/>
                <w:lang w:val="en-US" w:eastAsia="zh-CN" w:bidi="ar-SA"/>
              </w:rPr>
              <w:t>3</w:t>
            </w:r>
          </w:p>
        </w:tc>
        <w:tc>
          <w:tcPr>
            <w:tcW w:w="763" w:type="dxa"/>
            <w:vAlign w:val="center"/>
          </w:tcPr>
          <w:p w14:paraId="3D419C48">
            <w:pPr>
              <w:widowControl/>
              <w:spacing w:line="360" w:lineRule="auto"/>
              <w:jc w:val="center"/>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15</w:t>
            </w:r>
            <w:r>
              <w:rPr>
                <w:rFonts w:hint="eastAsia" w:ascii="宋体" w:hAnsi="宋体" w:eastAsia="宋体" w:cs="宋体"/>
                <w:bCs/>
                <w:color w:val="000000"/>
                <w:sz w:val="21"/>
                <w:szCs w:val="21"/>
                <w:lang w:val="en-US" w:eastAsia="zh-CN" w:bidi="ar-SA"/>
              </w:rPr>
              <w:t>%</w:t>
            </w:r>
          </w:p>
        </w:tc>
        <w:tc>
          <w:tcPr>
            <w:tcW w:w="2534" w:type="dxa"/>
            <w:tcBorders>
              <w:right w:val="double" w:color="auto" w:sz="4" w:space="0"/>
            </w:tcBorders>
            <w:vAlign w:val="center"/>
          </w:tcPr>
          <w:p w14:paraId="73E5D0B7">
            <w:pPr>
              <w:widowControl w:val="0"/>
              <w:snapToGrid w:val="0"/>
              <w:spacing w:line="288" w:lineRule="auto"/>
              <w:jc w:val="center"/>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课堂作业</w:t>
            </w:r>
          </w:p>
        </w:tc>
        <w:tc>
          <w:tcPr>
            <w:tcW w:w="863" w:type="dxa"/>
            <w:tcBorders>
              <w:left w:val="double" w:color="auto" w:sz="4" w:space="0"/>
            </w:tcBorders>
            <w:vAlign w:val="center"/>
          </w:tcPr>
          <w:p w14:paraId="453D5ED1">
            <w:pPr>
              <w:pStyle w:val="14"/>
              <w:widowControl w:val="0"/>
              <w:rPr>
                <w:rFonts w:hint="default" w:eastAsia="宋体"/>
                <w:lang w:val="en-US" w:eastAsia="zh-CN"/>
              </w:rPr>
            </w:pPr>
            <w:r>
              <w:rPr>
                <w:rFonts w:hint="eastAsia"/>
                <w:lang w:val="en-US" w:eastAsia="zh-CN"/>
              </w:rPr>
              <w:t>20</w:t>
            </w:r>
          </w:p>
        </w:tc>
        <w:tc>
          <w:tcPr>
            <w:tcW w:w="659" w:type="dxa"/>
            <w:vAlign w:val="center"/>
          </w:tcPr>
          <w:p w14:paraId="02B4E709">
            <w:pPr>
              <w:pStyle w:val="14"/>
              <w:widowControl w:val="0"/>
              <w:rPr>
                <w:rFonts w:hint="default" w:eastAsia="宋体"/>
                <w:lang w:val="en-US" w:eastAsia="zh-CN"/>
              </w:rPr>
            </w:pPr>
            <w:r>
              <w:rPr>
                <w:rFonts w:hint="eastAsia"/>
                <w:lang w:val="en-US" w:eastAsia="zh-CN"/>
              </w:rPr>
              <w:t>20</w:t>
            </w:r>
          </w:p>
        </w:tc>
        <w:tc>
          <w:tcPr>
            <w:tcW w:w="659" w:type="dxa"/>
            <w:vAlign w:val="center"/>
          </w:tcPr>
          <w:p w14:paraId="54A40DD7">
            <w:pPr>
              <w:pStyle w:val="14"/>
              <w:widowControl w:val="0"/>
              <w:rPr>
                <w:rFonts w:hint="default" w:eastAsia="宋体"/>
                <w:lang w:val="en-US" w:eastAsia="zh-CN"/>
              </w:rPr>
            </w:pPr>
            <w:r>
              <w:rPr>
                <w:rFonts w:hint="eastAsia"/>
                <w:lang w:val="en-US" w:eastAsia="zh-CN"/>
              </w:rPr>
              <w:t>40</w:t>
            </w:r>
          </w:p>
        </w:tc>
        <w:tc>
          <w:tcPr>
            <w:tcW w:w="659" w:type="dxa"/>
            <w:vAlign w:val="center"/>
          </w:tcPr>
          <w:p w14:paraId="5E270A59">
            <w:pPr>
              <w:pStyle w:val="14"/>
              <w:widowControl w:val="0"/>
              <w:rPr>
                <w:rFonts w:hint="default" w:eastAsia="宋体"/>
                <w:lang w:val="en-US" w:eastAsia="zh-CN"/>
              </w:rPr>
            </w:pPr>
            <w:r>
              <w:rPr>
                <w:rFonts w:hint="eastAsia"/>
                <w:lang w:val="en-US" w:eastAsia="zh-CN"/>
              </w:rPr>
              <w:t>10</w:t>
            </w:r>
          </w:p>
        </w:tc>
        <w:tc>
          <w:tcPr>
            <w:tcW w:w="660" w:type="dxa"/>
            <w:vAlign w:val="center"/>
          </w:tcPr>
          <w:p w14:paraId="1B5898A2">
            <w:pPr>
              <w:pStyle w:val="14"/>
              <w:widowControl w:val="0"/>
              <w:rPr>
                <w:rFonts w:hint="default" w:eastAsia="宋体"/>
                <w:lang w:val="en-US" w:eastAsia="zh-CN"/>
              </w:rPr>
            </w:pPr>
            <w:r>
              <w:rPr>
                <w:rFonts w:hint="eastAsia"/>
                <w:lang w:val="en-US" w:eastAsia="zh-CN"/>
              </w:rPr>
              <w:t>10</w:t>
            </w:r>
          </w:p>
        </w:tc>
        <w:tc>
          <w:tcPr>
            <w:tcW w:w="760" w:type="dxa"/>
            <w:tcBorders>
              <w:right w:val="single" w:color="auto" w:sz="12" w:space="0"/>
            </w:tcBorders>
            <w:vAlign w:val="center"/>
          </w:tcPr>
          <w:p w14:paraId="768669AB">
            <w:pPr>
              <w:pStyle w:val="14"/>
              <w:widowControl w:val="0"/>
            </w:pPr>
            <w:r>
              <w:rPr>
                <w:rFonts w:hint="eastAsia"/>
              </w:rPr>
              <w:t>1</w:t>
            </w:r>
            <w:r>
              <w:t>00</w:t>
            </w:r>
          </w:p>
        </w:tc>
      </w:tr>
      <w:tr w14:paraId="534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tcBorders>
              <w:left w:val="single" w:color="auto" w:sz="12" w:space="0"/>
            </w:tcBorders>
            <w:vAlign w:val="center"/>
          </w:tcPr>
          <w:p w14:paraId="7C067619">
            <w:pPr>
              <w:widowControl w:val="0"/>
              <w:snapToGrid w:val="0"/>
              <w:jc w:val="center"/>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X4</w:t>
            </w:r>
          </w:p>
        </w:tc>
        <w:tc>
          <w:tcPr>
            <w:tcW w:w="763" w:type="dxa"/>
            <w:vAlign w:val="center"/>
          </w:tcPr>
          <w:p w14:paraId="1A9CE312">
            <w:pPr>
              <w:widowControl/>
              <w:spacing w:line="360" w:lineRule="auto"/>
              <w:jc w:val="center"/>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15</w:t>
            </w:r>
            <w:r>
              <w:rPr>
                <w:rFonts w:hint="eastAsia" w:ascii="宋体" w:hAnsi="宋体" w:eastAsia="宋体" w:cs="宋体"/>
                <w:bCs/>
                <w:color w:val="000000"/>
                <w:sz w:val="21"/>
                <w:szCs w:val="21"/>
                <w:lang w:val="en-US" w:eastAsia="zh-CN" w:bidi="ar-SA"/>
              </w:rPr>
              <w:t>%</w:t>
            </w:r>
          </w:p>
        </w:tc>
        <w:tc>
          <w:tcPr>
            <w:tcW w:w="2534" w:type="dxa"/>
            <w:tcBorders>
              <w:right w:val="double" w:color="auto" w:sz="4" w:space="0"/>
            </w:tcBorders>
            <w:vAlign w:val="center"/>
          </w:tcPr>
          <w:p w14:paraId="41663214">
            <w:pPr>
              <w:widowControl/>
              <w:spacing w:line="360" w:lineRule="auto"/>
              <w:jc w:val="center"/>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课堂</w:t>
            </w:r>
            <w:r>
              <w:rPr>
                <w:rFonts w:hint="eastAsia" w:cs="宋体"/>
                <w:bCs/>
                <w:color w:val="000000"/>
                <w:sz w:val="21"/>
                <w:szCs w:val="21"/>
                <w:lang w:val="en-US" w:eastAsia="zh-CN" w:bidi="ar-SA"/>
              </w:rPr>
              <w:t>表现</w:t>
            </w:r>
          </w:p>
        </w:tc>
        <w:tc>
          <w:tcPr>
            <w:tcW w:w="863" w:type="dxa"/>
            <w:tcBorders>
              <w:left w:val="double" w:color="auto" w:sz="4" w:space="0"/>
            </w:tcBorders>
            <w:vAlign w:val="center"/>
          </w:tcPr>
          <w:p w14:paraId="4CB8D6A0">
            <w:pPr>
              <w:pStyle w:val="14"/>
              <w:widowControl w:val="0"/>
              <w:rPr>
                <w:rFonts w:hint="default" w:eastAsia="宋体"/>
                <w:lang w:val="en-US" w:eastAsia="zh-CN"/>
              </w:rPr>
            </w:pPr>
            <w:r>
              <w:rPr>
                <w:rFonts w:hint="eastAsia"/>
                <w:lang w:val="en-US" w:eastAsia="zh-CN"/>
              </w:rPr>
              <w:t>20</w:t>
            </w:r>
          </w:p>
        </w:tc>
        <w:tc>
          <w:tcPr>
            <w:tcW w:w="659" w:type="dxa"/>
            <w:vAlign w:val="center"/>
          </w:tcPr>
          <w:p w14:paraId="33662D65">
            <w:pPr>
              <w:pStyle w:val="14"/>
              <w:widowControl w:val="0"/>
              <w:rPr>
                <w:rFonts w:hint="default" w:eastAsia="宋体"/>
                <w:lang w:val="en-US" w:eastAsia="zh-CN"/>
              </w:rPr>
            </w:pPr>
            <w:r>
              <w:rPr>
                <w:rFonts w:hint="eastAsia"/>
                <w:lang w:val="en-US" w:eastAsia="zh-CN"/>
              </w:rPr>
              <w:t>30</w:t>
            </w:r>
          </w:p>
        </w:tc>
        <w:tc>
          <w:tcPr>
            <w:tcW w:w="659" w:type="dxa"/>
            <w:vAlign w:val="center"/>
          </w:tcPr>
          <w:p w14:paraId="4FAC916A">
            <w:pPr>
              <w:pStyle w:val="14"/>
              <w:widowControl w:val="0"/>
              <w:rPr>
                <w:rFonts w:hint="default" w:eastAsia="宋体"/>
                <w:lang w:val="en-US" w:eastAsia="zh-CN"/>
              </w:rPr>
            </w:pPr>
            <w:r>
              <w:rPr>
                <w:rFonts w:hint="eastAsia"/>
                <w:lang w:val="en-US" w:eastAsia="zh-CN"/>
              </w:rPr>
              <w:t>30</w:t>
            </w:r>
          </w:p>
        </w:tc>
        <w:tc>
          <w:tcPr>
            <w:tcW w:w="659" w:type="dxa"/>
            <w:vAlign w:val="center"/>
          </w:tcPr>
          <w:p w14:paraId="0597F022">
            <w:pPr>
              <w:pStyle w:val="14"/>
              <w:widowControl w:val="0"/>
              <w:rPr>
                <w:rFonts w:hint="default" w:eastAsia="宋体"/>
                <w:lang w:val="en-US" w:eastAsia="zh-CN"/>
              </w:rPr>
            </w:pPr>
            <w:r>
              <w:rPr>
                <w:rFonts w:hint="eastAsia"/>
                <w:lang w:val="en-US" w:eastAsia="zh-CN"/>
              </w:rPr>
              <w:t>10</w:t>
            </w:r>
          </w:p>
        </w:tc>
        <w:tc>
          <w:tcPr>
            <w:tcW w:w="660" w:type="dxa"/>
            <w:vAlign w:val="center"/>
          </w:tcPr>
          <w:p w14:paraId="02055541">
            <w:pPr>
              <w:pStyle w:val="14"/>
              <w:widowControl w:val="0"/>
              <w:rPr>
                <w:rFonts w:hint="default" w:eastAsia="宋体"/>
                <w:lang w:val="en-US" w:eastAsia="zh-CN"/>
              </w:rPr>
            </w:pPr>
            <w:r>
              <w:rPr>
                <w:rFonts w:hint="eastAsia"/>
                <w:lang w:val="en-US" w:eastAsia="zh-CN"/>
              </w:rPr>
              <w:t>10</w:t>
            </w:r>
          </w:p>
        </w:tc>
        <w:tc>
          <w:tcPr>
            <w:tcW w:w="760" w:type="dxa"/>
            <w:tcBorders>
              <w:right w:val="single" w:color="auto" w:sz="12" w:space="0"/>
            </w:tcBorders>
            <w:vAlign w:val="center"/>
          </w:tcPr>
          <w:p w14:paraId="28C67ABC">
            <w:pPr>
              <w:pStyle w:val="14"/>
              <w:widowControl w:val="0"/>
            </w:pPr>
            <w:r>
              <w:rPr>
                <w:rFonts w:hint="eastAsia"/>
              </w:rPr>
              <w:t>1</w:t>
            </w:r>
            <w:r>
              <w:t>00</w:t>
            </w:r>
          </w:p>
        </w:tc>
      </w:tr>
    </w:tbl>
    <w:p w14:paraId="02AE5354">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0A550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016694F">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D26DFAC">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E917E56">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69F00E8D">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67F70BD">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084DB23">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2AD6EF8A">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4BDE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3B449877">
            <w:pPr>
              <w:widowControl w:val="0"/>
              <w:snapToGrid w:val="0"/>
              <w:jc w:val="center"/>
              <w:rPr>
                <w:rFonts w:ascii="黑体" w:hAnsi="黑体" w:eastAsia="黑体"/>
                <w:bCs/>
                <w:sz w:val="21"/>
                <w:szCs w:val="21"/>
              </w:rPr>
            </w:pPr>
          </w:p>
        </w:tc>
        <w:tc>
          <w:tcPr>
            <w:tcW w:w="648" w:type="dxa"/>
            <w:vMerge w:val="continue"/>
          </w:tcPr>
          <w:p w14:paraId="65654F54">
            <w:pPr>
              <w:pStyle w:val="16"/>
              <w:widowControl w:val="0"/>
              <w:jc w:val="both"/>
              <w:rPr>
                <w:rFonts w:ascii="黑体" w:hAnsi="黑体"/>
                <w:bCs/>
                <w:sz w:val="21"/>
                <w:szCs w:val="21"/>
              </w:rPr>
            </w:pPr>
          </w:p>
        </w:tc>
        <w:tc>
          <w:tcPr>
            <w:tcW w:w="1403" w:type="dxa"/>
            <w:vMerge w:val="continue"/>
          </w:tcPr>
          <w:p w14:paraId="7A511418">
            <w:pPr>
              <w:pStyle w:val="16"/>
              <w:widowControl w:val="0"/>
              <w:jc w:val="both"/>
              <w:rPr>
                <w:rFonts w:ascii="黑体" w:hAnsi="黑体"/>
                <w:bCs/>
                <w:sz w:val="21"/>
                <w:szCs w:val="21"/>
              </w:rPr>
            </w:pPr>
          </w:p>
        </w:tc>
        <w:tc>
          <w:tcPr>
            <w:tcW w:w="1403" w:type="dxa"/>
            <w:vAlign w:val="center"/>
          </w:tcPr>
          <w:p w14:paraId="07F15704">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7765958">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5548C04F">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3E06C5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237E6181">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E2EF945">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7F0CDE9B">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63880C34">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55EC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81F1BEC">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2B7744A2">
            <w:pPr>
              <w:widowControl w:val="0"/>
              <w:snapToGrid w:val="0"/>
              <w:jc w:val="center"/>
              <w:rPr>
                <w:rFonts w:ascii="Arial" w:hAnsi="Arial" w:eastAsia="黑体" w:cs="Arial"/>
                <w:bCs/>
                <w:sz w:val="21"/>
                <w:szCs w:val="21"/>
              </w:rPr>
            </w:pPr>
          </w:p>
        </w:tc>
        <w:tc>
          <w:tcPr>
            <w:tcW w:w="1403" w:type="dxa"/>
          </w:tcPr>
          <w:p w14:paraId="381D6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7A86F367">
            <w:pPr>
              <w:pStyle w:val="14"/>
              <w:widowControl w:val="0"/>
              <w:jc w:val="both"/>
            </w:pPr>
          </w:p>
        </w:tc>
        <w:tc>
          <w:tcPr>
            <w:tcW w:w="1403" w:type="dxa"/>
          </w:tcPr>
          <w:p w14:paraId="6FEAA58A">
            <w:pPr>
              <w:pStyle w:val="14"/>
              <w:widowControl w:val="0"/>
              <w:jc w:val="both"/>
            </w:pPr>
          </w:p>
        </w:tc>
        <w:tc>
          <w:tcPr>
            <w:tcW w:w="1403" w:type="dxa"/>
          </w:tcPr>
          <w:p w14:paraId="1855AB70">
            <w:pPr>
              <w:pStyle w:val="14"/>
              <w:widowControl w:val="0"/>
              <w:jc w:val="both"/>
            </w:pPr>
          </w:p>
        </w:tc>
        <w:tc>
          <w:tcPr>
            <w:tcW w:w="1403" w:type="dxa"/>
          </w:tcPr>
          <w:p w14:paraId="6292BF88">
            <w:pPr>
              <w:pStyle w:val="6"/>
              <w:widowControl/>
              <w:shd w:val="clear" w:color="auto" w:fill="FFFFFF"/>
              <w:jc w:val="both"/>
            </w:pPr>
          </w:p>
        </w:tc>
      </w:tr>
      <w:tr w14:paraId="13128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D1B1AF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4D2DF2D0">
            <w:pPr>
              <w:widowControl w:val="0"/>
              <w:snapToGrid w:val="0"/>
              <w:jc w:val="center"/>
              <w:rPr>
                <w:rFonts w:ascii="Arial" w:hAnsi="Arial" w:eastAsia="黑体" w:cs="Arial"/>
                <w:bCs/>
                <w:sz w:val="21"/>
                <w:szCs w:val="21"/>
              </w:rPr>
            </w:pPr>
          </w:p>
        </w:tc>
        <w:tc>
          <w:tcPr>
            <w:tcW w:w="1403" w:type="dxa"/>
            <w:vAlign w:val="center"/>
          </w:tcPr>
          <w:p w14:paraId="6066F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73E6B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04CE1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FF9F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6A4D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2B62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B99E6B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036C6BD1">
            <w:pPr>
              <w:widowControl w:val="0"/>
              <w:snapToGrid w:val="0"/>
              <w:jc w:val="center"/>
              <w:rPr>
                <w:rFonts w:ascii="Arial" w:hAnsi="Arial" w:eastAsia="黑体" w:cs="Arial"/>
                <w:bCs/>
                <w:sz w:val="21"/>
                <w:szCs w:val="21"/>
              </w:rPr>
            </w:pPr>
          </w:p>
        </w:tc>
        <w:tc>
          <w:tcPr>
            <w:tcW w:w="1403" w:type="dxa"/>
            <w:vAlign w:val="center"/>
          </w:tcPr>
          <w:p w14:paraId="171AE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57110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0A080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4347D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7394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7C29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A95E977">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075605D6">
            <w:pPr>
              <w:widowControl w:val="0"/>
              <w:snapToGrid w:val="0"/>
              <w:jc w:val="center"/>
              <w:rPr>
                <w:rFonts w:ascii="Arial" w:hAnsi="Arial" w:eastAsia="黑体" w:cs="Arial"/>
                <w:bCs/>
                <w:sz w:val="21"/>
                <w:szCs w:val="21"/>
              </w:rPr>
            </w:pPr>
          </w:p>
        </w:tc>
        <w:tc>
          <w:tcPr>
            <w:tcW w:w="1403" w:type="dxa"/>
            <w:vAlign w:val="center"/>
          </w:tcPr>
          <w:p w14:paraId="59282B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2013CF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DAF8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9CCEB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5CFA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8ED4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9D5D73C">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25F1BA67">
            <w:pPr>
              <w:widowControl w:val="0"/>
              <w:snapToGrid w:val="0"/>
              <w:jc w:val="center"/>
              <w:rPr>
                <w:rFonts w:ascii="Arial" w:hAnsi="Arial" w:eastAsia="黑体" w:cs="Arial"/>
                <w:bCs/>
                <w:sz w:val="21"/>
                <w:szCs w:val="21"/>
              </w:rPr>
            </w:pPr>
          </w:p>
        </w:tc>
        <w:tc>
          <w:tcPr>
            <w:tcW w:w="1403" w:type="dxa"/>
            <w:vAlign w:val="center"/>
          </w:tcPr>
          <w:p w14:paraId="3F9B2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743A81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EA2A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2B389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4BEA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E905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7E8C280">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0348524D">
            <w:pPr>
              <w:widowControl w:val="0"/>
              <w:snapToGrid w:val="0"/>
              <w:jc w:val="center"/>
              <w:rPr>
                <w:rFonts w:ascii="Arial" w:hAnsi="Arial" w:eastAsia="黑体" w:cs="Arial"/>
                <w:bCs/>
                <w:sz w:val="21"/>
                <w:szCs w:val="21"/>
              </w:rPr>
            </w:pPr>
          </w:p>
        </w:tc>
        <w:tc>
          <w:tcPr>
            <w:tcW w:w="1403" w:type="dxa"/>
            <w:vAlign w:val="center"/>
          </w:tcPr>
          <w:p w14:paraId="04E9B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0E4F5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0807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8AB47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5E84A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429CFF57">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F5423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399FC25">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14:paraId="10BCFD71">
            <w:pPr>
              <w:pStyle w:val="14"/>
              <w:widowControl w:val="0"/>
              <w:jc w:val="left"/>
              <w:rPr>
                <w:rFonts w:ascii="宋体" w:hAnsi="宋体"/>
                <w:bCs/>
              </w:rPr>
            </w:pPr>
          </w:p>
          <w:p w14:paraId="1224E7EC">
            <w:pPr>
              <w:pStyle w:val="14"/>
              <w:widowControl w:val="0"/>
              <w:jc w:val="left"/>
              <w:rPr>
                <w:rFonts w:ascii="黑体"/>
              </w:rPr>
            </w:pPr>
          </w:p>
        </w:tc>
      </w:tr>
    </w:tbl>
    <w:p w14:paraId="0B94A916">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D48B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01911A6">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01911A6">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A9642F"/>
    <w:rsid w:val="046B00D8"/>
    <w:rsid w:val="0A8128A6"/>
    <w:rsid w:val="0BF32A1B"/>
    <w:rsid w:val="0EF67BDF"/>
    <w:rsid w:val="0F871D69"/>
    <w:rsid w:val="10BD2C22"/>
    <w:rsid w:val="12476B68"/>
    <w:rsid w:val="182B589C"/>
    <w:rsid w:val="1B5C7426"/>
    <w:rsid w:val="1C4E1F1B"/>
    <w:rsid w:val="1D9E066F"/>
    <w:rsid w:val="1E253DA2"/>
    <w:rsid w:val="20C45223"/>
    <w:rsid w:val="22236602"/>
    <w:rsid w:val="22987C80"/>
    <w:rsid w:val="24192CCC"/>
    <w:rsid w:val="26F4679D"/>
    <w:rsid w:val="2A254607"/>
    <w:rsid w:val="2A70348A"/>
    <w:rsid w:val="30562723"/>
    <w:rsid w:val="33F15DB4"/>
    <w:rsid w:val="341D61C9"/>
    <w:rsid w:val="35DE52C2"/>
    <w:rsid w:val="39A66CD4"/>
    <w:rsid w:val="3AF2266B"/>
    <w:rsid w:val="3BBBB8B7"/>
    <w:rsid w:val="3BE14667"/>
    <w:rsid w:val="3CD52CE1"/>
    <w:rsid w:val="3E271A99"/>
    <w:rsid w:val="3E7A7424"/>
    <w:rsid w:val="40FD0BDE"/>
    <w:rsid w:val="410F2E6A"/>
    <w:rsid w:val="44240FD0"/>
    <w:rsid w:val="4430136C"/>
    <w:rsid w:val="44D645FE"/>
    <w:rsid w:val="4AB0382B"/>
    <w:rsid w:val="4CA96D25"/>
    <w:rsid w:val="4CF46877"/>
    <w:rsid w:val="4F2170AB"/>
    <w:rsid w:val="51E043F4"/>
    <w:rsid w:val="569868B5"/>
    <w:rsid w:val="5B9511B1"/>
    <w:rsid w:val="611F6817"/>
    <w:rsid w:val="63EE40FC"/>
    <w:rsid w:val="654277D0"/>
    <w:rsid w:val="660D35C3"/>
    <w:rsid w:val="66CA1754"/>
    <w:rsid w:val="6EF57D9A"/>
    <w:rsid w:val="6F1E65D4"/>
    <w:rsid w:val="6F266C86"/>
    <w:rsid w:val="6F5042C2"/>
    <w:rsid w:val="70DC4212"/>
    <w:rsid w:val="725A21C1"/>
    <w:rsid w:val="739F40A1"/>
    <w:rsid w:val="74316312"/>
    <w:rsid w:val="780F13C8"/>
    <w:rsid w:val="7C385448"/>
    <w:rsid w:val="7C570D75"/>
    <w:rsid w:val="7CB3663D"/>
    <w:rsid w:val="7CE31366"/>
    <w:rsid w:val="7CFE056C"/>
    <w:rsid w:val="7E6913DD"/>
    <w:rsid w:val="8F66C21B"/>
    <w:rsid w:val="97FE2D14"/>
    <w:rsid w:val="DF97F309"/>
    <w:rsid w:val="EC1747D0"/>
    <w:rsid w:val="FCFF3D71"/>
    <w:rsid w:val="FF6A0CAF"/>
    <w:rsid w:val="FFFBA426"/>
    <w:rsid w:val="FFFFA2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1145</Words>
  <Characters>1190</Characters>
  <Lines>6</Lines>
  <Paragraphs>1</Paragraphs>
  <TotalTime>4</TotalTime>
  <ScaleCrop>false</ScaleCrop>
  <LinksUpToDate>false</LinksUpToDate>
  <CharactersWithSpaces>1195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王飔飔</cp:lastModifiedBy>
  <cp:lastPrinted>2024-03-06T20:38:00Z</cp:lastPrinted>
  <dcterms:modified xsi:type="dcterms:W3CDTF">2026-03-10T02:55:28Z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684F205A86C5458BB239188F011BB060_13</vt:lpwstr>
  </property>
  <property fmtid="{D5CDD505-2E9C-101B-9397-08002B2CF9AE}" pid="4" name="KSOTemplateDocerSaveRecord">
    <vt:lpwstr>eyJoZGlkIjoiNjgwZWQzNDI0YmI2NTVkYWRiMTlkM2I4OTg4OTIxMDgiLCJ1c2VySWQiOiIzMzU2NjMxMDYifQ==</vt:lpwstr>
  </property>
</Properties>
</file>