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asciiTheme="minorEastAsia" w:hAnsiTheme="minorEastAsia" w:eastAsiaTheme="minorEastAsia"/>
          <w:bCs/>
          <w:kern w:val="0"/>
          <w:sz w:val="40"/>
          <w:szCs w:val="40"/>
        </w:rPr>
        <w:t xml:space="preserve">      专业课课程</w:t>
      </w:r>
      <w:r>
        <w:rPr>
          <w:rFonts w:hint="eastAsia" w:ascii="方正小标宋简体" w:hAnsi="宋体" w:eastAsia="方正小标宋简体"/>
          <w:bCs/>
          <w:kern w:val="0"/>
          <w:sz w:val="40"/>
          <w:szCs w:val="40"/>
        </w:rPr>
        <w:t>教学大纲模板</w:t>
      </w:r>
      <w:r>
        <w:rPr>
          <w:rFonts w:hint="eastAsia" w:ascii="方正小标宋简体" w:hAnsi="宋体"/>
          <w:bCs/>
          <w:kern w:val="0"/>
          <w:szCs w:val="21"/>
        </w:rPr>
        <w:t>（</w:t>
      </w:r>
      <w:r>
        <w:rPr>
          <w:rFonts w:hint="eastAsia"/>
          <w:sz w:val="32"/>
          <w:szCs w:val="32"/>
          <w:lang w:val="en-US" w:eastAsia="zh-CN"/>
        </w:rPr>
        <w:t>2017.6.30版</w:t>
      </w:r>
      <w:r>
        <w:rPr>
          <w:rFonts w:hint="eastAsia" w:ascii="方正小标宋简体" w:hAnsi="宋体"/>
          <w:bCs/>
          <w:kern w:val="0"/>
          <w:szCs w:val="21"/>
        </w:rPr>
        <w:t>）</w:t>
      </w:r>
    </w:p>
    <w:p>
      <w:pPr>
        <w:spacing w:line="288" w:lineRule="auto"/>
        <w:jc w:val="center"/>
        <w:rPr>
          <w:b/>
          <w:sz w:val="28"/>
          <w:szCs w:val="30"/>
        </w:rPr>
      </w:pPr>
      <w:r>
        <w:rPr>
          <w:rFonts w:hint="eastAsia"/>
          <w:b/>
          <w:sz w:val="28"/>
          <w:szCs w:val="30"/>
        </w:rPr>
        <w:t>【</w:t>
      </w:r>
      <w:r>
        <w:rPr>
          <w:rFonts w:hint="eastAsia"/>
          <w:b/>
          <w:sz w:val="28"/>
          <w:szCs w:val="30"/>
          <w:lang w:val="en-US" w:eastAsia="zh-CN"/>
        </w:rPr>
        <w:t>临终护理</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default" w:ascii="Times New Roman" w:hAnsi="Times New Roman" w:eastAsia="宋体" w:cs="Times New Roman"/>
          <w:i w:val="0"/>
          <w:iCs w:val="0"/>
          <w:caps w:val="0"/>
          <w:color w:val="000000" w:themeColor="text1"/>
          <w:spacing w:val="0"/>
          <w:sz w:val="22"/>
          <w:szCs w:val="22"/>
          <w:shd w:val="clear" w:fill="FFFFFF"/>
        </w:rPr>
        <w:t>hospice care</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【2070038】</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bookmarkStart w:id="1" w:name="_GoBack"/>
      <w:bookmarkEnd w:id="1"/>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auto"/>
          <w:sz w:val="20"/>
          <w:szCs w:val="20"/>
          <w:lang w:val="en-US" w:eastAsia="zh-CN"/>
        </w:rPr>
        <w:t>安宁疗护专科护理</w:t>
      </w:r>
      <w:r>
        <w:rPr>
          <w:rFonts w:hint="eastAsia"/>
          <w:color w:val="auto"/>
          <w:sz w:val="20"/>
          <w:szCs w:val="20"/>
        </w:rPr>
        <w:t>，</w:t>
      </w:r>
      <w:r>
        <w:rPr>
          <w:rFonts w:hint="eastAsia"/>
          <w:color w:val="auto"/>
          <w:sz w:val="20"/>
          <w:szCs w:val="20"/>
          <w:lang w:val="en-US" w:eastAsia="zh-CN"/>
        </w:rPr>
        <w:t>諶永毅</w:t>
      </w:r>
      <w:r>
        <w:rPr>
          <w:rFonts w:hint="eastAsia"/>
          <w:color w:val="auto"/>
          <w:sz w:val="20"/>
          <w:szCs w:val="20"/>
        </w:rPr>
        <w:t>、</w:t>
      </w:r>
      <w:r>
        <w:rPr>
          <w:rFonts w:hint="eastAsia"/>
          <w:color w:val="auto"/>
          <w:sz w:val="20"/>
          <w:szCs w:val="20"/>
          <w:lang w:val="en-US" w:eastAsia="zh-CN"/>
        </w:rPr>
        <w:t>刘翔宇</w:t>
      </w:r>
      <w:r>
        <w:rPr>
          <w:rFonts w:hint="eastAsia"/>
          <w:color w:val="auto"/>
          <w:sz w:val="20"/>
          <w:szCs w:val="20"/>
        </w:rPr>
        <w:t>，人民卫生出版社，第</w:t>
      </w:r>
      <w:r>
        <w:rPr>
          <w:rFonts w:hint="eastAsia"/>
          <w:color w:val="auto"/>
          <w:sz w:val="20"/>
          <w:szCs w:val="20"/>
          <w:lang w:val="en-US" w:eastAsia="zh-CN"/>
        </w:rPr>
        <w:t>1</w:t>
      </w:r>
      <w:r>
        <w:rPr>
          <w:rFonts w:hint="eastAsia"/>
          <w:color w:val="auto"/>
          <w:sz w:val="20"/>
          <w:szCs w:val="20"/>
        </w:rPr>
        <w:t>版</w:t>
      </w:r>
      <w:r>
        <w:rPr>
          <w:color w:val="000000"/>
          <w:sz w:val="20"/>
          <w:szCs w:val="20"/>
        </w:rPr>
        <w:t>】</w:t>
      </w:r>
    </w:p>
    <w:p>
      <w:pPr>
        <w:snapToGrid w:val="0"/>
        <w:spacing w:line="288" w:lineRule="auto"/>
        <w:ind w:firstLine="792" w:firstLineChars="396"/>
        <w:rPr>
          <w:color w:val="auto"/>
          <w:sz w:val="20"/>
          <w:szCs w:val="20"/>
        </w:rPr>
      </w:pPr>
      <w:r>
        <w:rPr>
          <w:color w:val="auto"/>
          <w:sz w:val="20"/>
          <w:szCs w:val="20"/>
        </w:rPr>
        <w:t>参考</w:t>
      </w:r>
      <w:r>
        <w:rPr>
          <w:rFonts w:hint="eastAsia"/>
          <w:color w:val="auto"/>
          <w:sz w:val="20"/>
          <w:szCs w:val="20"/>
        </w:rPr>
        <w:t>书目</w:t>
      </w:r>
      <w:r>
        <w:rPr>
          <w:color w:val="auto"/>
          <w:sz w:val="20"/>
          <w:szCs w:val="20"/>
        </w:rPr>
        <w:t>【</w:t>
      </w:r>
      <w:r>
        <w:rPr>
          <w:rFonts w:hint="eastAsia"/>
          <w:color w:val="auto"/>
          <w:sz w:val="20"/>
          <w:szCs w:val="20"/>
        </w:rPr>
        <w:t>引领姑息关怀——导航安宁疗护 李金祥 人民卫生出版社</w:t>
      </w:r>
      <w:r>
        <w:rPr>
          <w:rFonts w:hint="eastAsia"/>
          <w:color w:val="auto"/>
          <w:sz w:val="20"/>
          <w:szCs w:val="20"/>
          <w:lang w:val="en-US" w:eastAsia="zh-CN"/>
        </w:rPr>
        <w:t xml:space="preserve"> </w:t>
      </w:r>
      <w:r>
        <w:rPr>
          <w:rFonts w:hint="eastAsia"/>
          <w:color w:val="auto"/>
          <w:sz w:val="20"/>
          <w:szCs w:val="20"/>
        </w:rPr>
        <w:t>第5版；安宁疗护管理服务流程，</w:t>
      </w:r>
      <w:r>
        <w:rPr>
          <w:rFonts w:hint="eastAsia"/>
          <w:color w:val="auto"/>
          <w:sz w:val="20"/>
          <w:szCs w:val="20"/>
          <w:lang w:val="en-US" w:eastAsia="zh-CN"/>
        </w:rPr>
        <w:t>施永兴、高浩美</w:t>
      </w:r>
      <w:r>
        <w:rPr>
          <w:rFonts w:hint="eastAsia"/>
          <w:color w:val="auto"/>
          <w:sz w:val="20"/>
          <w:szCs w:val="20"/>
        </w:rPr>
        <w:t>，</w:t>
      </w:r>
      <w:r>
        <w:rPr>
          <w:rFonts w:hint="eastAsia"/>
          <w:color w:val="auto"/>
          <w:sz w:val="20"/>
          <w:szCs w:val="20"/>
          <w:lang w:val="en-US" w:eastAsia="zh-CN"/>
        </w:rPr>
        <w:t>复旦大学</w:t>
      </w:r>
      <w:r>
        <w:rPr>
          <w:rFonts w:hint="eastAsia"/>
          <w:color w:val="auto"/>
          <w:sz w:val="20"/>
          <w:szCs w:val="20"/>
        </w:rPr>
        <w:t>出版社</w:t>
      </w:r>
      <w:r>
        <w:rPr>
          <w:rFonts w:hint="eastAsia"/>
          <w:color w:val="auto"/>
          <w:sz w:val="20"/>
          <w:szCs w:val="20"/>
          <w:lang w:eastAsia="zh-CN"/>
        </w:rPr>
        <w:t>，</w:t>
      </w:r>
      <w:r>
        <w:rPr>
          <w:rFonts w:hint="eastAsia"/>
          <w:color w:val="auto"/>
          <w:sz w:val="20"/>
          <w:szCs w:val="20"/>
          <w:lang w:val="en-US" w:eastAsia="zh-CN"/>
        </w:rPr>
        <w:t>第1版；安宁疗护症状处理 夏环玲、宋启东 天津科学技术出版社 第1版</w:t>
      </w:r>
      <w:r>
        <w:rPr>
          <w:color w:val="auto"/>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beforeLines="50" w:afterLines="50" w:line="288" w:lineRule="auto"/>
        <w:ind w:firstLine="291" w:firstLineChars="145"/>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人体解剖学2070001（6），生理学2070003（4），病理学与病理生理学2070005（3），药理学2170004（3），护士人文修养2070016（1.5），护理伦理学2070027（1），护理心理学2070028（1.5），基础护理学1 2070018（4），基础护理学2 2070019（4）</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napToGrid w:val="0"/>
        <w:spacing w:line="288" w:lineRule="auto"/>
        <w:ind w:firstLine="400" w:firstLineChars="200"/>
        <w:rPr>
          <w:color w:val="auto"/>
          <w:sz w:val="20"/>
          <w:szCs w:val="20"/>
        </w:rPr>
      </w:pPr>
      <w:r>
        <w:rPr>
          <w:rFonts w:hint="eastAsia"/>
          <w:color w:val="auto"/>
          <w:sz w:val="20"/>
          <w:szCs w:val="20"/>
          <w:lang w:val="en-US" w:eastAsia="zh-CN"/>
        </w:rPr>
        <w:t>本书以2017年国家卫生和计划生育委员会颁发的《安宁疗护实践指南（试行）》、《安宁疗护中心基本标准（试行）》、《安宁疗护中心管理规范（试行）》为依据，</w:t>
      </w:r>
      <w:r>
        <w:rPr>
          <w:rFonts w:hint="eastAsia"/>
          <w:color w:val="auto"/>
          <w:sz w:val="20"/>
          <w:szCs w:val="20"/>
        </w:rPr>
        <w:t>“以能力为基础”的模块化的安宁疗护照护培训核心知识体系，参考国际上成熟的安宁疗护照护核心教程(The End-of-Life Nursing Education Consortium， ELNEC)，结合中国目前安宁疗护护理现状，融入中国传统文化需求，最终确立的我们安宁疗护照护核心知识体系包括10大模块。</w:t>
      </w:r>
      <w:r>
        <w:rPr>
          <w:rFonts w:hint="eastAsia"/>
          <w:color w:val="auto"/>
          <w:sz w:val="20"/>
          <w:szCs w:val="20"/>
          <w:lang w:val="en-US" w:eastAsia="zh-CN"/>
        </w:rPr>
        <w:t xml:space="preserve"> </w:t>
      </w:r>
      <w:r>
        <w:rPr>
          <w:rFonts w:hint="eastAsia"/>
          <w:color w:val="auto"/>
          <w:sz w:val="20"/>
          <w:szCs w:val="20"/>
        </w:rPr>
        <w:t>整个知识体系涵盖了医学、护理学、心理学、社会学、人文与哲学等多方面内容。</w:t>
      </w:r>
    </w:p>
    <w:p>
      <w:pPr>
        <w:snapToGrid w:val="0"/>
        <w:spacing w:line="288" w:lineRule="auto"/>
        <w:ind w:firstLine="400" w:firstLineChars="200"/>
        <w:rPr>
          <w:color w:val="000000"/>
          <w:sz w:val="20"/>
          <w:szCs w:val="20"/>
        </w:rPr>
      </w:pPr>
      <w:r>
        <w:rPr>
          <w:rFonts w:hint="eastAsia"/>
          <w:color w:val="auto"/>
          <w:sz w:val="20"/>
          <w:szCs w:val="20"/>
        </w:rPr>
        <w:t>本课程的设计主要在探讨如何以全人照护理念，高端照护末期临终病人及其家属身、心、灵及社会诸多层面错综交织的整体苦难需求。内容包括教导常用有效的舒适护理、症状照护、余生期待评估、濒死症状与遗体护理。并以实例说明何谓社心灵照护、同理心沟通技巧、末期临终照护的伦理法律议题等。在课程中深入浅出，以丰富的实际案例加以阐述，并运用多元的课程策略，让学生能仿真临终照护场域情境，习得如何面对末期临终病人，进而了解何为高品质且有效的安宁疗护。期冀此课程能教导学生提供整体性、个别性与连续性照护，回应末期临终病人及其家属的需求。</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widowControl/>
        <w:spacing w:before="156" w:beforeLines="50" w:after="156" w:afterLines="50" w:line="288" w:lineRule="auto"/>
        <w:ind w:firstLine="300" w:firstLineChars="150"/>
        <w:jc w:val="left"/>
        <w:rPr>
          <w:rFonts w:hint="eastAsia"/>
          <w:color w:val="000000"/>
          <w:sz w:val="20"/>
          <w:szCs w:val="20"/>
        </w:rPr>
      </w:pPr>
      <w:r>
        <w:rPr>
          <w:rFonts w:hint="eastAsia"/>
          <w:color w:val="000000"/>
          <w:sz w:val="20"/>
          <w:szCs w:val="20"/>
        </w:rPr>
        <w:t>该课程适合于护理学本科专业三年级下学期开设，学生需要对专业有一定的认识，具备专业基础知识，并初步具有一定的职业情感。</w:t>
      </w: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yellow"/>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yellow"/>
        </w:rPr>
        <w:t>五、</w:t>
      </w:r>
      <w:r>
        <w:rPr>
          <w:rFonts w:ascii="黑体" w:hAnsi="宋体" w:eastAsia="黑体"/>
          <w:sz w:val="24"/>
          <w:highlight w:val="yellow"/>
        </w:rPr>
        <w:t>课程</w:t>
      </w:r>
      <w:r>
        <w:rPr>
          <w:rFonts w:hint="eastAsia" w:ascii="黑体" w:hAnsi="宋体" w:eastAsia="黑体"/>
          <w:sz w:val="24"/>
          <w:highlight w:val="yellow"/>
        </w:rPr>
        <w:t>目标/课程预期学习成果</w:t>
      </w:r>
      <w:r>
        <w:rPr>
          <w:rFonts w:ascii="黑体" w:hAnsi="宋体" w:eastAsia="黑体"/>
          <w:sz w:val="24"/>
          <w:highlight w:val="yellow"/>
        </w:rPr>
        <w:t>（必填项）（</w:t>
      </w:r>
      <w:r>
        <w:rPr>
          <w:rFonts w:hint="eastAsia" w:ascii="黑体" w:hAnsi="宋体" w:eastAsia="黑体"/>
          <w:sz w:val="24"/>
          <w:highlight w:val="yellow"/>
        </w:rPr>
        <w:t>预期学习成果</w:t>
      </w:r>
      <w:r>
        <w:rPr>
          <w:rFonts w:ascii="黑体" w:hAnsi="宋体" w:eastAsia="黑体"/>
          <w:sz w:val="24"/>
          <w:highlight w:val="yellow"/>
        </w:rPr>
        <w:t>要可测量/能够证明）</w:t>
      </w:r>
    </w:p>
    <w:p>
      <w:pPr>
        <w:spacing w:line="360" w:lineRule="auto"/>
        <w:ind w:firstLine="500" w:firstLineChars="250"/>
        <w:rPr>
          <w:sz w:val="20"/>
          <w:szCs w:val="20"/>
          <w:highlight w:val="yellow"/>
        </w:rPr>
      </w:pPr>
      <w:r>
        <w:rPr>
          <w:rFonts w:hint="eastAsia"/>
          <w:sz w:val="20"/>
          <w:szCs w:val="20"/>
          <w:highlight w:val="yellow"/>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jc w:val="center"/>
              <w:rPr>
                <w:rFonts w:hint="default" w:ascii="宋体" w:hAnsi="宋体" w:eastAsia="仿宋" w:cs="宋体"/>
                <w:color w:val="000000" w:themeColor="text1"/>
                <w:kern w:val="0"/>
                <w:sz w:val="20"/>
                <w:szCs w:val="20"/>
                <w:lang w:val="en-US" w:eastAsia="zh-CN"/>
              </w:rPr>
            </w:pPr>
            <w:r>
              <w:rPr>
                <w:rFonts w:hint="eastAsia" w:ascii="仿宋" w:hAnsi="仿宋" w:eastAsia="仿宋" w:cs="宋体"/>
                <w:color w:val="000000" w:themeColor="text1"/>
                <w:kern w:val="0"/>
                <w:sz w:val="24"/>
                <w:szCs w:val="24"/>
              </w:rPr>
              <w:t>LO3</w:t>
            </w:r>
            <w:r>
              <w:rPr>
                <w:rFonts w:hint="eastAsia" w:ascii="仿宋" w:hAnsi="仿宋" w:eastAsia="仿宋" w:cs="宋体"/>
                <w:color w:val="000000" w:themeColor="text1"/>
                <w:kern w:val="0"/>
                <w:sz w:val="24"/>
                <w:szCs w:val="24"/>
                <w:lang w:val="en-US" w:eastAsia="zh-CN"/>
              </w:rPr>
              <w:t>21</w:t>
            </w:r>
          </w:p>
        </w:tc>
        <w:tc>
          <w:tcPr>
            <w:tcW w:w="3645" w:type="dxa"/>
            <w:shd w:val="clear" w:color="auto" w:fill="auto"/>
          </w:tcPr>
          <w:p>
            <w:pPr>
              <w:snapToGrid w:val="0"/>
              <w:spacing w:line="288" w:lineRule="auto"/>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运用多学科知识进行护理评估，制定护理计划并对护理对象实施整体护理的基本能力</w:t>
            </w:r>
          </w:p>
        </w:tc>
        <w:tc>
          <w:tcPr>
            <w:tcW w:w="1321" w:type="dxa"/>
            <w:shd w:val="clear" w:color="auto" w:fill="auto"/>
            <w:vAlign w:val="center"/>
          </w:tcPr>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理论讲授</w:t>
            </w:r>
          </w:p>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理论考试</w:t>
            </w:r>
          </w:p>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hint="default" w:ascii="宋体" w:hAnsi="宋体" w:eastAsia="仿宋" w:cs="宋体"/>
                <w:color w:val="000000" w:themeColor="text1"/>
                <w:kern w:val="0"/>
                <w:sz w:val="20"/>
                <w:szCs w:val="20"/>
                <w:lang w:val="en-US" w:eastAsia="zh-CN"/>
              </w:rPr>
            </w:pPr>
            <w:r>
              <w:rPr>
                <w:rFonts w:hint="eastAsia" w:ascii="仿宋" w:hAnsi="仿宋" w:eastAsia="仿宋" w:cs="宋体"/>
                <w:color w:val="000000" w:themeColor="text1"/>
                <w:kern w:val="0"/>
                <w:sz w:val="24"/>
                <w:szCs w:val="24"/>
              </w:rPr>
              <w:t>LO</w:t>
            </w:r>
            <w:r>
              <w:rPr>
                <w:rFonts w:hint="eastAsia" w:ascii="仿宋" w:hAnsi="仿宋" w:eastAsia="仿宋" w:cs="宋体"/>
                <w:color w:val="000000" w:themeColor="text1"/>
                <w:kern w:val="0"/>
                <w:sz w:val="24"/>
                <w:szCs w:val="24"/>
                <w:lang w:val="en-US" w:eastAsia="zh-CN"/>
              </w:rPr>
              <w:t>12</w:t>
            </w:r>
          </w:p>
        </w:tc>
        <w:tc>
          <w:tcPr>
            <w:tcW w:w="3645" w:type="dxa"/>
            <w:shd w:val="clear" w:color="auto" w:fill="auto"/>
          </w:tcPr>
          <w:p>
            <w:pPr>
              <w:snapToGrid w:val="0"/>
              <w:spacing w:line="288" w:lineRule="auto"/>
              <w:jc w:val="left"/>
              <w:rPr>
                <w:rFonts w:ascii="宋体" w:hAnsi="宋体" w:cs="宋体"/>
                <w:color w:val="000000" w:themeColor="text1"/>
                <w:kern w:val="0"/>
                <w:sz w:val="20"/>
                <w:szCs w:val="20"/>
              </w:rPr>
            </w:pPr>
            <w:r>
              <w:rPr>
                <w:rFonts w:hint="eastAsia" w:ascii="宋体" w:hAnsi="宋体" w:cs="宋体"/>
                <w:color w:val="000000" w:themeColor="text1"/>
                <w:kern w:val="0"/>
                <w:sz w:val="20"/>
                <w:szCs w:val="20"/>
              </w:rPr>
              <w:t>具有在护理专业实践中有效沟通与合作的能力</w:t>
            </w:r>
          </w:p>
        </w:tc>
        <w:tc>
          <w:tcPr>
            <w:tcW w:w="1321" w:type="dxa"/>
            <w:shd w:val="clear" w:color="auto" w:fill="auto"/>
            <w:vAlign w:val="center"/>
          </w:tcPr>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理论讲授</w:t>
            </w:r>
          </w:p>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理论考试</w:t>
            </w:r>
          </w:p>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LO72</w:t>
            </w:r>
          </w:p>
        </w:tc>
        <w:tc>
          <w:tcPr>
            <w:tcW w:w="3645" w:type="dxa"/>
            <w:shd w:val="clear" w:color="auto" w:fill="auto"/>
          </w:tcPr>
          <w:p>
            <w:pPr>
              <w:rPr>
                <w:rFonts w:ascii="宋体" w:hAnsi="宋体" w:cs="宋体"/>
                <w:color w:val="000000" w:themeColor="text1"/>
                <w:kern w:val="0"/>
                <w:sz w:val="20"/>
                <w:szCs w:val="20"/>
              </w:rPr>
            </w:pPr>
            <w:r>
              <w:rPr>
                <w:rFonts w:hint="eastAsia" w:ascii="宋体" w:hAnsi="宋体" w:cs="宋体"/>
                <w:color w:val="000000" w:themeColor="text1"/>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角色扮演</w:t>
            </w:r>
          </w:p>
        </w:tc>
        <w:tc>
          <w:tcPr>
            <w:tcW w:w="1250" w:type="dxa"/>
            <w:shd w:val="clear" w:color="auto" w:fill="auto"/>
            <w:vAlign w:val="center"/>
          </w:tcPr>
          <w:p>
            <w:pPr>
              <w:snapToGrid w:val="0"/>
              <w:spacing w:line="288" w:lineRule="auto"/>
              <w:jc w:val="center"/>
              <w:rPr>
                <w:rFonts w:ascii="宋体" w:hAnsi="宋体" w:cs="宋体"/>
                <w:color w:val="000000" w:themeColor="text1"/>
                <w:sz w:val="20"/>
                <w:szCs w:val="20"/>
              </w:rPr>
            </w:pPr>
            <w:r>
              <w:rPr>
                <w:rFonts w:hint="eastAsia" w:ascii="宋体" w:hAnsi="宋体" w:cs="宋体"/>
                <w:color w:val="000000" w:themeColor="text1"/>
                <w:kern w:val="0"/>
                <w:sz w:val="20"/>
                <w:szCs w:val="20"/>
              </w:rPr>
              <w:t>表现性评价</w:t>
            </w:r>
          </w:p>
        </w:tc>
      </w:tr>
    </w:tbl>
    <w:p>
      <w:pPr>
        <w:widowControl/>
        <w:spacing w:beforeLines="50" w:afterLines="50" w:line="288" w:lineRule="auto"/>
        <w:jc w:val="left"/>
        <w:rPr>
          <w:rFonts w:ascii="黑体" w:hAnsi="宋体" w:eastAsia="黑体"/>
          <w:sz w:val="24"/>
        </w:rPr>
      </w:pPr>
      <w:r>
        <w:rPr>
          <w:rFonts w:hint="eastAsia" w:ascii="黑体" w:hAnsi="宋体" w:eastAsia="黑体"/>
          <w:sz w:val="24"/>
          <w:highlight w:val="yellow"/>
        </w:rPr>
        <w:t>六、</w:t>
      </w:r>
      <w:r>
        <w:rPr>
          <w:rFonts w:ascii="黑体" w:hAnsi="宋体" w:eastAsia="黑体"/>
          <w:sz w:val="24"/>
          <w:highlight w:val="yellow"/>
        </w:rPr>
        <w:t>课程内容（必填项）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yellow"/>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yellow"/>
        </w:rPr>
        <w:t>(“</w:t>
      </w:r>
      <w:r>
        <w:rPr>
          <w:rFonts w:hint="eastAsia" w:ascii="宋体" w:hAnsi="宋体"/>
          <w:b/>
          <w:bCs/>
          <w:sz w:val="20"/>
          <w:szCs w:val="20"/>
          <w:highlight w:val="yellow"/>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01"/>
        <w:gridCol w:w="1988"/>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3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0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8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01" w:type="dxa"/>
            <w:vAlign w:val="center"/>
          </w:tcPr>
          <w:p>
            <w:pPr>
              <w:snapToGrid w:val="0"/>
              <w:spacing w:line="288" w:lineRule="auto"/>
              <w:jc w:val="center"/>
              <w:rPr>
                <w:rFonts w:hint="default" w:ascii="宋体" w:eastAsia="宋体"/>
                <w:color w:val="000000"/>
                <w:sz w:val="20"/>
                <w:szCs w:val="20"/>
                <w:lang w:val="en-US" w:eastAsia="zh-CN"/>
              </w:rPr>
            </w:pPr>
            <w:r>
              <w:rPr>
                <w:rFonts w:hint="eastAsia" w:ascii="宋体"/>
                <w:color w:val="000000"/>
                <w:sz w:val="20"/>
                <w:szCs w:val="20"/>
                <w:lang w:val="en-US" w:eastAsia="zh-CN"/>
              </w:rPr>
              <w:t>安宁疗护概论</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1.安宁疗护的概念和内涵。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2.安宁疗护的发展。</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3.安宁疗护专科护士的角色和定位。</w:t>
            </w:r>
          </w:p>
        </w:tc>
        <w:tc>
          <w:tcPr>
            <w:tcW w:w="1674" w:type="dxa"/>
          </w:tcPr>
          <w:p>
            <w:pPr>
              <w:numPr>
                <w:ilvl w:val="0"/>
                <w:numId w:val="0"/>
              </w:numPr>
              <w:snapToGrid w:val="0"/>
              <w:spacing w:line="288" w:lineRule="auto"/>
              <w:jc w:val="left"/>
              <w:rPr>
                <w:rFonts w:hint="eastAsia" w:ascii="宋体" w:hAnsi="Times New Roman"/>
                <w:b w:val="0"/>
                <w:bCs/>
                <w:color w:val="000000"/>
                <w:sz w:val="20"/>
                <w:szCs w:val="20"/>
                <w:lang w:val="en-US" w:eastAsia="zh-CN"/>
              </w:rPr>
            </w:pPr>
            <w:r>
              <w:rPr>
                <w:rFonts w:hint="eastAsia" w:ascii="宋体" w:hAnsi="Times New Roman"/>
                <w:b w:val="0"/>
                <w:bCs/>
                <w:color w:val="000000"/>
                <w:sz w:val="20"/>
                <w:szCs w:val="20"/>
                <w:lang w:val="en-US" w:eastAsia="zh-CN"/>
              </w:rPr>
              <w:t>1.能够复述安宁疗护的概念。</w:t>
            </w:r>
          </w:p>
          <w:p>
            <w:pPr>
              <w:numPr>
                <w:ilvl w:val="0"/>
                <w:numId w:val="0"/>
              </w:numPr>
              <w:snapToGrid w:val="0"/>
              <w:spacing w:line="288" w:lineRule="auto"/>
              <w:jc w:val="left"/>
              <w:rPr>
                <w:rFonts w:hint="default" w:ascii="宋体" w:hAnsi="Times New Roman"/>
                <w:b w:val="0"/>
                <w:bCs/>
                <w:color w:val="000000"/>
                <w:sz w:val="20"/>
                <w:szCs w:val="20"/>
                <w:lang w:val="en-US" w:eastAsia="zh-CN"/>
              </w:rPr>
            </w:pPr>
            <w:r>
              <w:rPr>
                <w:rFonts w:hint="eastAsia" w:ascii="宋体" w:hAnsi="Times New Roman"/>
                <w:b w:val="0"/>
                <w:bCs/>
                <w:color w:val="000000"/>
                <w:sz w:val="20"/>
                <w:szCs w:val="20"/>
                <w:lang w:val="en-US" w:eastAsia="zh-CN"/>
              </w:rPr>
              <w:t>2.知晓安宁疗护的内涵。</w:t>
            </w:r>
          </w:p>
          <w:p>
            <w:pPr>
              <w:numPr>
                <w:ilvl w:val="0"/>
                <w:numId w:val="0"/>
              </w:numPr>
              <w:snapToGrid w:val="0"/>
              <w:spacing w:line="288" w:lineRule="auto"/>
              <w:jc w:val="left"/>
              <w:rPr>
                <w:rFonts w:hint="default" w:ascii="宋体" w:hAnsi="Times New Roman"/>
                <w:b w:val="0"/>
                <w:bCs/>
                <w:color w:val="000000"/>
                <w:sz w:val="20"/>
                <w:szCs w:val="20"/>
                <w:lang w:val="en-US" w:eastAsia="zh-CN"/>
              </w:rPr>
            </w:pPr>
            <w:r>
              <w:rPr>
                <w:rFonts w:hint="eastAsia" w:ascii="宋体" w:hAnsi="Times New Roman"/>
                <w:b w:val="0"/>
                <w:bCs/>
                <w:color w:val="000000"/>
                <w:sz w:val="20"/>
                <w:szCs w:val="20"/>
                <w:lang w:val="en-US" w:eastAsia="zh-CN"/>
              </w:rPr>
              <w:t>3.了解国内外安宁疗护的最新进展。</w:t>
            </w:r>
          </w:p>
          <w:p>
            <w:pPr>
              <w:numPr>
                <w:ilvl w:val="0"/>
                <w:numId w:val="0"/>
              </w:numPr>
              <w:snapToGrid w:val="0"/>
              <w:spacing w:line="288" w:lineRule="auto"/>
              <w:jc w:val="left"/>
              <w:rPr>
                <w:rFonts w:hint="default" w:ascii="宋体" w:hAnsi="Times New Roman"/>
                <w:b/>
                <w:color w:val="000000"/>
                <w:sz w:val="20"/>
                <w:szCs w:val="20"/>
                <w:lang w:val="en-US" w:eastAsia="zh-CN"/>
              </w:rPr>
            </w:pPr>
            <w:r>
              <w:rPr>
                <w:rFonts w:hint="eastAsia" w:ascii="宋体" w:hAnsi="Times New Roman"/>
                <w:b w:val="0"/>
                <w:bCs/>
                <w:color w:val="000000"/>
                <w:sz w:val="20"/>
                <w:szCs w:val="20"/>
                <w:lang w:val="en-US" w:eastAsia="zh-CN"/>
              </w:rPr>
              <w:t>4.安宁疗护专科护士在安宁疗护中的职责。</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hint="eastAsia" w:ascii="宋体" w:hAnsi="宋体" w:eastAsia="宋体"/>
                <w:color w:val="000000"/>
                <w:sz w:val="20"/>
                <w:szCs w:val="20"/>
                <w:lang w:eastAsia="zh-CN"/>
              </w:rPr>
            </w:pPr>
            <w:r>
              <w:rPr>
                <w:rFonts w:hint="eastAsia" w:ascii="宋体" w:hAnsi="宋体"/>
                <w:color w:val="000000"/>
                <w:sz w:val="20"/>
                <w:szCs w:val="20"/>
                <w:lang w:val="en-US" w:eastAsia="zh-CN"/>
              </w:rPr>
              <w:t>3.能够团结协作，乐于奉献。</w:t>
            </w:r>
          </w:p>
        </w:tc>
        <w:tc>
          <w:tcPr>
            <w:tcW w:w="1312" w:type="dxa"/>
          </w:tcPr>
          <w:p>
            <w:pPr>
              <w:snapToGrid w:val="0"/>
              <w:spacing w:line="288" w:lineRule="auto"/>
              <w:jc w:val="left"/>
              <w:rPr>
                <w:rFonts w:hint="default" w:ascii="宋体" w:hAnsi="Times New Roman" w:eastAsia="宋体"/>
                <w:b/>
                <w:color w:val="000000"/>
                <w:sz w:val="20"/>
                <w:szCs w:val="20"/>
                <w:lang w:val="en-US" w:eastAsia="zh-CN"/>
              </w:rPr>
            </w:pPr>
            <w:r>
              <w:rPr>
                <w:rFonts w:ascii="宋体" w:hAnsi="宋体"/>
                <w:color w:val="000000"/>
                <w:sz w:val="20"/>
                <w:szCs w:val="20"/>
              </w:rPr>
              <w:t>1.</w:t>
            </w:r>
            <w:r>
              <w:rPr>
                <w:rFonts w:hint="eastAsia" w:ascii="宋体" w:hAnsi="宋体"/>
                <w:color w:val="000000"/>
                <w:sz w:val="20"/>
                <w:szCs w:val="20"/>
                <w:lang w:val="en-US" w:eastAsia="zh-CN"/>
              </w:rPr>
              <w:t>安宁疗护专科护士的角色和定位。</w:t>
            </w:r>
          </w:p>
        </w:tc>
        <w:tc>
          <w:tcPr>
            <w:tcW w:w="418" w:type="dxa"/>
          </w:tcPr>
          <w:p>
            <w:pPr>
              <w:snapToGrid w:val="0"/>
              <w:spacing w:line="288" w:lineRule="auto"/>
              <w:jc w:val="left"/>
              <w:rPr>
                <w:rFonts w:hint="default" w:ascii="宋体" w:eastAsia="宋体"/>
                <w:color w:val="000000"/>
                <w:sz w:val="20"/>
                <w:szCs w:val="20"/>
                <w:lang w:val="en-US" w:eastAsia="zh-CN"/>
              </w:rPr>
            </w:pPr>
            <w:r>
              <w:rPr>
                <w:rFonts w:hint="eastAsia" w:ascii="宋体"/>
                <w:color w:val="000000"/>
                <w:sz w:val="20"/>
                <w:szCs w:val="20"/>
                <w:lang w:val="en-US" w:eastAsia="zh-CN"/>
              </w:rPr>
              <w:t>2</w:t>
            </w:r>
          </w:p>
        </w:tc>
        <w:tc>
          <w:tcPr>
            <w:tcW w:w="366"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hint="default" w:ascii="宋体" w:eastAsia="宋体"/>
                <w:color w:val="000000"/>
                <w:sz w:val="20"/>
                <w:szCs w:val="20"/>
                <w:lang w:val="en-US" w:eastAsia="zh-CN"/>
              </w:rPr>
            </w:pPr>
            <w:r>
              <w:rPr>
                <w:rFonts w:hint="eastAsia" w:asci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安宁疗护患者生存期评估</w:t>
            </w:r>
          </w:p>
        </w:tc>
        <w:tc>
          <w:tcPr>
            <w:tcW w:w="1988" w:type="dxa"/>
          </w:tcPr>
          <w:p>
            <w:pPr>
              <w:numPr>
                <w:ilvl w:val="0"/>
                <w:numId w:val="1"/>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生存评估期概述。</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生存评估期的影响因素。</w:t>
            </w:r>
          </w:p>
          <w:p>
            <w:pPr>
              <w:numPr>
                <w:ilvl w:val="0"/>
                <w:numId w:val="1"/>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生存期预测评估工具介绍与使用。</w:t>
            </w:r>
          </w:p>
        </w:tc>
        <w:tc>
          <w:tcPr>
            <w:tcW w:w="1674" w:type="dxa"/>
          </w:tcPr>
          <w:p>
            <w:pPr>
              <w:numPr>
                <w:ilvl w:val="0"/>
                <w:numId w:val="2"/>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能够复述患者终末期的临床表现。</w:t>
            </w:r>
          </w:p>
          <w:p>
            <w:pPr>
              <w:numPr>
                <w:ilvl w:val="0"/>
                <w:numId w:val="2"/>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知晓安宁疗护生存期的评估流程。</w:t>
            </w:r>
          </w:p>
          <w:p>
            <w:pPr>
              <w:numPr>
                <w:ilvl w:val="0"/>
                <w:numId w:val="2"/>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了解生存期预测的影响因素</w:t>
            </w:r>
          </w:p>
          <w:p>
            <w:pPr>
              <w:numPr>
                <w:ilvl w:val="0"/>
                <w:numId w:val="2"/>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能够简单使用生存期评估工具。</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1.生存期预测评估工具介绍与使用</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儿童安宁疗护</w:t>
            </w:r>
          </w:p>
        </w:tc>
        <w:tc>
          <w:tcPr>
            <w:tcW w:w="1988" w:type="dxa"/>
          </w:tcPr>
          <w:p>
            <w:pPr>
              <w:numPr>
                <w:ilvl w:val="0"/>
                <w:numId w:val="3"/>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儿童安宁疗护概述</w:t>
            </w:r>
          </w:p>
          <w:p>
            <w:pPr>
              <w:numPr>
                <w:ilvl w:val="0"/>
                <w:numId w:val="3"/>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儿童安宁疗护的护理</w:t>
            </w:r>
          </w:p>
        </w:tc>
        <w:tc>
          <w:tcPr>
            <w:tcW w:w="1674" w:type="dxa"/>
          </w:tcPr>
          <w:p>
            <w:pPr>
              <w:numPr>
                <w:ilvl w:val="0"/>
                <w:numId w:val="4"/>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能够掌握儿童安宁疗护的概念。</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知晓安宁疗护的护理要点。</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了解儿童安宁疗护的护理技巧。</w:t>
            </w:r>
          </w:p>
          <w:p>
            <w:pPr>
              <w:numPr>
                <w:ilvl w:val="0"/>
                <w:numId w:val="4"/>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能够使用儿童安宁疗护对儿童及家庭实施安宁疗护。</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1.儿童安宁疗护的护理要点和技巧。</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安宁疗护相关伦理</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1.安宁疗护相关伦理概述。</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2.安宁疗护中的伦理基础</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3.安宁疗护中的伦理困境与决策</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1.掌握安宁疗护的伦理学相关概念。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2.知晓安宁疗护伦理的基本理论、原则和任务。</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3.了解终末期患者的权利。</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4.能够使用相关伦理进行伦理实践。</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1.安宁疗护伦理的基本理论、原则和任务。</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安宁疗护模式</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1.医院安宁疗护模式</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2.社区安宁疗护模式</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3.居家安宁疗护模式</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4.安宁疗护患者转介管理</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1.掌握几种安宁疗护模式的目的。</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2.知晓各种安宁疗护模式的意义。</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3.能够描述各种安宁疗护模式的服务模式。</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4.能够根据安宁疗护的转介流程为患者安排转介。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1.各种安宁疗护模式的服务模式。</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6</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安宁疗护中的有效沟通</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1.护患沟通的基础</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2.安宁疗护中的护患沟通</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3.病情告知</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1.掌握沟通的过程、类型、要素、原则和目的。</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2.掌握安宁疗护中有效沟通的原则、内容和技巧。</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3.安宁疗护中病情告知的步骤、注意事项及提问方式。</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4.能够运用沟通技巧与终末期患者进行沟通以及病情告知。</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1.安宁疗护中的护患沟通原则、内容和技巧。</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7</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死亡与生死教育</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1.生死观与传统文化</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2.生死教育</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3.生前预嘱</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1.掌握死亡与生死教育的相关概念。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2.知晓传统文化中的生死观和生死教育的内容。</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3.能够运用生死教育的基本技能。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1.生死观和生死教育的内容并能够运用生死教育的基本技能。</w:t>
            </w:r>
          </w:p>
          <w:p>
            <w:pPr>
              <w:snapToGrid w:val="0"/>
              <w:spacing w:line="288" w:lineRule="auto"/>
              <w:jc w:val="left"/>
              <w:rPr>
                <w:rFonts w:hint="default" w:ascii="宋体" w:hAnsi="宋体" w:eastAsia="宋体"/>
                <w:color w:val="000000"/>
                <w:sz w:val="20"/>
                <w:szCs w:val="20"/>
                <w:lang w:val="en-US" w:eastAsia="zh-CN"/>
              </w:rPr>
            </w:pP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601"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常见症状管理</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1.疼痛</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2.呼吸困难、咳嗽、咳痰、咯血</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3.恶心、呕吐、呕血、黑便</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4.腹胀、水肿、发热、恶病质、口干、</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5.失眠、瞻望</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1.掌握常见症状的概念。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2.知晓各种症状的治疗方法。</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3.了解各种症状的评估方法。</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4.能够对各种症状进行护理。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1.各种症状的评估方法、治疗方法及护理。</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9</w:t>
            </w:r>
          </w:p>
        </w:tc>
        <w:tc>
          <w:tcPr>
            <w:tcW w:w="601"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安宁疗护中的舒适照顾</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1.舒适照护及环境</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2.口腔、身体、皮肤清洁护理</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3.协助进食、饮水、大小便的护理、体位护理</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4.安宁疗护的药物治疗</w:t>
            </w:r>
          </w:p>
        </w:tc>
        <w:tc>
          <w:tcPr>
            <w:tcW w:w="1674"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1.掌握舒适照顾的概念，进行舒适护理实施的要素和注意事项。</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2.了解舒适护理的原则。</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3.能够运用舒适护理的相关技能。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1.舒适护理实施的要素和注意事项</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10</w:t>
            </w:r>
          </w:p>
        </w:tc>
        <w:tc>
          <w:tcPr>
            <w:tcW w:w="601"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安宁疗护的心理社会支持</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1.安宁疗护的社会支持、照顾者关怀以及社会资源支持介绍。</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2.居丧期的悲伤辅导以及居丧和殡葬</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3.安宁疗护中的人文关怀和人文管理的护理。</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1.掌握安宁疗护社会支持的相关概念。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2.掌握悲伤的特征、分类和表现。</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3.掌握人文及人文关怀的概念</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4.知晓安宁疗护中的心理、社会支持的标准及流程。</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1.安宁疗护的社会支持、照顾者关怀以及社会资源。</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2.安宁疗护中的人文关怀和人文管理的护理。</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11</w:t>
            </w:r>
          </w:p>
        </w:tc>
        <w:tc>
          <w:tcPr>
            <w:tcW w:w="601"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安宁疗护中的专科技能与操作</w:t>
            </w:r>
          </w:p>
        </w:tc>
        <w:tc>
          <w:tcPr>
            <w:tcW w:w="1988" w:type="dxa"/>
          </w:tcPr>
          <w:p>
            <w:pPr>
              <w:numPr>
                <w:ilvl w:val="0"/>
                <w:numId w:val="0"/>
              </w:numPr>
              <w:snapToGrid w:val="0"/>
              <w:spacing w:line="288" w:lineRule="auto"/>
              <w:ind w:left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1.安宁疗护中的身体照护技能</w:t>
            </w:r>
          </w:p>
          <w:p>
            <w:pPr>
              <w:numPr>
                <w:ilvl w:val="0"/>
                <w:numId w:val="0"/>
              </w:numPr>
              <w:snapToGrid w:val="0"/>
              <w:spacing w:line="288" w:lineRule="auto"/>
              <w:ind w:left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2.安宁疗护中常用的心理护理技能。</w:t>
            </w:r>
          </w:p>
          <w:p>
            <w:pPr>
              <w:numPr>
                <w:ilvl w:val="0"/>
                <w:numId w:val="0"/>
              </w:numPr>
              <w:snapToGrid w:val="0"/>
              <w:spacing w:line="288" w:lineRule="auto"/>
              <w:ind w:leftChars="0"/>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3.安宁疗护的精神抚慰技巧。</w:t>
            </w:r>
          </w:p>
          <w:p>
            <w:pPr>
              <w:numPr>
                <w:ilvl w:val="0"/>
                <w:numId w:val="0"/>
              </w:numPr>
              <w:snapToGrid w:val="0"/>
              <w:spacing w:line="288" w:lineRule="auto"/>
              <w:ind w:leftChars="0"/>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4.中医在安宁疗护中的作用。</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1.掌握身体照护技能、心理照护技能、精神抚慰技巧。</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2.能够复述各种身体及心理照顾技能的类别及注意事项。</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3.能够应用各种身体及心理照护技能。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1.身体照护技能、心理照护技能、精神抚慰技巧。</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2.身体及心理照顾技能的类别及注意事项。</w:t>
            </w:r>
          </w:p>
          <w:p>
            <w:pPr>
              <w:snapToGrid w:val="0"/>
              <w:spacing w:line="288" w:lineRule="auto"/>
              <w:jc w:val="left"/>
              <w:rPr>
                <w:rFonts w:hint="default" w:ascii="宋体" w:hAnsi="宋体" w:eastAsia="宋体"/>
                <w:color w:val="000000"/>
                <w:sz w:val="20"/>
                <w:szCs w:val="20"/>
                <w:lang w:val="en-US" w:eastAsia="zh-CN"/>
              </w:rPr>
            </w:pP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418"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0"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12</w:t>
            </w:r>
          </w:p>
        </w:tc>
        <w:tc>
          <w:tcPr>
            <w:tcW w:w="601" w:type="dxa"/>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安宁疗护专科管理与教育</w:t>
            </w:r>
          </w:p>
        </w:tc>
        <w:tc>
          <w:tcPr>
            <w:tcW w:w="1988"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1.安宁疗护管理</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2.安宁疗护护士的自我照护。</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3.安宁疗护教育和学科发展。</w:t>
            </w:r>
          </w:p>
        </w:tc>
        <w:tc>
          <w:tcPr>
            <w:tcW w:w="1674" w:type="dxa"/>
          </w:tcPr>
          <w:p>
            <w:pPr>
              <w:numPr>
                <w:ilvl w:val="0"/>
                <w:numId w:val="0"/>
              </w:num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1.能够复述安宁疗护质量管理与安全管理的目标。</w:t>
            </w:r>
          </w:p>
          <w:p>
            <w:pPr>
              <w:numPr>
                <w:ilvl w:val="0"/>
                <w:numId w:val="0"/>
              </w:num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2.知晓安宁疗护安全管理的内容。</w:t>
            </w:r>
          </w:p>
          <w:p>
            <w:pPr>
              <w:widowControl w:val="0"/>
              <w:numPr>
                <w:ilvl w:val="0"/>
                <w:numId w:val="0"/>
              </w:numPr>
              <w:snapToGrid w:val="0"/>
              <w:spacing w:line="288" w:lineRule="auto"/>
              <w:ind w:leftChars="0"/>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3.知晓安宁疗护护士的职业素质和自我照护的概念。</w:t>
            </w:r>
          </w:p>
          <w:p>
            <w:pPr>
              <w:widowControl w:val="0"/>
              <w:numPr>
                <w:ilvl w:val="0"/>
                <w:numId w:val="0"/>
              </w:numPr>
              <w:snapToGrid w:val="0"/>
              <w:spacing w:line="288" w:lineRule="auto"/>
              <w:ind w:leftChars="0"/>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4.知晓安宁疗护学科发展的要素、发展实施及发展内容。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1.具有</w:t>
            </w:r>
            <w:r>
              <w:rPr>
                <w:rFonts w:hint="eastAsia" w:ascii="宋体" w:hAnsi="宋体"/>
                <w:color w:val="000000"/>
                <w:sz w:val="20"/>
                <w:szCs w:val="20"/>
                <w:lang w:val="en-US" w:eastAsia="zh-CN"/>
              </w:rPr>
              <w:t>人道主义精神和高尚的道德情操，尊重人性</w:t>
            </w:r>
            <w:r>
              <w:rPr>
                <w:rFonts w:hint="eastAsia" w:ascii="宋体" w:hAnsi="宋体"/>
                <w:color w:val="000000"/>
                <w:sz w:val="20"/>
                <w:szCs w:val="20"/>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rPr>
              <w:t>2.</w:t>
            </w:r>
            <w:r>
              <w:rPr>
                <w:rFonts w:hint="eastAsia" w:ascii="宋体" w:hAnsi="宋体"/>
                <w:color w:val="000000"/>
                <w:sz w:val="20"/>
                <w:szCs w:val="20"/>
                <w:lang w:val="en-US" w:eastAsia="zh-CN"/>
              </w:rPr>
              <w:t>能够做到自我肯定，认识到自我工作的价值和意义</w:t>
            </w:r>
          </w:p>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3.能够团结协作，乐于奉献</w:t>
            </w:r>
            <w:r>
              <w:rPr>
                <w:rFonts w:hint="eastAsia" w:ascii="宋体" w:hAnsi="宋体"/>
                <w:color w:val="000000"/>
                <w:sz w:val="20"/>
                <w:szCs w:val="20"/>
              </w:rPr>
              <w:t>。</w:t>
            </w:r>
          </w:p>
        </w:tc>
        <w:tc>
          <w:tcPr>
            <w:tcW w:w="1312" w:type="dxa"/>
          </w:tcPr>
          <w:p>
            <w:pPr>
              <w:snapToGrid w:val="0"/>
              <w:spacing w:line="288" w:lineRule="auto"/>
              <w:jc w:val="lef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1.安宁疗护护士的自我照护。</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6"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418" w:type="dxa"/>
          </w:tcPr>
          <w:p>
            <w:pPr>
              <w:snapToGrid w:val="0"/>
              <w:spacing w:line="288" w:lineRule="auto"/>
              <w:jc w:val="left"/>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案例分析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ind w:firstLine="800" w:firstLineChars="400"/>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医学伦理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案例分析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护患沟通技巧</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案例分析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患者症状管理及舒适照顾</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案例分析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专科技能与操作</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tbl>
      <w:tblPr>
        <w:tblStyle w:val="4"/>
        <w:tblpPr w:leftFromText="180" w:rightFromText="180" w:vertAnchor="text" w:horzAnchor="margin" w:tblpY="202"/>
        <w:tblOverlap w:val="never"/>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hint="default" w:ascii="宋体" w:hAnsi="宋体" w:eastAsia="宋体"/>
                <w:bCs/>
                <w:color w:val="FF0000"/>
                <w:sz w:val="20"/>
                <w:szCs w:val="20"/>
                <w:lang w:val="en-US" w:eastAsia="zh-CN"/>
              </w:rPr>
            </w:pPr>
            <w:r>
              <w:rPr>
                <w:rFonts w:hint="eastAsia" w:ascii="宋体" w:hAnsi="宋体"/>
                <w:bCs/>
                <w:color w:val="000000" w:themeColor="text1"/>
                <w:sz w:val="20"/>
                <w:szCs w:val="20"/>
                <w:lang w:val="en-US" w:eastAsia="zh-CN"/>
              </w:rPr>
              <w:t>案例分析</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widowControl/>
        <w:spacing w:beforeLines="50" w:afterLines="50" w:line="288" w:lineRule="auto"/>
        <w:jc w:val="left"/>
        <w:rPr>
          <w:rFonts w:ascii="黑体" w:hAnsi="宋体" w:eastAsia="黑体"/>
          <w:sz w:val="24"/>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b/>
          <w:sz w:val="20"/>
          <w:szCs w:val="20"/>
          <w:highlight w:val="yellow"/>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highlight w:val="yellow"/>
        </w:rPr>
        <w:t>同一门课程由多个教师共同授课的，由课程组共同讨论决定X的内容、次数及比例。</w:t>
      </w:r>
    </w:p>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eastAsiaTheme="minorEastAsia"/>
          <w:lang w:eastAsia="zh-CN"/>
        </w:rPr>
        <w:drawing>
          <wp:inline distT="0" distB="0" distL="114300" distR="114300">
            <wp:extent cx="1303020" cy="463550"/>
            <wp:effectExtent l="0" t="0" r="5080" b="6350"/>
            <wp:docPr id="3" name="图片 3" descr="595334596a58f47ed3c169083541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95334596a58f47ed3c16908354112e"/>
                    <pic:cNvPicPr>
                      <a:picLocks noChangeAspect="1"/>
                    </pic:cNvPicPr>
                  </pic:nvPicPr>
                  <pic:blipFill>
                    <a:blip r:embed="rId4"/>
                    <a:srcRect l="28863" t="39243" r="28863" b="29186"/>
                    <a:stretch>
                      <a:fillRect/>
                    </a:stretch>
                  </pic:blipFill>
                  <pic:spPr>
                    <a:xfrm>
                      <a:off x="0" y="0"/>
                      <a:ext cx="1303020" cy="463550"/>
                    </a:xfrm>
                    <a:prstGeom prst="rect">
                      <a:avLst/>
                    </a:prstGeom>
                  </pic:spPr>
                </pic:pic>
              </a:graphicData>
            </a:graphic>
          </wp:inline>
        </w:drawing>
      </w:r>
      <w:r>
        <w:rPr>
          <w:rFonts w:hint="eastAsia"/>
          <w:sz w:val="28"/>
          <w:szCs w:val="28"/>
        </w:rPr>
        <w:t>系主任审核签名：</w:t>
      </w:r>
      <w:r>
        <w:rPr>
          <w:rFonts w:hint="eastAsia" w:eastAsia="宋体"/>
          <w:sz w:val="28"/>
          <w:szCs w:val="28"/>
          <w:lang w:eastAsia="zh-CN"/>
        </w:rPr>
        <w:drawing>
          <wp:inline distT="0" distB="0" distL="114300" distR="114300">
            <wp:extent cx="1096010" cy="344805"/>
            <wp:effectExtent l="0" t="0" r="8890" b="10795"/>
            <wp:docPr id="1" name="图片 1" descr="07a92b70af0d94ca57d2259e2128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a92b70af0d94ca57d2259e212848e"/>
                    <pic:cNvPicPr>
                      <a:picLocks noChangeAspect="1"/>
                    </pic:cNvPicPr>
                  </pic:nvPicPr>
                  <pic:blipFill>
                    <a:blip r:embed="rId5"/>
                    <a:stretch>
                      <a:fillRect/>
                    </a:stretch>
                  </pic:blipFill>
                  <pic:spPr>
                    <a:xfrm>
                      <a:off x="0" y="0"/>
                      <a:ext cx="1096010" cy="34480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2023年3月1日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69D87"/>
    <w:multiLevelType w:val="singleLevel"/>
    <w:tmpl w:val="AF369D87"/>
    <w:lvl w:ilvl="0" w:tentative="0">
      <w:start w:val="1"/>
      <w:numFmt w:val="decimal"/>
      <w:lvlText w:val="%1."/>
      <w:lvlJc w:val="left"/>
      <w:pPr>
        <w:tabs>
          <w:tab w:val="left" w:pos="312"/>
        </w:tabs>
      </w:pPr>
    </w:lvl>
  </w:abstractNum>
  <w:abstractNum w:abstractNumId="1">
    <w:nsid w:val="D92CD36E"/>
    <w:multiLevelType w:val="singleLevel"/>
    <w:tmpl w:val="D92CD36E"/>
    <w:lvl w:ilvl="0" w:tentative="0">
      <w:start w:val="1"/>
      <w:numFmt w:val="decimal"/>
      <w:lvlText w:val="%1."/>
      <w:lvlJc w:val="left"/>
      <w:pPr>
        <w:tabs>
          <w:tab w:val="left" w:pos="312"/>
        </w:tabs>
      </w:pPr>
    </w:lvl>
  </w:abstractNum>
  <w:abstractNum w:abstractNumId="2">
    <w:nsid w:val="4C8DC52B"/>
    <w:multiLevelType w:val="singleLevel"/>
    <w:tmpl w:val="4C8DC52B"/>
    <w:lvl w:ilvl="0" w:tentative="0">
      <w:start w:val="1"/>
      <w:numFmt w:val="decimal"/>
      <w:lvlText w:val="%1."/>
      <w:lvlJc w:val="left"/>
      <w:pPr>
        <w:tabs>
          <w:tab w:val="left" w:pos="312"/>
        </w:tabs>
      </w:pPr>
    </w:lvl>
  </w:abstractNum>
  <w:abstractNum w:abstractNumId="3">
    <w:nsid w:val="7F718439"/>
    <w:multiLevelType w:val="singleLevel"/>
    <w:tmpl w:val="7F718439"/>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JiNGE1MTY1YjM1ODhmOGRiYTFkMzQ0NzZlY2E5MzI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A8128A6"/>
    <w:rsid w:val="0BF32A1B"/>
    <w:rsid w:val="10BD2C22"/>
    <w:rsid w:val="12062448"/>
    <w:rsid w:val="12EE3626"/>
    <w:rsid w:val="22987C80"/>
    <w:rsid w:val="24192CCC"/>
    <w:rsid w:val="38501062"/>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5394</Words>
  <Characters>5794</Characters>
  <Lines>13</Lines>
  <Paragraphs>3</Paragraphs>
  <TotalTime>2</TotalTime>
  <ScaleCrop>false</ScaleCrop>
  <LinksUpToDate>false</LinksUpToDate>
  <CharactersWithSpaces>5836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2023-03-02T07:07:51Z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AE73FED35C2B45C58CD159B27F91F8D4</vt:lpwstr>
  </property>
</Properties>
</file>