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EC398">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
          <w:sz w:val="32"/>
          <w:szCs w:val="32"/>
        </w:rPr>
        <w:t>儿科护理</w:t>
      </w:r>
      <w:r>
        <w:rPr>
          <w:rFonts w:hint="eastAsia" w:ascii="黑体" w:hAnsi="黑体" w:eastAsia="黑体"/>
          <w:bCs/>
          <w:sz w:val="32"/>
          <w:szCs w:val="32"/>
        </w:rPr>
        <w:t>》专科课程教学大纲</w:t>
      </w:r>
    </w:p>
    <w:p w14:paraId="00581F09">
      <w:pPr>
        <w:pStyle w:val="19"/>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5E37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7655A46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3BA6D45B">
            <w:pPr>
              <w:widowControl w:val="0"/>
              <w:jc w:val="left"/>
              <w:rPr>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儿科护理</w:t>
            </w:r>
          </w:p>
        </w:tc>
      </w:tr>
      <w:tr w14:paraId="2E72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19C7D7FE">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272DA38">
            <w:pPr>
              <w:widowControl w:val="0"/>
              <w:jc w:val="left"/>
              <w:rPr>
                <w:rFonts w:ascii="Times New Roman Regular" w:hAnsi="Times New Roman Regular" w:cs="Times New Roman Regular"/>
                <w:color w:val="000000" w:themeColor="text1"/>
                <w:sz w:val="21"/>
                <w:szCs w:val="21"/>
                <w14:textFill>
                  <w14:solidFill>
                    <w14:schemeClr w14:val="tx1"/>
                  </w14:solidFill>
                </w14:textFill>
              </w:rPr>
            </w:pPr>
            <w:r>
              <w:rPr>
                <w:rFonts w:ascii="Times New Roman Regular" w:hAnsi="Times New Roman Regular" w:cs="Times New Roman Regular" w:eastAsiaTheme="minorEastAsia"/>
                <w:color w:val="000000" w:themeColor="text1"/>
                <w:sz w:val="21"/>
                <w:szCs w:val="21"/>
                <w14:textFill>
                  <w14:solidFill>
                    <w14:schemeClr w14:val="tx1"/>
                  </w14:solidFill>
                </w14:textFill>
              </w:rPr>
              <w:t>Pediatric Nursing</w:t>
            </w:r>
          </w:p>
        </w:tc>
      </w:tr>
      <w:tr w14:paraId="4D33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7C64E6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09C31927">
            <w:pPr>
              <w:widowControl w:val="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0010057</w:t>
            </w:r>
          </w:p>
        </w:tc>
        <w:tc>
          <w:tcPr>
            <w:tcW w:w="2126" w:type="dxa"/>
            <w:gridSpan w:val="2"/>
            <w:vAlign w:val="center"/>
          </w:tcPr>
          <w:p w14:paraId="58AC86F2">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93A4E69">
            <w:pPr>
              <w:widowControl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r>
      <w:tr w14:paraId="12C5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16375FF">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349CBE89">
            <w:pPr>
              <w:widowControl w:val="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48</w:t>
            </w:r>
          </w:p>
        </w:tc>
        <w:tc>
          <w:tcPr>
            <w:tcW w:w="1272" w:type="dxa"/>
            <w:vAlign w:val="center"/>
          </w:tcPr>
          <w:p w14:paraId="374A90D8">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0F1E8D8B">
            <w:pPr>
              <w:widowControl w:val="0"/>
              <w:jc w:val="both"/>
              <w:rPr>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36</w:t>
            </w:r>
          </w:p>
        </w:tc>
        <w:tc>
          <w:tcPr>
            <w:tcW w:w="1413" w:type="dxa"/>
            <w:gridSpan w:val="2"/>
            <w:vAlign w:val="center"/>
          </w:tcPr>
          <w:p w14:paraId="5F3F182F">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322D6AD3">
            <w:pPr>
              <w:widowControl w:val="0"/>
              <w:jc w:val="both"/>
              <w:rPr>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12</w:t>
            </w:r>
          </w:p>
        </w:tc>
      </w:tr>
      <w:tr w14:paraId="703D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E520A1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5A4E8A9D">
            <w:pPr>
              <w:widowControl w:val="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健康管理学院</w:t>
            </w:r>
          </w:p>
        </w:tc>
        <w:tc>
          <w:tcPr>
            <w:tcW w:w="2126" w:type="dxa"/>
            <w:gridSpan w:val="2"/>
            <w:vAlign w:val="center"/>
          </w:tcPr>
          <w:p w14:paraId="60B785C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0BA98AA2">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护理专科二年级</w:t>
            </w:r>
          </w:p>
        </w:tc>
      </w:tr>
      <w:tr w14:paraId="00082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7B79F3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6D6E0BF">
            <w:pPr>
              <w:widowControl w:val="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专业必修课</w:t>
            </w:r>
          </w:p>
        </w:tc>
        <w:tc>
          <w:tcPr>
            <w:tcW w:w="2126" w:type="dxa"/>
            <w:gridSpan w:val="2"/>
            <w:vAlign w:val="center"/>
          </w:tcPr>
          <w:p w14:paraId="6D15D8C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110A0474">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339D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1C28A2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3FB99634">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sz w:val="21"/>
                <w:szCs w:val="21"/>
              </w:rPr>
              <w:t>《儿科护理学》主编</w:t>
            </w:r>
            <w:r>
              <w:rPr>
                <w:rFonts w:hint="eastAsia" w:ascii="Times New Roman" w:hAnsi="Times New Roman"/>
                <w:color w:val="000000"/>
                <w:sz w:val="21"/>
                <w:szCs w:val="21"/>
              </w:rPr>
              <w:t>张玉兰、</w:t>
            </w:r>
            <w:r>
              <w:rPr>
                <w:rFonts w:hint="eastAsia"/>
                <w:color w:val="000000"/>
                <w:sz w:val="21"/>
                <w:szCs w:val="21"/>
              </w:rPr>
              <w:t>王</w:t>
            </w:r>
            <w:r>
              <w:rPr>
                <w:color w:val="000000"/>
                <w:sz w:val="21"/>
                <w:szCs w:val="21"/>
              </w:rPr>
              <w:t>玉</w:t>
            </w:r>
            <w:r>
              <w:rPr>
                <w:rFonts w:hint="eastAsia"/>
                <w:color w:val="000000"/>
                <w:sz w:val="21"/>
                <w:szCs w:val="21"/>
              </w:rPr>
              <w:t>香ISBN</w:t>
            </w:r>
            <w:r>
              <w:rPr>
                <w:color w:val="000000"/>
                <w:sz w:val="21"/>
                <w:szCs w:val="21"/>
              </w:rPr>
              <w:t xml:space="preserve">9787117271936  </w:t>
            </w:r>
            <w:r>
              <w:rPr>
                <w:rFonts w:hint="eastAsia"/>
                <w:color w:val="000000"/>
                <w:sz w:val="21"/>
                <w:szCs w:val="21"/>
              </w:rPr>
              <w:t>人民卫生出版社</w:t>
            </w:r>
            <w:r>
              <w:rPr>
                <w:color w:val="000000"/>
                <w:sz w:val="21"/>
                <w:szCs w:val="21"/>
              </w:rPr>
              <w:t xml:space="preserve"> </w:t>
            </w:r>
            <w:r>
              <w:rPr>
                <w:rFonts w:hint="eastAsia"/>
                <w:color w:val="000000"/>
                <w:sz w:val="21"/>
                <w:szCs w:val="21"/>
              </w:rPr>
              <w:t>第4版</w:t>
            </w:r>
          </w:p>
        </w:tc>
        <w:tc>
          <w:tcPr>
            <w:tcW w:w="1413" w:type="dxa"/>
            <w:gridSpan w:val="2"/>
            <w:vAlign w:val="center"/>
          </w:tcPr>
          <w:p w14:paraId="2B6066A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71B8D13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52EC406">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0F90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298E6DC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161FDA95">
            <w:pPr>
              <w:pStyle w:val="17"/>
              <w:widowControl w:val="0"/>
              <w:jc w:val="both"/>
            </w:pPr>
            <w:r>
              <w:rPr>
                <w:rFonts w:hint="eastAsia"/>
                <w:color w:val="000000" w:themeColor="text1"/>
                <w14:textFill>
                  <w14:solidFill>
                    <w14:schemeClr w14:val="tx1"/>
                  </w14:solidFill>
                </w14:textFill>
              </w:rPr>
              <w:t>正常人体学基础1 0070038（6），正常人体学基础2 0070039（4），护用药理学 0010043（3），健康评估 0070013（3），病理学与病理生理学 0010041（3），护理学基础1 0070012（4），护理学基础2 0010017（2）</w:t>
            </w:r>
          </w:p>
        </w:tc>
      </w:tr>
      <w:tr w14:paraId="7941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6" w:hRule="atLeast"/>
        </w:trPr>
        <w:tc>
          <w:tcPr>
            <w:tcW w:w="1691" w:type="dxa"/>
            <w:tcBorders>
              <w:left w:val="single" w:color="auto" w:sz="12" w:space="0"/>
            </w:tcBorders>
            <w:shd w:val="clear" w:color="auto" w:fill="auto"/>
            <w:vAlign w:val="center"/>
          </w:tcPr>
          <w:p w14:paraId="068616E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45A97EA">
            <w:pPr>
              <w:widowControl w:val="0"/>
              <w:ind w:left="-79" w:firstLine="426" w:firstLineChars="203"/>
              <w:jc w:val="both"/>
              <w:rPr>
                <w:color w:val="000000"/>
                <w:sz w:val="21"/>
                <w:szCs w:val="21"/>
              </w:rPr>
            </w:pPr>
            <w:r>
              <w:rPr>
                <w:rFonts w:hint="eastAsia"/>
                <w:color w:val="000000"/>
                <w:sz w:val="21"/>
                <w:szCs w:val="21"/>
              </w:rPr>
              <w:t>《儿科护理》课程是护理专业的核心课程，是从整体护理概念出发，研究从新生儿至青春期小儿的生长发育、卫生保健、疾病预防和临床疾病护理的专科护理课程，旨在培养学生在人体解剖与生理、护理人文课程、基本护理技术的基础上，运用护理程序、专业护理技术队为小儿及其家庭实施针对个案特点的整体护理；同时注重培养学生拥有良好的专业素质和岗位技能为将来从事儿科护理或实施社区儿童保健工作打下基础。课程力求突出“以人的健康为中心，以家庭为中心”的现代护理理念，注重自己的特色，从正常到异常、从保健预防到疾病护理、从生理到心理及社会、从个体到家庭与群体，提倡实施个性化整体护理，从而培养学生初步具备儿童护理的基本职业能力。</w:t>
            </w:r>
          </w:p>
        </w:tc>
      </w:tr>
      <w:tr w14:paraId="1E7C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86" w:hRule="atLeast"/>
        </w:trPr>
        <w:tc>
          <w:tcPr>
            <w:tcW w:w="1691" w:type="dxa"/>
            <w:tcBorders>
              <w:left w:val="single" w:color="auto" w:sz="12" w:space="0"/>
              <w:bottom w:val="double" w:color="auto" w:sz="4" w:space="0"/>
            </w:tcBorders>
            <w:shd w:val="clear" w:color="auto" w:fill="auto"/>
            <w:vAlign w:val="center"/>
          </w:tcPr>
          <w:p w14:paraId="3E96368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5507032E">
            <w:pPr>
              <w:widowControl w:val="0"/>
              <w:snapToGrid w:val="0"/>
              <w:spacing w:line="288" w:lineRule="auto"/>
              <w:ind w:firstLine="420" w:firstLineChars="200"/>
              <w:jc w:val="both"/>
              <w:rPr>
                <w:color w:val="000000"/>
                <w:sz w:val="20"/>
                <w:szCs w:val="20"/>
              </w:rPr>
            </w:pPr>
            <w:r>
              <w:rPr>
                <w:rFonts w:hint="eastAsia"/>
                <w:color w:val="000000"/>
                <w:sz w:val="21"/>
                <w:szCs w:val="21"/>
              </w:rPr>
              <w:t>本课程适合护理专科二年级专科学生授课，要求学生具有从新生儿至青春期小儿的生长发育、卫生保健、疾病预防和临床疾病护理的知识，学会儿科常用护理技术操作及常用诊疗技术操作配合。</w:t>
            </w:r>
          </w:p>
        </w:tc>
      </w:tr>
      <w:tr w14:paraId="40C2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52" w:hRule="atLeast"/>
        </w:trPr>
        <w:tc>
          <w:tcPr>
            <w:tcW w:w="1691" w:type="dxa"/>
            <w:tcBorders>
              <w:top w:val="double" w:color="auto" w:sz="4" w:space="0"/>
              <w:left w:val="single" w:color="auto" w:sz="12" w:space="0"/>
            </w:tcBorders>
            <w:shd w:val="clear" w:color="auto" w:fill="auto"/>
            <w:vAlign w:val="center"/>
          </w:tcPr>
          <w:p w14:paraId="5095B29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42A14E6">
            <w:pPr>
              <w:widowControl w:val="0"/>
              <w:ind w:firstLine="280" w:firstLineChars="100"/>
              <w:jc w:val="left"/>
              <w:rPr>
                <w:rFonts w:ascii="黑体" w:hAnsi="黑体" w:eastAsia="黑体"/>
                <w:color w:val="000000" w:themeColor="text1"/>
                <w:sz w:val="21"/>
                <w:szCs w:val="21"/>
                <w14:textFill>
                  <w14:solidFill>
                    <w14:schemeClr w14:val="tx1"/>
                  </w14:solidFill>
                </w14:textFill>
              </w:rPr>
            </w:pPr>
            <w:r>
              <w:rPr>
                <w:rFonts w:hint="eastAsia"/>
                <w:sz w:val="28"/>
                <w:szCs w:val="28"/>
              </w:rPr>
              <w:drawing>
                <wp:inline distT="0" distB="0" distL="114300" distR="114300">
                  <wp:extent cx="335280" cy="250190"/>
                  <wp:effectExtent l="0" t="0" r="0" b="8890"/>
                  <wp:docPr id="3" name="图片 3" descr="陈颖_20190428215826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陈颖_20190428215826_WPS图片"/>
                          <pic:cNvPicPr>
                            <a:picLocks noChangeAspect="1"/>
                          </pic:cNvPicPr>
                        </pic:nvPicPr>
                        <pic:blipFill>
                          <a:blip r:embed="rId5"/>
                          <a:stretch>
                            <a:fillRect/>
                          </a:stretch>
                        </pic:blipFill>
                        <pic:spPr>
                          <a:xfrm>
                            <a:off x="0" y="0"/>
                            <a:ext cx="335280" cy="250190"/>
                          </a:xfrm>
                          <a:prstGeom prst="rect">
                            <a:avLst/>
                          </a:prstGeom>
                        </pic:spPr>
                      </pic:pic>
                    </a:graphicData>
                  </a:graphic>
                </wp:inline>
              </w:drawing>
            </w:r>
          </w:p>
        </w:tc>
        <w:tc>
          <w:tcPr>
            <w:tcW w:w="1425" w:type="dxa"/>
            <w:gridSpan w:val="2"/>
            <w:tcBorders>
              <w:top w:val="double" w:color="auto" w:sz="4" w:space="0"/>
            </w:tcBorders>
            <w:vAlign w:val="center"/>
          </w:tcPr>
          <w:p w14:paraId="64F6000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59E141B0">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024.0</w:t>
            </w:r>
            <w:r>
              <w:rPr>
                <w:rFonts w:hint="eastAsia" w:ascii="Times New Roman" w:hAnsi="Times New Roman"/>
                <w:color w:val="000000"/>
                <w:sz w:val="21"/>
                <w:szCs w:val="21"/>
              </w:rPr>
              <w:t>8</w:t>
            </w:r>
          </w:p>
        </w:tc>
      </w:tr>
      <w:tr w14:paraId="6E8D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1888E4D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0884368F">
            <w:pPr>
              <w:widowControl w:val="0"/>
              <w:jc w:val="left"/>
              <w:rPr>
                <w:rFonts w:ascii="黑体" w:hAnsi="黑体" w:eastAsia="黑体"/>
                <w:color w:val="000000" w:themeColor="text1"/>
                <w:sz w:val="21"/>
                <w:szCs w:val="21"/>
                <w14:textFill>
                  <w14:solidFill>
                    <w14:schemeClr w14:val="tx1"/>
                  </w14:solidFill>
                </w14:textFill>
              </w:rPr>
            </w:pPr>
            <w:r>
              <w:rPr>
                <w:rFonts w:ascii="黑体" w:hAnsi="黑体" w:eastAsia="黑体"/>
                <w:color w:val="000000"/>
                <w:position w:val="-20"/>
                <w:szCs w:val="21"/>
              </w:rPr>
              <w:drawing>
                <wp:inline distT="0" distB="0" distL="114300" distR="114300">
                  <wp:extent cx="609600" cy="276225"/>
                  <wp:effectExtent l="0" t="0" r="0" b="13335"/>
                  <wp:docPr id="2" name="图片 2"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94"/>
                          <pic:cNvPicPr>
                            <a:picLocks noChangeAspect="1"/>
                          </pic:cNvPicPr>
                        </pic:nvPicPr>
                        <pic:blipFill>
                          <a:blip r:embed="rId6"/>
                          <a:stretch>
                            <a:fillRect/>
                          </a:stretch>
                        </pic:blipFill>
                        <pic:spPr>
                          <a:xfrm>
                            <a:off x="0" y="0"/>
                            <a:ext cx="609600" cy="276225"/>
                          </a:xfrm>
                          <a:prstGeom prst="rect">
                            <a:avLst/>
                          </a:prstGeom>
                        </pic:spPr>
                      </pic:pic>
                    </a:graphicData>
                  </a:graphic>
                </wp:inline>
              </w:drawing>
            </w:r>
          </w:p>
        </w:tc>
        <w:tc>
          <w:tcPr>
            <w:tcW w:w="1425" w:type="dxa"/>
            <w:gridSpan w:val="2"/>
            <w:vAlign w:val="center"/>
          </w:tcPr>
          <w:p w14:paraId="68954534">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57D3701F">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2024.8</w:t>
            </w:r>
          </w:p>
        </w:tc>
      </w:tr>
      <w:tr w14:paraId="369D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0E8B25A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256695EF">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53A05234">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1E2D952">
            <w:pPr>
              <w:widowControl w:val="0"/>
              <w:jc w:val="center"/>
              <w:rPr>
                <w:rFonts w:ascii="Times New Roman" w:hAnsi="Times New Roman"/>
                <w:color w:val="000000"/>
                <w:sz w:val="21"/>
                <w:szCs w:val="21"/>
              </w:rPr>
            </w:pPr>
          </w:p>
        </w:tc>
      </w:tr>
    </w:tbl>
    <w:p w14:paraId="555E7403">
      <w:pPr>
        <w:spacing w:line="100" w:lineRule="exact"/>
        <w:rPr>
          <w:rFonts w:ascii="Arial" w:hAnsi="Arial" w:eastAsia="黑体"/>
        </w:rPr>
      </w:pPr>
      <w:r>
        <w:br w:type="page"/>
      </w:r>
    </w:p>
    <w:p w14:paraId="5E7A40B5">
      <w:pPr>
        <w:pStyle w:val="19"/>
        <w:spacing w:before="326" w:beforeLines="100" w:line="360" w:lineRule="auto"/>
        <w:rPr>
          <w:rFonts w:ascii="黑体" w:hAnsi="宋体"/>
        </w:rPr>
      </w:pPr>
      <w:r>
        <w:rPr>
          <w:rFonts w:hint="eastAsia" w:ascii="黑体" w:hAnsi="宋体"/>
        </w:rPr>
        <w:t xml:space="preserve">二、课程目标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3BF6C3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45B08B9D">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79BBFD04">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2A5C8D25">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322775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7E6CCCCA">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2A093611">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089FC94E">
            <w:pPr>
              <w:pStyle w:val="17"/>
              <w:jc w:val="left"/>
              <w:rPr>
                <w:rFonts w:ascii="宋体" w:hAnsi="宋体"/>
                <w:bCs/>
              </w:rPr>
            </w:pPr>
            <w:r>
              <w:rPr>
                <w:rFonts w:hint="eastAsia" w:ascii="宋体" w:hAnsi="宋体"/>
              </w:rPr>
              <w:t>理解小儿生长发育规律、营养与喂养、计划免疫知识。掌握儿科常见疾病的护理评估、护理诊断及护理措施。</w:t>
            </w:r>
          </w:p>
        </w:tc>
      </w:tr>
      <w:tr w14:paraId="5AA4DD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73BE76E">
            <w:pPr>
              <w:pStyle w:val="17"/>
              <w:rPr>
                <w:bCs/>
              </w:rPr>
            </w:pPr>
          </w:p>
        </w:tc>
        <w:tc>
          <w:tcPr>
            <w:tcW w:w="764" w:type="dxa"/>
            <w:shd w:val="clear" w:color="auto" w:fill="auto"/>
            <w:vAlign w:val="center"/>
          </w:tcPr>
          <w:p w14:paraId="3820484A">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0AF19A0C">
            <w:pPr>
              <w:pStyle w:val="17"/>
              <w:jc w:val="left"/>
              <w:rPr>
                <w:rFonts w:ascii="宋体" w:hAnsi="宋体"/>
                <w:bCs/>
              </w:rPr>
            </w:pPr>
            <w:r>
              <w:rPr>
                <w:rFonts w:hint="eastAsia" w:ascii="宋体" w:hAnsi="宋体"/>
              </w:rPr>
              <w:t>理解儿科常见危重症病人的急救原则。了解儿科常见疾病的概念、发病机制、主要诊断检查及治疗要点。</w:t>
            </w:r>
          </w:p>
        </w:tc>
      </w:tr>
      <w:tr w14:paraId="021EEA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A03257E">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442B06ED">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66A006DB">
            <w:pPr>
              <w:pStyle w:val="17"/>
              <w:jc w:val="left"/>
              <w:rPr>
                <w:rFonts w:ascii="宋体" w:hAnsi="宋体"/>
              </w:rPr>
            </w:pPr>
            <w:r>
              <w:rPr>
                <w:rFonts w:hint="eastAsia" w:ascii="宋体" w:hAnsi="宋体"/>
              </w:rPr>
              <w:t>运用儿科常用护理技术操作及常用诊疗技术操作配合。具有对儿科常见疾病病人的病情变化和治疗反应进行观察和分析的能力。</w:t>
            </w:r>
          </w:p>
        </w:tc>
      </w:tr>
      <w:tr w14:paraId="1874B3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EBF6C63">
            <w:pPr>
              <w:pStyle w:val="17"/>
              <w:rPr>
                <w:rFonts w:ascii="宋体" w:hAnsi="宋体"/>
              </w:rPr>
            </w:pPr>
          </w:p>
        </w:tc>
        <w:tc>
          <w:tcPr>
            <w:tcW w:w="764" w:type="dxa"/>
            <w:shd w:val="clear" w:color="auto" w:fill="auto"/>
            <w:vAlign w:val="center"/>
          </w:tcPr>
          <w:p w14:paraId="506FD62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4DD74E0E">
            <w:pPr>
              <w:pStyle w:val="17"/>
              <w:jc w:val="left"/>
              <w:rPr>
                <w:rFonts w:ascii="宋体" w:hAnsi="宋体"/>
                <w:bCs/>
              </w:rPr>
            </w:pPr>
            <w:r>
              <w:rPr>
                <w:rFonts w:hint="eastAsia" w:ascii="宋体" w:hAnsi="宋体"/>
              </w:rPr>
              <w:t>具有对儿科常见疾病病人进行护理评估和实施整体护理的运用能力。</w:t>
            </w:r>
          </w:p>
        </w:tc>
      </w:tr>
      <w:tr w14:paraId="52EF3B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5C973AA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13DD5DE">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1A5CB93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0A29C042">
            <w:pPr>
              <w:pStyle w:val="17"/>
              <w:jc w:val="left"/>
              <w:rPr>
                <w:rFonts w:ascii="宋体" w:hAnsi="宋体"/>
                <w:bCs/>
              </w:rPr>
            </w:pPr>
            <w:r>
              <w:rPr>
                <w:rFonts w:hint="eastAsia" w:ascii="宋体" w:hAnsi="宋体"/>
              </w:rPr>
              <w:t>爱岗敬业，热爱所学专业，勤学多练，锤炼技能。熟悉本专业相关的法律法规，在实习实践中自觉遵守职业规范，具备职业道德操守。</w:t>
            </w:r>
            <w:r>
              <w:t>体现人道主义精神和全心全意为护理对象的健康服务的专业精神。</w:t>
            </w:r>
          </w:p>
        </w:tc>
      </w:tr>
    </w:tbl>
    <w:p w14:paraId="0BA33208">
      <w:pPr>
        <w:pStyle w:val="19"/>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759F9B43">
      <w:pPr>
        <w:pStyle w:val="20"/>
        <w:spacing w:before="81" w:after="163"/>
      </w:pPr>
      <w:r>
        <w:rPr>
          <w:rFonts w:hint="eastAsia"/>
        </w:rPr>
        <w:t>（一）各教学单元预期学习成果与教学内容</w:t>
      </w:r>
    </w:p>
    <w:tbl>
      <w:tblPr>
        <w:tblStyle w:val="9"/>
        <w:tblW w:w="82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08"/>
        <w:gridCol w:w="2977"/>
        <w:gridCol w:w="1985"/>
        <w:gridCol w:w="1134"/>
        <w:gridCol w:w="992"/>
      </w:tblGrid>
      <w:tr w14:paraId="751C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26" w:type="dxa"/>
            <w:vAlign w:val="center"/>
          </w:tcPr>
          <w:p w14:paraId="0AA0B9B7">
            <w:pPr>
              <w:widowControl w:val="0"/>
              <w:spacing w:line="360" w:lineRule="auto"/>
              <w:jc w:val="center"/>
              <w:rPr>
                <w:color w:val="000000"/>
                <w:kern w:val="2"/>
                <w:sz w:val="21"/>
                <w:szCs w:val="21"/>
              </w:rPr>
            </w:pPr>
            <w:r>
              <w:rPr>
                <w:rFonts w:hint="eastAsia"/>
                <w:color w:val="000000"/>
                <w:kern w:val="2"/>
                <w:sz w:val="21"/>
                <w:szCs w:val="21"/>
              </w:rPr>
              <w:t>序号</w:t>
            </w:r>
          </w:p>
        </w:tc>
        <w:tc>
          <w:tcPr>
            <w:tcW w:w="708" w:type="dxa"/>
            <w:vAlign w:val="center"/>
          </w:tcPr>
          <w:p w14:paraId="44D1C1D2">
            <w:pPr>
              <w:widowControl w:val="0"/>
              <w:spacing w:line="360" w:lineRule="auto"/>
              <w:jc w:val="center"/>
              <w:rPr>
                <w:color w:val="000000"/>
                <w:kern w:val="2"/>
                <w:sz w:val="21"/>
                <w:szCs w:val="21"/>
              </w:rPr>
            </w:pPr>
            <w:r>
              <w:rPr>
                <w:rFonts w:hint="eastAsia"/>
                <w:color w:val="000000"/>
                <w:kern w:val="2"/>
                <w:sz w:val="21"/>
                <w:szCs w:val="21"/>
              </w:rPr>
              <w:t>单元名称</w:t>
            </w:r>
          </w:p>
        </w:tc>
        <w:tc>
          <w:tcPr>
            <w:tcW w:w="2977" w:type="dxa"/>
            <w:vAlign w:val="center"/>
          </w:tcPr>
          <w:p w14:paraId="65AD188A">
            <w:pPr>
              <w:widowControl w:val="0"/>
              <w:spacing w:line="360" w:lineRule="auto"/>
              <w:jc w:val="center"/>
              <w:rPr>
                <w:color w:val="000000"/>
                <w:kern w:val="2"/>
                <w:sz w:val="21"/>
                <w:szCs w:val="21"/>
              </w:rPr>
            </w:pPr>
            <w:r>
              <w:rPr>
                <w:rFonts w:hint="eastAsia"/>
                <w:color w:val="000000"/>
                <w:kern w:val="2"/>
                <w:sz w:val="21"/>
                <w:szCs w:val="21"/>
              </w:rPr>
              <w:t>知识目标</w:t>
            </w:r>
          </w:p>
        </w:tc>
        <w:tc>
          <w:tcPr>
            <w:tcW w:w="1985" w:type="dxa"/>
            <w:vAlign w:val="center"/>
          </w:tcPr>
          <w:p w14:paraId="2CD399AD">
            <w:pPr>
              <w:widowControl w:val="0"/>
              <w:spacing w:line="360" w:lineRule="auto"/>
              <w:jc w:val="center"/>
              <w:rPr>
                <w:rFonts w:cs="Times New Roman"/>
                <w:kern w:val="2"/>
                <w:sz w:val="21"/>
                <w:szCs w:val="21"/>
              </w:rPr>
            </w:pPr>
            <w:r>
              <w:rPr>
                <w:rFonts w:hint="eastAsia"/>
                <w:color w:val="000000"/>
                <w:kern w:val="2"/>
                <w:sz w:val="21"/>
                <w:szCs w:val="21"/>
              </w:rPr>
              <w:t>技能目标</w:t>
            </w:r>
          </w:p>
        </w:tc>
        <w:tc>
          <w:tcPr>
            <w:tcW w:w="1134" w:type="dxa"/>
            <w:vAlign w:val="center"/>
          </w:tcPr>
          <w:p w14:paraId="30077095">
            <w:pPr>
              <w:widowControl w:val="0"/>
              <w:spacing w:line="360" w:lineRule="auto"/>
              <w:jc w:val="center"/>
              <w:rPr>
                <w:rFonts w:cs="Times New Roman"/>
                <w:kern w:val="2"/>
                <w:sz w:val="21"/>
                <w:szCs w:val="21"/>
              </w:rPr>
            </w:pPr>
            <w:r>
              <w:rPr>
                <w:rFonts w:hint="eastAsia"/>
                <w:color w:val="000000"/>
                <w:kern w:val="2"/>
                <w:sz w:val="21"/>
                <w:szCs w:val="21"/>
              </w:rPr>
              <w:t>素质目标</w:t>
            </w:r>
          </w:p>
        </w:tc>
        <w:tc>
          <w:tcPr>
            <w:tcW w:w="992" w:type="dxa"/>
            <w:vAlign w:val="center"/>
          </w:tcPr>
          <w:p w14:paraId="029CCC31">
            <w:pPr>
              <w:widowControl w:val="0"/>
              <w:spacing w:line="360" w:lineRule="auto"/>
              <w:jc w:val="center"/>
              <w:rPr>
                <w:color w:val="000000"/>
                <w:kern w:val="2"/>
                <w:sz w:val="21"/>
                <w:szCs w:val="21"/>
              </w:rPr>
            </w:pPr>
            <w:r>
              <w:rPr>
                <w:rFonts w:hint="eastAsia"/>
                <w:color w:val="000000"/>
                <w:kern w:val="2"/>
                <w:sz w:val="21"/>
                <w:szCs w:val="21"/>
              </w:rPr>
              <w:t>教学难点</w:t>
            </w:r>
          </w:p>
        </w:tc>
      </w:tr>
      <w:tr w14:paraId="135F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26" w:type="dxa"/>
            <w:vAlign w:val="center"/>
          </w:tcPr>
          <w:p w14:paraId="3200498D">
            <w:pPr>
              <w:widowControl w:val="0"/>
              <w:spacing w:line="360" w:lineRule="auto"/>
              <w:jc w:val="center"/>
              <w:rPr>
                <w:color w:val="000000"/>
                <w:kern w:val="2"/>
                <w:sz w:val="21"/>
                <w:szCs w:val="21"/>
              </w:rPr>
            </w:pPr>
            <w:r>
              <w:rPr>
                <w:rFonts w:hint="eastAsia"/>
                <w:color w:val="000000"/>
                <w:kern w:val="2"/>
                <w:sz w:val="21"/>
                <w:szCs w:val="21"/>
              </w:rPr>
              <w:t>1</w:t>
            </w:r>
          </w:p>
        </w:tc>
        <w:tc>
          <w:tcPr>
            <w:tcW w:w="708" w:type="dxa"/>
            <w:vAlign w:val="center"/>
          </w:tcPr>
          <w:p w14:paraId="699E6843">
            <w:pPr>
              <w:widowControl w:val="0"/>
              <w:spacing w:line="360" w:lineRule="auto"/>
              <w:jc w:val="center"/>
              <w:rPr>
                <w:color w:val="000000"/>
                <w:kern w:val="2"/>
                <w:sz w:val="21"/>
                <w:szCs w:val="21"/>
              </w:rPr>
            </w:pPr>
            <w:r>
              <w:rPr>
                <w:rFonts w:hint="eastAsia"/>
                <w:color w:val="000000"/>
                <w:kern w:val="2"/>
                <w:sz w:val="21"/>
                <w:szCs w:val="21"/>
              </w:rPr>
              <w:t>小儿生长发育保健</w:t>
            </w:r>
          </w:p>
        </w:tc>
        <w:tc>
          <w:tcPr>
            <w:tcW w:w="2977" w:type="dxa"/>
            <w:vAlign w:val="center"/>
          </w:tcPr>
          <w:p w14:paraId="02B1612E">
            <w:pPr>
              <w:jc w:val="both"/>
              <w:rPr>
                <w:color w:val="000000"/>
                <w:sz w:val="21"/>
                <w:szCs w:val="21"/>
              </w:rPr>
            </w:pPr>
            <w:r>
              <w:rPr>
                <w:rFonts w:hint="eastAsia"/>
                <w:color w:val="000000"/>
                <w:sz w:val="21"/>
                <w:szCs w:val="21"/>
              </w:rPr>
              <w:t>1.理解小儿生长发育规律及其影响因素</w:t>
            </w:r>
          </w:p>
          <w:p w14:paraId="742649FC">
            <w:pPr>
              <w:jc w:val="both"/>
              <w:rPr>
                <w:color w:val="000000"/>
                <w:sz w:val="21"/>
                <w:szCs w:val="21"/>
              </w:rPr>
            </w:pPr>
            <w:r>
              <w:rPr>
                <w:rFonts w:hint="eastAsia"/>
                <w:color w:val="000000"/>
                <w:sz w:val="21"/>
                <w:szCs w:val="21"/>
              </w:rPr>
              <w:t>2.知道小儿年龄分期及各期特点</w:t>
            </w:r>
          </w:p>
          <w:p w14:paraId="1583C21E">
            <w:pPr>
              <w:jc w:val="both"/>
              <w:rPr>
                <w:color w:val="000000"/>
                <w:sz w:val="21"/>
                <w:szCs w:val="21"/>
              </w:rPr>
            </w:pPr>
            <w:r>
              <w:rPr>
                <w:rFonts w:hint="eastAsia"/>
                <w:color w:val="000000"/>
                <w:sz w:val="21"/>
                <w:szCs w:val="21"/>
              </w:rPr>
              <w:t>3.知道小儿体格生长的各项指标及临床意义以及小儿神经心理发展情况</w:t>
            </w:r>
          </w:p>
          <w:p w14:paraId="12AAC577">
            <w:pPr>
              <w:jc w:val="both"/>
              <w:rPr>
                <w:color w:val="000000"/>
                <w:kern w:val="2"/>
                <w:sz w:val="21"/>
                <w:szCs w:val="21"/>
              </w:rPr>
            </w:pPr>
            <w:r>
              <w:rPr>
                <w:rFonts w:hint="eastAsia"/>
                <w:color w:val="000000"/>
                <w:sz w:val="21"/>
                <w:szCs w:val="21"/>
              </w:rPr>
              <w:t>4．知道儿童生长发育的护理评估、并能对个体、家庭、社区提供保健指导与卫生宣教</w:t>
            </w:r>
          </w:p>
        </w:tc>
        <w:tc>
          <w:tcPr>
            <w:tcW w:w="1985" w:type="dxa"/>
          </w:tcPr>
          <w:p w14:paraId="5D96778A">
            <w:pPr>
              <w:jc w:val="both"/>
              <w:rPr>
                <w:color w:val="000000"/>
                <w:sz w:val="21"/>
                <w:szCs w:val="21"/>
              </w:rPr>
            </w:pPr>
            <w:r>
              <w:rPr>
                <w:rFonts w:hint="eastAsia"/>
                <w:color w:val="000000"/>
                <w:sz w:val="21"/>
                <w:szCs w:val="21"/>
              </w:rPr>
              <w:t>1.能理解小儿年龄分期及各期特点</w:t>
            </w:r>
          </w:p>
          <w:p w14:paraId="004C6D41">
            <w:pPr>
              <w:widowControl w:val="0"/>
              <w:jc w:val="both"/>
              <w:rPr>
                <w:color w:val="000000"/>
                <w:kern w:val="2"/>
                <w:sz w:val="21"/>
                <w:szCs w:val="21"/>
              </w:rPr>
            </w:pPr>
            <w:r>
              <w:rPr>
                <w:rFonts w:hint="eastAsia"/>
                <w:color w:val="000000"/>
                <w:kern w:val="2"/>
                <w:sz w:val="21"/>
                <w:szCs w:val="21"/>
              </w:rPr>
              <w:t>2.能够对小儿的体格生长测量技术进行训练并掌握方法。（测量体重、身高法，测量呼吸、脉搏、体温法）</w:t>
            </w:r>
          </w:p>
          <w:p w14:paraId="1A5C6662">
            <w:pPr>
              <w:widowControl w:val="0"/>
              <w:jc w:val="both"/>
              <w:rPr>
                <w:color w:val="000000"/>
                <w:sz w:val="21"/>
                <w:szCs w:val="21"/>
              </w:rPr>
            </w:pPr>
            <w:r>
              <w:rPr>
                <w:rFonts w:hint="eastAsia"/>
                <w:color w:val="000000"/>
                <w:sz w:val="21"/>
                <w:szCs w:val="21"/>
              </w:rPr>
              <w:t>3.能理解小儿生长发育的规律及其影响因素</w:t>
            </w:r>
          </w:p>
          <w:p w14:paraId="19597939">
            <w:pPr>
              <w:jc w:val="both"/>
              <w:rPr>
                <w:color w:val="000000"/>
                <w:sz w:val="21"/>
                <w:szCs w:val="21"/>
              </w:rPr>
            </w:pPr>
            <w:r>
              <w:rPr>
                <w:rFonts w:hint="eastAsia"/>
                <w:color w:val="000000"/>
                <w:sz w:val="21"/>
                <w:szCs w:val="21"/>
              </w:rPr>
              <w:t>4.能分析小儿体格生长的各项指标及临床意义以及小儿神经心理发展情况</w:t>
            </w:r>
          </w:p>
          <w:p w14:paraId="316319FE">
            <w:pPr>
              <w:jc w:val="both"/>
              <w:rPr>
                <w:rFonts w:cs="Times New Roman"/>
                <w:kern w:val="2"/>
                <w:sz w:val="21"/>
                <w:szCs w:val="21"/>
              </w:rPr>
            </w:pPr>
          </w:p>
        </w:tc>
        <w:tc>
          <w:tcPr>
            <w:tcW w:w="1134" w:type="dxa"/>
          </w:tcPr>
          <w:p w14:paraId="3B9838C9">
            <w:pPr>
              <w:widowControl w:val="0"/>
              <w:jc w:val="both"/>
              <w:rPr>
                <w:rFonts w:cs="Times New Roman"/>
                <w:kern w:val="2"/>
                <w:sz w:val="21"/>
                <w:szCs w:val="21"/>
              </w:rPr>
            </w:pPr>
            <w:r>
              <w:rPr>
                <w:rFonts w:hint="eastAsia"/>
                <w:sz w:val="21"/>
                <w:szCs w:val="21"/>
              </w:rPr>
              <w:t>树立“一切以病人为中心”的理念，具有慎独精神，实事求是的态度。</w:t>
            </w:r>
            <w:r>
              <w:rPr>
                <w:sz w:val="21"/>
                <w:szCs w:val="21"/>
              </w:rPr>
              <w:t xml:space="preserve"> </w:t>
            </w:r>
          </w:p>
        </w:tc>
        <w:tc>
          <w:tcPr>
            <w:tcW w:w="992" w:type="dxa"/>
          </w:tcPr>
          <w:p w14:paraId="09275838">
            <w:pPr>
              <w:widowControl w:val="0"/>
              <w:jc w:val="both"/>
              <w:rPr>
                <w:color w:val="000000"/>
                <w:kern w:val="2"/>
                <w:sz w:val="21"/>
                <w:szCs w:val="21"/>
              </w:rPr>
            </w:pPr>
            <w:r>
              <w:rPr>
                <w:rFonts w:hint="eastAsia"/>
                <w:color w:val="000000"/>
                <w:kern w:val="2"/>
                <w:sz w:val="21"/>
                <w:szCs w:val="21"/>
              </w:rPr>
              <w:t>小儿生长发育评估与保健</w:t>
            </w:r>
          </w:p>
          <w:p w14:paraId="16748DB0">
            <w:pPr>
              <w:widowControl w:val="0"/>
              <w:jc w:val="both"/>
              <w:rPr>
                <w:color w:val="000000"/>
                <w:kern w:val="2"/>
                <w:sz w:val="21"/>
                <w:szCs w:val="21"/>
              </w:rPr>
            </w:pPr>
          </w:p>
          <w:p w14:paraId="688BBF06">
            <w:pPr>
              <w:spacing w:line="360" w:lineRule="auto"/>
              <w:jc w:val="both"/>
              <w:rPr>
                <w:color w:val="000000"/>
                <w:kern w:val="2"/>
                <w:sz w:val="21"/>
                <w:szCs w:val="21"/>
              </w:rPr>
            </w:pPr>
          </w:p>
        </w:tc>
      </w:tr>
      <w:tr w14:paraId="0EB1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26" w:type="dxa"/>
            <w:vAlign w:val="center"/>
          </w:tcPr>
          <w:p w14:paraId="3479D37B">
            <w:pPr>
              <w:widowControl w:val="0"/>
              <w:spacing w:line="360" w:lineRule="auto"/>
              <w:jc w:val="center"/>
              <w:rPr>
                <w:color w:val="000000"/>
                <w:kern w:val="2"/>
                <w:sz w:val="21"/>
                <w:szCs w:val="21"/>
              </w:rPr>
            </w:pPr>
            <w:r>
              <w:rPr>
                <w:rFonts w:hint="eastAsia"/>
                <w:color w:val="000000"/>
                <w:kern w:val="2"/>
                <w:sz w:val="21"/>
                <w:szCs w:val="21"/>
              </w:rPr>
              <w:t>2</w:t>
            </w:r>
          </w:p>
        </w:tc>
        <w:tc>
          <w:tcPr>
            <w:tcW w:w="708" w:type="dxa"/>
            <w:vAlign w:val="center"/>
          </w:tcPr>
          <w:p w14:paraId="65E12617">
            <w:pPr>
              <w:widowControl w:val="0"/>
              <w:spacing w:line="360" w:lineRule="auto"/>
              <w:jc w:val="both"/>
              <w:rPr>
                <w:color w:val="000000"/>
                <w:kern w:val="2"/>
                <w:sz w:val="21"/>
                <w:szCs w:val="21"/>
              </w:rPr>
            </w:pPr>
            <w:r>
              <w:rPr>
                <w:rFonts w:hint="eastAsia"/>
                <w:color w:val="000000"/>
                <w:kern w:val="2"/>
                <w:sz w:val="21"/>
                <w:szCs w:val="21"/>
              </w:rPr>
              <w:t>小儿营养与喂养的保健</w:t>
            </w:r>
          </w:p>
          <w:p w14:paraId="0B86D50A">
            <w:pPr>
              <w:widowControl w:val="0"/>
              <w:spacing w:line="360" w:lineRule="auto"/>
              <w:jc w:val="center"/>
              <w:rPr>
                <w:color w:val="000000"/>
                <w:kern w:val="2"/>
                <w:sz w:val="21"/>
                <w:szCs w:val="21"/>
              </w:rPr>
            </w:pPr>
          </w:p>
        </w:tc>
        <w:tc>
          <w:tcPr>
            <w:tcW w:w="2977" w:type="dxa"/>
          </w:tcPr>
          <w:p w14:paraId="1ED336C5">
            <w:pPr>
              <w:rPr>
                <w:color w:val="000000"/>
                <w:kern w:val="2"/>
                <w:sz w:val="21"/>
                <w:szCs w:val="21"/>
              </w:rPr>
            </w:pPr>
            <w:r>
              <w:rPr>
                <w:rFonts w:hint="eastAsia"/>
                <w:color w:val="000000"/>
                <w:kern w:val="2"/>
                <w:sz w:val="21"/>
                <w:szCs w:val="21"/>
              </w:rPr>
              <w:t>1.知道小儿能量与营养需要的特点</w:t>
            </w:r>
          </w:p>
          <w:p w14:paraId="2477F4FC">
            <w:pPr>
              <w:rPr>
                <w:color w:val="000000"/>
                <w:kern w:val="2"/>
                <w:sz w:val="21"/>
                <w:szCs w:val="21"/>
              </w:rPr>
            </w:pPr>
            <w:r>
              <w:rPr>
                <w:rFonts w:hint="eastAsia"/>
                <w:color w:val="000000"/>
                <w:kern w:val="2"/>
                <w:sz w:val="21"/>
                <w:szCs w:val="21"/>
              </w:rPr>
              <w:t>2.知道婴儿喂养方法</w:t>
            </w:r>
          </w:p>
          <w:p w14:paraId="1E63B88E">
            <w:pPr>
              <w:rPr>
                <w:color w:val="000000"/>
                <w:kern w:val="2"/>
                <w:sz w:val="21"/>
                <w:szCs w:val="21"/>
              </w:rPr>
            </w:pPr>
            <w:r>
              <w:rPr>
                <w:rFonts w:hint="eastAsia"/>
                <w:color w:val="000000"/>
                <w:kern w:val="2"/>
                <w:sz w:val="21"/>
                <w:szCs w:val="21"/>
              </w:rPr>
              <w:t>3.知道辅助食品添加</w:t>
            </w:r>
          </w:p>
          <w:p w14:paraId="1F2C34DF">
            <w:pPr>
              <w:jc w:val="both"/>
              <w:rPr>
                <w:color w:val="000000"/>
                <w:sz w:val="21"/>
                <w:szCs w:val="21"/>
              </w:rPr>
            </w:pPr>
            <w:r>
              <w:rPr>
                <w:color w:val="000000"/>
                <w:sz w:val="21"/>
                <w:szCs w:val="21"/>
              </w:rPr>
              <w:t>4</w:t>
            </w:r>
            <w:r>
              <w:rPr>
                <w:rFonts w:hint="eastAsia"/>
                <w:color w:val="000000"/>
                <w:sz w:val="21"/>
                <w:szCs w:val="21"/>
              </w:rPr>
              <w:t>．知道儿童营养状况的护理评估、并能对个体、家庭、社区提供保健指导与卫生宣教</w:t>
            </w:r>
          </w:p>
        </w:tc>
        <w:tc>
          <w:tcPr>
            <w:tcW w:w="1985" w:type="dxa"/>
          </w:tcPr>
          <w:p w14:paraId="3CBB80C0">
            <w:pPr>
              <w:widowControl w:val="0"/>
              <w:jc w:val="both"/>
              <w:rPr>
                <w:color w:val="000000"/>
                <w:kern w:val="2"/>
                <w:sz w:val="21"/>
                <w:szCs w:val="21"/>
              </w:rPr>
            </w:pPr>
            <w:r>
              <w:rPr>
                <w:rFonts w:hint="eastAsia"/>
                <w:color w:val="000000"/>
                <w:kern w:val="2"/>
                <w:sz w:val="21"/>
                <w:szCs w:val="21"/>
              </w:rPr>
              <w:t>1.能够对小儿喂养技术进行训练与掌握。（配乳法、喂乳法）</w:t>
            </w:r>
          </w:p>
          <w:p w14:paraId="115955DE">
            <w:pPr>
              <w:rPr>
                <w:color w:val="000000"/>
                <w:kern w:val="2"/>
                <w:sz w:val="21"/>
                <w:szCs w:val="21"/>
              </w:rPr>
            </w:pPr>
            <w:r>
              <w:rPr>
                <w:rFonts w:hint="eastAsia"/>
                <w:color w:val="000000"/>
                <w:kern w:val="2"/>
                <w:sz w:val="21"/>
                <w:szCs w:val="21"/>
              </w:rPr>
              <w:t>2.能知道小儿能量与营养需要的特点</w:t>
            </w:r>
          </w:p>
          <w:p w14:paraId="14E44ACF">
            <w:pPr>
              <w:rPr>
                <w:color w:val="000000"/>
                <w:kern w:val="2"/>
                <w:sz w:val="21"/>
                <w:szCs w:val="21"/>
              </w:rPr>
            </w:pPr>
            <w:r>
              <w:rPr>
                <w:rFonts w:hint="eastAsia"/>
                <w:color w:val="000000"/>
                <w:kern w:val="2"/>
                <w:sz w:val="21"/>
                <w:szCs w:val="21"/>
              </w:rPr>
              <w:t>3.能理解各种婴儿喂养方法的优缺点</w:t>
            </w:r>
          </w:p>
          <w:p w14:paraId="22FBCD7C">
            <w:pPr>
              <w:rPr>
                <w:rFonts w:cs="Times New Roman"/>
                <w:kern w:val="2"/>
                <w:sz w:val="21"/>
                <w:szCs w:val="21"/>
              </w:rPr>
            </w:pPr>
            <w:r>
              <w:rPr>
                <w:rFonts w:hint="eastAsia"/>
                <w:color w:val="000000"/>
                <w:kern w:val="2"/>
                <w:sz w:val="21"/>
                <w:szCs w:val="21"/>
              </w:rPr>
              <w:t>4.能理解辅助食品添加的原则与顺序</w:t>
            </w:r>
          </w:p>
        </w:tc>
        <w:tc>
          <w:tcPr>
            <w:tcW w:w="1134" w:type="dxa"/>
          </w:tcPr>
          <w:p w14:paraId="24696783">
            <w:pPr>
              <w:jc w:val="both"/>
              <w:rPr>
                <w:rFonts w:cs="Times New Roman"/>
                <w:kern w:val="2"/>
                <w:sz w:val="21"/>
                <w:szCs w:val="21"/>
              </w:rPr>
            </w:pPr>
            <w:r>
              <w:rPr>
                <w:rFonts w:hint="eastAsia"/>
                <w:sz w:val="21"/>
                <w:szCs w:val="21"/>
              </w:rPr>
              <w:t>树立“一切以病人为中心”的理念，具有慎独精神，实事求是的态度。</w:t>
            </w:r>
            <w:r>
              <w:rPr>
                <w:sz w:val="21"/>
                <w:szCs w:val="21"/>
              </w:rPr>
              <w:t xml:space="preserve"> </w:t>
            </w:r>
          </w:p>
        </w:tc>
        <w:tc>
          <w:tcPr>
            <w:tcW w:w="992" w:type="dxa"/>
          </w:tcPr>
          <w:p w14:paraId="0E0D3AB6">
            <w:pPr>
              <w:widowControl w:val="0"/>
              <w:jc w:val="both"/>
              <w:rPr>
                <w:color w:val="000000"/>
                <w:kern w:val="2"/>
                <w:sz w:val="21"/>
                <w:szCs w:val="21"/>
              </w:rPr>
            </w:pPr>
            <w:r>
              <w:rPr>
                <w:rFonts w:hint="eastAsia"/>
                <w:color w:val="000000"/>
                <w:kern w:val="2"/>
                <w:sz w:val="21"/>
                <w:szCs w:val="21"/>
              </w:rPr>
              <w:t>1.小儿喂养技术进行训练与掌握。（配乳法、喂乳法）</w:t>
            </w:r>
          </w:p>
          <w:p w14:paraId="67EED74B">
            <w:pPr>
              <w:rPr>
                <w:color w:val="000000"/>
                <w:kern w:val="2"/>
                <w:sz w:val="21"/>
                <w:szCs w:val="21"/>
              </w:rPr>
            </w:pPr>
            <w:r>
              <w:rPr>
                <w:rFonts w:hint="eastAsia"/>
                <w:color w:val="000000"/>
                <w:kern w:val="2"/>
                <w:sz w:val="21"/>
                <w:szCs w:val="21"/>
              </w:rPr>
              <w:t>2.小儿能量与营养需要的特点</w:t>
            </w:r>
          </w:p>
          <w:p w14:paraId="7E279775">
            <w:pPr>
              <w:spacing w:line="360" w:lineRule="auto"/>
              <w:jc w:val="both"/>
              <w:rPr>
                <w:color w:val="000000"/>
                <w:kern w:val="2"/>
                <w:sz w:val="21"/>
                <w:szCs w:val="21"/>
              </w:rPr>
            </w:pPr>
          </w:p>
        </w:tc>
      </w:tr>
      <w:tr w14:paraId="32EE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26" w:type="dxa"/>
            <w:vAlign w:val="center"/>
          </w:tcPr>
          <w:p w14:paraId="04F34610">
            <w:pPr>
              <w:widowControl w:val="0"/>
              <w:spacing w:line="360" w:lineRule="auto"/>
              <w:jc w:val="center"/>
              <w:rPr>
                <w:color w:val="000000"/>
                <w:kern w:val="2"/>
                <w:sz w:val="21"/>
                <w:szCs w:val="21"/>
              </w:rPr>
            </w:pPr>
            <w:r>
              <w:rPr>
                <w:rFonts w:hint="eastAsia"/>
                <w:color w:val="000000"/>
                <w:kern w:val="2"/>
                <w:sz w:val="21"/>
                <w:szCs w:val="21"/>
              </w:rPr>
              <w:t>3</w:t>
            </w:r>
          </w:p>
        </w:tc>
        <w:tc>
          <w:tcPr>
            <w:tcW w:w="708" w:type="dxa"/>
            <w:vAlign w:val="center"/>
          </w:tcPr>
          <w:p w14:paraId="047507BD">
            <w:pPr>
              <w:widowControl w:val="0"/>
              <w:spacing w:line="360" w:lineRule="auto"/>
              <w:jc w:val="center"/>
              <w:rPr>
                <w:color w:val="000000"/>
                <w:kern w:val="2"/>
                <w:sz w:val="21"/>
                <w:szCs w:val="21"/>
              </w:rPr>
            </w:pPr>
            <w:r>
              <w:rPr>
                <w:rFonts w:hint="eastAsia"/>
                <w:color w:val="000000"/>
                <w:kern w:val="2"/>
                <w:sz w:val="21"/>
                <w:szCs w:val="21"/>
              </w:rPr>
              <w:t>正常与异常新生儿的评估与护理</w:t>
            </w:r>
          </w:p>
        </w:tc>
        <w:tc>
          <w:tcPr>
            <w:tcW w:w="2977" w:type="dxa"/>
          </w:tcPr>
          <w:p w14:paraId="3F270D08">
            <w:pPr>
              <w:widowControl w:val="0"/>
              <w:jc w:val="both"/>
              <w:rPr>
                <w:color w:val="000000"/>
                <w:kern w:val="2"/>
                <w:sz w:val="21"/>
                <w:szCs w:val="21"/>
              </w:rPr>
            </w:pPr>
            <w:r>
              <w:rPr>
                <w:rFonts w:hint="eastAsia"/>
                <w:color w:val="000000"/>
                <w:kern w:val="2"/>
                <w:sz w:val="21"/>
                <w:szCs w:val="21"/>
              </w:rPr>
              <w:t>1．知道足月新生儿与早产儿的概念</w:t>
            </w:r>
          </w:p>
          <w:p w14:paraId="35239C22">
            <w:pPr>
              <w:widowControl w:val="0"/>
              <w:jc w:val="both"/>
              <w:rPr>
                <w:color w:val="000000"/>
                <w:kern w:val="2"/>
                <w:sz w:val="21"/>
                <w:szCs w:val="21"/>
              </w:rPr>
            </w:pPr>
            <w:r>
              <w:rPr>
                <w:rFonts w:hint="eastAsia"/>
                <w:color w:val="000000"/>
                <w:kern w:val="2"/>
                <w:sz w:val="21"/>
                <w:szCs w:val="21"/>
              </w:rPr>
              <w:t>2．知道有关知识制定对足月新生儿与早产儿整体护理计划</w:t>
            </w:r>
          </w:p>
          <w:p w14:paraId="241671DB">
            <w:pPr>
              <w:widowControl w:val="0"/>
              <w:jc w:val="both"/>
              <w:rPr>
                <w:color w:val="000000"/>
                <w:kern w:val="2"/>
                <w:sz w:val="21"/>
                <w:szCs w:val="21"/>
              </w:rPr>
            </w:pPr>
            <w:r>
              <w:rPr>
                <w:rFonts w:hint="eastAsia"/>
                <w:color w:val="000000"/>
                <w:kern w:val="2"/>
                <w:sz w:val="21"/>
                <w:szCs w:val="21"/>
              </w:rPr>
              <w:t>3.知道</w:t>
            </w:r>
            <w:r>
              <w:rPr>
                <w:rFonts w:hint="eastAsia"/>
                <w:color w:val="000000"/>
                <w:sz w:val="21"/>
                <w:szCs w:val="21"/>
              </w:rPr>
              <w:t>异常新生儿（新生儿黄疸、颅内出血、呼吸窘迫综合征、败血症、硬肿症）的概念</w:t>
            </w:r>
          </w:p>
          <w:p w14:paraId="5A12DFA3">
            <w:pPr>
              <w:widowControl w:val="0"/>
              <w:jc w:val="both"/>
              <w:rPr>
                <w:color w:val="000000"/>
                <w:kern w:val="2"/>
                <w:sz w:val="21"/>
                <w:szCs w:val="21"/>
              </w:rPr>
            </w:pPr>
            <w:r>
              <w:rPr>
                <w:rFonts w:hint="eastAsia"/>
                <w:color w:val="000000"/>
                <w:kern w:val="2"/>
                <w:sz w:val="21"/>
                <w:szCs w:val="21"/>
              </w:rPr>
              <w:t>4.知道综合</w:t>
            </w:r>
            <w:r>
              <w:rPr>
                <w:rFonts w:hint="eastAsia"/>
                <w:color w:val="000000"/>
                <w:sz w:val="21"/>
                <w:szCs w:val="21"/>
              </w:rPr>
              <w:t>异常新生儿（新生儿黄疸、颅内出血、呼吸窘迫综合征、败血症、硬肿症）常见的护理问题、相关护理措施及依据</w:t>
            </w:r>
          </w:p>
          <w:p w14:paraId="4FF5DC48">
            <w:pPr>
              <w:jc w:val="both"/>
              <w:rPr>
                <w:color w:val="000000"/>
                <w:sz w:val="21"/>
                <w:szCs w:val="21"/>
              </w:rPr>
            </w:pPr>
          </w:p>
        </w:tc>
        <w:tc>
          <w:tcPr>
            <w:tcW w:w="1985" w:type="dxa"/>
          </w:tcPr>
          <w:p w14:paraId="390659E8">
            <w:pPr>
              <w:widowControl w:val="0"/>
              <w:jc w:val="both"/>
              <w:rPr>
                <w:color w:val="000000"/>
                <w:kern w:val="2"/>
                <w:sz w:val="21"/>
                <w:szCs w:val="21"/>
              </w:rPr>
            </w:pPr>
            <w:r>
              <w:rPr>
                <w:color w:val="000000"/>
                <w:kern w:val="2"/>
                <w:sz w:val="21"/>
                <w:szCs w:val="21"/>
              </w:rPr>
              <w:t>1</w:t>
            </w:r>
            <w:r>
              <w:rPr>
                <w:rFonts w:hint="eastAsia"/>
                <w:color w:val="000000"/>
                <w:kern w:val="2"/>
                <w:sz w:val="21"/>
                <w:szCs w:val="21"/>
              </w:rPr>
              <w:t>．能对正常与异常新生儿的评估与护理</w:t>
            </w:r>
          </w:p>
          <w:p w14:paraId="44D5A5EB">
            <w:pPr>
              <w:widowControl w:val="0"/>
              <w:jc w:val="both"/>
              <w:rPr>
                <w:color w:val="000000"/>
                <w:kern w:val="2"/>
                <w:sz w:val="21"/>
                <w:szCs w:val="21"/>
              </w:rPr>
            </w:pPr>
            <w:r>
              <w:rPr>
                <w:rFonts w:hint="eastAsia"/>
                <w:color w:val="000000"/>
                <w:kern w:val="2"/>
                <w:sz w:val="21"/>
                <w:szCs w:val="21"/>
              </w:rPr>
              <w:t>2.能操作练习婴儿盆浴法、暖箱使用法、辐射保暖床使用法、蓝光疗法</w:t>
            </w:r>
          </w:p>
          <w:p w14:paraId="13FA96D9">
            <w:pPr>
              <w:widowControl w:val="0"/>
              <w:jc w:val="both"/>
              <w:rPr>
                <w:color w:val="000000"/>
                <w:kern w:val="2"/>
                <w:sz w:val="21"/>
                <w:szCs w:val="21"/>
              </w:rPr>
            </w:pPr>
            <w:r>
              <w:rPr>
                <w:rFonts w:hint="eastAsia"/>
                <w:color w:val="000000"/>
                <w:sz w:val="21"/>
                <w:szCs w:val="21"/>
              </w:rPr>
              <w:t>3.能理解异常新生儿（新生儿黄疸、颅内出血、呼吸窘迫综合征、败血症、硬肿症）的临床表现、并进行护理评估及制定护理计划</w:t>
            </w:r>
          </w:p>
          <w:p w14:paraId="1814726B">
            <w:pPr>
              <w:jc w:val="both"/>
              <w:rPr>
                <w:color w:val="000000"/>
                <w:sz w:val="21"/>
                <w:szCs w:val="21"/>
              </w:rPr>
            </w:pPr>
            <w:r>
              <w:rPr>
                <w:rFonts w:hint="eastAsia"/>
                <w:color w:val="000000"/>
                <w:sz w:val="21"/>
                <w:szCs w:val="21"/>
              </w:rPr>
              <w:t>4.能为异常新生儿及其家庭提供整体护理及保健</w:t>
            </w:r>
          </w:p>
          <w:p w14:paraId="0340C86C">
            <w:pPr>
              <w:jc w:val="both"/>
              <w:rPr>
                <w:color w:val="000000"/>
                <w:kern w:val="2"/>
                <w:sz w:val="21"/>
                <w:szCs w:val="21"/>
              </w:rPr>
            </w:pPr>
          </w:p>
        </w:tc>
        <w:tc>
          <w:tcPr>
            <w:tcW w:w="1134" w:type="dxa"/>
          </w:tcPr>
          <w:p w14:paraId="0C814F62">
            <w:pPr>
              <w:jc w:val="both"/>
              <w:rPr>
                <w:rFonts w:cs="Times New Roman"/>
                <w:kern w:val="2"/>
                <w:sz w:val="21"/>
                <w:szCs w:val="21"/>
              </w:rPr>
            </w:pPr>
            <w:r>
              <w:rPr>
                <w:rFonts w:hint="eastAsia"/>
                <w:sz w:val="21"/>
                <w:szCs w:val="21"/>
              </w:rPr>
              <w:t>树立“一切以病人为中心”的理念，具有慎独精神，实事求是的态度。</w:t>
            </w:r>
            <w:r>
              <w:rPr>
                <w:sz w:val="21"/>
                <w:szCs w:val="21"/>
              </w:rPr>
              <w:t xml:space="preserve"> </w:t>
            </w:r>
          </w:p>
        </w:tc>
        <w:tc>
          <w:tcPr>
            <w:tcW w:w="992" w:type="dxa"/>
          </w:tcPr>
          <w:p w14:paraId="5EB13099">
            <w:pPr>
              <w:widowControl w:val="0"/>
              <w:rPr>
                <w:color w:val="000000"/>
                <w:kern w:val="2"/>
                <w:sz w:val="21"/>
                <w:szCs w:val="21"/>
              </w:rPr>
            </w:pPr>
            <w:r>
              <w:rPr>
                <w:rFonts w:hint="eastAsia"/>
                <w:color w:val="000000"/>
                <w:kern w:val="2"/>
                <w:sz w:val="21"/>
                <w:szCs w:val="21"/>
              </w:rPr>
              <w:t>1.正常与异常新生儿的评估与护理</w:t>
            </w:r>
          </w:p>
          <w:p w14:paraId="601E6BA0">
            <w:pPr>
              <w:widowControl w:val="0"/>
              <w:rPr>
                <w:color w:val="000000"/>
                <w:kern w:val="2"/>
                <w:sz w:val="21"/>
                <w:szCs w:val="21"/>
              </w:rPr>
            </w:pPr>
            <w:r>
              <w:rPr>
                <w:rFonts w:hint="eastAsia"/>
                <w:color w:val="000000"/>
                <w:kern w:val="2"/>
                <w:sz w:val="21"/>
                <w:szCs w:val="21"/>
              </w:rPr>
              <w:t>2.婴儿盆浴法、暖箱使用法、辐射保暖床使用法、蓝光疗法</w:t>
            </w:r>
          </w:p>
          <w:p w14:paraId="53691D33">
            <w:pPr>
              <w:spacing w:line="360" w:lineRule="auto"/>
              <w:jc w:val="both"/>
              <w:rPr>
                <w:color w:val="000000"/>
                <w:kern w:val="2"/>
                <w:sz w:val="21"/>
                <w:szCs w:val="21"/>
              </w:rPr>
            </w:pPr>
          </w:p>
        </w:tc>
      </w:tr>
      <w:tr w14:paraId="2357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26" w:type="dxa"/>
            <w:vAlign w:val="center"/>
          </w:tcPr>
          <w:p w14:paraId="09EF31DE">
            <w:pPr>
              <w:widowControl w:val="0"/>
              <w:spacing w:line="360" w:lineRule="auto"/>
              <w:jc w:val="center"/>
              <w:rPr>
                <w:color w:val="000000"/>
                <w:kern w:val="2"/>
                <w:sz w:val="21"/>
                <w:szCs w:val="21"/>
              </w:rPr>
            </w:pPr>
            <w:r>
              <w:rPr>
                <w:rFonts w:hint="eastAsia"/>
                <w:color w:val="000000"/>
                <w:kern w:val="2"/>
                <w:sz w:val="21"/>
                <w:szCs w:val="21"/>
              </w:rPr>
              <w:t>4</w:t>
            </w:r>
          </w:p>
        </w:tc>
        <w:tc>
          <w:tcPr>
            <w:tcW w:w="708" w:type="dxa"/>
            <w:vAlign w:val="center"/>
          </w:tcPr>
          <w:p w14:paraId="04DAACAD">
            <w:pPr>
              <w:widowControl w:val="0"/>
              <w:spacing w:line="360" w:lineRule="auto"/>
              <w:jc w:val="both"/>
              <w:rPr>
                <w:color w:val="000000"/>
                <w:kern w:val="2"/>
                <w:sz w:val="21"/>
                <w:szCs w:val="21"/>
              </w:rPr>
            </w:pPr>
            <w:r>
              <w:rPr>
                <w:rFonts w:hint="eastAsia"/>
                <w:color w:val="000000"/>
                <w:kern w:val="2"/>
                <w:sz w:val="21"/>
                <w:szCs w:val="21"/>
              </w:rPr>
              <w:t>营养性疾病患儿的保健与护理</w:t>
            </w:r>
          </w:p>
          <w:p w14:paraId="7142DC86">
            <w:pPr>
              <w:widowControl w:val="0"/>
              <w:spacing w:line="360" w:lineRule="auto"/>
              <w:jc w:val="center"/>
              <w:rPr>
                <w:color w:val="000000"/>
                <w:kern w:val="2"/>
                <w:sz w:val="21"/>
                <w:szCs w:val="21"/>
              </w:rPr>
            </w:pPr>
          </w:p>
        </w:tc>
        <w:tc>
          <w:tcPr>
            <w:tcW w:w="2977" w:type="dxa"/>
          </w:tcPr>
          <w:p w14:paraId="2BF7BE6C">
            <w:pPr>
              <w:widowControl w:val="0"/>
              <w:jc w:val="both"/>
              <w:rPr>
                <w:color w:val="000000"/>
                <w:kern w:val="2"/>
                <w:sz w:val="21"/>
                <w:szCs w:val="21"/>
              </w:rPr>
            </w:pPr>
            <w:r>
              <w:rPr>
                <w:rFonts w:hint="eastAsia"/>
                <w:color w:val="000000"/>
                <w:kern w:val="2"/>
                <w:sz w:val="21"/>
                <w:szCs w:val="21"/>
              </w:rPr>
              <w:t>1.知道营养不良的概念</w:t>
            </w:r>
          </w:p>
          <w:p w14:paraId="36698E37">
            <w:pPr>
              <w:widowControl w:val="0"/>
              <w:jc w:val="both"/>
              <w:rPr>
                <w:color w:val="000000"/>
                <w:kern w:val="2"/>
                <w:sz w:val="21"/>
                <w:szCs w:val="21"/>
              </w:rPr>
            </w:pPr>
            <w:r>
              <w:rPr>
                <w:rFonts w:hint="eastAsia"/>
                <w:color w:val="000000"/>
                <w:kern w:val="2"/>
                <w:sz w:val="21"/>
                <w:szCs w:val="21"/>
              </w:rPr>
              <w:t>2.运用有关知识制定对营养不良儿整体护理计划</w:t>
            </w:r>
          </w:p>
          <w:p w14:paraId="67F21F91">
            <w:pPr>
              <w:widowControl w:val="0"/>
              <w:jc w:val="both"/>
              <w:rPr>
                <w:color w:val="000000"/>
                <w:kern w:val="2"/>
                <w:sz w:val="21"/>
                <w:szCs w:val="21"/>
              </w:rPr>
            </w:pPr>
            <w:r>
              <w:rPr>
                <w:rFonts w:hint="eastAsia"/>
                <w:color w:val="000000"/>
                <w:sz w:val="21"/>
                <w:szCs w:val="21"/>
              </w:rPr>
              <w:t>3.知道维生素缺乏性佝偻病的概念</w:t>
            </w:r>
          </w:p>
          <w:p w14:paraId="77E39EB4">
            <w:pPr>
              <w:widowControl w:val="0"/>
              <w:jc w:val="both"/>
              <w:rPr>
                <w:color w:val="000000"/>
                <w:kern w:val="2"/>
                <w:sz w:val="21"/>
                <w:szCs w:val="21"/>
              </w:rPr>
            </w:pPr>
            <w:r>
              <w:rPr>
                <w:rFonts w:hint="eastAsia"/>
                <w:color w:val="000000"/>
                <w:kern w:val="2"/>
                <w:sz w:val="21"/>
                <w:szCs w:val="21"/>
              </w:rPr>
              <w:t>4.知道综合营养性疾病患</w:t>
            </w:r>
            <w:r>
              <w:rPr>
                <w:rFonts w:hint="eastAsia"/>
                <w:color w:val="000000"/>
                <w:sz w:val="21"/>
                <w:szCs w:val="21"/>
              </w:rPr>
              <w:t>儿（维生素缺乏性佝偻病）常见的护理问题、相关护理措施及依据</w:t>
            </w:r>
          </w:p>
          <w:p w14:paraId="7840BD8D">
            <w:pPr>
              <w:widowControl w:val="0"/>
              <w:jc w:val="both"/>
              <w:rPr>
                <w:color w:val="000000"/>
                <w:kern w:val="2"/>
                <w:sz w:val="21"/>
                <w:szCs w:val="21"/>
              </w:rPr>
            </w:pPr>
            <w:r>
              <w:rPr>
                <w:rFonts w:hint="eastAsia"/>
                <w:color w:val="000000"/>
                <w:sz w:val="21"/>
                <w:szCs w:val="21"/>
              </w:rPr>
              <w:t>5.</w:t>
            </w:r>
            <w:r>
              <w:rPr>
                <w:rFonts w:hint="eastAsia"/>
                <w:color w:val="000000"/>
                <w:kern w:val="2"/>
                <w:sz w:val="21"/>
                <w:szCs w:val="21"/>
              </w:rPr>
              <w:t>知道综合营养性疾病患</w:t>
            </w:r>
            <w:r>
              <w:rPr>
                <w:rFonts w:hint="eastAsia"/>
                <w:color w:val="000000"/>
                <w:sz w:val="21"/>
                <w:szCs w:val="21"/>
              </w:rPr>
              <w:t>儿（手足搐搦症）常见的护理问题、相关护理措施及依据</w:t>
            </w:r>
          </w:p>
          <w:p w14:paraId="7127511D">
            <w:pPr>
              <w:widowControl w:val="0"/>
              <w:jc w:val="both"/>
              <w:rPr>
                <w:color w:val="000000"/>
                <w:sz w:val="21"/>
                <w:szCs w:val="21"/>
              </w:rPr>
            </w:pPr>
          </w:p>
        </w:tc>
        <w:tc>
          <w:tcPr>
            <w:tcW w:w="1985" w:type="dxa"/>
          </w:tcPr>
          <w:p w14:paraId="1CE4E127">
            <w:pPr>
              <w:widowControl w:val="0"/>
              <w:jc w:val="both"/>
              <w:rPr>
                <w:color w:val="000000"/>
                <w:kern w:val="2"/>
                <w:sz w:val="21"/>
                <w:szCs w:val="21"/>
              </w:rPr>
            </w:pPr>
            <w:r>
              <w:rPr>
                <w:rFonts w:hint="eastAsia"/>
                <w:color w:val="000000"/>
                <w:kern w:val="2"/>
                <w:sz w:val="21"/>
                <w:szCs w:val="21"/>
              </w:rPr>
              <w:t>1.能理解正常与营养不良儿，比较正常与营养不良儿的特点</w:t>
            </w:r>
          </w:p>
          <w:p w14:paraId="328A9ECD">
            <w:pPr>
              <w:widowControl w:val="0"/>
              <w:jc w:val="both"/>
              <w:rPr>
                <w:color w:val="000000"/>
                <w:kern w:val="2"/>
                <w:sz w:val="21"/>
                <w:szCs w:val="21"/>
              </w:rPr>
            </w:pPr>
            <w:r>
              <w:rPr>
                <w:rFonts w:hint="eastAsia"/>
                <w:color w:val="000000"/>
                <w:kern w:val="2"/>
                <w:sz w:val="21"/>
                <w:szCs w:val="21"/>
              </w:rPr>
              <w:t>2.会操作滴管喂乳法</w:t>
            </w:r>
          </w:p>
          <w:p w14:paraId="771D95F4">
            <w:pPr>
              <w:widowControl w:val="0"/>
              <w:jc w:val="both"/>
              <w:rPr>
                <w:color w:val="000000"/>
                <w:kern w:val="2"/>
                <w:sz w:val="21"/>
                <w:szCs w:val="21"/>
              </w:rPr>
            </w:pPr>
            <w:r>
              <w:rPr>
                <w:rFonts w:hint="eastAsia"/>
                <w:color w:val="000000"/>
                <w:kern w:val="2"/>
                <w:sz w:val="21"/>
                <w:szCs w:val="21"/>
              </w:rPr>
              <w:t>3.会操作练习鼻饲法</w:t>
            </w:r>
          </w:p>
          <w:p w14:paraId="60BBFEEC">
            <w:pPr>
              <w:widowControl w:val="0"/>
              <w:jc w:val="both"/>
              <w:rPr>
                <w:color w:val="000000"/>
                <w:sz w:val="21"/>
                <w:szCs w:val="21"/>
              </w:rPr>
            </w:pPr>
            <w:r>
              <w:rPr>
                <w:rFonts w:hint="eastAsia"/>
                <w:color w:val="000000"/>
                <w:sz w:val="21"/>
                <w:szCs w:val="21"/>
              </w:rPr>
              <w:t>4.能分析</w:t>
            </w:r>
            <w:r>
              <w:rPr>
                <w:rFonts w:hint="eastAsia"/>
                <w:color w:val="000000"/>
                <w:kern w:val="2"/>
                <w:sz w:val="21"/>
                <w:szCs w:val="21"/>
              </w:rPr>
              <w:t>营养性疾病患</w:t>
            </w:r>
            <w:r>
              <w:rPr>
                <w:rFonts w:hint="eastAsia"/>
                <w:color w:val="000000"/>
                <w:sz w:val="21"/>
                <w:szCs w:val="21"/>
              </w:rPr>
              <w:t>儿（维生素缺乏性佝偻病）的临床表现、并进行护理评估及制定护理计划</w:t>
            </w:r>
          </w:p>
          <w:p w14:paraId="4FDC34D3">
            <w:pPr>
              <w:widowControl w:val="0"/>
              <w:jc w:val="both"/>
              <w:rPr>
                <w:color w:val="000000"/>
                <w:sz w:val="21"/>
                <w:szCs w:val="21"/>
              </w:rPr>
            </w:pPr>
            <w:r>
              <w:rPr>
                <w:rFonts w:hint="eastAsia"/>
                <w:color w:val="000000"/>
                <w:sz w:val="21"/>
                <w:szCs w:val="21"/>
              </w:rPr>
              <w:t>5.能理解</w:t>
            </w:r>
            <w:r>
              <w:rPr>
                <w:rFonts w:hint="eastAsia"/>
                <w:color w:val="000000"/>
                <w:kern w:val="2"/>
                <w:sz w:val="21"/>
                <w:szCs w:val="21"/>
              </w:rPr>
              <w:t>营养性疾病患</w:t>
            </w:r>
            <w:r>
              <w:rPr>
                <w:rFonts w:hint="eastAsia"/>
                <w:color w:val="000000"/>
                <w:sz w:val="21"/>
                <w:szCs w:val="21"/>
              </w:rPr>
              <w:t>儿（手足搐搦症）的临床表现、并进行护理评估及制定护理计划</w:t>
            </w:r>
          </w:p>
          <w:p w14:paraId="082DB8B2">
            <w:pPr>
              <w:widowControl w:val="0"/>
              <w:jc w:val="both"/>
              <w:rPr>
                <w:color w:val="000000"/>
                <w:kern w:val="2"/>
                <w:sz w:val="21"/>
                <w:szCs w:val="21"/>
              </w:rPr>
            </w:pPr>
          </w:p>
        </w:tc>
        <w:tc>
          <w:tcPr>
            <w:tcW w:w="1134" w:type="dxa"/>
          </w:tcPr>
          <w:p w14:paraId="68ED7720">
            <w:pPr>
              <w:jc w:val="both"/>
              <w:rPr>
                <w:rFonts w:cs="Times New Roman"/>
                <w:kern w:val="2"/>
                <w:sz w:val="21"/>
                <w:szCs w:val="21"/>
              </w:rPr>
            </w:pPr>
            <w:r>
              <w:rPr>
                <w:rFonts w:hint="eastAsia"/>
                <w:sz w:val="21"/>
                <w:szCs w:val="21"/>
              </w:rPr>
              <w:t>树立“一切以病人为中心”的理念，具有慎独精神，实事求是的态度。</w:t>
            </w:r>
            <w:r>
              <w:rPr>
                <w:sz w:val="21"/>
                <w:szCs w:val="21"/>
              </w:rPr>
              <w:t xml:space="preserve"> </w:t>
            </w:r>
          </w:p>
        </w:tc>
        <w:tc>
          <w:tcPr>
            <w:tcW w:w="992" w:type="dxa"/>
          </w:tcPr>
          <w:p w14:paraId="18A2200D">
            <w:pPr>
              <w:widowControl w:val="0"/>
              <w:jc w:val="both"/>
              <w:rPr>
                <w:color w:val="000000"/>
                <w:kern w:val="2"/>
                <w:sz w:val="21"/>
                <w:szCs w:val="21"/>
              </w:rPr>
            </w:pPr>
            <w:r>
              <w:rPr>
                <w:rFonts w:hint="eastAsia"/>
                <w:color w:val="000000"/>
                <w:kern w:val="2"/>
                <w:sz w:val="21"/>
                <w:szCs w:val="21"/>
              </w:rPr>
              <w:t>营养性疾病患</w:t>
            </w:r>
            <w:r>
              <w:rPr>
                <w:rFonts w:hint="eastAsia"/>
                <w:color w:val="000000"/>
                <w:sz w:val="21"/>
                <w:szCs w:val="21"/>
              </w:rPr>
              <w:t>儿</w:t>
            </w:r>
            <w:r>
              <w:rPr>
                <w:rFonts w:hint="eastAsia"/>
                <w:color w:val="000000"/>
                <w:kern w:val="2"/>
                <w:sz w:val="21"/>
                <w:szCs w:val="21"/>
              </w:rPr>
              <w:t>的评估与护理</w:t>
            </w:r>
          </w:p>
          <w:p w14:paraId="1B824833">
            <w:pPr>
              <w:widowControl w:val="0"/>
              <w:jc w:val="both"/>
              <w:rPr>
                <w:color w:val="000000"/>
                <w:kern w:val="2"/>
                <w:sz w:val="21"/>
                <w:szCs w:val="21"/>
              </w:rPr>
            </w:pPr>
            <w:r>
              <w:rPr>
                <w:rFonts w:hint="eastAsia"/>
                <w:color w:val="000000"/>
                <w:kern w:val="2"/>
                <w:sz w:val="21"/>
                <w:szCs w:val="21"/>
              </w:rPr>
              <w:t>营养性疾病患</w:t>
            </w:r>
            <w:r>
              <w:rPr>
                <w:rFonts w:hint="eastAsia"/>
                <w:color w:val="000000"/>
                <w:sz w:val="21"/>
                <w:szCs w:val="21"/>
              </w:rPr>
              <w:t>儿</w:t>
            </w:r>
            <w:r>
              <w:rPr>
                <w:rFonts w:hint="eastAsia"/>
                <w:color w:val="000000"/>
                <w:kern w:val="2"/>
                <w:sz w:val="21"/>
                <w:szCs w:val="21"/>
              </w:rPr>
              <w:t>的评估与护理</w:t>
            </w:r>
          </w:p>
          <w:p w14:paraId="1A8BC6B2">
            <w:pPr>
              <w:spacing w:line="360" w:lineRule="auto"/>
              <w:jc w:val="both"/>
              <w:rPr>
                <w:color w:val="000000"/>
                <w:kern w:val="2"/>
                <w:sz w:val="21"/>
                <w:szCs w:val="21"/>
              </w:rPr>
            </w:pPr>
          </w:p>
        </w:tc>
      </w:tr>
      <w:tr w14:paraId="2CF0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26" w:type="dxa"/>
            <w:vAlign w:val="center"/>
          </w:tcPr>
          <w:p w14:paraId="0127BC0A">
            <w:pPr>
              <w:widowControl w:val="0"/>
              <w:spacing w:line="360" w:lineRule="auto"/>
              <w:jc w:val="center"/>
              <w:rPr>
                <w:color w:val="000000"/>
                <w:kern w:val="2"/>
                <w:sz w:val="21"/>
                <w:szCs w:val="21"/>
              </w:rPr>
            </w:pPr>
            <w:r>
              <w:rPr>
                <w:rFonts w:hint="eastAsia"/>
                <w:color w:val="000000"/>
                <w:kern w:val="2"/>
                <w:sz w:val="21"/>
                <w:szCs w:val="21"/>
              </w:rPr>
              <w:t>5</w:t>
            </w:r>
          </w:p>
        </w:tc>
        <w:tc>
          <w:tcPr>
            <w:tcW w:w="708" w:type="dxa"/>
            <w:vAlign w:val="center"/>
          </w:tcPr>
          <w:p w14:paraId="1BE89746">
            <w:pPr>
              <w:widowControl w:val="0"/>
              <w:spacing w:line="360" w:lineRule="auto"/>
              <w:jc w:val="both"/>
              <w:rPr>
                <w:color w:val="000000"/>
                <w:kern w:val="2"/>
                <w:sz w:val="21"/>
                <w:szCs w:val="21"/>
              </w:rPr>
            </w:pPr>
            <w:r>
              <w:rPr>
                <w:rFonts w:hint="eastAsia"/>
                <w:color w:val="000000"/>
                <w:kern w:val="2"/>
                <w:sz w:val="21"/>
                <w:szCs w:val="21"/>
              </w:rPr>
              <w:t>消化系统疾病患儿的保健与护理</w:t>
            </w:r>
          </w:p>
          <w:p w14:paraId="6EBDE268">
            <w:pPr>
              <w:widowControl w:val="0"/>
              <w:spacing w:line="360" w:lineRule="auto"/>
              <w:jc w:val="center"/>
              <w:rPr>
                <w:color w:val="000000"/>
                <w:kern w:val="2"/>
                <w:sz w:val="21"/>
                <w:szCs w:val="21"/>
              </w:rPr>
            </w:pPr>
          </w:p>
        </w:tc>
        <w:tc>
          <w:tcPr>
            <w:tcW w:w="2977" w:type="dxa"/>
          </w:tcPr>
          <w:p w14:paraId="205D5618">
            <w:pPr>
              <w:widowControl w:val="0"/>
              <w:jc w:val="both"/>
              <w:rPr>
                <w:color w:val="000000"/>
                <w:kern w:val="2"/>
                <w:sz w:val="21"/>
                <w:szCs w:val="21"/>
              </w:rPr>
            </w:pPr>
            <w:r>
              <w:rPr>
                <w:rFonts w:hint="eastAsia"/>
                <w:color w:val="000000"/>
                <w:kern w:val="2"/>
                <w:sz w:val="21"/>
                <w:szCs w:val="21"/>
              </w:rPr>
              <w:t>1.能理解小儿消化系统的解剖生理特点</w:t>
            </w:r>
            <w:r>
              <w:rPr>
                <w:rFonts w:hint="eastAsia"/>
                <w:color w:val="000000"/>
                <w:sz w:val="21"/>
                <w:szCs w:val="21"/>
              </w:rPr>
              <w:t>手足搐搦症</w:t>
            </w:r>
            <w:r>
              <w:rPr>
                <w:rFonts w:hint="eastAsia"/>
                <w:color w:val="000000"/>
                <w:kern w:val="2"/>
                <w:sz w:val="21"/>
                <w:szCs w:val="21"/>
              </w:rPr>
              <w:t>及其与本系统疾病的关系</w:t>
            </w:r>
          </w:p>
          <w:p w14:paraId="26C5B2BD">
            <w:pPr>
              <w:widowControl w:val="0"/>
              <w:jc w:val="both"/>
              <w:rPr>
                <w:color w:val="000000"/>
                <w:sz w:val="21"/>
                <w:szCs w:val="21"/>
              </w:rPr>
            </w:pPr>
            <w:r>
              <w:rPr>
                <w:rFonts w:hint="eastAsia"/>
                <w:color w:val="000000"/>
                <w:kern w:val="2"/>
                <w:sz w:val="21"/>
                <w:szCs w:val="21"/>
              </w:rPr>
              <w:t>2.知道几种常见口腔炎的临床表现，并提出相应保健措施</w:t>
            </w:r>
          </w:p>
          <w:p w14:paraId="1839A41A">
            <w:pPr>
              <w:widowControl w:val="0"/>
              <w:jc w:val="both"/>
              <w:rPr>
                <w:color w:val="000000"/>
                <w:kern w:val="2"/>
                <w:sz w:val="21"/>
                <w:szCs w:val="21"/>
              </w:rPr>
            </w:pPr>
            <w:r>
              <w:rPr>
                <w:rFonts w:hint="eastAsia"/>
                <w:color w:val="000000"/>
                <w:sz w:val="21"/>
                <w:szCs w:val="21"/>
              </w:rPr>
              <w:t>3.知道婴儿腹泻的临床表现、并进行护理评估及制定护理计划</w:t>
            </w:r>
          </w:p>
          <w:p w14:paraId="31B58232">
            <w:pPr>
              <w:widowControl w:val="0"/>
              <w:jc w:val="both"/>
              <w:rPr>
                <w:color w:val="000000"/>
                <w:kern w:val="2"/>
                <w:sz w:val="21"/>
                <w:szCs w:val="21"/>
              </w:rPr>
            </w:pPr>
            <w:r>
              <w:rPr>
                <w:rFonts w:hint="eastAsia"/>
                <w:color w:val="000000"/>
                <w:kern w:val="2"/>
                <w:sz w:val="21"/>
                <w:szCs w:val="21"/>
              </w:rPr>
              <w:t>4.知道</w:t>
            </w:r>
            <w:r>
              <w:rPr>
                <w:rFonts w:hint="eastAsia"/>
                <w:color w:val="000000"/>
                <w:sz w:val="21"/>
                <w:szCs w:val="21"/>
              </w:rPr>
              <w:t>婴儿腹泻常见的护理问题、相关护理措施及依据</w:t>
            </w:r>
          </w:p>
          <w:p w14:paraId="2C7422A8">
            <w:pPr>
              <w:widowControl w:val="0"/>
              <w:jc w:val="both"/>
              <w:rPr>
                <w:color w:val="000000"/>
                <w:sz w:val="21"/>
                <w:szCs w:val="21"/>
              </w:rPr>
            </w:pPr>
            <w:r>
              <w:rPr>
                <w:rFonts w:hint="eastAsia"/>
                <w:color w:val="000000"/>
                <w:sz w:val="21"/>
                <w:szCs w:val="21"/>
              </w:rPr>
              <w:t>5.为</w:t>
            </w:r>
            <w:r>
              <w:rPr>
                <w:rFonts w:hint="eastAsia"/>
                <w:color w:val="000000"/>
                <w:kern w:val="2"/>
                <w:sz w:val="21"/>
                <w:szCs w:val="21"/>
              </w:rPr>
              <w:t>消化系统疾病患</w:t>
            </w:r>
            <w:r>
              <w:rPr>
                <w:rFonts w:hint="eastAsia"/>
                <w:color w:val="000000"/>
                <w:sz w:val="21"/>
                <w:szCs w:val="21"/>
              </w:rPr>
              <w:t>儿及其家庭提供整体护理及保健</w:t>
            </w:r>
          </w:p>
          <w:p w14:paraId="63C4FFBB">
            <w:pPr>
              <w:widowControl w:val="0"/>
              <w:jc w:val="both"/>
              <w:rPr>
                <w:color w:val="000000"/>
                <w:sz w:val="21"/>
                <w:szCs w:val="21"/>
              </w:rPr>
            </w:pPr>
          </w:p>
        </w:tc>
        <w:tc>
          <w:tcPr>
            <w:tcW w:w="1985" w:type="dxa"/>
          </w:tcPr>
          <w:p w14:paraId="373F3399">
            <w:pPr>
              <w:widowControl w:val="0"/>
              <w:jc w:val="both"/>
              <w:rPr>
                <w:color w:val="000000"/>
                <w:kern w:val="2"/>
                <w:sz w:val="21"/>
                <w:szCs w:val="21"/>
              </w:rPr>
            </w:pPr>
            <w:r>
              <w:rPr>
                <w:rFonts w:hint="eastAsia"/>
                <w:color w:val="000000"/>
                <w:kern w:val="2"/>
                <w:sz w:val="21"/>
                <w:szCs w:val="21"/>
              </w:rPr>
              <w:t>1.能操作练习更换尿布法</w:t>
            </w:r>
          </w:p>
          <w:p w14:paraId="405E7D15">
            <w:pPr>
              <w:widowControl w:val="0"/>
              <w:jc w:val="both"/>
              <w:rPr>
                <w:color w:val="000000"/>
                <w:kern w:val="2"/>
                <w:sz w:val="21"/>
                <w:szCs w:val="21"/>
              </w:rPr>
            </w:pPr>
            <w:r>
              <w:rPr>
                <w:rFonts w:hint="eastAsia"/>
                <w:color w:val="000000"/>
                <w:kern w:val="2"/>
                <w:sz w:val="21"/>
                <w:szCs w:val="21"/>
              </w:rPr>
              <w:t>2.能操作练习臀红护理法</w:t>
            </w:r>
          </w:p>
          <w:p w14:paraId="1107C7C3">
            <w:pPr>
              <w:widowControl w:val="0"/>
              <w:jc w:val="both"/>
              <w:rPr>
                <w:color w:val="000000"/>
                <w:kern w:val="2"/>
                <w:sz w:val="21"/>
                <w:szCs w:val="21"/>
              </w:rPr>
            </w:pPr>
            <w:r>
              <w:rPr>
                <w:rFonts w:hint="eastAsia"/>
                <w:color w:val="000000"/>
                <w:kern w:val="2"/>
                <w:sz w:val="21"/>
                <w:szCs w:val="21"/>
              </w:rPr>
              <w:t>3.能操作练习留粪便标本法</w:t>
            </w:r>
          </w:p>
          <w:p w14:paraId="3270266D">
            <w:pPr>
              <w:widowControl w:val="0"/>
              <w:jc w:val="both"/>
              <w:rPr>
                <w:color w:val="000000"/>
                <w:kern w:val="2"/>
                <w:sz w:val="21"/>
                <w:szCs w:val="21"/>
              </w:rPr>
            </w:pPr>
            <w:r>
              <w:rPr>
                <w:rFonts w:hint="eastAsia"/>
                <w:color w:val="000000"/>
                <w:sz w:val="21"/>
                <w:szCs w:val="21"/>
              </w:rPr>
              <w:t>4.能运用小儿液体疗法进行补液</w:t>
            </w:r>
          </w:p>
          <w:p w14:paraId="16181220">
            <w:pPr>
              <w:jc w:val="both"/>
              <w:rPr>
                <w:rFonts w:cs="Times New Roman"/>
                <w:kern w:val="2"/>
                <w:sz w:val="21"/>
                <w:szCs w:val="21"/>
              </w:rPr>
            </w:pPr>
          </w:p>
        </w:tc>
        <w:tc>
          <w:tcPr>
            <w:tcW w:w="1134" w:type="dxa"/>
          </w:tcPr>
          <w:p w14:paraId="7769B97E">
            <w:pPr>
              <w:jc w:val="both"/>
              <w:rPr>
                <w:rFonts w:cs="Times New Roman"/>
                <w:kern w:val="2"/>
                <w:sz w:val="21"/>
                <w:szCs w:val="21"/>
              </w:rPr>
            </w:pPr>
            <w:r>
              <w:rPr>
                <w:rFonts w:hint="eastAsia"/>
                <w:sz w:val="21"/>
                <w:szCs w:val="21"/>
              </w:rPr>
              <w:t>树立“一切以病人为中心”的理念，具有慎独精神，实事求是的态度。</w:t>
            </w:r>
            <w:r>
              <w:rPr>
                <w:sz w:val="21"/>
                <w:szCs w:val="21"/>
              </w:rPr>
              <w:t xml:space="preserve"> </w:t>
            </w:r>
          </w:p>
        </w:tc>
        <w:tc>
          <w:tcPr>
            <w:tcW w:w="992" w:type="dxa"/>
          </w:tcPr>
          <w:p w14:paraId="00EE8B01">
            <w:pPr>
              <w:widowControl w:val="0"/>
              <w:jc w:val="both"/>
              <w:rPr>
                <w:color w:val="000000"/>
                <w:kern w:val="2"/>
                <w:sz w:val="21"/>
                <w:szCs w:val="21"/>
              </w:rPr>
            </w:pPr>
            <w:r>
              <w:rPr>
                <w:rFonts w:hint="eastAsia"/>
                <w:color w:val="000000"/>
                <w:kern w:val="2"/>
                <w:sz w:val="21"/>
                <w:szCs w:val="21"/>
              </w:rPr>
              <w:t>消化系统疾病患</w:t>
            </w:r>
            <w:r>
              <w:rPr>
                <w:rFonts w:hint="eastAsia"/>
                <w:color w:val="000000"/>
                <w:sz w:val="21"/>
                <w:szCs w:val="21"/>
              </w:rPr>
              <w:t>儿</w:t>
            </w:r>
            <w:r>
              <w:rPr>
                <w:rFonts w:hint="eastAsia"/>
                <w:color w:val="000000"/>
                <w:kern w:val="2"/>
                <w:sz w:val="21"/>
                <w:szCs w:val="21"/>
              </w:rPr>
              <w:t>的评估与护理</w:t>
            </w:r>
          </w:p>
          <w:p w14:paraId="2AF2D307">
            <w:pPr>
              <w:spacing w:line="360" w:lineRule="auto"/>
              <w:jc w:val="both"/>
              <w:rPr>
                <w:color w:val="000000"/>
                <w:kern w:val="2"/>
                <w:sz w:val="21"/>
                <w:szCs w:val="21"/>
              </w:rPr>
            </w:pPr>
          </w:p>
        </w:tc>
      </w:tr>
      <w:tr w14:paraId="294C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26" w:type="dxa"/>
            <w:vAlign w:val="center"/>
          </w:tcPr>
          <w:p w14:paraId="6E61F90E">
            <w:pPr>
              <w:widowControl w:val="0"/>
              <w:spacing w:line="360" w:lineRule="auto"/>
              <w:jc w:val="center"/>
              <w:rPr>
                <w:color w:val="000000"/>
                <w:kern w:val="2"/>
                <w:sz w:val="21"/>
                <w:szCs w:val="21"/>
              </w:rPr>
            </w:pPr>
            <w:r>
              <w:rPr>
                <w:rFonts w:hint="eastAsia"/>
                <w:color w:val="000000"/>
                <w:kern w:val="2"/>
                <w:sz w:val="21"/>
                <w:szCs w:val="21"/>
              </w:rPr>
              <w:t>6</w:t>
            </w:r>
          </w:p>
        </w:tc>
        <w:tc>
          <w:tcPr>
            <w:tcW w:w="708" w:type="dxa"/>
            <w:vAlign w:val="center"/>
          </w:tcPr>
          <w:p w14:paraId="5FD6F9F2">
            <w:pPr>
              <w:widowControl w:val="0"/>
              <w:spacing w:line="360" w:lineRule="auto"/>
              <w:jc w:val="both"/>
              <w:rPr>
                <w:color w:val="000000"/>
                <w:kern w:val="2"/>
                <w:sz w:val="21"/>
                <w:szCs w:val="21"/>
              </w:rPr>
            </w:pPr>
            <w:r>
              <w:rPr>
                <w:rFonts w:hint="eastAsia"/>
                <w:color w:val="000000"/>
                <w:kern w:val="2"/>
                <w:sz w:val="21"/>
                <w:szCs w:val="21"/>
              </w:rPr>
              <w:t>呼吸系统疾病患儿的保健与护理</w:t>
            </w:r>
          </w:p>
          <w:p w14:paraId="39E98C97">
            <w:pPr>
              <w:widowControl w:val="0"/>
              <w:spacing w:line="360" w:lineRule="auto"/>
              <w:jc w:val="center"/>
              <w:rPr>
                <w:color w:val="000000"/>
                <w:kern w:val="2"/>
                <w:sz w:val="21"/>
                <w:szCs w:val="21"/>
              </w:rPr>
            </w:pPr>
          </w:p>
        </w:tc>
        <w:tc>
          <w:tcPr>
            <w:tcW w:w="2977" w:type="dxa"/>
          </w:tcPr>
          <w:p w14:paraId="77F9441C">
            <w:pPr>
              <w:widowControl w:val="0"/>
              <w:jc w:val="both"/>
              <w:rPr>
                <w:color w:val="000000"/>
                <w:kern w:val="2"/>
                <w:sz w:val="21"/>
                <w:szCs w:val="21"/>
              </w:rPr>
            </w:pPr>
            <w:r>
              <w:rPr>
                <w:rFonts w:hint="eastAsia"/>
                <w:color w:val="000000"/>
                <w:kern w:val="2"/>
                <w:sz w:val="21"/>
                <w:szCs w:val="21"/>
              </w:rPr>
              <w:t>1.知道小儿呼吸系统的解剖生理特点</w:t>
            </w:r>
          </w:p>
          <w:p w14:paraId="7BD0992D">
            <w:pPr>
              <w:widowControl w:val="0"/>
              <w:jc w:val="both"/>
              <w:rPr>
                <w:color w:val="000000"/>
                <w:kern w:val="2"/>
                <w:sz w:val="21"/>
                <w:szCs w:val="21"/>
              </w:rPr>
            </w:pPr>
            <w:r>
              <w:rPr>
                <w:rFonts w:hint="eastAsia"/>
                <w:color w:val="000000"/>
                <w:kern w:val="2"/>
                <w:sz w:val="21"/>
                <w:szCs w:val="21"/>
              </w:rPr>
              <w:t>2.理解小儿呼吸系统的解剖生理特点及其与本系统疾病的关系</w:t>
            </w:r>
          </w:p>
          <w:p w14:paraId="5A46EAA1">
            <w:pPr>
              <w:widowControl w:val="0"/>
              <w:jc w:val="both"/>
              <w:rPr>
                <w:color w:val="000000"/>
                <w:kern w:val="2"/>
                <w:sz w:val="21"/>
                <w:szCs w:val="21"/>
              </w:rPr>
            </w:pPr>
            <w:r>
              <w:rPr>
                <w:rFonts w:hint="eastAsia"/>
                <w:color w:val="000000"/>
                <w:kern w:val="2"/>
                <w:sz w:val="21"/>
                <w:szCs w:val="21"/>
              </w:rPr>
              <w:t>3.知道急性上呼吸道感染与支气管炎的临床表现，并提出相应预防保健措施</w:t>
            </w:r>
          </w:p>
          <w:p w14:paraId="534E441E">
            <w:pPr>
              <w:widowControl w:val="0"/>
              <w:jc w:val="both"/>
              <w:rPr>
                <w:color w:val="000000"/>
                <w:kern w:val="2"/>
                <w:sz w:val="21"/>
                <w:szCs w:val="21"/>
              </w:rPr>
            </w:pPr>
            <w:r>
              <w:rPr>
                <w:rFonts w:hint="eastAsia"/>
                <w:color w:val="000000"/>
                <w:sz w:val="21"/>
                <w:szCs w:val="21"/>
              </w:rPr>
              <w:t>4.理解小儿肺炎的临床表现、并进行护理评估及制定护理计划</w:t>
            </w:r>
          </w:p>
          <w:p w14:paraId="1D6CD9CB">
            <w:pPr>
              <w:widowControl w:val="0"/>
              <w:jc w:val="both"/>
              <w:rPr>
                <w:color w:val="000000"/>
                <w:kern w:val="2"/>
                <w:sz w:val="21"/>
                <w:szCs w:val="21"/>
              </w:rPr>
            </w:pPr>
            <w:r>
              <w:rPr>
                <w:rFonts w:hint="eastAsia"/>
                <w:color w:val="000000"/>
                <w:kern w:val="2"/>
                <w:sz w:val="21"/>
                <w:szCs w:val="21"/>
              </w:rPr>
              <w:t>5.综合</w:t>
            </w:r>
            <w:r>
              <w:rPr>
                <w:rFonts w:hint="eastAsia"/>
                <w:color w:val="000000"/>
                <w:sz w:val="21"/>
                <w:szCs w:val="21"/>
              </w:rPr>
              <w:t>小儿肺炎常见的护理问题、相关护理措施及依据</w:t>
            </w:r>
          </w:p>
          <w:p w14:paraId="4AF5B95F">
            <w:pPr>
              <w:widowControl w:val="0"/>
              <w:jc w:val="both"/>
              <w:rPr>
                <w:color w:val="000000"/>
                <w:sz w:val="21"/>
                <w:szCs w:val="21"/>
              </w:rPr>
            </w:pPr>
            <w:r>
              <w:rPr>
                <w:rFonts w:hint="eastAsia"/>
                <w:color w:val="000000"/>
                <w:sz w:val="21"/>
                <w:szCs w:val="21"/>
              </w:rPr>
              <w:t>6.为呼吸</w:t>
            </w:r>
            <w:r>
              <w:rPr>
                <w:rFonts w:hint="eastAsia"/>
                <w:color w:val="000000"/>
                <w:kern w:val="2"/>
                <w:sz w:val="21"/>
                <w:szCs w:val="21"/>
              </w:rPr>
              <w:t>系统疾病患</w:t>
            </w:r>
            <w:r>
              <w:rPr>
                <w:rFonts w:hint="eastAsia"/>
                <w:color w:val="000000"/>
                <w:sz w:val="21"/>
                <w:szCs w:val="21"/>
              </w:rPr>
              <w:t>儿及其家庭提供整体护理及保健</w:t>
            </w:r>
          </w:p>
          <w:p w14:paraId="4F104552">
            <w:pPr>
              <w:widowControl w:val="0"/>
              <w:jc w:val="both"/>
              <w:rPr>
                <w:color w:val="000000"/>
                <w:sz w:val="21"/>
                <w:szCs w:val="21"/>
              </w:rPr>
            </w:pPr>
          </w:p>
        </w:tc>
        <w:tc>
          <w:tcPr>
            <w:tcW w:w="1985" w:type="dxa"/>
          </w:tcPr>
          <w:p w14:paraId="38388A06">
            <w:pPr>
              <w:widowControl w:val="0"/>
              <w:jc w:val="both"/>
              <w:rPr>
                <w:color w:val="000000"/>
                <w:kern w:val="2"/>
                <w:sz w:val="21"/>
                <w:szCs w:val="21"/>
              </w:rPr>
            </w:pPr>
            <w:r>
              <w:rPr>
                <w:rFonts w:hint="eastAsia"/>
                <w:color w:val="000000"/>
                <w:kern w:val="2"/>
                <w:sz w:val="21"/>
                <w:szCs w:val="21"/>
              </w:rPr>
              <w:t>1.能对呼吸系统疾病患</w:t>
            </w:r>
            <w:r>
              <w:rPr>
                <w:rFonts w:hint="eastAsia"/>
                <w:color w:val="000000"/>
                <w:sz w:val="21"/>
                <w:szCs w:val="21"/>
              </w:rPr>
              <w:t>儿</w:t>
            </w:r>
            <w:r>
              <w:rPr>
                <w:rFonts w:hint="eastAsia"/>
                <w:color w:val="000000"/>
                <w:kern w:val="2"/>
                <w:sz w:val="21"/>
                <w:szCs w:val="21"/>
              </w:rPr>
              <w:t>的评估与护理</w:t>
            </w:r>
          </w:p>
          <w:p w14:paraId="170B7EAF">
            <w:pPr>
              <w:widowControl w:val="0"/>
              <w:jc w:val="both"/>
              <w:rPr>
                <w:color w:val="000000"/>
                <w:kern w:val="2"/>
                <w:sz w:val="21"/>
                <w:szCs w:val="21"/>
              </w:rPr>
            </w:pPr>
            <w:r>
              <w:rPr>
                <w:rFonts w:hint="eastAsia"/>
                <w:color w:val="000000"/>
                <w:kern w:val="2"/>
                <w:sz w:val="21"/>
                <w:szCs w:val="21"/>
              </w:rPr>
              <w:t>2.会操作练习口服给药法</w:t>
            </w:r>
          </w:p>
          <w:p w14:paraId="5709FB56">
            <w:pPr>
              <w:widowControl w:val="0"/>
              <w:jc w:val="both"/>
              <w:rPr>
                <w:color w:val="000000"/>
                <w:kern w:val="2"/>
                <w:sz w:val="21"/>
                <w:szCs w:val="21"/>
              </w:rPr>
            </w:pPr>
            <w:r>
              <w:rPr>
                <w:rFonts w:hint="eastAsia"/>
                <w:color w:val="000000"/>
                <w:kern w:val="2"/>
                <w:sz w:val="21"/>
                <w:szCs w:val="21"/>
              </w:rPr>
              <w:t>3.会操作练习清理呼吸道法</w:t>
            </w:r>
          </w:p>
          <w:p w14:paraId="4C8C1763">
            <w:pPr>
              <w:widowControl w:val="0"/>
              <w:jc w:val="both"/>
              <w:rPr>
                <w:color w:val="000000"/>
                <w:kern w:val="2"/>
                <w:sz w:val="21"/>
                <w:szCs w:val="21"/>
              </w:rPr>
            </w:pPr>
            <w:r>
              <w:rPr>
                <w:rFonts w:hint="eastAsia"/>
                <w:color w:val="000000"/>
                <w:kern w:val="2"/>
                <w:sz w:val="21"/>
                <w:szCs w:val="21"/>
              </w:rPr>
              <w:t>4.会操作练习给氧法</w:t>
            </w:r>
          </w:p>
          <w:p w14:paraId="0357616D">
            <w:pPr>
              <w:jc w:val="both"/>
              <w:rPr>
                <w:rFonts w:cs="Times New Roman"/>
                <w:kern w:val="2"/>
                <w:sz w:val="21"/>
                <w:szCs w:val="21"/>
              </w:rPr>
            </w:pPr>
          </w:p>
        </w:tc>
        <w:tc>
          <w:tcPr>
            <w:tcW w:w="1134" w:type="dxa"/>
          </w:tcPr>
          <w:p w14:paraId="648E1A4D">
            <w:pPr>
              <w:jc w:val="both"/>
              <w:rPr>
                <w:rFonts w:cs="Times New Roman"/>
                <w:kern w:val="2"/>
                <w:sz w:val="21"/>
                <w:szCs w:val="21"/>
              </w:rPr>
            </w:pPr>
            <w:r>
              <w:rPr>
                <w:rFonts w:hint="eastAsia"/>
                <w:sz w:val="21"/>
                <w:szCs w:val="21"/>
              </w:rPr>
              <w:t>树立“一切以病人为中心”的理念，具有慎独精神，实事求是的态度。</w:t>
            </w:r>
            <w:r>
              <w:rPr>
                <w:sz w:val="21"/>
                <w:szCs w:val="21"/>
              </w:rPr>
              <w:t xml:space="preserve"> </w:t>
            </w:r>
          </w:p>
        </w:tc>
        <w:tc>
          <w:tcPr>
            <w:tcW w:w="992" w:type="dxa"/>
          </w:tcPr>
          <w:p w14:paraId="5626FEE4">
            <w:pPr>
              <w:widowControl w:val="0"/>
              <w:jc w:val="both"/>
              <w:rPr>
                <w:color w:val="000000"/>
                <w:kern w:val="2"/>
                <w:sz w:val="21"/>
                <w:szCs w:val="21"/>
              </w:rPr>
            </w:pPr>
            <w:r>
              <w:rPr>
                <w:rFonts w:hint="eastAsia"/>
                <w:color w:val="000000"/>
                <w:kern w:val="2"/>
                <w:sz w:val="21"/>
                <w:szCs w:val="21"/>
              </w:rPr>
              <w:t>呼吸系统疾病患</w:t>
            </w:r>
            <w:r>
              <w:rPr>
                <w:rFonts w:hint="eastAsia"/>
                <w:color w:val="000000"/>
                <w:sz w:val="21"/>
                <w:szCs w:val="21"/>
              </w:rPr>
              <w:t>儿</w:t>
            </w:r>
            <w:r>
              <w:rPr>
                <w:rFonts w:hint="eastAsia"/>
                <w:color w:val="000000"/>
                <w:kern w:val="2"/>
                <w:sz w:val="21"/>
                <w:szCs w:val="21"/>
              </w:rPr>
              <w:t>的评估与护理</w:t>
            </w:r>
          </w:p>
          <w:p w14:paraId="6DD09AB3">
            <w:pPr>
              <w:spacing w:line="360" w:lineRule="auto"/>
              <w:jc w:val="both"/>
              <w:rPr>
                <w:color w:val="000000"/>
                <w:kern w:val="2"/>
                <w:sz w:val="21"/>
                <w:szCs w:val="21"/>
              </w:rPr>
            </w:pPr>
          </w:p>
        </w:tc>
      </w:tr>
      <w:tr w14:paraId="13C2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26" w:type="dxa"/>
            <w:vAlign w:val="center"/>
          </w:tcPr>
          <w:p w14:paraId="5AAB1BC3">
            <w:pPr>
              <w:widowControl w:val="0"/>
              <w:spacing w:line="360" w:lineRule="auto"/>
              <w:jc w:val="center"/>
              <w:rPr>
                <w:color w:val="000000"/>
                <w:kern w:val="2"/>
                <w:sz w:val="21"/>
                <w:szCs w:val="21"/>
              </w:rPr>
            </w:pPr>
            <w:r>
              <w:rPr>
                <w:rFonts w:hint="eastAsia"/>
                <w:color w:val="000000"/>
                <w:kern w:val="2"/>
                <w:sz w:val="21"/>
                <w:szCs w:val="21"/>
              </w:rPr>
              <w:t>7</w:t>
            </w:r>
          </w:p>
        </w:tc>
        <w:tc>
          <w:tcPr>
            <w:tcW w:w="708" w:type="dxa"/>
            <w:vAlign w:val="center"/>
          </w:tcPr>
          <w:p w14:paraId="4253684D">
            <w:pPr>
              <w:widowControl w:val="0"/>
              <w:spacing w:line="360" w:lineRule="auto"/>
              <w:jc w:val="center"/>
              <w:rPr>
                <w:color w:val="000000"/>
                <w:kern w:val="2"/>
                <w:sz w:val="21"/>
                <w:szCs w:val="21"/>
              </w:rPr>
            </w:pPr>
            <w:r>
              <w:rPr>
                <w:rFonts w:hint="eastAsia"/>
                <w:color w:val="000000"/>
                <w:kern w:val="2"/>
                <w:sz w:val="21"/>
                <w:szCs w:val="21"/>
              </w:rPr>
              <w:t>循环系统疾病患儿的保健与护理</w:t>
            </w:r>
          </w:p>
        </w:tc>
        <w:tc>
          <w:tcPr>
            <w:tcW w:w="2977" w:type="dxa"/>
          </w:tcPr>
          <w:p w14:paraId="7F036FA5">
            <w:pPr>
              <w:widowControl w:val="0"/>
              <w:jc w:val="both"/>
              <w:rPr>
                <w:color w:val="000000"/>
                <w:kern w:val="2"/>
                <w:sz w:val="21"/>
                <w:szCs w:val="21"/>
              </w:rPr>
            </w:pPr>
            <w:r>
              <w:rPr>
                <w:rFonts w:hint="eastAsia"/>
                <w:color w:val="000000"/>
                <w:kern w:val="2"/>
                <w:sz w:val="21"/>
                <w:szCs w:val="21"/>
              </w:rPr>
              <w:t>1.知道小儿循环系统的解剖生理特点</w:t>
            </w:r>
          </w:p>
          <w:p w14:paraId="2F5AA07A">
            <w:pPr>
              <w:widowControl w:val="0"/>
              <w:jc w:val="both"/>
              <w:rPr>
                <w:color w:val="000000"/>
                <w:kern w:val="2"/>
                <w:sz w:val="21"/>
                <w:szCs w:val="21"/>
              </w:rPr>
            </w:pPr>
            <w:r>
              <w:rPr>
                <w:rFonts w:hint="eastAsia"/>
                <w:color w:val="000000"/>
                <w:kern w:val="2"/>
                <w:sz w:val="21"/>
                <w:szCs w:val="21"/>
              </w:rPr>
              <w:t>2.</w:t>
            </w:r>
          </w:p>
          <w:p w14:paraId="162C46B4">
            <w:pPr>
              <w:widowControl w:val="0"/>
              <w:jc w:val="both"/>
              <w:rPr>
                <w:color w:val="000000"/>
                <w:kern w:val="2"/>
                <w:sz w:val="21"/>
                <w:szCs w:val="21"/>
              </w:rPr>
            </w:pPr>
            <w:r>
              <w:rPr>
                <w:rFonts w:hint="eastAsia"/>
                <w:color w:val="000000"/>
                <w:kern w:val="2"/>
                <w:sz w:val="21"/>
                <w:szCs w:val="21"/>
              </w:rPr>
              <w:t>3.能知道不同年龄小儿心率、脉搏及血压的数值，区别正常与异常</w:t>
            </w:r>
          </w:p>
          <w:p w14:paraId="62CFCDBB">
            <w:pPr>
              <w:widowControl w:val="0"/>
              <w:jc w:val="both"/>
              <w:rPr>
                <w:color w:val="000000"/>
                <w:kern w:val="2"/>
                <w:sz w:val="21"/>
                <w:szCs w:val="21"/>
              </w:rPr>
            </w:pPr>
            <w:r>
              <w:rPr>
                <w:rFonts w:hint="eastAsia"/>
                <w:color w:val="000000"/>
                <w:sz w:val="21"/>
                <w:szCs w:val="21"/>
              </w:rPr>
              <w:t>4.知道小儿先天性心脏病（房间隔缺损、室间隔缺损、动脉导管未闭、法洛四联症）的临床表现、并进行护理评估及制定护理计划</w:t>
            </w:r>
          </w:p>
          <w:p w14:paraId="5C011745">
            <w:pPr>
              <w:widowControl w:val="0"/>
              <w:jc w:val="both"/>
              <w:rPr>
                <w:color w:val="000000"/>
                <w:sz w:val="21"/>
                <w:szCs w:val="21"/>
              </w:rPr>
            </w:pPr>
            <w:r>
              <w:rPr>
                <w:rFonts w:hint="eastAsia"/>
                <w:color w:val="000000"/>
                <w:kern w:val="2"/>
                <w:sz w:val="21"/>
                <w:szCs w:val="21"/>
              </w:rPr>
              <w:t>5.知道</w:t>
            </w:r>
            <w:r>
              <w:rPr>
                <w:rFonts w:hint="eastAsia"/>
                <w:color w:val="000000"/>
                <w:sz w:val="21"/>
                <w:szCs w:val="21"/>
              </w:rPr>
              <w:t>小儿先天性心脏病（房间隔缺损、室间隔缺损、动脉导管未闭、法洛四联症）常见的护理问题、相关护理措施及依据</w:t>
            </w:r>
          </w:p>
          <w:p w14:paraId="2F4E8021">
            <w:pPr>
              <w:widowControl w:val="0"/>
              <w:jc w:val="both"/>
              <w:rPr>
                <w:color w:val="000000"/>
                <w:kern w:val="2"/>
                <w:sz w:val="21"/>
                <w:szCs w:val="21"/>
              </w:rPr>
            </w:pPr>
          </w:p>
        </w:tc>
        <w:tc>
          <w:tcPr>
            <w:tcW w:w="1985" w:type="dxa"/>
          </w:tcPr>
          <w:p w14:paraId="382CE152">
            <w:pPr>
              <w:widowControl w:val="0"/>
              <w:jc w:val="both"/>
              <w:rPr>
                <w:color w:val="000000"/>
                <w:kern w:val="2"/>
                <w:sz w:val="21"/>
                <w:szCs w:val="21"/>
              </w:rPr>
            </w:pPr>
            <w:r>
              <w:rPr>
                <w:rFonts w:hint="eastAsia"/>
                <w:color w:val="000000"/>
                <w:kern w:val="2"/>
                <w:sz w:val="21"/>
                <w:szCs w:val="21"/>
              </w:rPr>
              <w:t>1.能对循环系统疾病患</w:t>
            </w:r>
            <w:r>
              <w:rPr>
                <w:rFonts w:hint="eastAsia"/>
                <w:color w:val="000000"/>
                <w:sz w:val="21"/>
                <w:szCs w:val="21"/>
              </w:rPr>
              <w:t>儿</w:t>
            </w:r>
            <w:r>
              <w:rPr>
                <w:rFonts w:hint="eastAsia"/>
                <w:color w:val="000000"/>
                <w:kern w:val="2"/>
                <w:sz w:val="21"/>
                <w:szCs w:val="21"/>
              </w:rPr>
              <w:t>的评估与护理</w:t>
            </w:r>
          </w:p>
          <w:p w14:paraId="3252C3E8">
            <w:pPr>
              <w:widowControl w:val="0"/>
              <w:jc w:val="both"/>
              <w:rPr>
                <w:color w:val="000000"/>
                <w:kern w:val="2"/>
                <w:sz w:val="21"/>
                <w:szCs w:val="21"/>
              </w:rPr>
            </w:pPr>
            <w:r>
              <w:rPr>
                <w:rFonts w:hint="eastAsia"/>
                <w:color w:val="000000"/>
                <w:kern w:val="2"/>
                <w:sz w:val="21"/>
                <w:szCs w:val="21"/>
              </w:rPr>
              <w:t>2.会操作练习小儿心肺复述法</w:t>
            </w:r>
          </w:p>
          <w:p w14:paraId="4FAF302E">
            <w:pPr>
              <w:jc w:val="both"/>
              <w:rPr>
                <w:rFonts w:cs="Times New Roman"/>
                <w:kern w:val="2"/>
                <w:sz w:val="21"/>
                <w:szCs w:val="21"/>
              </w:rPr>
            </w:pPr>
          </w:p>
        </w:tc>
        <w:tc>
          <w:tcPr>
            <w:tcW w:w="1134" w:type="dxa"/>
          </w:tcPr>
          <w:p w14:paraId="3CED7188">
            <w:pPr>
              <w:jc w:val="both"/>
              <w:rPr>
                <w:rFonts w:cs="Times New Roman"/>
                <w:kern w:val="2"/>
                <w:sz w:val="21"/>
                <w:szCs w:val="21"/>
              </w:rPr>
            </w:pPr>
            <w:r>
              <w:rPr>
                <w:rFonts w:hint="eastAsia"/>
                <w:sz w:val="21"/>
                <w:szCs w:val="21"/>
              </w:rPr>
              <w:t>树立“一切以病人为中心”的理念，具有慎独精神，实事求是的态度。</w:t>
            </w:r>
            <w:r>
              <w:rPr>
                <w:sz w:val="21"/>
                <w:szCs w:val="21"/>
              </w:rPr>
              <w:t xml:space="preserve"> </w:t>
            </w:r>
          </w:p>
        </w:tc>
        <w:tc>
          <w:tcPr>
            <w:tcW w:w="992" w:type="dxa"/>
          </w:tcPr>
          <w:p w14:paraId="5F51F1BF">
            <w:pPr>
              <w:widowControl w:val="0"/>
              <w:jc w:val="both"/>
              <w:rPr>
                <w:color w:val="000000"/>
                <w:kern w:val="2"/>
                <w:sz w:val="21"/>
                <w:szCs w:val="21"/>
              </w:rPr>
            </w:pPr>
            <w:r>
              <w:rPr>
                <w:rFonts w:hint="eastAsia"/>
                <w:color w:val="000000"/>
                <w:kern w:val="2"/>
                <w:sz w:val="21"/>
                <w:szCs w:val="21"/>
              </w:rPr>
              <w:t>循环系统疾病患</w:t>
            </w:r>
            <w:r>
              <w:rPr>
                <w:rFonts w:hint="eastAsia"/>
                <w:color w:val="000000"/>
                <w:sz w:val="21"/>
                <w:szCs w:val="21"/>
              </w:rPr>
              <w:t>儿</w:t>
            </w:r>
            <w:r>
              <w:rPr>
                <w:rFonts w:hint="eastAsia"/>
                <w:color w:val="000000"/>
                <w:kern w:val="2"/>
                <w:sz w:val="21"/>
                <w:szCs w:val="21"/>
              </w:rPr>
              <w:t>的评估与护理</w:t>
            </w:r>
          </w:p>
          <w:p w14:paraId="095EF827">
            <w:pPr>
              <w:spacing w:line="360" w:lineRule="auto"/>
              <w:jc w:val="both"/>
              <w:rPr>
                <w:color w:val="000000"/>
                <w:kern w:val="2"/>
                <w:sz w:val="21"/>
                <w:szCs w:val="21"/>
              </w:rPr>
            </w:pPr>
          </w:p>
        </w:tc>
      </w:tr>
      <w:tr w14:paraId="65CA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26" w:type="dxa"/>
            <w:vAlign w:val="center"/>
          </w:tcPr>
          <w:p w14:paraId="2761EB3A">
            <w:pPr>
              <w:widowControl w:val="0"/>
              <w:spacing w:line="360" w:lineRule="auto"/>
              <w:jc w:val="center"/>
              <w:rPr>
                <w:color w:val="000000"/>
                <w:kern w:val="2"/>
                <w:sz w:val="21"/>
                <w:szCs w:val="21"/>
              </w:rPr>
            </w:pPr>
            <w:r>
              <w:rPr>
                <w:rFonts w:hint="eastAsia"/>
                <w:color w:val="000000"/>
                <w:kern w:val="2"/>
                <w:sz w:val="21"/>
                <w:szCs w:val="21"/>
              </w:rPr>
              <w:t>8</w:t>
            </w:r>
          </w:p>
        </w:tc>
        <w:tc>
          <w:tcPr>
            <w:tcW w:w="708" w:type="dxa"/>
            <w:vAlign w:val="center"/>
          </w:tcPr>
          <w:p w14:paraId="27126DAB">
            <w:pPr>
              <w:spacing w:line="360" w:lineRule="auto"/>
              <w:rPr>
                <w:color w:val="000000"/>
                <w:sz w:val="21"/>
                <w:szCs w:val="21"/>
              </w:rPr>
            </w:pPr>
            <w:r>
              <w:rPr>
                <w:rFonts w:hint="eastAsia"/>
                <w:color w:val="000000"/>
                <w:sz w:val="21"/>
                <w:szCs w:val="21"/>
              </w:rPr>
              <w:t>血液</w:t>
            </w:r>
            <w:r>
              <w:rPr>
                <w:rFonts w:hint="eastAsia"/>
                <w:color w:val="000000"/>
                <w:kern w:val="2"/>
                <w:sz w:val="21"/>
                <w:szCs w:val="21"/>
              </w:rPr>
              <w:t>系统疾病患儿的保健与护理</w:t>
            </w:r>
          </w:p>
          <w:p w14:paraId="1DC183FB">
            <w:pPr>
              <w:widowControl w:val="0"/>
              <w:spacing w:line="360" w:lineRule="auto"/>
              <w:jc w:val="center"/>
              <w:rPr>
                <w:color w:val="000000"/>
                <w:kern w:val="2"/>
                <w:sz w:val="21"/>
                <w:szCs w:val="21"/>
              </w:rPr>
            </w:pPr>
          </w:p>
        </w:tc>
        <w:tc>
          <w:tcPr>
            <w:tcW w:w="2977" w:type="dxa"/>
          </w:tcPr>
          <w:p w14:paraId="1E373D4D">
            <w:pPr>
              <w:widowControl w:val="0"/>
              <w:rPr>
                <w:color w:val="000000"/>
                <w:kern w:val="2"/>
                <w:sz w:val="21"/>
                <w:szCs w:val="21"/>
              </w:rPr>
            </w:pPr>
            <w:r>
              <w:rPr>
                <w:rFonts w:hint="eastAsia"/>
                <w:color w:val="000000"/>
                <w:kern w:val="2"/>
                <w:sz w:val="21"/>
                <w:szCs w:val="21"/>
              </w:rPr>
              <w:t>1.知道小儿血液的特点</w:t>
            </w:r>
          </w:p>
          <w:p w14:paraId="16303075">
            <w:pPr>
              <w:widowControl w:val="0"/>
              <w:rPr>
                <w:color w:val="000000"/>
                <w:kern w:val="2"/>
                <w:sz w:val="21"/>
                <w:szCs w:val="21"/>
              </w:rPr>
            </w:pPr>
            <w:r>
              <w:rPr>
                <w:rFonts w:hint="eastAsia"/>
                <w:color w:val="000000"/>
                <w:kern w:val="2"/>
                <w:sz w:val="21"/>
                <w:szCs w:val="21"/>
              </w:rPr>
              <w:t>2.能理解小儿血液的特点及小儿贫血的标准</w:t>
            </w:r>
          </w:p>
          <w:p w14:paraId="151EC6A8">
            <w:pPr>
              <w:widowControl w:val="0"/>
              <w:rPr>
                <w:color w:val="000000"/>
                <w:kern w:val="2"/>
                <w:sz w:val="21"/>
                <w:szCs w:val="21"/>
              </w:rPr>
            </w:pPr>
            <w:r>
              <w:rPr>
                <w:rFonts w:hint="eastAsia"/>
                <w:color w:val="000000"/>
                <w:kern w:val="2"/>
                <w:sz w:val="21"/>
                <w:szCs w:val="21"/>
              </w:rPr>
              <w:t>3.能分析不同程度贫血，区别正常与异常</w:t>
            </w:r>
          </w:p>
          <w:p w14:paraId="4E80819D">
            <w:pPr>
              <w:widowControl w:val="0"/>
              <w:rPr>
                <w:color w:val="000000"/>
                <w:kern w:val="2"/>
                <w:sz w:val="21"/>
                <w:szCs w:val="21"/>
              </w:rPr>
            </w:pPr>
            <w:r>
              <w:rPr>
                <w:rFonts w:hint="eastAsia"/>
                <w:color w:val="000000"/>
                <w:sz w:val="21"/>
                <w:szCs w:val="21"/>
              </w:rPr>
              <w:t>4.能理解小儿贫血（营养性缺铁性贫血、巨幼红细胞性贫血、</w:t>
            </w:r>
            <w:r>
              <w:rPr>
                <w:color w:val="000000"/>
                <w:sz w:val="21"/>
                <w:szCs w:val="21"/>
              </w:rPr>
              <w:t>G-6PD</w:t>
            </w:r>
            <w:r>
              <w:rPr>
                <w:rFonts w:hint="eastAsia"/>
                <w:color w:val="000000"/>
                <w:sz w:val="21"/>
                <w:szCs w:val="21"/>
              </w:rPr>
              <w:t>缺陷症）的临床表现、并进行护理评估及制定护理计划</w:t>
            </w:r>
          </w:p>
          <w:p w14:paraId="6C502446">
            <w:pPr>
              <w:widowControl w:val="0"/>
              <w:rPr>
                <w:color w:val="000000"/>
                <w:kern w:val="2"/>
                <w:sz w:val="21"/>
                <w:szCs w:val="21"/>
              </w:rPr>
            </w:pPr>
            <w:r>
              <w:rPr>
                <w:rFonts w:hint="eastAsia"/>
                <w:color w:val="000000"/>
                <w:kern w:val="2"/>
                <w:sz w:val="21"/>
                <w:szCs w:val="21"/>
              </w:rPr>
              <w:t>5.知道</w:t>
            </w:r>
            <w:r>
              <w:rPr>
                <w:rFonts w:hint="eastAsia"/>
                <w:color w:val="000000"/>
                <w:sz w:val="21"/>
                <w:szCs w:val="21"/>
              </w:rPr>
              <w:t>小儿贫血（营养性缺铁性贫血、巨幼红细胞性贫血、</w:t>
            </w:r>
            <w:r>
              <w:rPr>
                <w:color w:val="000000"/>
                <w:sz w:val="21"/>
                <w:szCs w:val="21"/>
              </w:rPr>
              <w:t>G-6PD</w:t>
            </w:r>
            <w:r>
              <w:rPr>
                <w:rFonts w:hint="eastAsia"/>
                <w:color w:val="000000"/>
                <w:sz w:val="21"/>
                <w:szCs w:val="21"/>
              </w:rPr>
              <w:t>缺陷症）常见的护理问题、相关护理措施及依据</w:t>
            </w:r>
          </w:p>
          <w:p w14:paraId="1E329D5F">
            <w:pPr>
              <w:widowControl w:val="0"/>
              <w:rPr>
                <w:color w:val="000000"/>
                <w:sz w:val="21"/>
                <w:szCs w:val="21"/>
              </w:rPr>
            </w:pPr>
            <w:r>
              <w:rPr>
                <w:rFonts w:hint="eastAsia"/>
                <w:color w:val="000000"/>
                <w:sz w:val="21"/>
                <w:szCs w:val="21"/>
              </w:rPr>
              <w:t>6.知道血液</w:t>
            </w:r>
            <w:r>
              <w:rPr>
                <w:rFonts w:hint="eastAsia"/>
                <w:color w:val="000000"/>
                <w:kern w:val="2"/>
                <w:sz w:val="21"/>
                <w:szCs w:val="21"/>
              </w:rPr>
              <w:t>系统疾病患</w:t>
            </w:r>
            <w:r>
              <w:rPr>
                <w:rFonts w:hint="eastAsia"/>
                <w:color w:val="000000"/>
                <w:sz w:val="21"/>
                <w:szCs w:val="21"/>
              </w:rPr>
              <w:t>儿及其家庭整体护理及保健</w:t>
            </w:r>
          </w:p>
        </w:tc>
        <w:tc>
          <w:tcPr>
            <w:tcW w:w="1985" w:type="dxa"/>
          </w:tcPr>
          <w:p w14:paraId="33959F80">
            <w:pPr>
              <w:widowControl w:val="0"/>
              <w:rPr>
                <w:color w:val="000000"/>
                <w:kern w:val="2"/>
                <w:sz w:val="21"/>
                <w:szCs w:val="21"/>
              </w:rPr>
            </w:pPr>
            <w:r>
              <w:rPr>
                <w:color w:val="000000"/>
                <w:kern w:val="2"/>
                <w:sz w:val="21"/>
                <w:szCs w:val="21"/>
              </w:rPr>
              <w:t>1</w:t>
            </w:r>
            <w:r>
              <w:rPr>
                <w:rFonts w:hint="eastAsia"/>
                <w:color w:val="000000"/>
                <w:kern w:val="2"/>
                <w:sz w:val="21"/>
                <w:szCs w:val="21"/>
              </w:rPr>
              <w:t>.能对血液疾病患</w:t>
            </w:r>
            <w:r>
              <w:rPr>
                <w:rFonts w:hint="eastAsia"/>
                <w:color w:val="000000"/>
                <w:sz w:val="21"/>
                <w:szCs w:val="21"/>
              </w:rPr>
              <w:t>儿</w:t>
            </w:r>
            <w:r>
              <w:rPr>
                <w:rFonts w:hint="eastAsia"/>
                <w:color w:val="000000"/>
                <w:kern w:val="2"/>
                <w:sz w:val="21"/>
                <w:szCs w:val="21"/>
              </w:rPr>
              <w:t>的评估与护理</w:t>
            </w:r>
          </w:p>
          <w:p w14:paraId="20FD473C">
            <w:pPr>
              <w:widowControl w:val="0"/>
              <w:rPr>
                <w:color w:val="000000"/>
                <w:kern w:val="2"/>
                <w:sz w:val="21"/>
                <w:szCs w:val="21"/>
              </w:rPr>
            </w:pPr>
            <w:r>
              <w:rPr>
                <w:rFonts w:hint="eastAsia"/>
                <w:color w:val="000000"/>
                <w:kern w:val="2"/>
                <w:sz w:val="21"/>
                <w:szCs w:val="21"/>
              </w:rPr>
              <w:t>2.会操作练习取血标本法</w:t>
            </w:r>
          </w:p>
          <w:p w14:paraId="10C05A2C">
            <w:pPr>
              <w:widowControl w:val="0"/>
              <w:rPr>
                <w:color w:val="000000"/>
                <w:kern w:val="2"/>
                <w:sz w:val="21"/>
                <w:szCs w:val="21"/>
              </w:rPr>
            </w:pPr>
            <w:r>
              <w:rPr>
                <w:rFonts w:hint="eastAsia"/>
                <w:color w:val="000000"/>
                <w:kern w:val="2"/>
                <w:sz w:val="21"/>
                <w:szCs w:val="21"/>
              </w:rPr>
              <w:t>3.会操作练习小儿静脉补液法</w:t>
            </w:r>
          </w:p>
          <w:p w14:paraId="1B6FFAD0">
            <w:pPr>
              <w:widowControl w:val="0"/>
              <w:rPr>
                <w:rFonts w:cs="Times New Roman"/>
                <w:kern w:val="2"/>
                <w:sz w:val="21"/>
                <w:szCs w:val="21"/>
              </w:rPr>
            </w:pPr>
          </w:p>
        </w:tc>
        <w:tc>
          <w:tcPr>
            <w:tcW w:w="1134" w:type="dxa"/>
          </w:tcPr>
          <w:p w14:paraId="2902B9D7">
            <w:pPr>
              <w:widowControl w:val="0"/>
              <w:jc w:val="both"/>
              <w:rPr>
                <w:rFonts w:cs="Times New Roman"/>
                <w:kern w:val="2"/>
                <w:sz w:val="21"/>
                <w:szCs w:val="21"/>
              </w:rPr>
            </w:pPr>
            <w:r>
              <w:rPr>
                <w:rFonts w:hint="eastAsia"/>
                <w:sz w:val="21"/>
                <w:szCs w:val="21"/>
              </w:rPr>
              <w:t>树立“一切以病人为中心”的理念，具有慎独精神，实事求是的态度。</w:t>
            </w:r>
            <w:r>
              <w:rPr>
                <w:sz w:val="21"/>
                <w:szCs w:val="21"/>
              </w:rPr>
              <w:t xml:space="preserve"> </w:t>
            </w:r>
          </w:p>
        </w:tc>
        <w:tc>
          <w:tcPr>
            <w:tcW w:w="992" w:type="dxa"/>
          </w:tcPr>
          <w:p w14:paraId="17E826A0">
            <w:pPr>
              <w:widowControl w:val="0"/>
              <w:jc w:val="both"/>
              <w:rPr>
                <w:color w:val="000000"/>
                <w:kern w:val="2"/>
                <w:sz w:val="21"/>
                <w:szCs w:val="21"/>
              </w:rPr>
            </w:pPr>
            <w:r>
              <w:rPr>
                <w:rFonts w:hint="eastAsia"/>
                <w:color w:val="000000"/>
                <w:kern w:val="2"/>
                <w:sz w:val="21"/>
                <w:szCs w:val="21"/>
              </w:rPr>
              <w:t>血液疾病患</w:t>
            </w:r>
            <w:r>
              <w:rPr>
                <w:rFonts w:hint="eastAsia"/>
                <w:color w:val="000000"/>
                <w:sz w:val="21"/>
                <w:szCs w:val="21"/>
              </w:rPr>
              <w:t>儿</w:t>
            </w:r>
            <w:r>
              <w:rPr>
                <w:rFonts w:hint="eastAsia"/>
                <w:color w:val="000000"/>
                <w:kern w:val="2"/>
                <w:sz w:val="21"/>
                <w:szCs w:val="21"/>
              </w:rPr>
              <w:t>的评估与护理</w:t>
            </w:r>
          </w:p>
          <w:p w14:paraId="110D2246">
            <w:pPr>
              <w:spacing w:line="360" w:lineRule="auto"/>
              <w:jc w:val="both"/>
              <w:rPr>
                <w:color w:val="000000"/>
                <w:kern w:val="2"/>
                <w:sz w:val="21"/>
                <w:szCs w:val="21"/>
              </w:rPr>
            </w:pPr>
          </w:p>
        </w:tc>
      </w:tr>
      <w:tr w14:paraId="63E6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26" w:type="dxa"/>
            <w:vAlign w:val="center"/>
          </w:tcPr>
          <w:p w14:paraId="0C6F53C4">
            <w:pPr>
              <w:widowControl w:val="0"/>
              <w:spacing w:line="360" w:lineRule="auto"/>
              <w:jc w:val="center"/>
              <w:rPr>
                <w:color w:val="000000"/>
                <w:kern w:val="2"/>
                <w:sz w:val="21"/>
                <w:szCs w:val="21"/>
              </w:rPr>
            </w:pPr>
            <w:r>
              <w:rPr>
                <w:rFonts w:hint="eastAsia"/>
                <w:color w:val="000000"/>
                <w:kern w:val="2"/>
                <w:sz w:val="21"/>
                <w:szCs w:val="21"/>
              </w:rPr>
              <w:t>9</w:t>
            </w:r>
          </w:p>
        </w:tc>
        <w:tc>
          <w:tcPr>
            <w:tcW w:w="708" w:type="dxa"/>
            <w:vAlign w:val="center"/>
          </w:tcPr>
          <w:p w14:paraId="26CF4EE2">
            <w:pPr>
              <w:spacing w:line="360" w:lineRule="auto"/>
              <w:rPr>
                <w:color w:val="000000"/>
                <w:sz w:val="21"/>
                <w:szCs w:val="21"/>
              </w:rPr>
            </w:pPr>
            <w:r>
              <w:rPr>
                <w:rFonts w:hint="eastAsia"/>
                <w:color w:val="000000"/>
                <w:kern w:val="2"/>
                <w:sz w:val="21"/>
                <w:szCs w:val="21"/>
              </w:rPr>
              <w:t>泌尿系统疾病患儿的保健与护理</w:t>
            </w:r>
          </w:p>
          <w:p w14:paraId="18930A1B">
            <w:pPr>
              <w:widowControl w:val="0"/>
              <w:spacing w:line="360" w:lineRule="auto"/>
              <w:jc w:val="center"/>
              <w:rPr>
                <w:color w:val="000000"/>
                <w:kern w:val="2"/>
                <w:sz w:val="21"/>
                <w:szCs w:val="21"/>
              </w:rPr>
            </w:pPr>
          </w:p>
        </w:tc>
        <w:tc>
          <w:tcPr>
            <w:tcW w:w="2977" w:type="dxa"/>
          </w:tcPr>
          <w:p w14:paraId="7341250A">
            <w:pPr>
              <w:widowControl w:val="0"/>
              <w:rPr>
                <w:color w:val="000000"/>
                <w:kern w:val="2"/>
                <w:sz w:val="21"/>
                <w:szCs w:val="21"/>
              </w:rPr>
            </w:pPr>
            <w:r>
              <w:rPr>
                <w:rFonts w:hint="eastAsia"/>
                <w:color w:val="000000"/>
                <w:kern w:val="2"/>
                <w:sz w:val="21"/>
                <w:szCs w:val="21"/>
              </w:rPr>
              <w:t>1.知道小儿泌尿系统的解剖生理特点</w:t>
            </w:r>
          </w:p>
          <w:p w14:paraId="7FEB9269">
            <w:pPr>
              <w:widowControl w:val="0"/>
              <w:rPr>
                <w:color w:val="000000"/>
                <w:kern w:val="2"/>
                <w:sz w:val="21"/>
                <w:szCs w:val="21"/>
              </w:rPr>
            </w:pPr>
            <w:r>
              <w:rPr>
                <w:rFonts w:hint="eastAsia"/>
                <w:color w:val="000000"/>
                <w:kern w:val="2"/>
                <w:sz w:val="21"/>
                <w:szCs w:val="21"/>
              </w:rPr>
              <w:t>2.理解小儿泌尿系统的解剖生理特点及其与本系统疾病的关系</w:t>
            </w:r>
          </w:p>
          <w:p w14:paraId="0B66C34F">
            <w:pPr>
              <w:widowControl w:val="0"/>
              <w:rPr>
                <w:color w:val="000000"/>
                <w:kern w:val="2"/>
                <w:sz w:val="21"/>
                <w:szCs w:val="21"/>
              </w:rPr>
            </w:pPr>
            <w:r>
              <w:rPr>
                <w:rFonts w:hint="eastAsia"/>
                <w:color w:val="000000"/>
                <w:kern w:val="2"/>
                <w:sz w:val="21"/>
                <w:szCs w:val="21"/>
              </w:rPr>
              <w:t>3.知道不同年龄尿液检查的特点，区别正常与异常</w:t>
            </w:r>
          </w:p>
          <w:p w14:paraId="5DBCA7A7">
            <w:pPr>
              <w:widowControl w:val="0"/>
              <w:rPr>
                <w:color w:val="000000"/>
                <w:kern w:val="2"/>
                <w:sz w:val="21"/>
                <w:szCs w:val="21"/>
              </w:rPr>
            </w:pPr>
            <w:r>
              <w:rPr>
                <w:rFonts w:hint="eastAsia"/>
                <w:color w:val="000000"/>
                <w:sz w:val="21"/>
                <w:szCs w:val="21"/>
              </w:rPr>
              <w:t>4.知道常见小儿</w:t>
            </w:r>
            <w:r>
              <w:rPr>
                <w:rFonts w:hint="eastAsia"/>
                <w:color w:val="000000"/>
                <w:kern w:val="2"/>
                <w:sz w:val="21"/>
                <w:szCs w:val="21"/>
              </w:rPr>
              <w:t>泌尿系统疾病</w:t>
            </w:r>
            <w:r>
              <w:rPr>
                <w:rFonts w:hint="eastAsia"/>
                <w:color w:val="000000"/>
                <w:sz w:val="21"/>
                <w:szCs w:val="21"/>
              </w:rPr>
              <w:t>（急性肾炎、肾病综合征、尿路感染）的临床表现、并进行护理评估及制定护理计划</w:t>
            </w:r>
          </w:p>
          <w:p w14:paraId="370001E5">
            <w:pPr>
              <w:widowControl w:val="0"/>
              <w:rPr>
                <w:color w:val="000000"/>
                <w:kern w:val="2"/>
                <w:sz w:val="21"/>
                <w:szCs w:val="21"/>
              </w:rPr>
            </w:pPr>
            <w:r>
              <w:rPr>
                <w:rFonts w:hint="eastAsia"/>
                <w:color w:val="000000"/>
                <w:kern w:val="2"/>
                <w:sz w:val="21"/>
                <w:szCs w:val="21"/>
              </w:rPr>
              <w:t>5.知道</w:t>
            </w:r>
            <w:r>
              <w:rPr>
                <w:rFonts w:hint="eastAsia"/>
                <w:color w:val="000000"/>
                <w:sz w:val="21"/>
                <w:szCs w:val="21"/>
              </w:rPr>
              <w:t>小儿</w:t>
            </w:r>
            <w:r>
              <w:rPr>
                <w:rFonts w:hint="eastAsia"/>
                <w:color w:val="000000"/>
                <w:kern w:val="2"/>
                <w:sz w:val="21"/>
                <w:szCs w:val="21"/>
              </w:rPr>
              <w:t>泌尿系统疾病</w:t>
            </w:r>
            <w:r>
              <w:rPr>
                <w:rFonts w:hint="eastAsia"/>
                <w:color w:val="000000"/>
                <w:sz w:val="21"/>
                <w:szCs w:val="21"/>
              </w:rPr>
              <w:t>（急性肾炎、肾病综合征、尿路感染）常见的护理问题、相关护理措施及依据</w:t>
            </w:r>
          </w:p>
          <w:p w14:paraId="4F5FBCA8">
            <w:pPr>
              <w:widowControl w:val="0"/>
              <w:rPr>
                <w:color w:val="000000"/>
                <w:sz w:val="21"/>
                <w:szCs w:val="21"/>
              </w:rPr>
            </w:pPr>
            <w:r>
              <w:rPr>
                <w:rFonts w:hint="eastAsia"/>
                <w:color w:val="000000"/>
                <w:sz w:val="21"/>
                <w:szCs w:val="21"/>
              </w:rPr>
              <w:t>6.知道</w:t>
            </w:r>
            <w:r>
              <w:rPr>
                <w:rFonts w:hint="eastAsia"/>
                <w:color w:val="000000"/>
                <w:kern w:val="2"/>
                <w:sz w:val="21"/>
                <w:szCs w:val="21"/>
              </w:rPr>
              <w:t>泌尿系统疾病患</w:t>
            </w:r>
            <w:r>
              <w:rPr>
                <w:rFonts w:hint="eastAsia"/>
                <w:color w:val="000000"/>
                <w:sz w:val="21"/>
                <w:szCs w:val="21"/>
              </w:rPr>
              <w:t>儿及其家庭整体护理及保健</w:t>
            </w:r>
          </w:p>
          <w:p w14:paraId="4DD7905B">
            <w:pPr>
              <w:widowControl w:val="0"/>
              <w:rPr>
                <w:color w:val="000000"/>
                <w:sz w:val="21"/>
                <w:szCs w:val="21"/>
              </w:rPr>
            </w:pPr>
          </w:p>
        </w:tc>
        <w:tc>
          <w:tcPr>
            <w:tcW w:w="1985" w:type="dxa"/>
          </w:tcPr>
          <w:p w14:paraId="1873DDE3">
            <w:pPr>
              <w:widowControl w:val="0"/>
              <w:rPr>
                <w:color w:val="000000"/>
                <w:kern w:val="2"/>
                <w:sz w:val="21"/>
                <w:szCs w:val="21"/>
              </w:rPr>
            </w:pPr>
            <w:r>
              <w:rPr>
                <w:color w:val="000000"/>
                <w:kern w:val="2"/>
                <w:sz w:val="21"/>
                <w:szCs w:val="21"/>
              </w:rPr>
              <w:t>1</w:t>
            </w:r>
            <w:r>
              <w:rPr>
                <w:rFonts w:hint="eastAsia"/>
                <w:color w:val="000000"/>
                <w:kern w:val="2"/>
                <w:sz w:val="21"/>
                <w:szCs w:val="21"/>
              </w:rPr>
              <w:t>.能对泌尿系统疾病患</w:t>
            </w:r>
            <w:r>
              <w:rPr>
                <w:rFonts w:hint="eastAsia"/>
                <w:color w:val="000000"/>
                <w:sz w:val="21"/>
                <w:szCs w:val="21"/>
              </w:rPr>
              <w:t>儿</w:t>
            </w:r>
            <w:r>
              <w:rPr>
                <w:rFonts w:hint="eastAsia"/>
                <w:color w:val="000000"/>
                <w:kern w:val="2"/>
                <w:sz w:val="21"/>
                <w:szCs w:val="21"/>
              </w:rPr>
              <w:t>的评估与护理</w:t>
            </w:r>
          </w:p>
          <w:p w14:paraId="0FD53780">
            <w:pPr>
              <w:widowControl w:val="0"/>
              <w:rPr>
                <w:color w:val="000000"/>
                <w:kern w:val="2"/>
                <w:sz w:val="21"/>
                <w:szCs w:val="21"/>
              </w:rPr>
            </w:pPr>
            <w:r>
              <w:rPr>
                <w:rFonts w:hint="eastAsia"/>
                <w:color w:val="000000"/>
                <w:kern w:val="2"/>
                <w:sz w:val="21"/>
                <w:szCs w:val="21"/>
              </w:rPr>
              <w:t>2.会操作练习留尿标本法</w:t>
            </w:r>
          </w:p>
          <w:p w14:paraId="2FF0DE84">
            <w:pPr>
              <w:widowControl w:val="0"/>
              <w:rPr>
                <w:color w:val="000000"/>
                <w:kern w:val="2"/>
                <w:sz w:val="21"/>
                <w:szCs w:val="21"/>
              </w:rPr>
            </w:pPr>
            <w:r>
              <w:rPr>
                <w:rFonts w:hint="eastAsia"/>
                <w:color w:val="000000"/>
                <w:kern w:val="2"/>
                <w:sz w:val="21"/>
                <w:szCs w:val="21"/>
              </w:rPr>
              <w:t>3.会操作练习灌肠法</w:t>
            </w:r>
          </w:p>
          <w:p w14:paraId="6E3A8AE2">
            <w:pPr>
              <w:rPr>
                <w:rFonts w:cs="Times New Roman"/>
                <w:kern w:val="2"/>
                <w:sz w:val="21"/>
                <w:szCs w:val="21"/>
              </w:rPr>
            </w:pPr>
          </w:p>
        </w:tc>
        <w:tc>
          <w:tcPr>
            <w:tcW w:w="1134" w:type="dxa"/>
          </w:tcPr>
          <w:p w14:paraId="7228432B">
            <w:pPr>
              <w:rPr>
                <w:rFonts w:cs="Times New Roman"/>
                <w:kern w:val="2"/>
                <w:sz w:val="21"/>
                <w:szCs w:val="21"/>
              </w:rPr>
            </w:pPr>
            <w:r>
              <w:rPr>
                <w:rFonts w:hint="eastAsia"/>
                <w:sz w:val="21"/>
                <w:szCs w:val="21"/>
              </w:rPr>
              <w:t>树立“一切以病人为中心”的理念，具有慎独精神，实事求是的态度。</w:t>
            </w:r>
            <w:r>
              <w:rPr>
                <w:sz w:val="21"/>
                <w:szCs w:val="21"/>
              </w:rPr>
              <w:t xml:space="preserve"> </w:t>
            </w:r>
          </w:p>
        </w:tc>
        <w:tc>
          <w:tcPr>
            <w:tcW w:w="992" w:type="dxa"/>
          </w:tcPr>
          <w:p w14:paraId="2C16B8AA">
            <w:pPr>
              <w:widowControl w:val="0"/>
              <w:rPr>
                <w:color w:val="000000"/>
                <w:kern w:val="2"/>
                <w:sz w:val="21"/>
                <w:szCs w:val="21"/>
              </w:rPr>
            </w:pPr>
            <w:r>
              <w:rPr>
                <w:rFonts w:hint="eastAsia"/>
                <w:color w:val="000000"/>
                <w:kern w:val="2"/>
                <w:sz w:val="21"/>
                <w:szCs w:val="21"/>
              </w:rPr>
              <w:t>泌尿系统疾病患</w:t>
            </w:r>
            <w:r>
              <w:rPr>
                <w:rFonts w:hint="eastAsia"/>
                <w:color w:val="000000"/>
                <w:sz w:val="21"/>
                <w:szCs w:val="21"/>
              </w:rPr>
              <w:t>儿</w:t>
            </w:r>
            <w:r>
              <w:rPr>
                <w:rFonts w:hint="eastAsia"/>
                <w:color w:val="000000"/>
                <w:kern w:val="2"/>
                <w:sz w:val="21"/>
                <w:szCs w:val="21"/>
              </w:rPr>
              <w:t>的评估与护理</w:t>
            </w:r>
          </w:p>
          <w:p w14:paraId="3F8EA1DB">
            <w:pPr>
              <w:spacing w:line="360" w:lineRule="auto"/>
              <w:jc w:val="both"/>
              <w:rPr>
                <w:color w:val="000000"/>
                <w:kern w:val="2"/>
                <w:sz w:val="21"/>
                <w:szCs w:val="21"/>
              </w:rPr>
            </w:pPr>
          </w:p>
        </w:tc>
      </w:tr>
      <w:tr w14:paraId="59A8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26" w:type="dxa"/>
            <w:vAlign w:val="center"/>
          </w:tcPr>
          <w:p w14:paraId="20D1FFA4">
            <w:pPr>
              <w:widowControl w:val="0"/>
              <w:spacing w:line="360" w:lineRule="auto"/>
              <w:jc w:val="center"/>
              <w:rPr>
                <w:color w:val="000000"/>
                <w:kern w:val="2"/>
                <w:sz w:val="21"/>
                <w:szCs w:val="21"/>
              </w:rPr>
            </w:pPr>
            <w:r>
              <w:rPr>
                <w:rFonts w:hint="eastAsia"/>
                <w:color w:val="000000"/>
                <w:kern w:val="2"/>
                <w:sz w:val="21"/>
                <w:szCs w:val="21"/>
              </w:rPr>
              <w:t>10</w:t>
            </w:r>
          </w:p>
        </w:tc>
        <w:tc>
          <w:tcPr>
            <w:tcW w:w="708" w:type="dxa"/>
            <w:vAlign w:val="center"/>
          </w:tcPr>
          <w:p w14:paraId="471FB0E5">
            <w:pPr>
              <w:spacing w:line="360" w:lineRule="auto"/>
              <w:rPr>
                <w:color w:val="000000"/>
                <w:sz w:val="21"/>
                <w:szCs w:val="21"/>
              </w:rPr>
            </w:pPr>
            <w:r>
              <w:rPr>
                <w:rFonts w:hint="eastAsia"/>
                <w:color w:val="000000"/>
                <w:kern w:val="2"/>
                <w:sz w:val="21"/>
                <w:szCs w:val="21"/>
              </w:rPr>
              <w:t>神经系统疾病患儿的保健与护理</w:t>
            </w:r>
          </w:p>
          <w:p w14:paraId="770BA72D">
            <w:pPr>
              <w:widowControl w:val="0"/>
              <w:spacing w:line="360" w:lineRule="auto"/>
              <w:jc w:val="center"/>
              <w:rPr>
                <w:color w:val="000000"/>
                <w:kern w:val="2"/>
                <w:sz w:val="21"/>
                <w:szCs w:val="21"/>
              </w:rPr>
            </w:pPr>
          </w:p>
        </w:tc>
        <w:tc>
          <w:tcPr>
            <w:tcW w:w="2977" w:type="dxa"/>
          </w:tcPr>
          <w:p w14:paraId="3351789E">
            <w:pPr>
              <w:widowControl w:val="0"/>
              <w:rPr>
                <w:color w:val="000000"/>
                <w:kern w:val="2"/>
                <w:sz w:val="21"/>
                <w:szCs w:val="21"/>
              </w:rPr>
            </w:pPr>
            <w:r>
              <w:rPr>
                <w:rFonts w:hint="eastAsia"/>
                <w:color w:val="000000"/>
                <w:kern w:val="2"/>
                <w:sz w:val="21"/>
                <w:szCs w:val="21"/>
              </w:rPr>
              <w:t>1.知道小儿神经系统的解剖生理特点</w:t>
            </w:r>
          </w:p>
          <w:p w14:paraId="6558B691">
            <w:pPr>
              <w:widowControl w:val="0"/>
              <w:rPr>
                <w:color w:val="000000"/>
                <w:sz w:val="21"/>
                <w:szCs w:val="21"/>
              </w:rPr>
            </w:pPr>
            <w:r>
              <w:rPr>
                <w:rFonts w:hint="eastAsia"/>
                <w:color w:val="000000"/>
                <w:kern w:val="2"/>
                <w:sz w:val="21"/>
                <w:szCs w:val="21"/>
              </w:rPr>
              <w:t>2.理解小儿神经系统的解剖生理特点及其与本系统疾病的关系</w:t>
            </w:r>
          </w:p>
          <w:p w14:paraId="736BB688">
            <w:pPr>
              <w:widowControl w:val="0"/>
              <w:rPr>
                <w:color w:val="000000"/>
                <w:kern w:val="2"/>
                <w:sz w:val="21"/>
                <w:szCs w:val="21"/>
              </w:rPr>
            </w:pPr>
            <w:r>
              <w:rPr>
                <w:rFonts w:hint="eastAsia"/>
                <w:color w:val="000000"/>
                <w:kern w:val="2"/>
                <w:sz w:val="21"/>
                <w:szCs w:val="21"/>
              </w:rPr>
              <w:t>3.知道急性颅内压增高征的表现、区别正常与异常</w:t>
            </w:r>
          </w:p>
          <w:p w14:paraId="25CF8227">
            <w:pPr>
              <w:widowControl w:val="0"/>
              <w:rPr>
                <w:color w:val="000000"/>
                <w:kern w:val="2"/>
                <w:sz w:val="21"/>
                <w:szCs w:val="21"/>
              </w:rPr>
            </w:pPr>
            <w:r>
              <w:rPr>
                <w:rFonts w:hint="eastAsia"/>
                <w:color w:val="000000"/>
                <w:sz w:val="21"/>
                <w:szCs w:val="21"/>
              </w:rPr>
              <w:t>4.理解化脓性脑膜炎的临床表现、并进行护理评估及制定护理计划</w:t>
            </w:r>
          </w:p>
          <w:p w14:paraId="5F7F8D1D">
            <w:pPr>
              <w:widowControl w:val="0"/>
              <w:rPr>
                <w:color w:val="000000"/>
                <w:kern w:val="2"/>
                <w:sz w:val="21"/>
                <w:szCs w:val="21"/>
              </w:rPr>
            </w:pPr>
            <w:r>
              <w:rPr>
                <w:rFonts w:hint="eastAsia"/>
                <w:color w:val="000000"/>
                <w:kern w:val="2"/>
                <w:sz w:val="21"/>
                <w:szCs w:val="21"/>
              </w:rPr>
              <w:t>5.知道</w:t>
            </w:r>
            <w:r>
              <w:rPr>
                <w:rFonts w:hint="eastAsia"/>
                <w:color w:val="000000"/>
                <w:sz w:val="21"/>
                <w:szCs w:val="21"/>
              </w:rPr>
              <w:t>化脓性脑膜炎常见的护理问题、相关护理措施及依据</w:t>
            </w:r>
          </w:p>
          <w:p w14:paraId="22469925">
            <w:pPr>
              <w:widowControl w:val="0"/>
              <w:rPr>
                <w:color w:val="000000"/>
                <w:sz w:val="21"/>
                <w:szCs w:val="21"/>
              </w:rPr>
            </w:pPr>
            <w:r>
              <w:rPr>
                <w:rFonts w:hint="eastAsia"/>
                <w:color w:val="000000"/>
                <w:sz w:val="21"/>
                <w:szCs w:val="21"/>
              </w:rPr>
              <w:t>6.知道</w:t>
            </w:r>
            <w:r>
              <w:rPr>
                <w:rFonts w:hint="eastAsia"/>
                <w:color w:val="000000"/>
                <w:kern w:val="2"/>
                <w:sz w:val="21"/>
                <w:szCs w:val="21"/>
              </w:rPr>
              <w:t>神经系统疾病患</w:t>
            </w:r>
            <w:r>
              <w:rPr>
                <w:rFonts w:hint="eastAsia"/>
                <w:color w:val="000000"/>
                <w:sz w:val="21"/>
                <w:szCs w:val="21"/>
              </w:rPr>
              <w:t>儿及其家庭整体护理及保健</w:t>
            </w:r>
          </w:p>
          <w:p w14:paraId="7291148E">
            <w:pPr>
              <w:widowControl w:val="0"/>
              <w:rPr>
                <w:color w:val="000000"/>
                <w:sz w:val="21"/>
                <w:szCs w:val="21"/>
              </w:rPr>
            </w:pPr>
          </w:p>
        </w:tc>
        <w:tc>
          <w:tcPr>
            <w:tcW w:w="1985" w:type="dxa"/>
          </w:tcPr>
          <w:p w14:paraId="18C259E2">
            <w:pPr>
              <w:widowControl w:val="0"/>
              <w:rPr>
                <w:color w:val="000000"/>
                <w:kern w:val="2"/>
                <w:sz w:val="21"/>
                <w:szCs w:val="21"/>
              </w:rPr>
            </w:pPr>
            <w:r>
              <w:rPr>
                <w:rFonts w:hint="eastAsia"/>
                <w:color w:val="000000"/>
                <w:kern w:val="2"/>
                <w:sz w:val="21"/>
                <w:szCs w:val="21"/>
              </w:rPr>
              <w:t>1.能对神经系统疾病患</w:t>
            </w:r>
            <w:r>
              <w:rPr>
                <w:rFonts w:hint="eastAsia"/>
                <w:color w:val="000000"/>
                <w:sz w:val="21"/>
                <w:szCs w:val="21"/>
              </w:rPr>
              <w:t>儿</w:t>
            </w:r>
            <w:r>
              <w:rPr>
                <w:rFonts w:hint="eastAsia"/>
                <w:color w:val="000000"/>
                <w:kern w:val="2"/>
                <w:sz w:val="21"/>
                <w:szCs w:val="21"/>
              </w:rPr>
              <w:t>的评估与护理</w:t>
            </w:r>
          </w:p>
          <w:p w14:paraId="19896C44">
            <w:pPr>
              <w:widowControl w:val="0"/>
              <w:rPr>
                <w:color w:val="000000"/>
                <w:kern w:val="2"/>
                <w:sz w:val="21"/>
                <w:szCs w:val="21"/>
              </w:rPr>
            </w:pPr>
            <w:r>
              <w:rPr>
                <w:rFonts w:hint="eastAsia"/>
                <w:color w:val="000000"/>
                <w:kern w:val="2"/>
                <w:sz w:val="21"/>
                <w:szCs w:val="21"/>
              </w:rPr>
              <w:t>2.会操作练习神经系统检查法</w:t>
            </w:r>
          </w:p>
          <w:p w14:paraId="7DC5EDEC">
            <w:pPr>
              <w:rPr>
                <w:rFonts w:cs="Times New Roman"/>
                <w:kern w:val="2"/>
                <w:sz w:val="21"/>
                <w:szCs w:val="21"/>
              </w:rPr>
            </w:pPr>
          </w:p>
        </w:tc>
        <w:tc>
          <w:tcPr>
            <w:tcW w:w="1134" w:type="dxa"/>
          </w:tcPr>
          <w:p w14:paraId="4F7104D2">
            <w:pPr>
              <w:rPr>
                <w:rFonts w:cs="Times New Roman"/>
                <w:kern w:val="2"/>
                <w:sz w:val="21"/>
                <w:szCs w:val="21"/>
              </w:rPr>
            </w:pPr>
            <w:r>
              <w:rPr>
                <w:rFonts w:hint="eastAsia"/>
                <w:sz w:val="21"/>
                <w:szCs w:val="21"/>
              </w:rPr>
              <w:t>树立“一切以病人为中心”的理念，具有慎独精神，实事求是的态度。</w:t>
            </w:r>
            <w:r>
              <w:rPr>
                <w:sz w:val="21"/>
                <w:szCs w:val="21"/>
              </w:rPr>
              <w:t xml:space="preserve"> </w:t>
            </w:r>
          </w:p>
        </w:tc>
        <w:tc>
          <w:tcPr>
            <w:tcW w:w="992" w:type="dxa"/>
          </w:tcPr>
          <w:p w14:paraId="004015AA">
            <w:pPr>
              <w:rPr>
                <w:color w:val="000000"/>
                <w:kern w:val="2"/>
                <w:sz w:val="21"/>
                <w:szCs w:val="21"/>
              </w:rPr>
            </w:pPr>
            <w:r>
              <w:rPr>
                <w:rFonts w:hint="eastAsia"/>
                <w:color w:val="000000"/>
                <w:kern w:val="2"/>
                <w:sz w:val="21"/>
                <w:szCs w:val="21"/>
              </w:rPr>
              <w:t>神经系统疾病患</w:t>
            </w:r>
            <w:r>
              <w:rPr>
                <w:rFonts w:hint="eastAsia"/>
                <w:color w:val="000000"/>
                <w:sz w:val="21"/>
                <w:szCs w:val="21"/>
              </w:rPr>
              <w:t>儿</w:t>
            </w:r>
            <w:r>
              <w:rPr>
                <w:rFonts w:hint="eastAsia"/>
                <w:color w:val="000000"/>
                <w:kern w:val="2"/>
                <w:sz w:val="21"/>
                <w:szCs w:val="21"/>
              </w:rPr>
              <w:t>的评估与护理</w:t>
            </w:r>
          </w:p>
        </w:tc>
      </w:tr>
      <w:tr w14:paraId="3964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26" w:type="dxa"/>
            <w:vAlign w:val="center"/>
          </w:tcPr>
          <w:p w14:paraId="56720991">
            <w:pPr>
              <w:widowControl w:val="0"/>
              <w:spacing w:line="360" w:lineRule="auto"/>
              <w:jc w:val="center"/>
              <w:rPr>
                <w:color w:val="000000"/>
                <w:sz w:val="21"/>
                <w:szCs w:val="21"/>
              </w:rPr>
            </w:pPr>
            <w:r>
              <w:rPr>
                <w:rFonts w:hint="eastAsia"/>
                <w:color w:val="000000"/>
                <w:sz w:val="21"/>
                <w:szCs w:val="21"/>
              </w:rPr>
              <w:t>11</w:t>
            </w:r>
          </w:p>
        </w:tc>
        <w:tc>
          <w:tcPr>
            <w:tcW w:w="708" w:type="dxa"/>
            <w:vAlign w:val="center"/>
          </w:tcPr>
          <w:p w14:paraId="0450774D">
            <w:pPr>
              <w:widowControl w:val="0"/>
              <w:spacing w:line="360" w:lineRule="auto"/>
              <w:jc w:val="center"/>
              <w:rPr>
                <w:color w:val="000000"/>
                <w:kern w:val="2"/>
                <w:sz w:val="21"/>
                <w:szCs w:val="21"/>
              </w:rPr>
            </w:pPr>
            <w:r>
              <w:rPr>
                <w:rFonts w:hint="eastAsia"/>
                <w:color w:val="000000"/>
                <w:sz w:val="21"/>
                <w:szCs w:val="21"/>
              </w:rPr>
              <w:t>急危重症患儿的评估与急救</w:t>
            </w:r>
          </w:p>
        </w:tc>
        <w:tc>
          <w:tcPr>
            <w:tcW w:w="2977" w:type="dxa"/>
          </w:tcPr>
          <w:p w14:paraId="5575405D">
            <w:pPr>
              <w:widowControl w:val="0"/>
              <w:rPr>
                <w:color w:val="000000"/>
                <w:sz w:val="21"/>
                <w:szCs w:val="21"/>
              </w:rPr>
            </w:pPr>
            <w:r>
              <w:rPr>
                <w:rFonts w:hint="eastAsia"/>
                <w:color w:val="000000"/>
                <w:sz w:val="21"/>
                <w:szCs w:val="21"/>
              </w:rPr>
              <w:t>1.知道小儿惊厥、急性呼吸衰竭、急性心力衰竭</w:t>
            </w:r>
          </w:p>
          <w:p w14:paraId="2C31EC88">
            <w:pPr>
              <w:widowControl w:val="0"/>
              <w:rPr>
                <w:color w:val="000000"/>
                <w:sz w:val="21"/>
                <w:szCs w:val="21"/>
              </w:rPr>
            </w:pPr>
            <w:r>
              <w:rPr>
                <w:rFonts w:hint="eastAsia"/>
                <w:color w:val="000000"/>
                <w:sz w:val="21"/>
                <w:szCs w:val="21"/>
              </w:rPr>
              <w:t>知道小儿惊厥、急性呼吸衰竭、急性心力衰竭的定义</w:t>
            </w:r>
          </w:p>
          <w:p w14:paraId="7A8A02EC">
            <w:pPr>
              <w:widowControl w:val="0"/>
              <w:rPr>
                <w:color w:val="000000"/>
                <w:sz w:val="21"/>
                <w:szCs w:val="21"/>
              </w:rPr>
            </w:pPr>
            <w:r>
              <w:rPr>
                <w:rFonts w:hint="eastAsia"/>
                <w:color w:val="000000"/>
                <w:sz w:val="21"/>
                <w:szCs w:val="21"/>
              </w:rPr>
              <w:t>2.理解小儿惊厥、急性呼吸衰竭、急性心力衰竭的表现</w:t>
            </w:r>
          </w:p>
          <w:p w14:paraId="41A7D3AB">
            <w:pPr>
              <w:rPr>
                <w:color w:val="000000"/>
                <w:kern w:val="2"/>
                <w:sz w:val="21"/>
                <w:szCs w:val="21"/>
              </w:rPr>
            </w:pPr>
          </w:p>
        </w:tc>
        <w:tc>
          <w:tcPr>
            <w:tcW w:w="1985" w:type="dxa"/>
          </w:tcPr>
          <w:p w14:paraId="669D2ADA">
            <w:pPr>
              <w:widowControl w:val="0"/>
              <w:rPr>
                <w:color w:val="000000"/>
                <w:kern w:val="2"/>
                <w:sz w:val="21"/>
                <w:szCs w:val="21"/>
              </w:rPr>
            </w:pPr>
            <w:r>
              <w:rPr>
                <w:rFonts w:hint="eastAsia"/>
                <w:color w:val="000000"/>
                <w:sz w:val="21"/>
                <w:szCs w:val="21"/>
              </w:rPr>
              <w:t>1.急危重症患儿的评估与急救</w:t>
            </w:r>
          </w:p>
          <w:p w14:paraId="42039245">
            <w:pPr>
              <w:widowControl w:val="0"/>
              <w:rPr>
                <w:color w:val="000000"/>
                <w:kern w:val="2"/>
                <w:sz w:val="21"/>
                <w:szCs w:val="21"/>
              </w:rPr>
            </w:pPr>
            <w:r>
              <w:rPr>
                <w:rFonts w:hint="eastAsia"/>
                <w:color w:val="000000"/>
                <w:kern w:val="2"/>
                <w:sz w:val="21"/>
                <w:szCs w:val="21"/>
              </w:rPr>
              <w:t>2.能够进行急救处理</w:t>
            </w:r>
          </w:p>
          <w:p w14:paraId="472ECD49">
            <w:pPr>
              <w:rPr>
                <w:rFonts w:cs="Times New Roman"/>
                <w:kern w:val="2"/>
                <w:sz w:val="21"/>
                <w:szCs w:val="21"/>
              </w:rPr>
            </w:pPr>
            <w:r>
              <w:rPr>
                <w:rFonts w:hint="eastAsia"/>
                <w:color w:val="000000"/>
                <w:sz w:val="21"/>
                <w:szCs w:val="21"/>
              </w:rPr>
              <w:t>3.运用相关知识对急危重症患儿进行急救</w:t>
            </w:r>
          </w:p>
        </w:tc>
        <w:tc>
          <w:tcPr>
            <w:tcW w:w="1134" w:type="dxa"/>
          </w:tcPr>
          <w:p w14:paraId="735CB9D3">
            <w:pPr>
              <w:rPr>
                <w:rFonts w:cs="Times New Roman"/>
                <w:kern w:val="2"/>
                <w:sz w:val="21"/>
                <w:szCs w:val="21"/>
              </w:rPr>
            </w:pPr>
            <w:r>
              <w:rPr>
                <w:rFonts w:hint="eastAsia"/>
                <w:color w:val="000000"/>
                <w:sz w:val="21"/>
                <w:szCs w:val="21"/>
              </w:rPr>
              <w:t>树立“一切以病人为中心”的理念，具有慎独精神，实事求是的态度。</w:t>
            </w:r>
          </w:p>
        </w:tc>
        <w:tc>
          <w:tcPr>
            <w:tcW w:w="992" w:type="dxa"/>
          </w:tcPr>
          <w:p w14:paraId="0992CB7A">
            <w:pPr>
              <w:widowControl w:val="0"/>
              <w:rPr>
                <w:color w:val="000000"/>
                <w:kern w:val="2"/>
                <w:sz w:val="21"/>
                <w:szCs w:val="21"/>
              </w:rPr>
            </w:pPr>
            <w:r>
              <w:rPr>
                <w:rFonts w:hint="eastAsia"/>
                <w:color w:val="000000"/>
                <w:sz w:val="21"/>
                <w:szCs w:val="21"/>
              </w:rPr>
              <w:t>急危重症患儿的评估与急救</w:t>
            </w:r>
          </w:p>
          <w:p w14:paraId="2BBB1F3A">
            <w:pPr>
              <w:spacing w:line="360" w:lineRule="auto"/>
              <w:jc w:val="both"/>
              <w:rPr>
                <w:color w:val="000000"/>
                <w:kern w:val="2"/>
                <w:sz w:val="21"/>
                <w:szCs w:val="21"/>
              </w:rPr>
            </w:pPr>
          </w:p>
        </w:tc>
      </w:tr>
    </w:tbl>
    <w:p w14:paraId="20C3EEEA">
      <w:pPr>
        <w:pStyle w:val="20"/>
        <w:spacing w:before="81" w:after="163"/>
      </w:pPr>
    </w:p>
    <w:p w14:paraId="2CBA78E3">
      <w:pPr>
        <w:pStyle w:val="20"/>
        <w:spacing w:before="81" w:after="163"/>
      </w:pPr>
      <w:r>
        <w:rPr>
          <w:rFonts w:hint="eastAsia"/>
        </w:rPr>
        <w:t>（二）教学单元对课程目标的支撑关系</w:t>
      </w:r>
    </w:p>
    <w:tbl>
      <w:tblPr>
        <w:tblStyle w:val="9"/>
        <w:tblW w:w="48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888"/>
        <w:gridCol w:w="977"/>
        <w:gridCol w:w="1100"/>
        <w:gridCol w:w="1100"/>
        <w:gridCol w:w="1099"/>
        <w:gridCol w:w="1100"/>
      </w:tblGrid>
      <w:tr w14:paraId="06C3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820" w:type="dxa"/>
            <w:tcBorders>
              <w:top w:val="single" w:color="auto" w:sz="12" w:space="0"/>
              <w:left w:val="single" w:color="auto" w:sz="12" w:space="0"/>
              <w:tl2br w:val="single" w:color="auto" w:sz="4" w:space="0"/>
            </w:tcBorders>
          </w:tcPr>
          <w:p w14:paraId="1A712AE5">
            <w:pPr>
              <w:pStyle w:val="16"/>
              <w:ind w:firstLine="489"/>
              <w:jc w:val="right"/>
              <w:rPr>
                <w:szCs w:val="16"/>
              </w:rPr>
            </w:pPr>
            <w:r>
              <w:rPr>
                <w:rFonts w:hint="eastAsia"/>
                <w:szCs w:val="16"/>
              </w:rPr>
              <w:t>课程目标</w:t>
            </w:r>
          </w:p>
          <w:p w14:paraId="05887AB1">
            <w:pPr>
              <w:pStyle w:val="16"/>
              <w:ind w:right="210"/>
              <w:jc w:val="left"/>
              <w:rPr>
                <w:szCs w:val="16"/>
              </w:rPr>
            </w:pPr>
          </w:p>
          <w:p w14:paraId="105A5352">
            <w:pPr>
              <w:pStyle w:val="16"/>
              <w:ind w:right="210"/>
              <w:jc w:val="left"/>
              <w:rPr>
                <w:szCs w:val="16"/>
              </w:rPr>
            </w:pPr>
            <w:r>
              <w:rPr>
                <w:rFonts w:hint="eastAsia"/>
                <w:szCs w:val="16"/>
              </w:rPr>
              <w:t>教学单元</w:t>
            </w:r>
          </w:p>
        </w:tc>
        <w:tc>
          <w:tcPr>
            <w:tcW w:w="954" w:type="dxa"/>
            <w:tcBorders>
              <w:top w:val="single" w:color="auto" w:sz="12" w:space="0"/>
            </w:tcBorders>
            <w:vAlign w:val="center"/>
          </w:tcPr>
          <w:p w14:paraId="19913DB3">
            <w:pPr>
              <w:pStyle w:val="16"/>
              <w:rPr>
                <w:szCs w:val="16"/>
              </w:rPr>
            </w:pPr>
            <w:r>
              <w:rPr>
                <w:szCs w:val="16"/>
              </w:rPr>
              <w:t xml:space="preserve"> 1</w:t>
            </w:r>
          </w:p>
        </w:tc>
        <w:tc>
          <w:tcPr>
            <w:tcW w:w="1074" w:type="dxa"/>
            <w:tcBorders>
              <w:top w:val="single" w:color="auto" w:sz="12" w:space="0"/>
            </w:tcBorders>
            <w:vAlign w:val="center"/>
          </w:tcPr>
          <w:p w14:paraId="5568E94A">
            <w:pPr>
              <w:pStyle w:val="16"/>
              <w:rPr>
                <w:szCs w:val="16"/>
              </w:rPr>
            </w:pPr>
            <w:r>
              <w:rPr>
                <w:szCs w:val="16"/>
              </w:rPr>
              <w:t xml:space="preserve"> 2</w:t>
            </w:r>
          </w:p>
        </w:tc>
        <w:tc>
          <w:tcPr>
            <w:tcW w:w="1074" w:type="dxa"/>
            <w:tcBorders>
              <w:top w:val="single" w:color="auto" w:sz="12" w:space="0"/>
            </w:tcBorders>
            <w:vAlign w:val="center"/>
          </w:tcPr>
          <w:p w14:paraId="54869A38">
            <w:pPr>
              <w:pStyle w:val="16"/>
              <w:rPr>
                <w:szCs w:val="16"/>
              </w:rPr>
            </w:pPr>
            <w:r>
              <w:rPr>
                <w:szCs w:val="16"/>
              </w:rPr>
              <w:t xml:space="preserve"> 3</w:t>
            </w:r>
          </w:p>
        </w:tc>
        <w:tc>
          <w:tcPr>
            <w:tcW w:w="1073" w:type="dxa"/>
            <w:tcBorders>
              <w:top w:val="single" w:color="auto" w:sz="12" w:space="0"/>
            </w:tcBorders>
            <w:vAlign w:val="center"/>
          </w:tcPr>
          <w:p w14:paraId="046579FB">
            <w:pPr>
              <w:pStyle w:val="16"/>
              <w:rPr>
                <w:szCs w:val="16"/>
              </w:rPr>
            </w:pPr>
            <w:r>
              <w:rPr>
                <w:szCs w:val="16"/>
              </w:rPr>
              <w:t xml:space="preserve"> 4</w:t>
            </w:r>
          </w:p>
        </w:tc>
        <w:tc>
          <w:tcPr>
            <w:tcW w:w="1074" w:type="dxa"/>
            <w:tcBorders>
              <w:top w:val="single" w:color="auto" w:sz="12" w:space="0"/>
              <w:right w:val="single" w:color="auto" w:sz="12" w:space="0"/>
            </w:tcBorders>
            <w:vAlign w:val="center"/>
          </w:tcPr>
          <w:p w14:paraId="62A6F4FF">
            <w:pPr>
              <w:pStyle w:val="16"/>
              <w:rPr>
                <w:szCs w:val="16"/>
              </w:rPr>
            </w:pPr>
            <w:r>
              <w:rPr>
                <w:szCs w:val="16"/>
              </w:rPr>
              <w:t xml:space="preserve"> </w:t>
            </w:r>
            <w:r>
              <w:rPr>
                <w:rFonts w:hint="eastAsia"/>
                <w:szCs w:val="16"/>
              </w:rPr>
              <w:t>5</w:t>
            </w:r>
          </w:p>
        </w:tc>
      </w:tr>
      <w:tr w14:paraId="28BD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20" w:type="dxa"/>
            <w:tcBorders>
              <w:left w:val="single" w:color="auto" w:sz="12" w:space="0"/>
            </w:tcBorders>
            <w:vAlign w:val="center"/>
          </w:tcPr>
          <w:p w14:paraId="67AC1596">
            <w:pPr>
              <w:pStyle w:val="17"/>
            </w:pPr>
            <w:r>
              <w:rPr>
                <w:rFonts w:hint="eastAsia" w:ascii="宋体" w:hAnsi="宋体"/>
              </w:rPr>
              <w:t>第一单元 小儿生长发育保健</w:t>
            </w:r>
          </w:p>
        </w:tc>
        <w:tc>
          <w:tcPr>
            <w:tcW w:w="954" w:type="dxa"/>
            <w:vAlign w:val="center"/>
          </w:tcPr>
          <w:p w14:paraId="4B567A23">
            <w:pPr>
              <w:pStyle w:val="17"/>
            </w:pPr>
            <w:r>
              <w:rPr>
                <w:rFonts w:hint="eastAsia"/>
              </w:rPr>
              <w:t>√</w:t>
            </w:r>
          </w:p>
        </w:tc>
        <w:tc>
          <w:tcPr>
            <w:tcW w:w="1074" w:type="dxa"/>
            <w:vAlign w:val="center"/>
          </w:tcPr>
          <w:p w14:paraId="59A462F8">
            <w:pPr>
              <w:pStyle w:val="17"/>
            </w:pPr>
            <w:r>
              <w:rPr>
                <w:rFonts w:hint="eastAsia"/>
              </w:rPr>
              <w:t>√</w:t>
            </w:r>
          </w:p>
        </w:tc>
        <w:tc>
          <w:tcPr>
            <w:tcW w:w="1074" w:type="dxa"/>
            <w:vAlign w:val="center"/>
          </w:tcPr>
          <w:p w14:paraId="67BBB256">
            <w:pPr>
              <w:pStyle w:val="17"/>
            </w:pPr>
            <w:r>
              <w:rPr>
                <w:rFonts w:hint="eastAsia"/>
              </w:rPr>
              <w:t>√</w:t>
            </w:r>
          </w:p>
        </w:tc>
        <w:tc>
          <w:tcPr>
            <w:tcW w:w="1073" w:type="dxa"/>
            <w:vAlign w:val="center"/>
          </w:tcPr>
          <w:p w14:paraId="04407D0B">
            <w:pPr>
              <w:pStyle w:val="17"/>
            </w:pPr>
            <w:r>
              <w:rPr>
                <w:rFonts w:hint="eastAsia"/>
              </w:rPr>
              <w:t>√</w:t>
            </w:r>
          </w:p>
        </w:tc>
        <w:tc>
          <w:tcPr>
            <w:tcW w:w="1074" w:type="dxa"/>
            <w:tcBorders>
              <w:right w:val="single" w:color="auto" w:sz="12" w:space="0"/>
            </w:tcBorders>
            <w:vAlign w:val="center"/>
          </w:tcPr>
          <w:p w14:paraId="6FB162FC">
            <w:pPr>
              <w:pStyle w:val="17"/>
            </w:pPr>
          </w:p>
        </w:tc>
      </w:tr>
      <w:tr w14:paraId="6CB0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20" w:type="dxa"/>
            <w:tcBorders>
              <w:left w:val="single" w:color="auto" w:sz="12" w:space="0"/>
            </w:tcBorders>
            <w:vAlign w:val="center"/>
          </w:tcPr>
          <w:p w14:paraId="06214888">
            <w:pPr>
              <w:jc w:val="center"/>
              <w:rPr>
                <w:color w:val="000000"/>
                <w:sz w:val="21"/>
                <w:szCs w:val="21"/>
              </w:rPr>
            </w:pPr>
            <w:r>
              <w:rPr>
                <w:rFonts w:hint="eastAsia"/>
                <w:sz w:val="21"/>
                <w:szCs w:val="21"/>
              </w:rPr>
              <w:t>第二单元 小儿营养与喂养的保健</w:t>
            </w:r>
          </w:p>
        </w:tc>
        <w:tc>
          <w:tcPr>
            <w:tcW w:w="954" w:type="dxa"/>
            <w:vAlign w:val="center"/>
          </w:tcPr>
          <w:p w14:paraId="74C82D51">
            <w:pPr>
              <w:pStyle w:val="17"/>
            </w:pPr>
            <w:r>
              <w:rPr>
                <w:rFonts w:hint="eastAsia"/>
              </w:rPr>
              <w:t>√</w:t>
            </w:r>
          </w:p>
        </w:tc>
        <w:tc>
          <w:tcPr>
            <w:tcW w:w="1074" w:type="dxa"/>
            <w:vAlign w:val="center"/>
          </w:tcPr>
          <w:p w14:paraId="45C0137C">
            <w:pPr>
              <w:pStyle w:val="17"/>
            </w:pPr>
            <w:r>
              <w:rPr>
                <w:rFonts w:hint="eastAsia"/>
              </w:rPr>
              <w:t>√</w:t>
            </w:r>
          </w:p>
        </w:tc>
        <w:tc>
          <w:tcPr>
            <w:tcW w:w="1074" w:type="dxa"/>
            <w:vAlign w:val="center"/>
          </w:tcPr>
          <w:p w14:paraId="24C59949">
            <w:pPr>
              <w:pStyle w:val="17"/>
            </w:pPr>
            <w:r>
              <w:rPr>
                <w:rFonts w:hint="eastAsia"/>
              </w:rPr>
              <w:t>√</w:t>
            </w:r>
          </w:p>
        </w:tc>
        <w:tc>
          <w:tcPr>
            <w:tcW w:w="1073" w:type="dxa"/>
            <w:vAlign w:val="center"/>
          </w:tcPr>
          <w:p w14:paraId="21EDFB75">
            <w:pPr>
              <w:pStyle w:val="17"/>
            </w:pPr>
            <w:r>
              <w:rPr>
                <w:rFonts w:hint="eastAsia"/>
              </w:rPr>
              <w:t>√</w:t>
            </w:r>
          </w:p>
        </w:tc>
        <w:tc>
          <w:tcPr>
            <w:tcW w:w="1074" w:type="dxa"/>
            <w:tcBorders>
              <w:right w:val="single" w:color="auto" w:sz="12" w:space="0"/>
            </w:tcBorders>
            <w:vAlign w:val="center"/>
          </w:tcPr>
          <w:p w14:paraId="6FF22B49">
            <w:pPr>
              <w:pStyle w:val="17"/>
            </w:pPr>
            <w:r>
              <w:rPr>
                <w:rFonts w:hint="eastAsia"/>
              </w:rPr>
              <w:t>√</w:t>
            </w:r>
          </w:p>
        </w:tc>
      </w:tr>
      <w:tr w14:paraId="3698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20" w:type="dxa"/>
            <w:tcBorders>
              <w:left w:val="single" w:color="auto" w:sz="12" w:space="0"/>
            </w:tcBorders>
            <w:vAlign w:val="center"/>
          </w:tcPr>
          <w:p w14:paraId="2FCD4816">
            <w:pPr>
              <w:jc w:val="center"/>
              <w:rPr>
                <w:sz w:val="21"/>
                <w:szCs w:val="21"/>
              </w:rPr>
            </w:pPr>
            <w:r>
              <w:rPr>
                <w:rFonts w:hint="eastAsia"/>
                <w:sz w:val="21"/>
                <w:szCs w:val="21"/>
              </w:rPr>
              <w:t>第三单元 正常与异常新生儿的评估与护理</w:t>
            </w:r>
          </w:p>
        </w:tc>
        <w:tc>
          <w:tcPr>
            <w:tcW w:w="954" w:type="dxa"/>
            <w:vAlign w:val="center"/>
          </w:tcPr>
          <w:p w14:paraId="5FEC7126">
            <w:pPr>
              <w:pStyle w:val="17"/>
            </w:pPr>
            <w:r>
              <w:rPr>
                <w:rFonts w:hint="eastAsia"/>
              </w:rPr>
              <w:t>√</w:t>
            </w:r>
          </w:p>
        </w:tc>
        <w:tc>
          <w:tcPr>
            <w:tcW w:w="1074" w:type="dxa"/>
            <w:vAlign w:val="center"/>
          </w:tcPr>
          <w:p w14:paraId="07320533">
            <w:pPr>
              <w:pStyle w:val="17"/>
            </w:pPr>
            <w:r>
              <w:rPr>
                <w:rFonts w:hint="eastAsia"/>
              </w:rPr>
              <w:t>√</w:t>
            </w:r>
          </w:p>
        </w:tc>
        <w:tc>
          <w:tcPr>
            <w:tcW w:w="1074" w:type="dxa"/>
            <w:vAlign w:val="center"/>
          </w:tcPr>
          <w:p w14:paraId="3AB6D873">
            <w:pPr>
              <w:pStyle w:val="17"/>
            </w:pPr>
            <w:r>
              <w:rPr>
                <w:rFonts w:hint="eastAsia"/>
              </w:rPr>
              <w:t>√</w:t>
            </w:r>
          </w:p>
        </w:tc>
        <w:tc>
          <w:tcPr>
            <w:tcW w:w="1073" w:type="dxa"/>
            <w:vAlign w:val="center"/>
          </w:tcPr>
          <w:p w14:paraId="40855D93">
            <w:pPr>
              <w:pStyle w:val="17"/>
            </w:pPr>
            <w:r>
              <w:rPr>
                <w:rFonts w:hint="eastAsia"/>
              </w:rPr>
              <w:t>√</w:t>
            </w:r>
          </w:p>
        </w:tc>
        <w:tc>
          <w:tcPr>
            <w:tcW w:w="1074" w:type="dxa"/>
            <w:tcBorders>
              <w:right w:val="single" w:color="auto" w:sz="12" w:space="0"/>
            </w:tcBorders>
            <w:vAlign w:val="center"/>
          </w:tcPr>
          <w:p w14:paraId="2A70CB4D">
            <w:pPr>
              <w:pStyle w:val="17"/>
            </w:pPr>
            <w:r>
              <w:rPr>
                <w:rFonts w:hint="eastAsia"/>
              </w:rPr>
              <w:t>√</w:t>
            </w:r>
          </w:p>
        </w:tc>
      </w:tr>
      <w:tr w14:paraId="7190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20" w:type="dxa"/>
            <w:tcBorders>
              <w:left w:val="single" w:color="auto" w:sz="12" w:space="0"/>
            </w:tcBorders>
            <w:vAlign w:val="center"/>
          </w:tcPr>
          <w:p w14:paraId="662EB090">
            <w:pPr>
              <w:jc w:val="center"/>
              <w:rPr>
                <w:sz w:val="21"/>
                <w:szCs w:val="21"/>
              </w:rPr>
            </w:pPr>
            <w:r>
              <w:rPr>
                <w:rFonts w:hint="eastAsia"/>
                <w:sz w:val="21"/>
                <w:szCs w:val="21"/>
              </w:rPr>
              <w:t>第四单元 营养性疾病患儿的保健与护理</w:t>
            </w:r>
          </w:p>
        </w:tc>
        <w:tc>
          <w:tcPr>
            <w:tcW w:w="954" w:type="dxa"/>
            <w:vAlign w:val="center"/>
          </w:tcPr>
          <w:p w14:paraId="3EB4FF8B">
            <w:pPr>
              <w:pStyle w:val="17"/>
            </w:pPr>
            <w:r>
              <w:rPr>
                <w:rFonts w:hint="eastAsia"/>
              </w:rPr>
              <w:t>√</w:t>
            </w:r>
          </w:p>
        </w:tc>
        <w:tc>
          <w:tcPr>
            <w:tcW w:w="1074" w:type="dxa"/>
            <w:vAlign w:val="center"/>
          </w:tcPr>
          <w:p w14:paraId="68CD47ED">
            <w:pPr>
              <w:pStyle w:val="17"/>
            </w:pPr>
            <w:r>
              <w:rPr>
                <w:rFonts w:hint="eastAsia"/>
              </w:rPr>
              <w:t>√</w:t>
            </w:r>
          </w:p>
        </w:tc>
        <w:tc>
          <w:tcPr>
            <w:tcW w:w="1074" w:type="dxa"/>
            <w:vAlign w:val="center"/>
          </w:tcPr>
          <w:p w14:paraId="646DDFD9">
            <w:pPr>
              <w:pStyle w:val="17"/>
            </w:pPr>
            <w:r>
              <w:rPr>
                <w:rFonts w:hint="eastAsia"/>
              </w:rPr>
              <w:t xml:space="preserve"> </w:t>
            </w:r>
          </w:p>
        </w:tc>
        <w:tc>
          <w:tcPr>
            <w:tcW w:w="1073" w:type="dxa"/>
            <w:vAlign w:val="center"/>
          </w:tcPr>
          <w:p w14:paraId="6C98786B">
            <w:pPr>
              <w:pStyle w:val="17"/>
            </w:pPr>
            <w:r>
              <w:rPr>
                <w:rFonts w:hint="eastAsia"/>
              </w:rPr>
              <w:t>√</w:t>
            </w:r>
          </w:p>
        </w:tc>
        <w:tc>
          <w:tcPr>
            <w:tcW w:w="1074" w:type="dxa"/>
            <w:tcBorders>
              <w:right w:val="single" w:color="auto" w:sz="12" w:space="0"/>
            </w:tcBorders>
            <w:vAlign w:val="center"/>
          </w:tcPr>
          <w:p w14:paraId="07EAAA47">
            <w:pPr>
              <w:pStyle w:val="17"/>
              <w:rPr>
                <w:highlight w:val="yellow"/>
              </w:rPr>
            </w:pPr>
          </w:p>
        </w:tc>
      </w:tr>
      <w:tr w14:paraId="31EB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20" w:type="dxa"/>
            <w:tcBorders>
              <w:left w:val="single" w:color="auto" w:sz="12" w:space="0"/>
            </w:tcBorders>
            <w:vAlign w:val="center"/>
          </w:tcPr>
          <w:p w14:paraId="2BCDA5E9">
            <w:pPr>
              <w:jc w:val="center"/>
              <w:rPr>
                <w:sz w:val="21"/>
                <w:szCs w:val="21"/>
              </w:rPr>
            </w:pPr>
            <w:r>
              <w:rPr>
                <w:rFonts w:hint="eastAsia"/>
                <w:sz w:val="21"/>
                <w:szCs w:val="21"/>
              </w:rPr>
              <w:t>第五单元 消化系统疾病患儿的保健与护理</w:t>
            </w:r>
          </w:p>
        </w:tc>
        <w:tc>
          <w:tcPr>
            <w:tcW w:w="954" w:type="dxa"/>
            <w:vAlign w:val="center"/>
          </w:tcPr>
          <w:p w14:paraId="2D258AAF">
            <w:pPr>
              <w:pStyle w:val="17"/>
            </w:pPr>
            <w:r>
              <w:rPr>
                <w:rFonts w:hint="eastAsia"/>
              </w:rPr>
              <w:t>√</w:t>
            </w:r>
          </w:p>
        </w:tc>
        <w:tc>
          <w:tcPr>
            <w:tcW w:w="1074" w:type="dxa"/>
            <w:vAlign w:val="center"/>
          </w:tcPr>
          <w:p w14:paraId="354E47C1">
            <w:pPr>
              <w:pStyle w:val="17"/>
            </w:pPr>
            <w:r>
              <w:rPr>
                <w:rFonts w:hint="eastAsia"/>
              </w:rPr>
              <w:t>√</w:t>
            </w:r>
          </w:p>
        </w:tc>
        <w:tc>
          <w:tcPr>
            <w:tcW w:w="1074" w:type="dxa"/>
            <w:vAlign w:val="center"/>
          </w:tcPr>
          <w:p w14:paraId="01D140F8">
            <w:pPr>
              <w:pStyle w:val="17"/>
            </w:pPr>
            <w:r>
              <w:rPr>
                <w:rFonts w:hint="eastAsia"/>
              </w:rPr>
              <w:t>√</w:t>
            </w:r>
          </w:p>
        </w:tc>
        <w:tc>
          <w:tcPr>
            <w:tcW w:w="1073" w:type="dxa"/>
            <w:vAlign w:val="center"/>
          </w:tcPr>
          <w:p w14:paraId="38A2C8DC">
            <w:pPr>
              <w:pStyle w:val="17"/>
            </w:pPr>
            <w:r>
              <w:rPr>
                <w:rFonts w:hint="eastAsia"/>
              </w:rPr>
              <w:t>√</w:t>
            </w:r>
          </w:p>
        </w:tc>
        <w:tc>
          <w:tcPr>
            <w:tcW w:w="1074" w:type="dxa"/>
            <w:tcBorders>
              <w:right w:val="single" w:color="auto" w:sz="12" w:space="0"/>
            </w:tcBorders>
            <w:vAlign w:val="center"/>
          </w:tcPr>
          <w:p w14:paraId="1F8C6C8F">
            <w:pPr>
              <w:pStyle w:val="17"/>
            </w:pPr>
            <w:r>
              <w:rPr>
                <w:rFonts w:hint="eastAsia"/>
              </w:rPr>
              <w:t>√</w:t>
            </w:r>
          </w:p>
        </w:tc>
      </w:tr>
      <w:tr w14:paraId="4EA4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20" w:type="dxa"/>
            <w:tcBorders>
              <w:left w:val="single" w:color="auto" w:sz="12" w:space="0"/>
            </w:tcBorders>
            <w:vAlign w:val="center"/>
          </w:tcPr>
          <w:p w14:paraId="665DA065">
            <w:pPr>
              <w:jc w:val="center"/>
              <w:rPr>
                <w:sz w:val="21"/>
                <w:szCs w:val="21"/>
              </w:rPr>
            </w:pPr>
            <w:r>
              <w:rPr>
                <w:rFonts w:hint="eastAsia"/>
                <w:sz w:val="21"/>
                <w:szCs w:val="21"/>
              </w:rPr>
              <w:t>第六单元 呼吸系统疾病患儿的保健与护理</w:t>
            </w:r>
          </w:p>
        </w:tc>
        <w:tc>
          <w:tcPr>
            <w:tcW w:w="954" w:type="dxa"/>
            <w:vAlign w:val="center"/>
          </w:tcPr>
          <w:p w14:paraId="6340DF7A">
            <w:pPr>
              <w:pStyle w:val="17"/>
            </w:pPr>
            <w:r>
              <w:rPr>
                <w:rFonts w:hint="eastAsia"/>
              </w:rPr>
              <w:t>√</w:t>
            </w:r>
          </w:p>
        </w:tc>
        <w:tc>
          <w:tcPr>
            <w:tcW w:w="1074" w:type="dxa"/>
            <w:vAlign w:val="center"/>
          </w:tcPr>
          <w:p w14:paraId="1397B3A0">
            <w:pPr>
              <w:pStyle w:val="17"/>
            </w:pPr>
            <w:r>
              <w:rPr>
                <w:rFonts w:hint="eastAsia"/>
              </w:rPr>
              <w:t>√</w:t>
            </w:r>
          </w:p>
        </w:tc>
        <w:tc>
          <w:tcPr>
            <w:tcW w:w="1074" w:type="dxa"/>
            <w:vAlign w:val="center"/>
          </w:tcPr>
          <w:p w14:paraId="43EE5260">
            <w:pPr>
              <w:pStyle w:val="17"/>
            </w:pPr>
            <w:r>
              <w:rPr>
                <w:rFonts w:hint="eastAsia"/>
              </w:rPr>
              <w:t>√</w:t>
            </w:r>
          </w:p>
        </w:tc>
        <w:tc>
          <w:tcPr>
            <w:tcW w:w="1073" w:type="dxa"/>
            <w:vAlign w:val="center"/>
          </w:tcPr>
          <w:p w14:paraId="4A43F4D2">
            <w:pPr>
              <w:pStyle w:val="17"/>
            </w:pPr>
            <w:r>
              <w:rPr>
                <w:rFonts w:hint="eastAsia"/>
              </w:rPr>
              <w:t>√</w:t>
            </w:r>
          </w:p>
        </w:tc>
        <w:tc>
          <w:tcPr>
            <w:tcW w:w="1074" w:type="dxa"/>
            <w:tcBorders>
              <w:right w:val="single" w:color="auto" w:sz="12" w:space="0"/>
            </w:tcBorders>
            <w:vAlign w:val="center"/>
          </w:tcPr>
          <w:p w14:paraId="22C588A9">
            <w:pPr>
              <w:pStyle w:val="17"/>
            </w:pPr>
            <w:r>
              <w:rPr>
                <w:rFonts w:hint="eastAsia"/>
              </w:rPr>
              <w:t>√</w:t>
            </w:r>
          </w:p>
        </w:tc>
      </w:tr>
      <w:tr w14:paraId="6EDF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20" w:type="dxa"/>
            <w:tcBorders>
              <w:left w:val="single" w:color="auto" w:sz="12" w:space="0"/>
            </w:tcBorders>
            <w:vAlign w:val="center"/>
          </w:tcPr>
          <w:p w14:paraId="0C88E560">
            <w:pPr>
              <w:jc w:val="center"/>
              <w:rPr>
                <w:sz w:val="21"/>
                <w:szCs w:val="21"/>
              </w:rPr>
            </w:pPr>
            <w:r>
              <w:rPr>
                <w:rFonts w:hint="eastAsia"/>
                <w:sz w:val="21"/>
                <w:szCs w:val="21"/>
              </w:rPr>
              <w:t>第七单元 循环系统疾病患儿的保健与护理</w:t>
            </w:r>
          </w:p>
        </w:tc>
        <w:tc>
          <w:tcPr>
            <w:tcW w:w="954" w:type="dxa"/>
            <w:vAlign w:val="center"/>
          </w:tcPr>
          <w:p w14:paraId="1A0A72D4">
            <w:pPr>
              <w:pStyle w:val="17"/>
            </w:pPr>
            <w:r>
              <w:rPr>
                <w:rFonts w:hint="eastAsia"/>
              </w:rPr>
              <w:t>√</w:t>
            </w:r>
          </w:p>
        </w:tc>
        <w:tc>
          <w:tcPr>
            <w:tcW w:w="1074" w:type="dxa"/>
            <w:vAlign w:val="center"/>
          </w:tcPr>
          <w:p w14:paraId="6DBC159A">
            <w:pPr>
              <w:pStyle w:val="17"/>
            </w:pPr>
            <w:r>
              <w:rPr>
                <w:rFonts w:hint="eastAsia"/>
              </w:rPr>
              <w:t>√</w:t>
            </w:r>
          </w:p>
        </w:tc>
        <w:tc>
          <w:tcPr>
            <w:tcW w:w="1074" w:type="dxa"/>
            <w:vAlign w:val="center"/>
          </w:tcPr>
          <w:p w14:paraId="10861B1C">
            <w:pPr>
              <w:pStyle w:val="17"/>
            </w:pPr>
            <w:r>
              <w:rPr>
                <w:rFonts w:hint="eastAsia"/>
              </w:rPr>
              <w:t xml:space="preserve"> </w:t>
            </w:r>
          </w:p>
        </w:tc>
        <w:tc>
          <w:tcPr>
            <w:tcW w:w="1073" w:type="dxa"/>
            <w:vAlign w:val="center"/>
          </w:tcPr>
          <w:p w14:paraId="44AC393C">
            <w:pPr>
              <w:pStyle w:val="17"/>
            </w:pPr>
            <w:r>
              <w:rPr>
                <w:rFonts w:hint="eastAsia"/>
              </w:rPr>
              <w:t>√</w:t>
            </w:r>
          </w:p>
        </w:tc>
        <w:tc>
          <w:tcPr>
            <w:tcW w:w="1074" w:type="dxa"/>
            <w:tcBorders>
              <w:right w:val="single" w:color="auto" w:sz="12" w:space="0"/>
            </w:tcBorders>
            <w:vAlign w:val="center"/>
          </w:tcPr>
          <w:p w14:paraId="12877DF5">
            <w:pPr>
              <w:pStyle w:val="17"/>
            </w:pPr>
            <w:r>
              <w:rPr>
                <w:rFonts w:hint="eastAsia"/>
              </w:rPr>
              <w:t>√</w:t>
            </w:r>
          </w:p>
        </w:tc>
      </w:tr>
      <w:tr w14:paraId="5E01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20" w:type="dxa"/>
            <w:tcBorders>
              <w:left w:val="single" w:color="auto" w:sz="12" w:space="0"/>
            </w:tcBorders>
            <w:vAlign w:val="center"/>
          </w:tcPr>
          <w:p w14:paraId="2BF795A4">
            <w:pPr>
              <w:jc w:val="center"/>
              <w:rPr>
                <w:sz w:val="21"/>
                <w:szCs w:val="21"/>
              </w:rPr>
            </w:pPr>
            <w:r>
              <w:rPr>
                <w:rFonts w:hint="eastAsia"/>
                <w:sz w:val="21"/>
                <w:szCs w:val="21"/>
              </w:rPr>
              <w:t>第八单元 血液系统疾病患儿的保健与护理</w:t>
            </w:r>
          </w:p>
        </w:tc>
        <w:tc>
          <w:tcPr>
            <w:tcW w:w="954" w:type="dxa"/>
            <w:vAlign w:val="center"/>
          </w:tcPr>
          <w:p w14:paraId="4CB1212D">
            <w:pPr>
              <w:pStyle w:val="17"/>
            </w:pPr>
            <w:r>
              <w:rPr>
                <w:rFonts w:hint="eastAsia"/>
              </w:rPr>
              <w:t>√</w:t>
            </w:r>
          </w:p>
        </w:tc>
        <w:tc>
          <w:tcPr>
            <w:tcW w:w="1074" w:type="dxa"/>
            <w:vAlign w:val="center"/>
          </w:tcPr>
          <w:p w14:paraId="4318E6F0">
            <w:pPr>
              <w:pStyle w:val="17"/>
            </w:pPr>
            <w:r>
              <w:rPr>
                <w:rFonts w:hint="eastAsia"/>
              </w:rPr>
              <w:t>√</w:t>
            </w:r>
          </w:p>
        </w:tc>
        <w:tc>
          <w:tcPr>
            <w:tcW w:w="1074" w:type="dxa"/>
            <w:vAlign w:val="center"/>
          </w:tcPr>
          <w:p w14:paraId="7FA8EA9A">
            <w:pPr>
              <w:pStyle w:val="17"/>
            </w:pPr>
            <w:r>
              <w:rPr>
                <w:rFonts w:hint="eastAsia"/>
              </w:rPr>
              <w:t xml:space="preserve"> </w:t>
            </w:r>
          </w:p>
        </w:tc>
        <w:tc>
          <w:tcPr>
            <w:tcW w:w="1073" w:type="dxa"/>
            <w:vAlign w:val="center"/>
          </w:tcPr>
          <w:p w14:paraId="35977968">
            <w:pPr>
              <w:pStyle w:val="17"/>
            </w:pPr>
            <w:r>
              <w:rPr>
                <w:rFonts w:hint="eastAsia"/>
              </w:rPr>
              <w:t>√</w:t>
            </w:r>
          </w:p>
        </w:tc>
        <w:tc>
          <w:tcPr>
            <w:tcW w:w="1074" w:type="dxa"/>
            <w:tcBorders>
              <w:right w:val="single" w:color="auto" w:sz="12" w:space="0"/>
            </w:tcBorders>
            <w:vAlign w:val="center"/>
          </w:tcPr>
          <w:p w14:paraId="20C53C0F">
            <w:pPr>
              <w:pStyle w:val="17"/>
            </w:pPr>
            <w:r>
              <w:rPr>
                <w:rFonts w:hint="eastAsia"/>
              </w:rPr>
              <w:t>√</w:t>
            </w:r>
          </w:p>
        </w:tc>
      </w:tr>
      <w:tr w14:paraId="572C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20" w:type="dxa"/>
            <w:tcBorders>
              <w:left w:val="single" w:color="auto" w:sz="12" w:space="0"/>
            </w:tcBorders>
            <w:vAlign w:val="center"/>
          </w:tcPr>
          <w:p w14:paraId="4B9E46C4">
            <w:pPr>
              <w:jc w:val="center"/>
              <w:rPr>
                <w:sz w:val="21"/>
                <w:szCs w:val="21"/>
              </w:rPr>
            </w:pPr>
            <w:r>
              <w:rPr>
                <w:rFonts w:hint="eastAsia"/>
                <w:sz w:val="21"/>
                <w:szCs w:val="21"/>
              </w:rPr>
              <w:t>第九单元 泌尿系统疾病患儿的保健与护理</w:t>
            </w:r>
          </w:p>
        </w:tc>
        <w:tc>
          <w:tcPr>
            <w:tcW w:w="954" w:type="dxa"/>
            <w:vAlign w:val="center"/>
          </w:tcPr>
          <w:p w14:paraId="7D4EF7CA">
            <w:pPr>
              <w:pStyle w:val="17"/>
            </w:pPr>
            <w:r>
              <w:rPr>
                <w:rFonts w:hint="eastAsia"/>
              </w:rPr>
              <w:t>√</w:t>
            </w:r>
          </w:p>
        </w:tc>
        <w:tc>
          <w:tcPr>
            <w:tcW w:w="1074" w:type="dxa"/>
            <w:vAlign w:val="center"/>
          </w:tcPr>
          <w:p w14:paraId="686CFDCB">
            <w:pPr>
              <w:pStyle w:val="17"/>
            </w:pPr>
            <w:r>
              <w:rPr>
                <w:rFonts w:hint="eastAsia"/>
              </w:rPr>
              <w:t>√</w:t>
            </w:r>
          </w:p>
        </w:tc>
        <w:tc>
          <w:tcPr>
            <w:tcW w:w="1074" w:type="dxa"/>
            <w:vAlign w:val="center"/>
          </w:tcPr>
          <w:p w14:paraId="4AD01CA6">
            <w:pPr>
              <w:pStyle w:val="17"/>
            </w:pPr>
            <w:r>
              <w:rPr>
                <w:rFonts w:hint="eastAsia"/>
              </w:rPr>
              <w:t xml:space="preserve"> </w:t>
            </w:r>
          </w:p>
        </w:tc>
        <w:tc>
          <w:tcPr>
            <w:tcW w:w="1073" w:type="dxa"/>
            <w:vAlign w:val="center"/>
          </w:tcPr>
          <w:p w14:paraId="5969A6D2">
            <w:pPr>
              <w:pStyle w:val="17"/>
            </w:pPr>
            <w:r>
              <w:rPr>
                <w:rFonts w:hint="eastAsia"/>
              </w:rPr>
              <w:t>√</w:t>
            </w:r>
          </w:p>
        </w:tc>
        <w:tc>
          <w:tcPr>
            <w:tcW w:w="1074" w:type="dxa"/>
            <w:tcBorders>
              <w:right w:val="single" w:color="auto" w:sz="12" w:space="0"/>
            </w:tcBorders>
            <w:vAlign w:val="center"/>
          </w:tcPr>
          <w:p w14:paraId="3DDBD96F">
            <w:pPr>
              <w:pStyle w:val="17"/>
            </w:pPr>
            <w:r>
              <w:rPr>
                <w:rFonts w:hint="eastAsia"/>
              </w:rPr>
              <w:t>√</w:t>
            </w:r>
          </w:p>
        </w:tc>
      </w:tr>
      <w:tr w14:paraId="76CA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20" w:type="dxa"/>
            <w:tcBorders>
              <w:left w:val="single" w:color="auto" w:sz="12" w:space="0"/>
              <w:bottom w:val="single" w:color="auto" w:sz="4" w:space="0"/>
            </w:tcBorders>
            <w:vAlign w:val="center"/>
          </w:tcPr>
          <w:p w14:paraId="59292DD1">
            <w:pPr>
              <w:jc w:val="center"/>
              <w:rPr>
                <w:sz w:val="21"/>
                <w:szCs w:val="21"/>
              </w:rPr>
            </w:pPr>
            <w:r>
              <w:rPr>
                <w:rFonts w:hint="eastAsia"/>
                <w:sz w:val="21"/>
                <w:szCs w:val="21"/>
              </w:rPr>
              <w:t>第十单元 神经系统疾病患儿的保健与护理</w:t>
            </w:r>
          </w:p>
        </w:tc>
        <w:tc>
          <w:tcPr>
            <w:tcW w:w="954" w:type="dxa"/>
            <w:tcBorders>
              <w:bottom w:val="single" w:color="auto" w:sz="4" w:space="0"/>
            </w:tcBorders>
            <w:vAlign w:val="center"/>
          </w:tcPr>
          <w:p w14:paraId="1E65ABFB">
            <w:pPr>
              <w:pStyle w:val="17"/>
            </w:pPr>
            <w:r>
              <w:rPr>
                <w:rFonts w:hint="eastAsia"/>
              </w:rPr>
              <w:t>√</w:t>
            </w:r>
          </w:p>
        </w:tc>
        <w:tc>
          <w:tcPr>
            <w:tcW w:w="1074" w:type="dxa"/>
            <w:tcBorders>
              <w:bottom w:val="single" w:color="auto" w:sz="4" w:space="0"/>
            </w:tcBorders>
            <w:vAlign w:val="center"/>
          </w:tcPr>
          <w:p w14:paraId="4EEFD8D3">
            <w:pPr>
              <w:pStyle w:val="17"/>
            </w:pPr>
            <w:r>
              <w:rPr>
                <w:rFonts w:hint="eastAsia"/>
              </w:rPr>
              <w:t>√</w:t>
            </w:r>
          </w:p>
        </w:tc>
        <w:tc>
          <w:tcPr>
            <w:tcW w:w="1074" w:type="dxa"/>
            <w:tcBorders>
              <w:bottom w:val="single" w:color="auto" w:sz="4" w:space="0"/>
            </w:tcBorders>
            <w:vAlign w:val="center"/>
          </w:tcPr>
          <w:p w14:paraId="3F285CE5">
            <w:pPr>
              <w:pStyle w:val="17"/>
            </w:pPr>
            <w:r>
              <w:rPr>
                <w:rFonts w:hint="eastAsia"/>
              </w:rPr>
              <w:t xml:space="preserve"> </w:t>
            </w:r>
          </w:p>
        </w:tc>
        <w:tc>
          <w:tcPr>
            <w:tcW w:w="1073" w:type="dxa"/>
            <w:tcBorders>
              <w:bottom w:val="single" w:color="auto" w:sz="4" w:space="0"/>
            </w:tcBorders>
            <w:vAlign w:val="center"/>
          </w:tcPr>
          <w:p w14:paraId="5985B2A2">
            <w:pPr>
              <w:pStyle w:val="17"/>
            </w:pPr>
            <w:r>
              <w:rPr>
                <w:rFonts w:hint="eastAsia"/>
              </w:rPr>
              <w:t>√</w:t>
            </w:r>
          </w:p>
        </w:tc>
        <w:tc>
          <w:tcPr>
            <w:tcW w:w="1074" w:type="dxa"/>
            <w:tcBorders>
              <w:bottom w:val="single" w:color="auto" w:sz="4" w:space="0"/>
              <w:right w:val="single" w:color="auto" w:sz="12" w:space="0"/>
            </w:tcBorders>
            <w:vAlign w:val="center"/>
          </w:tcPr>
          <w:p w14:paraId="6E4FEB8A">
            <w:pPr>
              <w:pStyle w:val="17"/>
            </w:pPr>
            <w:r>
              <w:rPr>
                <w:rFonts w:hint="eastAsia"/>
              </w:rPr>
              <w:t>√</w:t>
            </w:r>
          </w:p>
        </w:tc>
      </w:tr>
      <w:tr w14:paraId="29A9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20" w:type="dxa"/>
            <w:tcBorders>
              <w:left w:val="single" w:color="auto" w:sz="12" w:space="0"/>
              <w:bottom w:val="single" w:color="auto" w:sz="12" w:space="0"/>
            </w:tcBorders>
            <w:vAlign w:val="center"/>
          </w:tcPr>
          <w:p w14:paraId="6DA34395">
            <w:pPr>
              <w:pStyle w:val="17"/>
            </w:pPr>
            <w:r>
              <w:rPr>
                <w:rFonts w:hint="eastAsia" w:ascii="宋体" w:hAnsi="宋体"/>
              </w:rPr>
              <w:t xml:space="preserve">第十一单元 </w:t>
            </w:r>
            <w:r>
              <w:rPr>
                <w:rFonts w:hint="eastAsia"/>
              </w:rPr>
              <w:t>急危重症患儿的护理</w:t>
            </w:r>
          </w:p>
        </w:tc>
        <w:tc>
          <w:tcPr>
            <w:tcW w:w="954" w:type="dxa"/>
            <w:tcBorders>
              <w:bottom w:val="single" w:color="auto" w:sz="12" w:space="0"/>
            </w:tcBorders>
            <w:vAlign w:val="center"/>
          </w:tcPr>
          <w:p w14:paraId="059B47F2">
            <w:pPr>
              <w:pStyle w:val="17"/>
            </w:pPr>
            <w:r>
              <w:rPr>
                <w:rFonts w:hint="eastAsia"/>
              </w:rPr>
              <w:t>√</w:t>
            </w:r>
          </w:p>
        </w:tc>
        <w:tc>
          <w:tcPr>
            <w:tcW w:w="1074" w:type="dxa"/>
            <w:tcBorders>
              <w:bottom w:val="single" w:color="auto" w:sz="12" w:space="0"/>
            </w:tcBorders>
            <w:vAlign w:val="center"/>
          </w:tcPr>
          <w:p w14:paraId="0E93FFD3">
            <w:pPr>
              <w:pStyle w:val="17"/>
            </w:pPr>
            <w:r>
              <w:rPr>
                <w:rFonts w:hint="eastAsia"/>
              </w:rPr>
              <w:t>√</w:t>
            </w:r>
          </w:p>
        </w:tc>
        <w:tc>
          <w:tcPr>
            <w:tcW w:w="1074" w:type="dxa"/>
            <w:tcBorders>
              <w:bottom w:val="single" w:color="auto" w:sz="12" w:space="0"/>
            </w:tcBorders>
            <w:vAlign w:val="center"/>
          </w:tcPr>
          <w:p w14:paraId="6FC82DF8">
            <w:pPr>
              <w:pStyle w:val="17"/>
            </w:pPr>
            <w:r>
              <w:rPr>
                <w:rFonts w:hint="eastAsia"/>
              </w:rPr>
              <w:t xml:space="preserve"> </w:t>
            </w:r>
          </w:p>
        </w:tc>
        <w:tc>
          <w:tcPr>
            <w:tcW w:w="1073" w:type="dxa"/>
            <w:tcBorders>
              <w:bottom w:val="single" w:color="auto" w:sz="12" w:space="0"/>
            </w:tcBorders>
            <w:vAlign w:val="center"/>
          </w:tcPr>
          <w:p w14:paraId="5C5ADAA7">
            <w:pPr>
              <w:pStyle w:val="17"/>
            </w:pPr>
            <w:r>
              <w:rPr>
                <w:rFonts w:hint="eastAsia"/>
              </w:rPr>
              <w:t>√</w:t>
            </w:r>
          </w:p>
        </w:tc>
        <w:tc>
          <w:tcPr>
            <w:tcW w:w="1074" w:type="dxa"/>
            <w:tcBorders>
              <w:bottom w:val="single" w:color="auto" w:sz="12" w:space="0"/>
              <w:right w:val="single" w:color="auto" w:sz="12" w:space="0"/>
            </w:tcBorders>
            <w:vAlign w:val="center"/>
          </w:tcPr>
          <w:p w14:paraId="70F5BA03">
            <w:pPr>
              <w:pStyle w:val="17"/>
            </w:pPr>
            <w:r>
              <w:rPr>
                <w:rFonts w:hint="eastAsia"/>
              </w:rPr>
              <w:t>√</w:t>
            </w:r>
          </w:p>
        </w:tc>
      </w:tr>
    </w:tbl>
    <w:p w14:paraId="4346BA11">
      <w:pPr>
        <w:pStyle w:val="20"/>
        <w:spacing w:before="326" w:beforeLines="100" w:after="163"/>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67E1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4E312883">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7771C7CE">
            <w:pPr>
              <w:pStyle w:val="16"/>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488F4843">
            <w:pPr>
              <w:pStyle w:val="16"/>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45460E1B">
            <w:pPr>
              <w:pStyle w:val="16"/>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5ED6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42BAD67F">
            <w:pPr>
              <w:widowControl w:val="0"/>
              <w:snapToGrid w:val="0"/>
              <w:jc w:val="center"/>
              <w:rPr>
                <w:rFonts w:ascii="黑体" w:hAnsi="黑体" w:eastAsia="黑体"/>
                <w:bCs/>
                <w:sz w:val="21"/>
                <w:szCs w:val="21"/>
              </w:rPr>
            </w:pPr>
          </w:p>
        </w:tc>
        <w:tc>
          <w:tcPr>
            <w:tcW w:w="2690" w:type="dxa"/>
            <w:vMerge w:val="continue"/>
          </w:tcPr>
          <w:p w14:paraId="2B894C54">
            <w:pPr>
              <w:widowControl w:val="0"/>
              <w:snapToGrid w:val="0"/>
              <w:jc w:val="center"/>
              <w:rPr>
                <w:rFonts w:ascii="黑体" w:hAnsi="黑体" w:eastAsia="黑体"/>
                <w:bCs/>
                <w:sz w:val="21"/>
                <w:szCs w:val="21"/>
              </w:rPr>
            </w:pPr>
          </w:p>
        </w:tc>
        <w:tc>
          <w:tcPr>
            <w:tcW w:w="1697" w:type="dxa"/>
            <w:vMerge w:val="continue"/>
          </w:tcPr>
          <w:p w14:paraId="3206E62B">
            <w:pPr>
              <w:widowControl w:val="0"/>
              <w:snapToGrid w:val="0"/>
              <w:jc w:val="center"/>
              <w:rPr>
                <w:rFonts w:ascii="黑体" w:hAnsi="黑体" w:eastAsia="黑体"/>
                <w:bCs/>
                <w:sz w:val="21"/>
                <w:szCs w:val="21"/>
              </w:rPr>
            </w:pPr>
          </w:p>
        </w:tc>
        <w:tc>
          <w:tcPr>
            <w:tcW w:w="708" w:type="dxa"/>
            <w:vAlign w:val="center"/>
          </w:tcPr>
          <w:p w14:paraId="7F7B4FEC">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79E6E0EE">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57B320BF">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3715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2A9CFE93">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第一单元</w:t>
            </w:r>
          </w:p>
        </w:tc>
        <w:tc>
          <w:tcPr>
            <w:tcW w:w="2690" w:type="dxa"/>
            <w:vAlign w:val="center"/>
          </w:tcPr>
          <w:p w14:paraId="41F63313">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讲述法；示范教学法、练习教学法；问题导向学习</w:t>
            </w:r>
          </w:p>
        </w:tc>
        <w:tc>
          <w:tcPr>
            <w:tcW w:w="1697" w:type="dxa"/>
            <w:vAlign w:val="center"/>
          </w:tcPr>
          <w:p w14:paraId="6D259840">
            <w:pPr>
              <w:widowControl w:val="0"/>
              <w:snapToGrid w:val="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理论测试、</w:t>
            </w:r>
          </w:p>
          <w:p w14:paraId="6DF4AB23">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实验报告、</w:t>
            </w:r>
          </w:p>
          <w:p w14:paraId="62962BE5">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操作考核</w:t>
            </w:r>
          </w:p>
        </w:tc>
        <w:tc>
          <w:tcPr>
            <w:tcW w:w="708" w:type="dxa"/>
            <w:vAlign w:val="center"/>
          </w:tcPr>
          <w:p w14:paraId="4A8D0CFC">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653" w:type="dxa"/>
            <w:vAlign w:val="center"/>
          </w:tcPr>
          <w:p w14:paraId="29B2DDB7">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c>
          <w:tcPr>
            <w:tcW w:w="700" w:type="dxa"/>
            <w:tcBorders>
              <w:right w:val="single" w:color="auto" w:sz="12" w:space="0"/>
            </w:tcBorders>
            <w:vAlign w:val="center"/>
          </w:tcPr>
          <w:p w14:paraId="36EA544C">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w:t>
            </w:r>
          </w:p>
        </w:tc>
      </w:tr>
      <w:tr w14:paraId="4AE2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92" w:hRule="atLeast"/>
          <w:jc w:val="center"/>
        </w:trPr>
        <w:tc>
          <w:tcPr>
            <w:tcW w:w="1828" w:type="dxa"/>
            <w:tcBorders>
              <w:left w:val="single" w:color="auto" w:sz="12" w:space="0"/>
            </w:tcBorders>
            <w:vAlign w:val="center"/>
          </w:tcPr>
          <w:p w14:paraId="215746C0">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第二单元</w:t>
            </w:r>
          </w:p>
        </w:tc>
        <w:tc>
          <w:tcPr>
            <w:tcW w:w="2690" w:type="dxa"/>
            <w:vAlign w:val="center"/>
          </w:tcPr>
          <w:p w14:paraId="19B95FBA">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讲述法、讨论法；示范教学法、练习教学法；问题导向学习</w:t>
            </w:r>
          </w:p>
        </w:tc>
        <w:tc>
          <w:tcPr>
            <w:tcW w:w="1697" w:type="dxa"/>
            <w:vAlign w:val="center"/>
          </w:tcPr>
          <w:p w14:paraId="6EB2BCE1">
            <w:pPr>
              <w:widowControl w:val="0"/>
              <w:snapToGrid w:val="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理论测试、</w:t>
            </w:r>
          </w:p>
          <w:p w14:paraId="427FA3D7">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实验报告、</w:t>
            </w:r>
          </w:p>
          <w:p w14:paraId="52CB118D">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操作考核</w:t>
            </w:r>
          </w:p>
        </w:tc>
        <w:tc>
          <w:tcPr>
            <w:tcW w:w="708" w:type="dxa"/>
            <w:vAlign w:val="center"/>
          </w:tcPr>
          <w:p w14:paraId="6B628E6E">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53" w:type="dxa"/>
            <w:vAlign w:val="center"/>
          </w:tcPr>
          <w:p w14:paraId="0323F260">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700" w:type="dxa"/>
            <w:tcBorders>
              <w:right w:val="single" w:color="auto" w:sz="12" w:space="0"/>
            </w:tcBorders>
            <w:vAlign w:val="center"/>
          </w:tcPr>
          <w:p w14:paraId="44EA363D">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r>
      <w:tr w14:paraId="6FD3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21D4CB90">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第三单元</w:t>
            </w:r>
          </w:p>
        </w:tc>
        <w:tc>
          <w:tcPr>
            <w:tcW w:w="2690" w:type="dxa"/>
            <w:vAlign w:val="center"/>
          </w:tcPr>
          <w:p w14:paraId="08EA41F0">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讲述法、讨论法；示范教学法、练习教学法；问题导向学习</w:t>
            </w:r>
          </w:p>
        </w:tc>
        <w:tc>
          <w:tcPr>
            <w:tcW w:w="1697" w:type="dxa"/>
            <w:vAlign w:val="center"/>
          </w:tcPr>
          <w:p w14:paraId="5F320528">
            <w:pPr>
              <w:widowControl w:val="0"/>
              <w:snapToGrid w:val="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理论测试、</w:t>
            </w:r>
          </w:p>
          <w:p w14:paraId="6DBE47FF">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实验报告、</w:t>
            </w:r>
          </w:p>
          <w:p w14:paraId="7F00AF6D">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操作考核</w:t>
            </w:r>
          </w:p>
        </w:tc>
        <w:tc>
          <w:tcPr>
            <w:tcW w:w="708" w:type="dxa"/>
            <w:vAlign w:val="center"/>
          </w:tcPr>
          <w:p w14:paraId="462D9F01">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653" w:type="dxa"/>
            <w:vAlign w:val="center"/>
          </w:tcPr>
          <w:p w14:paraId="3E434414">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700" w:type="dxa"/>
            <w:tcBorders>
              <w:right w:val="single" w:color="auto" w:sz="12" w:space="0"/>
            </w:tcBorders>
            <w:vAlign w:val="center"/>
          </w:tcPr>
          <w:p w14:paraId="06E0E6C3">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w:t>
            </w:r>
          </w:p>
        </w:tc>
      </w:tr>
      <w:tr w14:paraId="1E84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29B3389">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第四单元</w:t>
            </w:r>
          </w:p>
        </w:tc>
        <w:tc>
          <w:tcPr>
            <w:tcW w:w="2690" w:type="dxa"/>
            <w:vAlign w:val="center"/>
          </w:tcPr>
          <w:p w14:paraId="301CF305">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讲述法、多媒体教学法、   </w:t>
            </w:r>
          </w:p>
        </w:tc>
        <w:tc>
          <w:tcPr>
            <w:tcW w:w="1697" w:type="dxa"/>
            <w:vAlign w:val="center"/>
          </w:tcPr>
          <w:p w14:paraId="32C06C85">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理论测试</w:t>
            </w:r>
          </w:p>
        </w:tc>
        <w:tc>
          <w:tcPr>
            <w:tcW w:w="708" w:type="dxa"/>
            <w:vAlign w:val="center"/>
          </w:tcPr>
          <w:p w14:paraId="700AF185">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53" w:type="dxa"/>
            <w:vAlign w:val="center"/>
          </w:tcPr>
          <w:p w14:paraId="764C84E5">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4E52E362">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530E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05D26247">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第五单元</w:t>
            </w:r>
          </w:p>
        </w:tc>
        <w:tc>
          <w:tcPr>
            <w:tcW w:w="2690" w:type="dxa"/>
            <w:vAlign w:val="center"/>
          </w:tcPr>
          <w:p w14:paraId="0FF35484">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讲述法、示范教学法、练习教学法；问题导向学习 </w:t>
            </w:r>
          </w:p>
        </w:tc>
        <w:tc>
          <w:tcPr>
            <w:tcW w:w="1697" w:type="dxa"/>
            <w:vAlign w:val="center"/>
          </w:tcPr>
          <w:p w14:paraId="45922CBB">
            <w:pPr>
              <w:widowControl w:val="0"/>
              <w:snapToGrid w:val="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理论测试、</w:t>
            </w:r>
          </w:p>
          <w:p w14:paraId="0EE7B96B">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实验报告</w:t>
            </w:r>
          </w:p>
        </w:tc>
        <w:tc>
          <w:tcPr>
            <w:tcW w:w="708" w:type="dxa"/>
            <w:vAlign w:val="center"/>
          </w:tcPr>
          <w:p w14:paraId="032DFE15">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653" w:type="dxa"/>
            <w:vAlign w:val="center"/>
          </w:tcPr>
          <w:p w14:paraId="0C44F9D2">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700" w:type="dxa"/>
            <w:tcBorders>
              <w:right w:val="single" w:color="auto" w:sz="12" w:space="0"/>
            </w:tcBorders>
            <w:vAlign w:val="center"/>
          </w:tcPr>
          <w:p w14:paraId="59E9F517">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w:t>
            </w:r>
          </w:p>
        </w:tc>
      </w:tr>
      <w:tr w14:paraId="632B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1AD8A78">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第六单元</w:t>
            </w:r>
          </w:p>
        </w:tc>
        <w:tc>
          <w:tcPr>
            <w:tcW w:w="2690" w:type="dxa"/>
            <w:vAlign w:val="center"/>
          </w:tcPr>
          <w:p w14:paraId="12C899B5">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讲述法、讨论法；示范教学法、练习教学法；问题导向学习</w:t>
            </w:r>
          </w:p>
        </w:tc>
        <w:tc>
          <w:tcPr>
            <w:tcW w:w="1697" w:type="dxa"/>
            <w:vAlign w:val="center"/>
          </w:tcPr>
          <w:p w14:paraId="50BDDC23">
            <w:pPr>
              <w:widowControl w:val="0"/>
              <w:snapToGrid w:val="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理论测试、</w:t>
            </w:r>
          </w:p>
          <w:p w14:paraId="770D36B8">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实验报告</w:t>
            </w:r>
          </w:p>
        </w:tc>
        <w:tc>
          <w:tcPr>
            <w:tcW w:w="708" w:type="dxa"/>
            <w:vAlign w:val="center"/>
          </w:tcPr>
          <w:p w14:paraId="5B8EEFFB">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653" w:type="dxa"/>
            <w:vAlign w:val="center"/>
          </w:tcPr>
          <w:p w14:paraId="4B06890C">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700" w:type="dxa"/>
            <w:tcBorders>
              <w:right w:val="single" w:color="auto" w:sz="12" w:space="0"/>
            </w:tcBorders>
            <w:vAlign w:val="center"/>
          </w:tcPr>
          <w:p w14:paraId="1D346B3C">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w:t>
            </w:r>
          </w:p>
        </w:tc>
      </w:tr>
      <w:tr w14:paraId="442B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E32DA44">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第七单元</w:t>
            </w:r>
          </w:p>
        </w:tc>
        <w:tc>
          <w:tcPr>
            <w:tcW w:w="2690" w:type="dxa"/>
            <w:vAlign w:val="center"/>
          </w:tcPr>
          <w:p w14:paraId="1AC6D8B8">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讲述法、讨论法；问题导向学习 </w:t>
            </w:r>
          </w:p>
        </w:tc>
        <w:tc>
          <w:tcPr>
            <w:tcW w:w="1697" w:type="dxa"/>
            <w:vAlign w:val="center"/>
          </w:tcPr>
          <w:p w14:paraId="79C17C5B">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理论测试</w:t>
            </w:r>
          </w:p>
        </w:tc>
        <w:tc>
          <w:tcPr>
            <w:tcW w:w="708" w:type="dxa"/>
            <w:vAlign w:val="center"/>
          </w:tcPr>
          <w:p w14:paraId="4206F2B5">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53" w:type="dxa"/>
            <w:vAlign w:val="center"/>
          </w:tcPr>
          <w:p w14:paraId="388925FE">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4490183C">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7BD7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9DFEFE0">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第八单元</w:t>
            </w:r>
          </w:p>
        </w:tc>
        <w:tc>
          <w:tcPr>
            <w:tcW w:w="2690" w:type="dxa"/>
            <w:vAlign w:val="center"/>
          </w:tcPr>
          <w:p w14:paraId="524DF03A">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7F30C19E">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理论测试</w:t>
            </w:r>
          </w:p>
        </w:tc>
        <w:tc>
          <w:tcPr>
            <w:tcW w:w="708" w:type="dxa"/>
            <w:vAlign w:val="center"/>
          </w:tcPr>
          <w:p w14:paraId="7569FBAA">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653" w:type="dxa"/>
            <w:vAlign w:val="center"/>
          </w:tcPr>
          <w:p w14:paraId="62143A40">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4AC5B26B">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r>
      <w:tr w14:paraId="4EF2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7EA64920">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第九单元</w:t>
            </w:r>
          </w:p>
        </w:tc>
        <w:tc>
          <w:tcPr>
            <w:tcW w:w="2690" w:type="dxa"/>
            <w:vAlign w:val="center"/>
          </w:tcPr>
          <w:p w14:paraId="57A630BD">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讲述法、、讨论教学法；问题导向学习、合作学习</w:t>
            </w:r>
          </w:p>
        </w:tc>
        <w:tc>
          <w:tcPr>
            <w:tcW w:w="1697" w:type="dxa"/>
            <w:vAlign w:val="center"/>
          </w:tcPr>
          <w:p w14:paraId="0F03C679">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理论测试</w:t>
            </w:r>
          </w:p>
        </w:tc>
        <w:tc>
          <w:tcPr>
            <w:tcW w:w="708" w:type="dxa"/>
            <w:vAlign w:val="center"/>
          </w:tcPr>
          <w:p w14:paraId="69BB29D4">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653" w:type="dxa"/>
            <w:vAlign w:val="center"/>
          </w:tcPr>
          <w:p w14:paraId="7A32FEAE">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22149066">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r>
      <w:tr w14:paraId="725E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81BDADA">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第十单元</w:t>
            </w:r>
          </w:p>
        </w:tc>
        <w:tc>
          <w:tcPr>
            <w:tcW w:w="2690" w:type="dxa"/>
            <w:vAlign w:val="center"/>
          </w:tcPr>
          <w:p w14:paraId="46782C4A">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359200D7">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理论测试</w:t>
            </w:r>
          </w:p>
        </w:tc>
        <w:tc>
          <w:tcPr>
            <w:tcW w:w="708" w:type="dxa"/>
            <w:vAlign w:val="center"/>
          </w:tcPr>
          <w:p w14:paraId="60709E9B">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653" w:type="dxa"/>
            <w:vAlign w:val="center"/>
          </w:tcPr>
          <w:p w14:paraId="344F3172">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40CD4062">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r>
      <w:tr w14:paraId="428E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62BC3C0A">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第十一单元</w:t>
            </w:r>
          </w:p>
        </w:tc>
        <w:tc>
          <w:tcPr>
            <w:tcW w:w="2690" w:type="dxa"/>
            <w:vAlign w:val="center"/>
          </w:tcPr>
          <w:p w14:paraId="1920E588">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14:paraId="51BF69A9">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理论测试</w:t>
            </w:r>
          </w:p>
        </w:tc>
        <w:tc>
          <w:tcPr>
            <w:tcW w:w="708" w:type="dxa"/>
            <w:vAlign w:val="center"/>
          </w:tcPr>
          <w:p w14:paraId="741F0FD5">
            <w:pPr>
              <w:widowControl w:val="0"/>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53" w:type="dxa"/>
            <w:vAlign w:val="center"/>
          </w:tcPr>
          <w:p w14:paraId="07FA4CAC">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14:paraId="703D8EC4">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76576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0A199584">
            <w:pPr>
              <w:pStyle w:val="16"/>
              <w:widowControl w:val="0"/>
            </w:pPr>
            <w:r>
              <w:rPr>
                <w:rFonts w:hint="eastAsia"/>
              </w:rPr>
              <w:t>合计</w:t>
            </w:r>
          </w:p>
        </w:tc>
        <w:tc>
          <w:tcPr>
            <w:tcW w:w="708" w:type="dxa"/>
            <w:tcBorders>
              <w:bottom w:val="single" w:color="auto" w:sz="12" w:space="0"/>
            </w:tcBorders>
            <w:vAlign w:val="center"/>
          </w:tcPr>
          <w:p w14:paraId="7B483E73">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36</w:t>
            </w:r>
          </w:p>
        </w:tc>
        <w:tc>
          <w:tcPr>
            <w:tcW w:w="653" w:type="dxa"/>
            <w:tcBorders>
              <w:bottom w:val="single" w:color="auto" w:sz="12" w:space="0"/>
            </w:tcBorders>
            <w:vAlign w:val="center"/>
          </w:tcPr>
          <w:p w14:paraId="22C320D2">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12</w:t>
            </w:r>
          </w:p>
        </w:tc>
        <w:tc>
          <w:tcPr>
            <w:tcW w:w="700" w:type="dxa"/>
            <w:tcBorders>
              <w:bottom w:val="single" w:color="auto" w:sz="12" w:space="0"/>
              <w:right w:val="single" w:color="auto" w:sz="12" w:space="0"/>
            </w:tcBorders>
            <w:vAlign w:val="center"/>
          </w:tcPr>
          <w:p w14:paraId="41C7B731">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48</w:t>
            </w:r>
          </w:p>
        </w:tc>
      </w:tr>
    </w:tbl>
    <w:p w14:paraId="10F4195E">
      <w:pPr>
        <w:pStyle w:val="20"/>
        <w:spacing w:before="326" w:beforeLines="100" w:after="163"/>
      </w:pPr>
      <w:r>
        <w:rPr>
          <w:rFonts w:hint="eastAsia"/>
        </w:rPr>
        <w:t>（四）课内实验项目与基本要求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1"/>
        <w:gridCol w:w="1587"/>
        <w:gridCol w:w="4356"/>
        <w:gridCol w:w="862"/>
        <w:gridCol w:w="950"/>
      </w:tblGrid>
      <w:tr w14:paraId="59F6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40E25704">
            <w:pPr>
              <w:pStyle w:val="16"/>
              <w:rPr>
                <w:szCs w:val="16"/>
              </w:rPr>
            </w:pPr>
            <w:r>
              <w:rPr>
                <w:rFonts w:hint="eastAsia"/>
                <w:szCs w:val="16"/>
              </w:rPr>
              <w:t>序号</w:t>
            </w:r>
          </w:p>
        </w:tc>
        <w:tc>
          <w:tcPr>
            <w:tcW w:w="1550" w:type="dxa"/>
            <w:tcBorders>
              <w:top w:val="single" w:color="auto" w:sz="12" w:space="0"/>
              <w:left w:val="single" w:color="auto" w:sz="4" w:space="0"/>
              <w:bottom w:val="single" w:color="auto" w:sz="4" w:space="0"/>
              <w:right w:val="single" w:color="auto" w:sz="4" w:space="0"/>
            </w:tcBorders>
            <w:shd w:val="clear" w:color="auto" w:fill="auto"/>
            <w:vAlign w:val="center"/>
          </w:tcPr>
          <w:p w14:paraId="33621632">
            <w:pPr>
              <w:pStyle w:val="16"/>
              <w:rPr>
                <w:szCs w:val="16"/>
              </w:rPr>
            </w:pPr>
            <w:r>
              <w:rPr>
                <w:rFonts w:hint="eastAsia"/>
                <w:szCs w:val="16"/>
              </w:rPr>
              <w:t>实验项目名称</w:t>
            </w:r>
          </w:p>
        </w:tc>
        <w:tc>
          <w:tcPr>
            <w:tcW w:w="4253" w:type="dxa"/>
            <w:tcBorders>
              <w:top w:val="single" w:color="auto" w:sz="12" w:space="0"/>
              <w:left w:val="single" w:color="auto" w:sz="4" w:space="0"/>
              <w:bottom w:val="single" w:color="auto" w:sz="4" w:space="0"/>
              <w:right w:val="single" w:color="auto" w:sz="4" w:space="0"/>
            </w:tcBorders>
            <w:vAlign w:val="center"/>
          </w:tcPr>
          <w:p w14:paraId="0973F0FC">
            <w:pPr>
              <w:pStyle w:val="16"/>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07E0249C">
            <w:pPr>
              <w:pStyle w:val="16"/>
              <w:rPr>
                <w:szCs w:val="16"/>
              </w:rPr>
            </w:pPr>
            <w:r>
              <w:rPr>
                <w:rFonts w:hint="eastAsia"/>
                <w:szCs w:val="16"/>
              </w:rPr>
              <w:t>实验</w:t>
            </w:r>
          </w:p>
          <w:p w14:paraId="1E4B7AFF">
            <w:pPr>
              <w:pStyle w:val="16"/>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5477B5F9">
            <w:pPr>
              <w:pStyle w:val="16"/>
              <w:rPr>
                <w:szCs w:val="16"/>
              </w:rPr>
            </w:pPr>
            <w:r>
              <w:rPr>
                <w:rFonts w:hint="eastAsia"/>
                <w:szCs w:val="16"/>
              </w:rPr>
              <w:t>实验</w:t>
            </w:r>
          </w:p>
          <w:p w14:paraId="7B885641">
            <w:pPr>
              <w:pStyle w:val="16"/>
              <w:rPr>
                <w:szCs w:val="16"/>
              </w:rPr>
            </w:pPr>
            <w:r>
              <w:rPr>
                <w:rFonts w:hint="eastAsia"/>
                <w:szCs w:val="16"/>
              </w:rPr>
              <w:t>类型</w:t>
            </w:r>
          </w:p>
        </w:tc>
      </w:tr>
      <w:tr w14:paraId="5C46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left w:val="single" w:color="auto" w:sz="12" w:space="0"/>
            </w:tcBorders>
            <w:vAlign w:val="center"/>
          </w:tcPr>
          <w:p w14:paraId="3DC242CD">
            <w:pPr>
              <w:pStyle w:val="17"/>
              <w:rPr>
                <w:sz w:val="20"/>
                <w:szCs w:val="20"/>
              </w:rPr>
            </w:pPr>
            <w:r>
              <w:t>1</w:t>
            </w:r>
          </w:p>
        </w:tc>
        <w:tc>
          <w:tcPr>
            <w:tcW w:w="1550" w:type="dxa"/>
            <w:vAlign w:val="center"/>
          </w:tcPr>
          <w:p w14:paraId="5835F95C">
            <w:pPr>
              <w:pStyle w:val="17"/>
              <w:rPr>
                <w:sz w:val="20"/>
                <w:szCs w:val="20"/>
              </w:rPr>
            </w:pPr>
            <w:r>
              <w:rPr>
                <w:rFonts w:hint="eastAsia" w:hAnsi="宋体"/>
              </w:rPr>
              <w:t>测量体重、身高</w:t>
            </w:r>
          </w:p>
        </w:tc>
        <w:tc>
          <w:tcPr>
            <w:tcW w:w="4253" w:type="dxa"/>
            <w:vAlign w:val="center"/>
          </w:tcPr>
          <w:p w14:paraId="52D6D920">
            <w:pPr>
              <w:pStyle w:val="17"/>
              <w:jc w:val="left"/>
              <w:rPr>
                <w:sz w:val="20"/>
                <w:szCs w:val="20"/>
              </w:rPr>
            </w:pPr>
            <w:r>
              <w:rPr>
                <w:rFonts w:hint="eastAsia" w:ascii="宋体" w:hAnsi="宋体"/>
              </w:rPr>
              <w:t>掌握小儿体重、身高的测量方法，学会通过测量来评估小儿的营养和发育状况</w:t>
            </w:r>
          </w:p>
        </w:tc>
        <w:tc>
          <w:tcPr>
            <w:tcW w:w="842" w:type="dxa"/>
            <w:vAlign w:val="center"/>
          </w:tcPr>
          <w:p w14:paraId="30AF9993">
            <w:pPr>
              <w:pStyle w:val="17"/>
              <w:rPr>
                <w:sz w:val="20"/>
                <w:szCs w:val="20"/>
              </w:rPr>
            </w:pPr>
            <w:r>
              <w:rPr>
                <w:rFonts w:hint="eastAsia" w:ascii="宋体"/>
              </w:rPr>
              <w:t>4</w:t>
            </w:r>
          </w:p>
        </w:tc>
        <w:tc>
          <w:tcPr>
            <w:tcW w:w="928" w:type="dxa"/>
            <w:tcBorders>
              <w:right w:val="single" w:color="auto" w:sz="12" w:space="0"/>
            </w:tcBorders>
            <w:vAlign w:val="center"/>
          </w:tcPr>
          <w:p w14:paraId="22B531D0">
            <w:pPr>
              <w:pStyle w:val="17"/>
            </w:pPr>
            <w:r>
              <w:rPr>
                <w:rFonts w:hint="eastAsia"/>
              </w:rPr>
              <w:t>④</w:t>
            </w:r>
          </w:p>
        </w:tc>
      </w:tr>
      <w:tr w14:paraId="6CDC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A26A039">
            <w:pPr>
              <w:pStyle w:val="17"/>
            </w:pPr>
            <w:r>
              <w:rPr>
                <w:rFonts w:hint="eastAsia"/>
              </w:rPr>
              <w:t>2</w:t>
            </w:r>
          </w:p>
        </w:tc>
        <w:tc>
          <w:tcPr>
            <w:tcW w:w="1550" w:type="dxa"/>
            <w:vAlign w:val="center"/>
          </w:tcPr>
          <w:p w14:paraId="01AE5CA9">
            <w:pPr>
              <w:pStyle w:val="17"/>
              <w:rPr>
                <w:sz w:val="20"/>
                <w:szCs w:val="20"/>
              </w:rPr>
            </w:pPr>
            <w:r>
              <w:rPr>
                <w:rFonts w:hint="eastAsia" w:hAnsi="宋体"/>
              </w:rPr>
              <w:t>更换尿布</w:t>
            </w:r>
          </w:p>
        </w:tc>
        <w:tc>
          <w:tcPr>
            <w:tcW w:w="4253" w:type="dxa"/>
            <w:vAlign w:val="center"/>
          </w:tcPr>
          <w:p w14:paraId="619AF599">
            <w:pPr>
              <w:pStyle w:val="4"/>
              <w:spacing w:line="288" w:lineRule="auto"/>
              <w:ind w:firstLine="0"/>
              <w:rPr>
                <w:rFonts w:ascii="宋体"/>
                <w:bCs/>
                <w:sz w:val="20"/>
              </w:rPr>
            </w:pPr>
            <w:r>
              <w:rPr>
                <w:rFonts w:hint="eastAsia" w:ascii="宋体" w:hAnsi="宋体" w:cs="宋体"/>
                <w:color w:val="000000"/>
                <w:szCs w:val="21"/>
              </w:rPr>
              <w:t>掌握小儿更换尿布的方法，在实践中学习认真工作的态度，培养关爱小儿的基本素质</w:t>
            </w:r>
          </w:p>
        </w:tc>
        <w:tc>
          <w:tcPr>
            <w:tcW w:w="842" w:type="dxa"/>
            <w:vAlign w:val="center"/>
          </w:tcPr>
          <w:p w14:paraId="5A4BBCAF">
            <w:pPr>
              <w:pStyle w:val="17"/>
              <w:rPr>
                <w:sz w:val="20"/>
                <w:szCs w:val="20"/>
              </w:rPr>
            </w:pPr>
            <w:r>
              <w:rPr>
                <w:rFonts w:hint="eastAsia" w:ascii="宋体"/>
              </w:rPr>
              <w:t>2</w:t>
            </w:r>
          </w:p>
        </w:tc>
        <w:tc>
          <w:tcPr>
            <w:tcW w:w="928" w:type="dxa"/>
            <w:tcBorders>
              <w:right w:val="single" w:color="auto" w:sz="12" w:space="0"/>
            </w:tcBorders>
            <w:vAlign w:val="center"/>
          </w:tcPr>
          <w:p w14:paraId="289859D5">
            <w:pPr>
              <w:pStyle w:val="17"/>
            </w:pPr>
            <w:r>
              <w:rPr>
                <w:rFonts w:hint="eastAsia"/>
              </w:rPr>
              <w:t>④</w:t>
            </w:r>
          </w:p>
        </w:tc>
      </w:tr>
      <w:tr w14:paraId="7C8D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4D827E9E">
            <w:pPr>
              <w:pStyle w:val="17"/>
            </w:pPr>
            <w:r>
              <w:rPr>
                <w:rFonts w:hint="eastAsia"/>
              </w:rPr>
              <w:t>3</w:t>
            </w:r>
          </w:p>
        </w:tc>
        <w:tc>
          <w:tcPr>
            <w:tcW w:w="1550" w:type="dxa"/>
            <w:vAlign w:val="center"/>
          </w:tcPr>
          <w:p w14:paraId="6AAE781D">
            <w:pPr>
              <w:pStyle w:val="17"/>
              <w:rPr>
                <w:sz w:val="20"/>
                <w:szCs w:val="20"/>
              </w:rPr>
            </w:pPr>
            <w:r>
              <w:rPr>
                <w:rFonts w:hint="eastAsia" w:hAnsi="宋体"/>
              </w:rPr>
              <w:t>婴儿沐浴</w:t>
            </w:r>
          </w:p>
        </w:tc>
        <w:tc>
          <w:tcPr>
            <w:tcW w:w="4253" w:type="dxa"/>
            <w:tcBorders>
              <w:bottom w:val="single" w:color="auto" w:sz="4" w:space="0"/>
            </w:tcBorders>
            <w:vAlign w:val="center"/>
          </w:tcPr>
          <w:p w14:paraId="029AD54B">
            <w:pPr>
              <w:pStyle w:val="17"/>
              <w:jc w:val="left"/>
              <w:rPr>
                <w:sz w:val="20"/>
                <w:szCs w:val="20"/>
              </w:rPr>
            </w:pPr>
            <w:r>
              <w:rPr>
                <w:rFonts w:hint="eastAsia" w:ascii="宋体" w:hAnsi="宋体"/>
              </w:rPr>
              <w:t>掌握婴儿沐浴的方法，协助患儿皮肤的排泄和散热，活动肌肉和肢体，学会观察婴儿全身表现</w:t>
            </w:r>
          </w:p>
        </w:tc>
        <w:tc>
          <w:tcPr>
            <w:tcW w:w="842" w:type="dxa"/>
            <w:vAlign w:val="center"/>
          </w:tcPr>
          <w:p w14:paraId="52F0A793">
            <w:pPr>
              <w:pStyle w:val="17"/>
              <w:rPr>
                <w:sz w:val="20"/>
                <w:szCs w:val="20"/>
              </w:rPr>
            </w:pPr>
            <w:r>
              <w:rPr>
                <w:rFonts w:hint="eastAsia" w:ascii="宋体"/>
              </w:rPr>
              <w:t>2</w:t>
            </w:r>
          </w:p>
        </w:tc>
        <w:tc>
          <w:tcPr>
            <w:tcW w:w="928" w:type="dxa"/>
            <w:tcBorders>
              <w:right w:val="single" w:color="auto" w:sz="12" w:space="0"/>
            </w:tcBorders>
            <w:vAlign w:val="center"/>
          </w:tcPr>
          <w:p w14:paraId="7251B872">
            <w:pPr>
              <w:pStyle w:val="17"/>
            </w:pPr>
            <w:r>
              <w:rPr>
                <w:rFonts w:hint="eastAsia"/>
              </w:rPr>
              <w:t>④</w:t>
            </w:r>
          </w:p>
        </w:tc>
      </w:tr>
      <w:tr w14:paraId="1AD9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2CA54F7">
            <w:pPr>
              <w:pStyle w:val="17"/>
            </w:pPr>
            <w:r>
              <w:rPr>
                <w:rFonts w:hint="eastAsia"/>
              </w:rPr>
              <w:t>4</w:t>
            </w:r>
          </w:p>
        </w:tc>
        <w:tc>
          <w:tcPr>
            <w:tcW w:w="1550" w:type="dxa"/>
            <w:vAlign w:val="center"/>
          </w:tcPr>
          <w:p w14:paraId="75FFF9FF">
            <w:pPr>
              <w:pStyle w:val="17"/>
              <w:rPr>
                <w:sz w:val="20"/>
                <w:szCs w:val="20"/>
              </w:rPr>
            </w:pPr>
            <w:r>
              <w:rPr>
                <w:rFonts w:hint="eastAsia" w:hAnsi="宋体"/>
              </w:rPr>
              <w:t>口服给药</w:t>
            </w:r>
          </w:p>
        </w:tc>
        <w:tc>
          <w:tcPr>
            <w:tcW w:w="4253" w:type="dxa"/>
            <w:vAlign w:val="center"/>
          </w:tcPr>
          <w:p w14:paraId="2D9BA8E0">
            <w:pPr>
              <w:pStyle w:val="4"/>
              <w:spacing w:line="288" w:lineRule="auto"/>
              <w:ind w:firstLine="0"/>
              <w:rPr>
                <w:rFonts w:ascii="宋体"/>
                <w:bCs/>
                <w:sz w:val="20"/>
              </w:rPr>
            </w:pPr>
            <w:r>
              <w:rPr>
                <w:rFonts w:hint="eastAsia" w:ascii="宋体" w:hAnsi="宋体" w:cs="宋体"/>
                <w:color w:val="000000"/>
                <w:szCs w:val="21"/>
              </w:rPr>
              <w:t>掌握口服给药的方法，满足患儿治疗的需要，学会缓解疾病所致的疼痛及不适</w:t>
            </w:r>
          </w:p>
        </w:tc>
        <w:tc>
          <w:tcPr>
            <w:tcW w:w="842" w:type="dxa"/>
            <w:vAlign w:val="center"/>
          </w:tcPr>
          <w:p w14:paraId="17A88058">
            <w:pPr>
              <w:pStyle w:val="17"/>
              <w:rPr>
                <w:sz w:val="20"/>
                <w:szCs w:val="20"/>
              </w:rPr>
            </w:pPr>
            <w:r>
              <w:rPr>
                <w:rFonts w:hint="eastAsia" w:ascii="宋体"/>
              </w:rPr>
              <w:t>2</w:t>
            </w:r>
          </w:p>
        </w:tc>
        <w:tc>
          <w:tcPr>
            <w:tcW w:w="928" w:type="dxa"/>
            <w:tcBorders>
              <w:right w:val="single" w:color="auto" w:sz="12" w:space="0"/>
            </w:tcBorders>
            <w:vAlign w:val="center"/>
          </w:tcPr>
          <w:p w14:paraId="0968FE20">
            <w:pPr>
              <w:pStyle w:val="17"/>
            </w:pPr>
            <w:r>
              <w:rPr>
                <w:rFonts w:hint="eastAsia"/>
              </w:rPr>
              <w:t>④</w:t>
            </w:r>
          </w:p>
        </w:tc>
      </w:tr>
      <w:tr w14:paraId="76E82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C819ACF">
            <w:pPr>
              <w:pStyle w:val="17"/>
            </w:pPr>
            <w:r>
              <w:rPr>
                <w:rFonts w:hint="eastAsia"/>
              </w:rPr>
              <w:t>5</w:t>
            </w:r>
          </w:p>
        </w:tc>
        <w:tc>
          <w:tcPr>
            <w:tcW w:w="1550" w:type="dxa"/>
            <w:vAlign w:val="center"/>
          </w:tcPr>
          <w:p w14:paraId="1354CD1E">
            <w:pPr>
              <w:pStyle w:val="17"/>
              <w:rPr>
                <w:sz w:val="20"/>
                <w:szCs w:val="20"/>
              </w:rPr>
            </w:pPr>
            <w:r>
              <w:rPr>
                <w:rFonts w:hint="eastAsia" w:hAnsi="宋体"/>
              </w:rPr>
              <w:t>乳瓶喂乳</w:t>
            </w:r>
          </w:p>
        </w:tc>
        <w:tc>
          <w:tcPr>
            <w:tcW w:w="4253" w:type="dxa"/>
            <w:vAlign w:val="center"/>
          </w:tcPr>
          <w:p w14:paraId="75B71984">
            <w:pPr>
              <w:pStyle w:val="17"/>
              <w:jc w:val="left"/>
              <w:rPr>
                <w:sz w:val="20"/>
                <w:szCs w:val="20"/>
              </w:rPr>
            </w:pPr>
            <w:r>
              <w:rPr>
                <w:rFonts w:hint="eastAsia" w:ascii="宋体" w:hAnsi="宋体"/>
              </w:rPr>
              <w:t>学会乳瓶哺喂法、滴管哺喂法及鼻饲法喂养，满足不同吸吮能力及吞咽能力的婴儿进食需要</w:t>
            </w:r>
          </w:p>
        </w:tc>
        <w:tc>
          <w:tcPr>
            <w:tcW w:w="842" w:type="dxa"/>
            <w:vAlign w:val="center"/>
          </w:tcPr>
          <w:p w14:paraId="75F81F3A">
            <w:pPr>
              <w:pStyle w:val="17"/>
              <w:rPr>
                <w:sz w:val="20"/>
                <w:szCs w:val="20"/>
              </w:rPr>
            </w:pPr>
            <w:r>
              <w:rPr>
                <w:rFonts w:hint="eastAsia" w:ascii="宋体"/>
              </w:rPr>
              <w:t>2</w:t>
            </w:r>
          </w:p>
        </w:tc>
        <w:tc>
          <w:tcPr>
            <w:tcW w:w="928" w:type="dxa"/>
            <w:tcBorders>
              <w:right w:val="single" w:color="auto" w:sz="12" w:space="0"/>
            </w:tcBorders>
            <w:vAlign w:val="center"/>
          </w:tcPr>
          <w:p w14:paraId="3B00FD5D">
            <w:pPr>
              <w:pStyle w:val="17"/>
              <w:ind w:left="360"/>
              <w:jc w:val="left"/>
            </w:pPr>
            <w:r>
              <w:rPr>
                <w:rFonts w:hint="eastAsia"/>
              </w:rPr>
              <w:t>④</w:t>
            </w:r>
          </w:p>
        </w:tc>
      </w:tr>
      <w:tr w14:paraId="149A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558270F0">
            <w:pPr>
              <w:pStyle w:val="16"/>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7750987C">
      <w:pPr>
        <w:pStyle w:val="19"/>
        <w:spacing w:before="326" w:beforeLines="100" w:line="360" w:lineRule="auto"/>
        <w:ind w:firstLine="140" w:firstLineChars="50"/>
        <w:rPr>
          <w:rFonts w:ascii="黑体" w:hAnsi="宋体"/>
        </w:rPr>
      </w:pPr>
      <w:bookmarkStart w:id="0" w:name="OLE_LINK1"/>
      <w:bookmarkStart w:id="1" w:name="OLE_LINK2"/>
      <w:r>
        <w:rPr>
          <w:rFonts w:hint="eastAsia" w:ascii="黑体" w:hAnsi="宋体"/>
        </w:rPr>
        <w:t>四、课程思政教学设计</w:t>
      </w:r>
    </w:p>
    <w:bookmarkEnd w:id="0"/>
    <w:bookmarkEnd w:id="1"/>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4AF7D3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491EB486">
            <w:pPr>
              <w:pStyle w:val="17"/>
              <w:widowControl w:val="0"/>
              <w:ind w:firstLine="420" w:firstLineChars="200"/>
              <w:jc w:val="left"/>
            </w:pPr>
            <w:r>
              <w:rPr>
                <w:rFonts w:hint="eastAsia"/>
              </w:rPr>
              <w:t>《儿科护理学》的课程思政教学设计中，我们着力于培养学生的社会责任感、人文关怀以及职业道德。本课程将习近平总书记关于卫生与健康重要论述融入教学各环节，尤其是医护人员应恪守的医德医风，强调“以病人为中心”的服务理念。课程内容不仅涵盖儿科护理的专业知识和技能，也包括护理职业道德教育、法律法规教育以及儿童保护意识的培养。</w:t>
            </w:r>
          </w:p>
          <w:p w14:paraId="3B7BA64A">
            <w:pPr>
              <w:pStyle w:val="17"/>
              <w:widowControl w:val="0"/>
              <w:jc w:val="left"/>
            </w:pPr>
            <w:r>
              <w:rPr>
                <w:rFonts w:hint="eastAsia"/>
              </w:rPr>
              <w:t xml:space="preserve"> </w:t>
            </w:r>
            <w:r>
              <w:t xml:space="preserve">  </w:t>
            </w:r>
            <w:r>
              <w:rPr>
                <w:rFonts w:hint="eastAsia"/>
              </w:rPr>
              <w:t>通过课程学习，引导学生理解儿科护理工作的特殊性和复杂性，教育学生在护理实践中应当如何处理伦理困境，培养他们在紧急情况下迅速、正确做出决策的能力。同时，注重对学生进行爱国主义教育，激发他们的家国情怀，使他们在关爱儿童、服务社会的过程中，深刻体会到作为一名儿科护理工作者的荣誉与责任。</w:t>
            </w:r>
          </w:p>
          <w:p w14:paraId="5D46C104">
            <w:pPr>
              <w:pStyle w:val="17"/>
              <w:widowControl w:val="0"/>
              <w:jc w:val="left"/>
            </w:pPr>
            <w:r>
              <w:rPr>
                <w:rFonts w:hint="eastAsia"/>
              </w:rPr>
              <w:t>课程评估将综合学生的理论学习、实践技能以及思政素质的提升，确保学生在掌握儿科护理专业知识的同时，也能够树立正确的世界观、人生观和价值观，成为德技双馨的护理人才。通过这样的课程设计，我们旨在培养出具有高尚医德、专业精湛、全心全意为儿童健康成长服务的护理人才。</w:t>
            </w:r>
          </w:p>
        </w:tc>
      </w:tr>
    </w:tbl>
    <w:p w14:paraId="531C12F1">
      <w:pPr>
        <w:pStyle w:val="19"/>
        <w:spacing w:before="326" w:beforeLines="100" w:line="360" w:lineRule="auto"/>
        <w:rPr>
          <w:rFonts w:ascii="黑体" w:hAnsi="宋体"/>
        </w:rPr>
      </w:pPr>
      <w:r>
        <w:rPr>
          <w:rFonts w:hint="eastAsia" w:ascii="黑体" w:hAnsi="宋体"/>
        </w:rPr>
        <w:t>五、课程考核</w:t>
      </w:r>
      <w:bookmarkStart w:id="2" w:name="OLE_LINK3"/>
      <w:bookmarkStart w:id="3" w:name="OLE_LINK4"/>
    </w:p>
    <w:bookmarkEnd w:id="2"/>
    <w:bookmarkEnd w:id="3"/>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758"/>
        <w:gridCol w:w="2518"/>
        <w:gridCol w:w="655"/>
        <w:gridCol w:w="655"/>
        <w:gridCol w:w="655"/>
        <w:gridCol w:w="655"/>
        <w:gridCol w:w="655"/>
        <w:gridCol w:w="755"/>
      </w:tblGrid>
      <w:tr w14:paraId="38E5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vMerge w:val="restart"/>
            <w:tcBorders>
              <w:top w:val="single" w:color="auto" w:sz="12" w:space="0"/>
              <w:left w:val="single" w:color="auto" w:sz="12" w:space="0"/>
            </w:tcBorders>
            <w:vAlign w:val="center"/>
          </w:tcPr>
          <w:p w14:paraId="665526FA">
            <w:pPr>
              <w:widowControl w:val="0"/>
              <w:snapToGrid w:val="0"/>
              <w:jc w:val="center"/>
              <w:rPr>
                <w:rFonts w:ascii="黑体" w:hAnsi="黑体" w:eastAsia="黑体"/>
                <w:bCs/>
                <w:sz w:val="21"/>
                <w:szCs w:val="21"/>
              </w:rPr>
            </w:pPr>
            <w:bookmarkStart w:id="4" w:name="_Hlk156661041"/>
            <w:r>
              <w:rPr>
                <w:rFonts w:hint="eastAsia" w:ascii="黑体" w:hAnsi="黑体" w:eastAsia="黑体"/>
                <w:bCs/>
                <w:sz w:val="21"/>
                <w:szCs w:val="21"/>
              </w:rPr>
              <w:t>总评构成</w:t>
            </w:r>
          </w:p>
        </w:tc>
        <w:tc>
          <w:tcPr>
            <w:tcW w:w="758" w:type="dxa"/>
            <w:vMerge w:val="restart"/>
            <w:tcBorders>
              <w:top w:val="single" w:color="auto" w:sz="12" w:space="0"/>
            </w:tcBorders>
            <w:vAlign w:val="center"/>
          </w:tcPr>
          <w:p w14:paraId="1E5A816C">
            <w:pPr>
              <w:pStyle w:val="19"/>
              <w:widowControl w:val="0"/>
              <w:spacing w:line="240" w:lineRule="auto"/>
              <w:jc w:val="center"/>
              <w:rPr>
                <w:rFonts w:ascii="黑体" w:hAnsi="宋体"/>
              </w:rPr>
            </w:pPr>
            <w:r>
              <w:rPr>
                <w:rFonts w:hint="eastAsia" w:ascii="黑体" w:hAnsi="黑体"/>
                <w:bCs/>
                <w:sz w:val="21"/>
                <w:szCs w:val="21"/>
              </w:rPr>
              <w:t>占比</w:t>
            </w:r>
          </w:p>
        </w:tc>
        <w:tc>
          <w:tcPr>
            <w:tcW w:w="2518" w:type="dxa"/>
            <w:vMerge w:val="restart"/>
            <w:tcBorders>
              <w:top w:val="single" w:color="auto" w:sz="12" w:space="0"/>
              <w:right w:val="double" w:color="auto" w:sz="4" w:space="0"/>
            </w:tcBorders>
            <w:vAlign w:val="center"/>
          </w:tcPr>
          <w:p w14:paraId="443D5F35">
            <w:pPr>
              <w:pStyle w:val="19"/>
              <w:widowControl w:val="0"/>
              <w:jc w:val="center"/>
              <w:rPr>
                <w:rFonts w:ascii="黑体" w:hAnsi="黑体"/>
                <w:bCs/>
                <w:sz w:val="21"/>
                <w:szCs w:val="21"/>
              </w:rPr>
            </w:pPr>
            <w:r>
              <w:rPr>
                <w:rFonts w:hint="eastAsia" w:ascii="黑体" w:hAnsi="黑体"/>
                <w:bCs/>
                <w:sz w:val="21"/>
                <w:szCs w:val="21"/>
              </w:rPr>
              <w:t>考核方式</w:t>
            </w:r>
          </w:p>
        </w:tc>
        <w:tc>
          <w:tcPr>
            <w:tcW w:w="3275" w:type="dxa"/>
            <w:gridSpan w:val="5"/>
            <w:tcBorders>
              <w:top w:val="single" w:color="auto" w:sz="12" w:space="0"/>
              <w:left w:val="double" w:color="auto" w:sz="4" w:space="0"/>
            </w:tcBorders>
            <w:vAlign w:val="center"/>
          </w:tcPr>
          <w:p w14:paraId="1B9F977B">
            <w:pPr>
              <w:pStyle w:val="19"/>
              <w:widowControl w:val="0"/>
              <w:spacing w:line="240" w:lineRule="auto"/>
              <w:jc w:val="center"/>
              <w:rPr>
                <w:rFonts w:ascii="黑体" w:hAnsi="宋体"/>
              </w:rPr>
            </w:pPr>
            <w:r>
              <w:rPr>
                <w:rFonts w:hint="eastAsia" w:ascii="黑体" w:hAnsi="黑体"/>
                <w:bCs/>
                <w:sz w:val="21"/>
                <w:szCs w:val="21"/>
              </w:rPr>
              <w:t>课程目标</w:t>
            </w:r>
          </w:p>
        </w:tc>
        <w:tc>
          <w:tcPr>
            <w:tcW w:w="755" w:type="dxa"/>
            <w:vMerge w:val="restart"/>
            <w:tcBorders>
              <w:top w:val="single" w:color="auto" w:sz="12" w:space="0"/>
              <w:right w:val="single" w:color="auto" w:sz="12" w:space="0"/>
            </w:tcBorders>
            <w:vAlign w:val="center"/>
          </w:tcPr>
          <w:p w14:paraId="7CA1C09F">
            <w:pPr>
              <w:pStyle w:val="19"/>
              <w:widowControl w:val="0"/>
              <w:spacing w:line="240" w:lineRule="auto"/>
              <w:jc w:val="center"/>
              <w:rPr>
                <w:rFonts w:ascii="黑体" w:hAnsi="黑体"/>
                <w:bCs/>
                <w:sz w:val="21"/>
                <w:szCs w:val="21"/>
              </w:rPr>
            </w:pPr>
            <w:r>
              <w:rPr>
                <w:rFonts w:hint="eastAsia" w:ascii="黑体" w:hAnsi="黑体"/>
                <w:bCs/>
                <w:sz w:val="21"/>
                <w:szCs w:val="21"/>
              </w:rPr>
              <w:t>合计</w:t>
            </w:r>
          </w:p>
        </w:tc>
      </w:tr>
      <w:tr w14:paraId="2C94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vMerge w:val="continue"/>
            <w:tcBorders>
              <w:left w:val="single" w:color="auto" w:sz="12" w:space="0"/>
            </w:tcBorders>
          </w:tcPr>
          <w:p w14:paraId="5A29AC0A">
            <w:pPr>
              <w:widowControl w:val="0"/>
              <w:snapToGrid w:val="0"/>
              <w:jc w:val="center"/>
              <w:rPr>
                <w:rFonts w:ascii="黑体" w:hAnsi="黑体" w:eastAsia="黑体"/>
                <w:bCs/>
                <w:sz w:val="21"/>
                <w:szCs w:val="21"/>
              </w:rPr>
            </w:pPr>
          </w:p>
        </w:tc>
        <w:tc>
          <w:tcPr>
            <w:tcW w:w="758" w:type="dxa"/>
            <w:vMerge w:val="continue"/>
          </w:tcPr>
          <w:p w14:paraId="025BE32F">
            <w:pPr>
              <w:pStyle w:val="19"/>
              <w:widowControl w:val="0"/>
              <w:jc w:val="both"/>
              <w:rPr>
                <w:rFonts w:ascii="黑体" w:hAnsi="黑体"/>
                <w:bCs/>
                <w:sz w:val="21"/>
                <w:szCs w:val="21"/>
              </w:rPr>
            </w:pPr>
          </w:p>
        </w:tc>
        <w:tc>
          <w:tcPr>
            <w:tcW w:w="2518" w:type="dxa"/>
            <w:vMerge w:val="continue"/>
            <w:tcBorders>
              <w:right w:val="double" w:color="auto" w:sz="4" w:space="0"/>
            </w:tcBorders>
          </w:tcPr>
          <w:p w14:paraId="274EF8F2">
            <w:pPr>
              <w:pStyle w:val="19"/>
              <w:widowControl w:val="0"/>
              <w:jc w:val="both"/>
              <w:rPr>
                <w:rFonts w:ascii="黑体" w:hAnsi="黑体"/>
                <w:bCs/>
                <w:sz w:val="21"/>
                <w:szCs w:val="21"/>
              </w:rPr>
            </w:pPr>
          </w:p>
        </w:tc>
        <w:tc>
          <w:tcPr>
            <w:tcW w:w="655" w:type="dxa"/>
            <w:tcBorders>
              <w:left w:val="double" w:color="auto" w:sz="4" w:space="0"/>
            </w:tcBorders>
            <w:vAlign w:val="center"/>
          </w:tcPr>
          <w:p w14:paraId="13C591BE">
            <w:pPr>
              <w:pStyle w:val="19"/>
              <w:widowControl w:val="0"/>
              <w:spacing w:line="240" w:lineRule="auto"/>
              <w:jc w:val="center"/>
              <w:rPr>
                <w:rFonts w:ascii="黑体" w:hAnsi="黑体"/>
                <w:bCs/>
                <w:sz w:val="21"/>
                <w:szCs w:val="21"/>
              </w:rPr>
            </w:pPr>
            <w:r>
              <w:rPr>
                <w:rFonts w:hint="eastAsia" w:ascii="黑体" w:hAnsi="黑体"/>
                <w:bCs/>
                <w:sz w:val="21"/>
                <w:szCs w:val="21"/>
              </w:rPr>
              <w:t>1</w:t>
            </w:r>
          </w:p>
        </w:tc>
        <w:tc>
          <w:tcPr>
            <w:tcW w:w="655" w:type="dxa"/>
            <w:vAlign w:val="center"/>
          </w:tcPr>
          <w:p w14:paraId="0FF63B8F">
            <w:pPr>
              <w:pStyle w:val="19"/>
              <w:widowControl w:val="0"/>
              <w:spacing w:line="240" w:lineRule="auto"/>
              <w:jc w:val="center"/>
              <w:rPr>
                <w:rFonts w:ascii="黑体" w:hAnsi="黑体"/>
                <w:bCs/>
                <w:sz w:val="21"/>
                <w:szCs w:val="21"/>
              </w:rPr>
            </w:pPr>
            <w:r>
              <w:rPr>
                <w:rFonts w:hint="eastAsia" w:ascii="黑体" w:hAnsi="黑体"/>
                <w:bCs/>
                <w:sz w:val="21"/>
                <w:szCs w:val="21"/>
              </w:rPr>
              <w:t>2</w:t>
            </w:r>
          </w:p>
        </w:tc>
        <w:tc>
          <w:tcPr>
            <w:tcW w:w="655" w:type="dxa"/>
            <w:vAlign w:val="center"/>
          </w:tcPr>
          <w:p w14:paraId="37782F37">
            <w:pPr>
              <w:pStyle w:val="19"/>
              <w:widowControl w:val="0"/>
              <w:spacing w:line="240" w:lineRule="auto"/>
              <w:jc w:val="center"/>
              <w:rPr>
                <w:rFonts w:ascii="黑体" w:hAnsi="黑体"/>
                <w:bCs/>
                <w:sz w:val="21"/>
                <w:szCs w:val="21"/>
              </w:rPr>
            </w:pPr>
            <w:r>
              <w:rPr>
                <w:rFonts w:hint="eastAsia" w:ascii="黑体" w:hAnsi="黑体"/>
                <w:bCs/>
                <w:sz w:val="21"/>
                <w:szCs w:val="21"/>
              </w:rPr>
              <w:t>3</w:t>
            </w:r>
          </w:p>
        </w:tc>
        <w:tc>
          <w:tcPr>
            <w:tcW w:w="655" w:type="dxa"/>
            <w:vAlign w:val="center"/>
          </w:tcPr>
          <w:p w14:paraId="48F4D4A8">
            <w:pPr>
              <w:pStyle w:val="19"/>
              <w:widowControl w:val="0"/>
              <w:spacing w:line="240" w:lineRule="auto"/>
              <w:jc w:val="center"/>
              <w:rPr>
                <w:rFonts w:ascii="黑体" w:hAnsi="黑体"/>
                <w:bCs/>
                <w:sz w:val="21"/>
                <w:szCs w:val="21"/>
              </w:rPr>
            </w:pPr>
            <w:r>
              <w:rPr>
                <w:rFonts w:hint="eastAsia" w:ascii="黑体" w:hAnsi="黑体"/>
                <w:bCs/>
                <w:sz w:val="21"/>
                <w:szCs w:val="21"/>
              </w:rPr>
              <w:t>4</w:t>
            </w:r>
          </w:p>
        </w:tc>
        <w:tc>
          <w:tcPr>
            <w:tcW w:w="655" w:type="dxa"/>
            <w:vAlign w:val="center"/>
          </w:tcPr>
          <w:p w14:paraId="1BACEC59">
            <w:pPr>
              <w:pStyle w:val="19"/>
              <w:widowControl w:val="0"/>
              <w:spacing w:line="240" w:lineRule="auto"/>
              <w:jc w:val="center"/>
              <w:rPr>
                <w:rFonts w:ascii="黑体" w:hAnsi="黑体"/>
                <w:bCs/>
                <w:sz w:val="21"/>
                <w:szCs w:val="21"/>
              </w:rPr>
            </w:pPr>
            <w:r>
              <w:rPr>
                <w:rFonts w:hint="eastAsia" w:ascii="黑体" w:hAnsi="黑体"/>
                <w:bCs/>
                <w:sz w:val="21"/>
                <w:szCs w:val="21"/>
              </w:rPr>
              <w:t>5</w:t>
            </w:r>
          </w:p>
        </w:tc>
        <w:tc>
          <w:tcPr>
            <w:tcW w:w="755" w:type="dxa"/>
            <w:vMerge w:val="continue"/>
            <w:tcBorders>
              <w:right w:val="single" w:color="auto" w:sz="12" w:space="0"/>
            </w:tcBorders>
          </w:tcPr>
          <w:p w14:paraId="1D9C13FB">
            <w:pPr>
              <w:pStyle w:val="19"/>
              <w:widowControl w:val="0"/>
              <w:spacing w:line="240" w:lineRule="auto"/>
              <w:jc w:val="center"/>
              <w:rPr>
                <w:rFonts w:ascii="黑体" w:hAnsi="黑体"/>
                <w:bCs/>
                <w:sz w:val="21"/>
                <w:szCs w:val="21"/>
              </w:rPr>
            </w:pPr>
          </w:p>
        </w:tc>
      </w:tr>
      <w:tr w14:paraId="346B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top"/>
          </w:tcPr>
          <w:p w14:paraId="47B54EEB">
            <w:pPr>
              <w:snapToGrid w:val="0"/>
              <w:spacing w:before="180" w:beforeLines="50" w:after="180" w:afterLines="50"/>
              <w:jc w:val="center"/>
              <w:rPr>
                <w:rFonts w:ascii="Arial" w:hAnsi="Arial" w:eastAsia="黑体" w:cs="Arial"/>
                <w:bCs/>
                <w:sz w:val="21"/>
                <w:szCs w:val="21"/>
              </w:rPr>
            </w:pPr>
            <w:r>
              <w:rPr>
                <w:rFonts w:hint="eastAsia" w:ascii="宋体" w:hAnsi="宋体"/>
                <w:bCs/>
                <w:color w:val="000000"/>
                <w:szCs w:val="20"/>
              </w:rPr>
              <w:t>X1</w:t>
            </w:r>
          </w:p>
        </w:tc>
        <w:tc>
          <w:tcPr>
            <w:tcW w:w="758" w:type="dxa"/>
            <w:vAlign w:val="center"/>
          </w:tcPr>
          <w:p w14:paraId="6808E081">
            <w:pPr>
              <w:pStyle w:val="17"/>
              <w:widowControl w:val="0"/>
            </w:pPr>
            <w:r>
              <w:rPr>
                <w:rFonts w:hint="eastAsia"/>
              </w:rPr>
              <w:t>4</w:t>
            </w:r>
            <w:r>
              <w:t>0</w:t>
            </w:r>
            <w:r>
              <w:rPr>
                <w:rFonts w:hint="eastAsia"/>
              </w:rPr>
              <w:t>%</w:t>
            </w:r>
          </w:p>
        </w:tc>
        <w:tc>
          <w:tcPr>
            <w:tcW w:w="2518" w:type="dxa"/>
            <w:tcBorders>
              <w:right w:val="double" w:color="auto" w:sz="4" w:space="0"/>
            </w:tcBorders>
            <w:vAlign w:val="center"/>
          </w:tcPr>
          <w:p w14:paraId="27BD7FB1">
            <w:pPr>
              <w:pStyle w:val="17"/>
              <w:widowControl w:val="0"/>
            </w:pPr>
            <w:r>
              <w:rPr>
                <w:rFonts w:hint="eastAsia"/>
              </w:rPr>
              <w:t>期</w:t>
            </w:r>
            <w:r>
              <w:rPr>
                <w:rFonts w:hint="eastAsia"/>
                <w:lang w:val="en-US" w:eastAsia="zh-CN"/>
              </w:rPr>
              <w:t>末</w:t>
            </w:r>
            <w:r>
              <w:rPr>
                <w:rFonts w:hint="eastAsia"/>
              </w:rPr>
              <w:t>闭卷考试</w:t>
            </w:r>
          </w:p>
        </w:tc>
        <w:tc>
          <w:tcPr>
            <w:tcW w:w="655" w:type="dxa"/>
            <w:tcBorders>
              <w:left w:val="double" w:color="auto" w:sz="4" w:space="0"/>
            </w:tcBorders>
            <w:vAlign w:val="center"/>
          </w:tcPr>
          <w:p w14:paraId="67551956">
            <w:pPr>
              <w:pStyle w:val="17"/>
              <w:widowControl w:val="0"/>
            </w:pPr>
            <w:r>
              <w:t>10</w:t>
            </w:r>
          </w:p>
        </w:tc>
        <w:tc>
          <w:tcPr>
            <w:tcW w:w="655" w:type="dxa"/>
            <w:vAlign w:val="center"/>
          </w:tcPr>
          <w:p w14:paraId="57481D96">
            <w:pPr>
              <w:pStyle w:val="17"/>
              <w:widowControl w:val="0"/>
            </w:pPr>
            <w:r>
              <w:t>60</w:t>
            </w:r>
          </w:p>
        </w:tc>
        <w:tc>
          <w:tcPr>
            <w:tcW w:w="655" w:type="dxa"/>
            <w:vAlign w:val="center"/>
          </w:tcPr>
          <w:p w14:paraId="6E7EEEE5">
            <w:pPr>
              <w:pStyle w:val="17"/>
              <w:widowControl w:val="0"/>
            </w:pPr>
            <w:r>
              <w:rPr>
                <w:rFonts w:hint="eastAsia"/>
              </w:rPr>
              <w:t>2</w:t>
            </w:r>
            <w:r>
              <w:t>0</w:t>
            </w:r>
          </w:p>
        </w:tc>
        <w:tc>
          <w:tcPr>
            <w:tcW w:w="655" w:type="dxa"/>
            <w:vAlign w:val="center"/>
          </w:tcPr>
          <w:p w14:paraId="67E147B9">
            <w:pPr>
              <w:pStyle w:val="17"/>
              <w:widowControl w:val="0"/>
            </w:pPr>
          </w:p>
        </w:tc>
        <w:tc>
          <w:tcPr>
            <w:tcW w:w="655" w:type="dxa"/>
            <w:vAlign w:val="center"/>
          </w:tcPr>
          <w:p w14:paraId="14A5D008">
            <w:pPr>
              <w:pStyle w:val="17"/>
              <w:widowControl w:val="0"/>
            </w:pPr>
            <w:r>
              <w:t>10</w:t>
            </w:r>
          </w:p>
        </w:tc>
        <w:tc>
          <w:tcPr>
            <w:tcW w:w="755" w:type="dxa"/>
            <w:tcBorders>
              <w:right w:val="single" w:color="auto" w:sz="12" w:space="0"/>
            </w:tcBorders>
            <w:vAlign w:val="center"/>
          </w:tcPr>
          <w:p w14:paraId="58DF0D4C">
            <w:pPr>
              <w:pStyle w:val="17"/>
              <w:widowControl w:val="0"/>
            </w:pPr>
            <w:r>
              <w:rPr>
                <w:rFonts w:hint="eastAsia"/>
              </w:rPr>
              <w:t>1</w:t>
            </w:r>
            <w:r>
              <w:t>00</w:t>
            </w:r>
          </w:p>
        </w:tc>
      </w:tr>
      <w:tr w14:paraId="0883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top"/>
          </w:tcPr>
          <w:p w14:paraId="670B5A28">
            <w:pPr>
              <w:snapToGrid w:val="0"/>
              <w:spacing w:before="180" w:beforeLines="50" w:after="180" w:afterLines="50"/>
              <w:jc w:val="center"/>
              <w:rPr>
                <w:rFonts w:ascii="Arial" w:hAnsi="Arial" w:eastAsia="黑体" w:cs="Arial"/>
                <w:bCs/>
                <w:sz w:val="21"/>
                <w:szCs w:val="21"/>
              </w:rPr>
            </w:pPr>
            <w:r>
              <w:rPr>
                <w:rFonts w:hint="eastAsia" w:ascii="宋体" w:hAnsi="宋体"/>
                <w:bCs/>
                <w:color w:val="000000"/>
                <w:szCs w:val="20"/>
              </w:rPr>
              <w:t>X</w:t>
            </w:r>
            <w:r>
              <w:rPr>
                <w:rFonts w:hint="eastAsia" w:ascii="宋体" w:hAnsi="宋体"/>
                <w:bCs/>
                <w:color w:val="000000"/>
                <w:szCs w:val="20"/>
                <w:lang w:eastAsia="zh-CN"/>
              </w:rPr>
              <w:t>2</w:t>
            </w:r>
          </w:p>
        </w:tc>
        <w:tc>
          <w:tcPr>
            <w:tcW w:w="758" w:type="dxa"/>
            <w:vAlign w:val="center"/>
          </w:tcPr>
          <w:p w14:paraId="3EC3F406">
            <w:pPr>
              <w:pStyle w:val="17"/>
              <w:widowControl w:val="0"/>
            </w:pPr>
            <w:r>
              <w:t>10</w:t>
            </w:r>
            <w:r>
              <w:rPr>
                <w:rFonts w:hint="eastAsia"/>
              </w:rPr>
              <w:t>%</w:t>
            </w:r>
          </w:p>
        </w:tc>
        <w:tc>
          <w:tcPr>
            <w:tcW w:w="2518" w:type="dxa"/>
            <w:tcBorders>
              <w:right w:val="double" w:color="auto" w:sz="4" w:space="0"/>
            </w:tcBorders>
            <w:vAlign w:val="center"/>
          </w:tcPr>
          <w:p w14:paraId="5954CFF9">
            <w:pPr>
              <w:pStyle w:val="17"/>
              <w:widowControl w:val="0"/>
            </w:pPr>
            <w:r>
              <w:rPr>
                <w:rFonts w:hint="eastAsia"/>
              </w:rPr>
              <w:t>小论文</w:t>
            </w:r>
          </w:p>
        </w:tc>
        <w:tc>
          <w:tcPr>
            <w:tcW w:w="655" w:type="dxa"/>
            <w:tcBorders>
              <w:left w:val="double" w:color="auto" w:sz="4" w:space="0"/>
            </w:tcBorders>
            <w:vAlign w:val="center"/>
          </w:tcPr>
          <w:p w14:paraId="2332F857">
            <w:pPr>
              <w:pStyle w:val="17"/>
              <w:widowControl w:val="0"/>
            </w:pPr>
            <w:r>
              <w:t>10</w:t>
            </w:r>
          </w:p>
        </w:tc>
        <w:tc>
          <w:tcPr>
            <w:tcW w:w="655" w:type="dxa"/>
            <w:vAlign w:val="center"/>
          </w:tcPr>
          <w:p w14:paraId="18754A31">
            <w:pPr>
              <w:pStyle w:val="17"/>
              <w:widowControl w:val="0"/>
            </w:pPr>
            <w:r>
              <w:t>20</w:t>
            </w:r>
          </w:p>
        </w:tc>
        <w:tc>
          <w:tcPr>
            <w:tcW w:w="655" w:type="dxa"/>
            <w:vAlign w:val="center"/>
          </w:tcPr>
          <w:p w14:paraId="3E212446">
            <w:pPr>
              <w:pStyle w:val="17"/>
              <w:widowControl w:val="0"/>
            </w:pPr>
          </w:p>
        </w:tc>
        <w:tc>
          <w:tcPr>
            <w:tcW w:w="655" w:type="dxa"/>
            <w:vAlign w:val="center"/>
          </w:tcPr>
          <w:p w14:paraId="2613C681">
            <w:pPr>
              <w:pStyle w:val="17"/>
              <w:widowControl w:val="0"/>
            </w:pPr>
            <w:r>
              <w:t>50</w:t>
            </w:r>
          </w:p>
        </w:tc>
        <w:tc>
          <w:tcPr>
            <w:tcW w:w="655" w:type="dxa"/>
            <w:vAlign w:val="center"/>
          </w:tcPr>
          <w:p w14:paraId="749FB4C6">
            <w:pPr>
              <w:pStyle w:val="17"/>
              <w:widowControl w:val="0"/>
            </w:pPr>
            <w:r>
              <w:t>20</w:t>
            </w:r>
          </w:p>
        </w:tc>
        <w:tc>
          <w:tcPr>
            <w:tcW w:w="755" w:type="dxa"/>
            <w:tcBorders>
              <w:right w:val="single" w:color="auto" w:sz="12" w:space="0"/>
            </w:tcBorders>
            <w:vAlign w:val="center"/>
          </w:tcPr>
          <w:p w14:paraId="7BB91F9F">
            <w:pPr>
              <w:pStyle w:val="17"/>
              <w:widowControl w:val="0"/>
            </w:pPr>
            <w:r>
              <w:rPr>
                <w:rFonts w:hint="eastAsia"/>
              </w:rPr>
              <w:t>1</w:t>
            </w:r>
            <w:r>
              <w:t>00</w:t>
            </w:r>
          </w:p>
        </w:tc>
      </w:tr>
      <w:tr w14:paraId="2BF9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top"/>
          </w:tcPr>
          <w:p w14:paraId="50F3F10D">
            <w:pPr>
              <w:snapToGrid w:val="0"/>
              <w:spacing w:before="180" w:beforeLines="50" w:after="180" w:afterLines="50"/>
              <w:jc w:val="center"/>
              <w:rPr>
                <w:rFonts w:ascii="Arial" w:hAnsi="Arial" w:eastAsia="黑体" w:cs="Arial"/>
                <w:bCs/>
                <w:sz w:val="21"/>
                <w:szCs w:val="21"/>
              </w:rPr>
            </w:pPr>
            <w:r>
              <w:rPr>
                <w:rFonts w:hint="eastAsia" w:ascii="宋体" w:hAnsi="宋体"/>
                <w:bCs/>
                <w:color w:val="000000"/>
                <w:szCs w:val="20"/>
              </w:rPr>
              <w:t>X</w:t>
            </w:r>
            <w:r>
              <w:rPr>
                <w:rFonts w:hint="eastAsia" w:ascii="宋体" w:hAnsi="宋体"/>
                <w:bCs/>
                <w:color w:val="000000"/>
                <w:szCs w:val="20"/>
                <w:lang w:eastAsia="zh-CN"/>
              </w:rPr>
              <w:t>3</w:t>
            </w:r>
          </w:p>
        </w:tc>
        <w:tc>
          <w:tcPr>
            <w:tcW w:w="758" w:type="dxa"/>
            <w:vAlign w:val="center"/>
          </w:tcPr>
          <w:p w14:paraId="7B4E6B53">
            <w:pPr>
              <w:pStyle w:val="17"/>
              <w:widowControl w:val="0"/>
            </w:pPr>
            <w:r>
              <w:t>20</w:t>
            </w:r>
            <w:r>
              <w:rPr>
                <w:rFonts w:hint="eastAsia"/>
              </w:rPr>
              <w:t>%</w:t>
            </w:r>
          </w:p>
        </w:tc>
        <w:tc>
          <w:tcPr>
            <w:tcW w:w="2518" w:type="dxa"/>
            <w:tcBorders>
              <w:right w:val="double" w:color="auto" w:sz="4" w:space="0"/>
            </w:tcBorders>
            <w:vAlign w:val="center"/>
          </w:tcPr>
          <w:p w14:paraId="18688571">
            <w:pPr>
              <w:pStyle w:val="17"/>
              <w:widowControl w:val="0"/>
              <w:rPr>
                <w:rFonts w:hint="eastAsia" w:eastAsia="宋体"/>
                <w:lang w:eastAsia="zh-CN"/>
              </w:rPr>
            </w:pPr>
            <w:r>
              <w:rPr>
                <w:rFonts w:hint="eastAsia"/>
              </w:rPr>
              <w:t>操作考</w:t>
            </w:r>
            <w:r>
              <w:rPr>
                <w:rFonts w:hint="eastAsia"/>
                <w:lang w:val="en-US" w:eastAsia="zh-CN"/>
              </w:rPr>
              <w:t>核</w:t>
            </w:r>
          </w:p>
        </w:tc>
        <w:tc>
          <w:tcPr>
            <w:tcW w:w="655" w:type="dxa"/>
            <w:tcBorders>
              <w:left w:val="double" w:color="auto" w:sz="4" w:space="0"/>
            </w:tcBorders>
            <w:vAlign w:val="center"/>
          </w:tcPr>
          <w:p w14:paraId="1EF76ECF">
            <w:pPr>
              <w:pStyle w:val="17"/>
              <w:widowControl w:val="0"/>
            </w:pPr>
            <w:r>
              <w:rPr>
                <w:rFonts w:hint="eastAsia"/>
              </w:rPr>
              <w:t>1</w:t>
            </w:r>
            <w:r>
              <w:t>0</w:t>
            </w:r>
          </w:p>
        </w:tc>
        <w:tc>
          <w:tcPr>
            <w:tcW w:w="655" w:type="dxa"/>
            <w:vAlign w:val="center"/>
          </w:tcPr>
          <w:p w14:paraId="790A2ADC">
            <w:pPr>
              <w:pStyle w:val="17"/>
              <w:widowControl w:val="0"/>
            </w:pPr>
            <w:r>
              <w:t>60</w:t>
            </w:r>
          </w:p>
        </w:tc>
        <w:tc>
          <w:tcPr>
            <w:tcW w:w="655" w:type="dxa"/>
            <w:vAlign w:val="center"/>
          </w:tcPr>
          <w:p w14:paraId="03273FD3">
            <w:pPr>
              <w:pStyle w:val="17"/>
              <w:widowControl w:val="0"/>
            </w:pPr>
            <w:r>
              <w:t>30</w:t>
            </w:r>
          </w:p>
        </w:tc>
        <w:tc>
          <w:tcPr>
            <w:tcW w:w="655" w:type="dxa"/>
            <w:vAlign w:val="center"/>
          </w:tcPr>
          <w:p w14:paraId="715F4B1C">
            <w:pPr>
              <w:pStyle w:val="17"/>
              <w:widowControl w:val="0"/>
            </w:pPr>
          </w:p>
        </w:tc>
        <w:tc>
          <w:tcPr>
            <w:tcW w:w="655" w:type="dxa"/>
            <w:vAlign w:val="center"/>
          </w:tcPr>
          <w:p w14:paraId="0E9BF7DA">
            <w:pPr>
              <w:pStyle w:val="17"/>
              <w:widowControl w:val="0"/>
            </w:pPr>
          </w:p>
        </w:tc>
        <w:tc>
          <w:tcPr>
            <w:tcW w:w="755" w:type="dxa"/>
            <w:tcBorders>
              <w:right w:val="single" w:color="auto" w:sz="12" w:space="0"/>
            </w:tcBorders>
            <w:vAlign w:val="center"/>
          </w:tcPr>
          <w:p w14:paraId="17DA987C">
            <w:pPr>
              <w:pStyle w:val="17"/>
              <w:widowControl w:val="0"/>
            </w:pPr>
            <w:r>
              <w:rPr>
                <w:rFonts w:hint="eastAsia"/>
              </w:rPr>
              <w:t>1</w:t>
            </w:r>
            <w:r>
              <w:t>00</w:t>
            </w:r>
          </w:p>
        </w:tc>
      </w:tr>
      <w:tr w14:paraId="5983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bottom w:val="single" w:color="auto" w:sz="12" w:space="0"/>
            </w:tcBorders>
            <w:vAlign w:val="top"/>
          </w:tcPr>
          <w:p w14:paraId="5E94F962">
            <w:pPr>
              <w:snapToGrid w:val="0"/>
              <w:spacing w:before="180" w:beforeLines="50" w:after="180" w:afterLines="50"/>
              <w:jc w:val="center"/>
              <w:rPr>
                <w:rFonts w:ascii="Arial" w:hAnsi="Arial" w:eastAsia="黑体" w:cs="Arial"/>
                <w:bCs/>
                <w:sz w:val="21"/>
                <w:szCs w:val="21"/>
              </w:rPr>
            </w:pPr>
            <w:r>
              <w:rPr>
                <w:rFonts w:hint="eastAsia" w:ascii="宋体" w:hAnsi="宋体"/>
                <w:bCs/>
                <w:color w:val="000000"/>
                <w:szCs w:val="20"/>
              </w:rPr>
              <w:t>X</w:t>
            </w:r>
            <w:r>
              <w:rPr>
                <w:rFonts w:hint="eastAsia" w:ascii="宋体" w:hAnsi="宋体"/>
                <w:bCs/>
                <w:color w:val="000000"/>
                <w:szCs w:val="20"/>
                <w:lang w:eastAsia="zh-CN"/>
              </w:rPr>
              <w:t>4</w:t>
            </w:r>
          </w:p>
        </w:tc>
        <w:tc>
          <w:tcPr>
            <w:tcW w:w="758" w:type="dxa"/>
            <w:tcBorders>
              <w:bottom w:val="single" w:color="auto" w:sz="12" w:space="0"/>
            </w:tcBorders>
            <w:vAlign w:val="center"/>
          </w:tcPr>
          <w:p w14:paraId="4E12A20E">
            <w:pPr>
              <w:pStyle w:val="17"/>
              <w:widowControl w:val="0"/>
            </w:pPr>
            <w:r>
              <w:rPr>
                <w:rFonts w:hint="eastAsia"/>
              </w:rPr>
              <w:t>3</w:t>
            </w:r>
            <w:r>
              <w:t>0%</w:t>
            </w:r>
          </w:p>
        </w:tc>
        <w:tc>
          <w:tcPr>
            <w:tcW w:w="2518" w:type="dxa"/>
            <w:tcBorders>
              <w:bottom w:val="single" w:color="auto" w:sz="12" w:space="0"/>
              <w:right w:val="double" w:color="auto" w:sz="4" w:space="0"/>
            </w:tcBorders>
            <w:vAlign w:val="center"/>
          </w:tcPr>
          <w:p w14:paraId="64FE56BB">
            <w:pPr>
              <w:pStyle w:val="17"/>
              <w:widowControl w:val="0"/>
            </w:pPr>
            <w:r>
              <w:rPr>
                <w:rFonts w:hint="eastAsia"/>
              </w:rPr>
              <w:t>随堂测验</w:t>
            </w:r>
          </w:p>
        </w:tc>
        <w:tc>
          <w:tcPr>
            <w:tcW w:w="655" w:type="dxa"/>
            <w:tcBorders>
              <w:left w:val="double" w:color="auto" w:sz="4" w:space="0"/>
              <w:bottom w:val="single" w:color="auto" w:sz="12" w:space="0"/>
            </w:tcBorders>
            <w:vAlign w:val="center"/>
          </w:tcPr>
          <w:p w14:paraId="555E26C9">
            <w:pPr>
              <w:pStyle w:val="17"/>
              <w:widowControl w:val="0"/>
            </w:pPr>
            <w:r>
              <w:rPr>
                <w:rFonts w:hint="eastAsia"/>
              </w:rPr>
              <w:t>1</w:t>
            </w:r>
            <w:r>
              <w:t>0</w:t>
            </w:r>
          </w:p>
        </w:tc>
        <w:tc>
          <w:tcPr>
            <w:tcW w:w="655" w:type="dxa"/>
            <w:tcBorders>
              <w:bottom w:val="single" w:color="auto" w:sz="12" w:space="0"/>
            </w:tcBorders>
            <w:vAlign w:val="center"/>
          </w:tcPr>
          <w:p w14:paraId="4D2AED4E">
            <w:pPr>
              <w:pStyle w:val="17"/>
              <w:widowControl w:val="0"/>
            </w:pPr>
            <w:r>
              <w:t>70</w:t>
            </w:r>
          </w:p>
        </w:tc>
        <w:tc>
          <w:tcPr>
            <w:tcW w:w="655" w:type="dxa"/>
            <w:tcBorders>
              <w:bottom w:val="single" w:color="auto" w:sz="12" w:space="0"/>
            </w:tcBorders>
            <w:vAlign w:val="center"/>
          </w:tcPr>
          <w:p w14:paraId="349FECB4">
            <w:pPr>
              <w:pStyle w:val="17"/>
              <w:widowControl w:val="0"/>
            </w:pPr>
            <w:r>
              <w:rPr>
                <w:rFonts w:hint="eastAsia"/>
              </w:rPr>
              <w:t>2</w:t>
            </w:r>
            <w:r>
              <w:t>0</w:t>
            </w:r>
          </w:p>
        </w:tc>
        <w:tc>
          <w:tcPr>
            <w:tcW w:w="655" w:type="dxa"/>
            <w:tcBorders>
              <w:bottom w:val="single" w:color="auto" w:sz="12" w:space="0"/>
            </w:tcBorders>
            <w:vAlign w:val="center"/>
          </w:tcPr>
          <w:p w14:paraId="213B5E78">
            <w:pPr>
              <w:pStyle w:val="17"/>
              <w:widowControl w:val="0"/>
            </w:pPr>
            <w:bookmarkStart w:id="5" w:name="_GoBack"/>
            <w:bookmarkEnd w:id="5"/>
          </w:p>
        </w:tc>
        <w:tc>
          <w:tcPr>
            <w:tcW w:w="655" w:type="dxa"/>
            <w:tcBorders>
              <w:bottom w:val="single" w:color="auto" w:sz="12" w:space="0"/>
            </w:tcBorders>
            <w:vAlign w:val="center"/>
          </w:tcPr>
          <w:p w14:paraId="49392ADA">
            <w:pPr>
              <w:pStyle w:val="17"/>
              <w:widowControl w:val="0"/>
            </w:pPr>
          </w:p>
        </w:tc>
        <w:tc>
          <w:tcPr>
            <w:tcW w:w="755" w:type="dxa"/>
            <w:tcBorders>
              <w:bottom w:val="single" w:color="auto" w:sz="12" w:space="0"/>
              <w:right w:val="single" w:color="auto" w:sz="12" w:space="0"/>
            </w:tcBorders>
            <w:vAlign w:val="center"/>
          </w:tcPr>
          <w:p w14:paraId="705E0FAD">
            <w:pPr>
              <w:pStyle w:val="17"/>
              <w:widowControl w:val="0"/>
            </w:pPr>
            <w:r>
              <w:rPr>
                <w:rFonts w:hint="eastAsia"/>
              </w:rPr>
              <w:t>1</w:t>
            </w:r>
            <w:r>
              <w:t>00</w:t>
            </w:r>
          </w:p>
        </w:tc>
      </w:tr>
      <w:bookmarkEnd w:id="4"/>
    </w:tbl>
    <w:p w14:paraId="092FA9B9">
      <w:pPr>
        <w:pStyle w:val="20"/>
        <w:spacing w:before="326" w:beforeLines="100" w:after="163"/>
        <w:jc w:val="center"/>
      </w:pPr>
      <w:r>
        <w:rPr>
          <w:rFonts w:hint="eastAsia"/>
        </w:rPr>
        <w:t>评价标准细则（选填）</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3FA502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5C85C36B">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7D2B3EA1">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54869D56">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01C417E7">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6C9177F5">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08BA5DED">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0A200987">
            <w:pPr>
              <w:pStyle w:val="19"/>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434C59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64DF6BBC">
            <w:pPr>
              <w:widowControl w:val="0"/>
              <w:snapToGrid w:val="0"/>
              <w:jc w:val="center"/>
              <w:rPr>
                <w:rFonts w:ascii="黑体" w:hAnsi="黑体" w:eastAsia="黑体"/>
                <w:bCs/>
                <w:sz w:val="21"/>
                <w:szCs w:val="21"/>
              </w:rPr>
            </w:pPr>
          </w:p>
        </w:tc>
        <w:tc>
          <w:tcPr>
            <w:tcW w:w="648" w:type="dxa"/>
            <w:vMerge w:val="continue"/>
          </w:tcPr>
          <w:p w14:paraId="41A983FE">
            <w:pPr>
              <w:pStyle w:val="19"/>
              <w:widowControl w:val="0"/>
              <w:jc w:val="both"/>
              <w:rPr>
                <w:rFonts w:ascii="黑体" w:hAnsi="黑体"/>
                <w:bCs/>
                <w:sz w:val="21"/>
                <w:szCs w:val="21"/>
              </w:rPr>
            </w:pPr>
          </w:p>
        </w:tc>
        <w:tc>
          <w:tcPr>
            <w:tcW w:w="1403" w:type="dxa"/>
            <w:vMerge w:val="continue"/>
          </w:tcPr>
          <w:p w14:paraId="55E4F986">
            <w:pPr>
              <w:pStyle w:val="19"/>
              <w:widowControl w:val="0"/>
              <w:jc w:val="both"/>
              <w:rPr>
                <w:rFonts w:ascii="黑体" w:hAnsi="黑体"/>
                <w:bCs/>
                <w:sz w:val="21"/>
                <w:szCs w:val="21"/>
              </w:rPr>
            </w:pPr>
          </w:p>
        </w:tc>
        <w:tc>
          <w:tcPr>
            <w:tcW w:w="1403" w:type="dxa"/>
            <w:vAlign w:val="center"/>
          </w:tcPr>
          <w:p w14:paraId="5A581529">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5333D75D">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6BE30AD4">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542F3778">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41623875">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3D005418">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3C332CB0">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67A36286">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51AA08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C256BF6">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30D43B1B">
            <w:pPr>
              <w:widowControl w:val="0"/>
              <w:snapToGrid w:val="0"/>
              <w:jc w:val="center"/>
              <w:rPr>
                <w:rFonts w:ascii="Arial" w:hAnsi="Arial" w:eastAsia="黑体" w:cs="Arial"/>
                <w:bCs/>
                <w:sz w:val="21"/>
                <w:szCs w:val="21"/>
              </w:rPr>
            </w:pPr>
          </w:p>
        </w:tc>
        <w:tc>
          <w:tcPr>
            <w:tcW w:w="1403" w:type="dxa"/>
          </w:tcPr>
          <w:p w14:paraId="58787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15E0FC79">
            <w:pPr>
              <w:pStyle w:val="17"/>
              <w:widowControl w:val="0"/>
              <w:jc w:val="both"/>
            </w:pPr>
          </w:p>
        </w:tc>
        <w:tc>
          <w:tcPr>
            <w:tcW w:w="1403" w:type="dxa"/>
          </w:tcPr>
          <w:p w14:paraId="039356B3">
            <w:pPr>
              <w:pStyle w:val="17"/>
              <w:widowControl w:val="0"/>
              <w:jc w:val="both"/>
            </w:pPr>
          </w:p>
        </w:tc>
        <w:tc>
          <w:tcPr>
            <w:tcW w:w="1403" w:type="dxa"/>
          </w:tcPr>
          <w:p w14:paraId="612722E7">
            <w:pPr>
              <w:pStyle w:val="17"/>
              <w:widowControl w:val="0"/>
              <w:jc w:val="both"/>
            </w:pPr>
          </w:p>
        </w:tc>
        <w:tc>
          <w:tcPr>
            <w:tcW w:w="1403" w:type="dxa"/>
          </w:tcPr>
          <w:p w14:paraId="17C26D8A">
            <w:pPr>
              <w:pStyle w:val="8"/>
              <w:widowControl/>
              <w:shd w:val="clear" w:color="auto" w:fill="FFFFFF"/>
              <w:jc w:val="both"/>
            </w:pPr>
          </w:p>
        </w:tc>
      </w:tr>
      <w:tr w14:paraId="17B930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CCDD9B4">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19BEAA7F">
            <w:pPr>
              <w:widowControl w:val="0"/>
              <w:snapToGrid w:val="0"/>
              <w:jc w:val="center"/>
              <w:rPr>
                <w:rFonts w:ascii="Arial" w:hAnsi="Arial" w:eastAsia="黑体" w:cs="Arial"/>
                <w:bCs/>
                <w:sz w:val="21"/>
                <w:szCs w:val="21"/>
              </w:rPr>
            </w:pPr>
          </w:p>
        </w:tc>
        <w:tc>
          <w:tcPr>
            <w:tcW w:w="1403" w:type="dxa"/>
            <w:vAlign w:val="center"/>
          </w:tcPr>
          <w:p w14:paraId="707CF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AD40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B192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06B0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9D068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32842B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06DF3FD">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52CBDB6D">
            <w:pPr>
              <w:widowControl w:val="0"/>
              <w:snapToGrid w:val="0"/>
              <w:jc w:val="center"/>
              <w:rPr>
                <w:rFonts w:ascii="Arial" w:hAnsi="Arial" w:eastAsia="黑体" w:cs="Arial"/>
                <w:bCs/>
                <w:sz w:val="21"/>
                <w:szCs w:val="21"/>
              </w:rPr>
            </w:pPr>
          </w:p>
        </w:tc>
        <w:tc>
          <w:tcPr>
            <w:tcW w:w="1403" w:type="dxa"/>
            <w:vAlign w:val="center"/>
          </w:tcPr>
          <w:p w14:paraId="2C555F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A076A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695AA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7A6F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3FE4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6504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E3C29C5">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3F8AC899">
            <w:pPr>
              <w:widowControl w:val="0"/>
              <w:snapToGrid w:val="0"/>
              <w:jc w:val="center"/>
              <w:rPr>
                <w:rFonts w:ascii="Arial" w:hAnsi="Arial" w:eastAsia="黑体" w:cs="Arial"/>
                <w:bCs/>
                <w:sz w:val="21"/>
                <w:szCs w:val="21"/>
              </w:rPr>
            </w:pPr>
          </w:p>
        </w:tc>
        <w:tc>
          <w:tcPr>
            <w:tcW w:w="1403" w:type="dxa"/>
            <w:vAlign w:val="center"/>
          </w:tcPr>
          <w:p w14:paraId="588D9B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9FEB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C0D24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9DCC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62923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340A1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38CDDA5">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28BCBD07">
            <w:pPr>
              <w:widowControl w:val="0"/>
              <w:snapToGrid w:val="0"/>
              <w:jc w:val="center"/>
              <w:rPr>
                <w:rFonts w:ascii="Arial" w:hAnsi="Arial" w:eastAsia="黑体" w:cs="Arial"/>
                <w:bCs/>
                <w:sz w:val="21"/>
                <w:szCs w:val="21"/>
              </w:rPr>
            </w:pPr>
          </w:p>
        </w:tc>
        <w:tc>
          <w:tcPr>
            <w:tcW w:w="1403" w:type="dxa"/>
            <w:vAlign w:val="center"/>
          </w:tcPr>
          <w:p w14:paraId="63F7AF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590DF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B1636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7136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4032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14F9BA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1996560">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56151BA3">
            <w:pPr>
              <w:widowControl w:val="0"/>
              <w:snapToGrid w:val="0"/>
              <w:jc w:val="center"/>
              <w:rPr>
                <w:rFonts w:ascii="Arial" w:hAnsi="Arial" w:eastAsia="黑体" w:cs="Arial"/>
                <w:bCs/>
                <w:sz w:val="21"/>
                <w:szCs w:val="21"/>
              </w:rPr>
            </w:pPr>
          </w:p>
        </w:tc>
        <w:tc>
          <w:tcPr>
            <w:tcW w:w="1403" w:type="dxa"/>
            <w:vAlign w:val="center"/>
          </w:tcPr>
          <w:p w14:paraId="02C124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A935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3887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9F13E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324FE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3E6FA724">
      <w:pPr>
        <w:pStyle w:val="19"/>
        <w:spacing w:before="326" w:beforeLines="100" w:line="360" w:lineRule="auto"/>
        <w:rPr>
          <w:rFonts w:ascii="黑体" w:hAnsi="宋体"/>
        </w:rPr>
      </w:pPr>
      <w:r>
        <w:rPr>
          <w:rFonts w:hint="eastAsia" w:ascii="黑体" w:hAnsi="宋体"/>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368D3C1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40C4B7BF">
            <w:pPr>
              <w:pStyle w:val="17"/>
              <w:widowControl w:val="0"/>
              <w:jc w:val="left"/>
              <w:rPr>
                <w:rFonts w:ascii="仿宋" w:hAnsi="仿宋" w:eastAsia="仿宋" w:cs="仿宋"/>
              </w:rPr>
            </w:pPr>
          </w:p>
          <w:p w14:paraId="6F42ADB4">
            <w:pPr>
              <w:pStyle w:val="17"/>
              <w:widowControl w:val="0"/>
              <w:jc w:val="left"/>
              <w:rPr>
                <w:rFonts w:ascii="宋体" w:hAnsi="宋体"/>
                <w:bCs/>
              </w:rPr>
            </w:pPr>
            <w:r>
              <w:rPr>
                <w:rFonts w:hint="eastAsia" w:ascii="宋体" w:hAnsi="宋体"/>
                <w:bCs/>
              </w:rPr>
              <w:t>无</w:t>
            </w:r>
          </w:p>
          <w:p w14:paraId="2A6038F1">
            <w:pPr>
              <w:pStyle w:val="17"/>
              <w:widowControl w:val="0"/>
              <w:jc w:val="left"/>
              <w:rPr>
                <w:rFonts w:ascii="黑体"/>
              </w:rPr>
            </w:pPr>
          </w:p>
        </w:tc>
      </w:tr>
    </w:tbl>
    <w:p w14:paraId="36785DEB">
      <w:pPr>
        <w:pStyle w:val="19"/>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0000000000000000000"/>
    <w:charset w:val="00"/>
    <w:family w:val="auto"/>
    <w:pitch w:val="default"/>
    <w:sig w:usb0="00000000" w:usb1="00000000" w:usb2="00000001" w:usb3="00000000" w:csb0="400001BF" w:csb1="DFF7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01A3F">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E42BE10">
                          <w:pPr>
                            <w:rPr>
                              <w:rFonts w:ascii="Times New Roman" w:hAnsi="Times New Roman"/>
                            </w:rPr>
                          </w:pPr>
                          <w:r>
                            <w:rPr>
                              <w:rFonts w:ascii="Times New Roman" w:hAnsi="Times New Roman"/>
                            </w:rPr>
                            <w:t>SJQU-QR-JW-052（A0）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4E42BE10">
                    <w:pPr>
                      <w:rPr>
                        <w:rFonts w:ascii="Times New Roman" w:hAnsi="Times New Roman"/>
                      </w:rPr>
                    </w:pPr>
                    <w:r>
                      <w:rPr>
                        <w:rFonts w:ascii="Times New Roman" w:hAnsi="Times New Roman"/>
                      </w:rPr>
                      <w:t>SJQU-QR-JW-052（A0）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ZTdhZWMxOTE3MWNjMzk4MzAyNWEyNjY2MjU1Y2IifQ=="/>
  </w:docVars>
  <w:rsids>
    <w:rsidRoot w:val="00B7651F"/>
    <w:rsid w:val="00005339"/>
    <w:rsid w:val="000177FB"/>
    <w:rsid w:val="00017B8F"/>
    <w:rsid w:val="000203E0"/>
    <w:rsid w:val="000210E0"/>
    <w:rsid w:val="000244B1"/>
    <w:rsid w:val="00033082"/>
    <w:rsid w:val="00033CBF"/>
    <w:rsid w:val="00044088"/>
    <w:rsid w:val="00053590"/>
    <w:rsid w:val="0006001D"/>
    <w:rsid w:val="00066041"/>
    <w:rsid w:val="000662F5"/>
    <w:rsid w:val="00076794"/>
    <w:rsid w:val="0008122A"/>
    <w:rsid w:val="00087488"/>
    <w:rsid w:val="0009050A"/>
    <w:rsid w:val="00096941"/>
    <w:rsid w:val="0009721F"/>
    <w:rsid w:val="00097734"/>
    <w:rsid w:val="000A2C9B"/>
    <w:rsid w:val="000A4E73"/>
    <w:rsid w:val="000B1BD2"/>
    <w:rsid w:val="000C0F0D"/>
    <w:rsid w:val="000C13BC"/>
    <w:rsid w:val="000D1A86"/>
    <w:rsid w:val="000D28E5"/>
    <w:rsid w:val="000D34D7"/>
    <w:rsid w:val="00100633"/>
    <w:rsid w:val="001070B1"/>
    <w:rsid w:val="001072BC"/>
    <w:rsid w:val="00114BD6"/>
    <w:rsid w:val="001163EC"/>
    <w:rsid w:val="0012396B"/>
    <w:rsid w:val="00130F6D"/>
    <w:rsid w:val="00133554"/>
    <w:rsid w:val="00144082"/>
    <w:rsid w:val="00150A95"/>
    <w:rsid w:val="0016381F"/>
    <w:rsid w:val="00163A48"/>
    <w:rsid w:val="00164E36"/>
    <w:rsid w:val="001678A2"/>
    <w:rsid w:val="00183AA1"/>
    <w:rsid w:val="0018767C"/>
    <w:rsid w:val="001A135C"/>
    <w:rsid w:val="001B0D49"/>
    <w:rsid w:val="001B546F"/>
    <w:rsid w:val="001B55F2"/>
    <w:rsid w:val="001C0F80"/>
    <w:rsid w:val="001C16FC"/>
    <w:rsid w:val="001C2E3E"/>
    <w:rsid w:val="001C388D"/>
    <w:rsid w:val="001E0494"/>
    <w:rsid w:val="001E1D2D"/>
    <w:rsid w:val="001E5A17"/>
    <w:rsid w:val="001F284E"/>
    <w:rsid w:val="001F332E"/>
    <w:rsid w:val="0020319E"/>
    <w:rsid w:val="0020688A"/>
    <w:rsid w:val="0021393C"/>
    <w:rsid w:val="00217861"/>
    <w:rsid w:val="002204E4"/>
    <w:rsid w:val="002211BF"/>
    <w:rsid w:val="00233F15"/>
    <w:rsid w:val="0023735E"/>
    <w:rsid w:val="002420F1"/>
    <w:rsid w:val="00243974"/>
    <w:rsid w:val="00245CC1"/>
    <w:rsid w:val="00253AC8"/>
    <w:rsid w:val="00256B39"/>
    <w:rsid w:val="0026033C"/>
    <w:rsid w:val="00262361"/>
    <w:rsid w:val="00264AE4"/>
    <w:rsid w:val="0027339A"/>
    <w:rsid w:val="00274E82"/>
    <w:rsid w:val="002757AB"/>
    <w:rsid w:val="0027777C"/>
    <w:rsid w:val="00277FE7"/>
    <w:rsid w:val="0028045A"/>
    <w:rsid w:val="002852AF"/>
    <w:rsid w:val="002877FA"/>
    <w:rsid w:val="00290962"/>
    <w:rsid w:val="0029110B"/>
    <w:rsid w:val="0029259E"/>
    <w:rsid w:val="002A28CF"/>
    <w:rsid w:val="002A4649"/>
    <w:rsid w:val="002A4669"/>
    <w:rsid w:val="002A7227"/>
    <w:rsid w:val="002B0773"/>
    <w:rsid w:val="002B0C48"/>
    <w:rsid w:val="002B13CA"/>
    <w:rsid w:val="002B2F57"/>
    <w:rsid w:val="002B3650"/>
    <w:rsid w:val="002B4D75"/>
    <w:rsid w:val="002B713F"/>
    <w:rsid w:val="002B7322"/>
    <w:rsid w:val="002C58B6"/>
    <w:rsid w:val="002D0E86"/>
    <w:rsid w:val="002D6899"/>
    <w:rsid w:val="002D7C47"/>
    <w:rsid w:val="002E1AB5"/>
    <w:rsid w:val="002E33CE"/>
    <w:rsid w:val="002E3721"/>
    <w:rsid w:val="002E6F95"/>
    <w:rsid w:val="002E6FCB"/>
    <w:rsid w:val="002E764D"/>
    <w:rsid w:val="002F076A"/>
    <w:rsid w:val="002F3157"/>
    <w:rsid w:val="002F478C"/>
    <w:rsid w:val="002F5797"/>
    <w:rsid w:val="002F5B39"/>
    <w:rsid w:val="002F6BD5"/>
    <w:rsid w:val="003025FD"/>
    <w:rsid w:val="00302C1F"/>
    <w:rsid w:val="00305F23"/>
    <w:rsid w:val="00313BBA"/>
    <w:rsid w:val="00317E29"/>
    <w:rsid w:val="00321515"/>
    <w:rsid w:val="0032602E"/>
    <w:rsid w:val="00327B8C"/>
    <w:rsid w:val="00331638"/>
    <w:rsid w:val="003344A7"/>
    <w:rsid w:val="00334623"/>
    <w:rsid w:val="003367AE"/>
    <w:rsid w:val="00340439"/>
    <w:rsid w:val="00342ECF"/>
    <w:rsid w:val="00344EF2"/>
    <w:rsid w:val="00347EB8"/>
    <w:rsid w:val="00347F80"/>
    <w:rsid w:val="00353F74"/>
    <w:rsid w:val="003557DE"/>
    <w:rsid w:val="00361BEB"/>
    <w:rsid w:val="00365704"/>
    <w:rsid w:val="00370184"/>
    <w:rsid w:val="00373C8A"/>
    <w:rsid w:val="00377C10"/>
    <w:rsid w:val="0038278C"/>
    <w:rsid w:val="00384A1F"/>
    <w:rsid w:val="00384D60"/>
    <w:rsid w:val="00385D41"/>
    <w:rsid w:val="003861BA"/>
    <w:rsid w:val="003A1680"/>
    <w:rsid w:val="003A373C"/>
    <w:rsid w:val="003A5874"/>
    <w:rsid w:val="003B1258"/>
    <w:rsid w:val="003B4A81"/>
    <w:rsid w:val="003C1F8D"/>
    <w:rsid w:val="003C61A5"/>
    <w:rsid w:val="003D1968"/>
    <w:rsid w:val="003D3C72"/>
    <w:rsid w:val="003D4994"/>
    <w:rsid w:val="003E10A5"/>
    <w:rsid w:val="003E26EF"/>
    <w:rsid w:val="003E67AE"/>
    <w:rsid w:val="003E7D72"/>
    <w:rsid w:val="003F3923"/>
    <w:rsid w:val="003F43F6"/>
    <w:rsid w:val="003F7CF7"/>
    <w:rsid w:val="004019DB"/>
    <w:rsid w:val="00402B67"/>
    <w:rsid w:val="00403C91"/>
    <w:rsid w:val="0040433E"/>
    <w:rsid w:val="00404974"/>
    <w:rsid w:val="0040726A"/>
    <w:rsid w:val="004100B0"/>
    <w:rsid w:val="0041267F"/>
    <w:rsid w:val="00417636"/>
    <w:rsid w:val="00420E84"/>
    <w:rsid w:val="00424BA5"/>
    <w:rsid w:val="00425431"/>
    <w:rsid w:val="00431829"/>
    <w:rsid w:val="00437B60"/>
    <w:rsid w:val="004405E6"/>
    <w:rsid w:val="00443C84"/>
    <w:rsid w:val="00443C89"/>
    <w:rsid w:val="004540AA"/>
    <w:rsid w:val="00456BD8"/>
    <w:rsid w:val="00456DC8"/>
    <w:rsid w:val="00461683"/>
    <w:rsid w:val="0046549D"/>
    <w:rsid w:val="00471668"/>
    <w:rsid w:val="004743C8"/>
    <w:rsid w:val="00481F98"/>
    <w:rsid w:val="00484480"/>
    <w:rsid w:val="004849D1"/>
    <w:rsid w:val="004852BF"/>
    <w:rsid w:val="00487A46"/>
    <w:rsid w:val="00493504"/>
    <w:rsid w:val="00494579"/>
    <w:rsid w:val="00497334"/>
    <w:rsid w:val="004975E6"/>
    <w:rsid w:val="004A0283"/>
    <w:rsid w:val="004A4645"/>
    <w:rsid w:val="004A6F3A"/>
    <w:rsid w:val="004B00F0"/>
    <w:rsid w:val="004B29AC"/>
    <w:rsid w:val="004B408D"/>
    <w:rsid w:val="004B40E2"/>
    <w:rsid w:val="004B5A52"/>
    <w:rsid w:val="004B5EC0"/>
    <w:rsid w:val="004B6F68"/>
    <w:rsid w:val="004B73F7"/>
    <w:rsid w:val="004C2DC8"/>
    <w:rsid w:val="004C38D4"/>
    <w:rsid w:val="004C7073"/>
    <w:rsid w:val="004D03FB"/>
    <w:rsid w:val="004D28C9"/>
    <w:rsid w:val="004D4FB3"/>
    <w:rsid w:val="004D6A9A"/>
    <w:rsid w:val="004D75A6"/>
    <w:rsid w:val="004E2285"/>
    <w:rsid w:val="004E3456"/>
    <w:rsid w:val="004F3DF0"/>
    <w:rsid w:val="00504DF9"/>
    <w:rsid w:val="005074E1"/>
    <w:rsid w:val="005126F1"/>
    <w:rsid w:val="00513F2F"/>
    <w:rsid w:val="0051612A"/>
    <w:rsid w:val="00517176"/>
    <w:rsid w:val="0052192E"/>
    <w:rsid w:val="00524300"/>
    <w:rsid w:val="00527976"/>
    <w:rsid w:val="00532FD6"/>
    <w:rsid w:val="00541F72"/>
    <w:rsid w:val="00542388"/>
    <w:rsid w:val="00544523"/>
    <w:rsid w:val="00546434"/>
    <w:rsid w:val="005467DC"/>
    <w:rsid w:val="00546A82"/>
    <w:rsid w:val="00547C51"/>
    <w:rsid w:val="00551335"/>
    <w:rsid w:val="005519BB"/>
    <w:rsid w:val="005523FD"/>
    <w:rsid w:val="00553D03"/>
    <w:rsid w:val="00555BA0"/>
    <w:rsid w:val="00556E41"/>
    <w:rsid w:val="00557419"/>
    <w:rsid w:val="00560266"/>
    <w:rsid w:val="00561319"/>
    <w:rsid w:val="0056751C"/>
    <w:rsid w:val="0057496F"/>
    <w:rsid w:val="005770A6"/>
    <w:rsid w:val="0059045B"/>
    <w:rsid w:val="0059121F"/>
    <w:rsid w:val="00592B66"/>
    <w:rsid w:val="00597EC2"/>
    <w:rsid w:val="005A13AB"/>
    <w:rsid w:val="005B1150"/>
    <w:rsid w:val="005B1FFC"/>
    <w:rsid w:val="005B2B6D"/>
    <w:rsid w:val="005B4B4E"/>
    <w:rsid w:val="005C3A76"/>
    <w:rsid w:val="005D391F"/>
    <w:rsid w:val="005D5B6F"/>
    <w:rsid w:val="005E38A5"/>
    <w:rsid w:val="005F5185"/>
    <w:rsid w:val="005F730A"/>
    <w:rsid w:val="006017BD"/>
    <w:rsid w:val="0062115C"/>
    <w:rsid w:val="0062265B"/>
    <w:rsid w:val="00624B5C"/>
    <w:rsid w:val="00624FE1"/>
    <w:rsid w:val="0062577D"/>
    <w:rsid w:val="00626F54"/>
    <w:rsid w:val="00630BE7"/>
    <w:rsid w:val="0063249D"/>
    <w:rsid w:val="006331EE"/>
    <w:rsid w:val="006355E6"/>
    <w:rsid w:val="00637E00"/>
    <w:rsid w:val="0064038A"/>
    <w:rsid w:val="006447DC"/>
    <w:rsid w:val="0065167D"/>
    <w:rsid w:val="00652D13"/>
    <w:rsid w:val="0066423E"/>
    <w:rsid w:val="0066595A"/>
    <w:rsid w:val="00666206"/>
    <w:rsid w:val="0067227B"/>
    <w:rsid w:val="00672788"/>
    <w:rsid w:val="00676183"/>
    <w:rsid w:val="0068060F"/>
    <w:rsid w:val="00680DA3"/>
    <w:rsid w:val="0068377F"/>
    <w:rsid w:val="00691B24"/>
    <w:rsid w:val="006953DE"/>
    <w:rsid w:val="00695B93"/>
    <w:rsid w:val="00697C16"/>
    <w:rsid w:val="006A5A89"/>
    <w:rsid w:val="006B3BB9"/>
    <w:rsid w:val="006B48AC"/>
    <w:rsid w:val="006B5977"/>
    <w:rsid w:val="006D1B59"/>
    <w:rsid w:val="006D2F9C"/>
    <w:rsid w:val="006D4351"/>
    <w:rsid w:val="006D5424"/>
    <w:rsid w:val="006E559C"/>
    <w:rsid w:val="006E5CA9"/>
    <w:rsid w:val="006E5E98"/>
    <w:rsid w:val="006E7A37"/>
    <w:rsid w:val="006F3151"/>
    <w:rsid w:val="007011CA"/>
    <w:rsid w:val="007056DE"/>
    <w:rsid w:val="00706121"/>
    <w:rsid w:val="00710B6B"/>
    <w:rsid w:val="00712A2C"/>
    <w:rsid w:val="00712E84"/>
    <w:rsid w:val="00714914"/>
    <w:rsid w:val="0071663B"/>
    <w:rsid w:val="007208D6"/>
    <w:rsid w:val="007252BA"/>
    <w:rsid w:val="0072584A"/>
    <w:rsid w:val="00726786"/>
    <w:rsid w:val="00732152"/>
    <w:rsid w:val="00734452"/>
    <w:rsid w:val="007428DF"/>
    <w:rsid w:val="00742BD1"/>
    <w:rsid w:val="00742E7A"/>
    <w:rsid w:val="0074424F"/>
    <w:rsid w:val="00753AF8"/>
    <w:rsid w:val="00755DB7"/>
    <w:rsid w:val="00761B93"/>
    <w:rsid w:val="00764FD9"/>
    <w:rsid w:val="00765727"/>
    <w:rsid w:val="007740B2"/>
    <w:rsid w:val="00774C1F"/>
    <w:rsid w:val="00777DEA"/>
    <w:rsid w:val="0078194F"/>
    <w:rsid w:val="007934A4"/>
    <w:rsid w:val="007971F6"/>
    <w:rsid w:val="007A0AC9"/>
    <w:rsid w:val="007A1B70"/>
    <w:rsid w:val="007A46F3"/>
    <w:rsid w:val="007A57F6"/>
    <w:rsid w:val="007B4FFB"/>
    <w:rsid w:val="007C0BCE"/>
    <w:rsid w:val="007C1D1B"/>
    <w:rsid w:val="007C3566"/>
    <w:rsid w:val="007C4238"/>
    <w:rsid w:val="007C794A"/>
    <w:rsid w:val="007D23B8"/>
    <w:rsid w:val="007D5326"/>
    <w:rsid w:val="007D5A33"/>
    <w:rsid w:val="007E4F3A"/>
    <w:rsid w:val="007E4F5A"/>
    <w:rsid w:val="007E58A3"/>
    <w:rsid w:val="007E620F"/>
    <w:rsid w:val="007E663C"/>
    <w:rsid w:val="007E7795"/>
    <w:rsid w:val="0080066B"/>
    <w:rsid w:val="00803578"/>
    <w:rsid w:val="00810588"/>
    <w:rsid w:val="00815B8D"/>
    <w:rsid w:val="00815B8E"/>
    <w:rsid w:val="00816D99"/>
    <w:rsid w:val="0082324C"/>
    <w:rsid w:val="00823D71"/>
    <w:rsid w:val="008245AF"/>
    <w:rsid w:val="008256B9"/>
    <w:rsid w:val="0083705D"/>
    <w:rsid w:val="0084242F"/>
    <w:rsid w:val="00845795"/>
    <w:rsid w:val="00847437"/>
    <w:rsid w:val="00857FA5"/>
    <w:rsid w:val="00882E15"/>
    <w:rsid w:val="00883C73"/>
    <w:rsid w:val="008901A2"/>
    <w:rsid w:val="008A08B0"/>
    <w:rsid w:val="008B0385"/>
    <w:rsid w:val="008B1082"/>
    <w:rsid w:val="008B188E"/>
    <w:rsid w:val="008B397C"/>
    <w:rsid w:val="008B3D54"/>
    <w:rsid w:val="008B47F4"/>
    <w:rsid w:val="008B7448"/>
    <w:rsid w:val="008B7E1E"/>
    <w:rsid w:val="008C2483"/>
    <w:rsid w:val="008C2AE6"/>
    <w:rsid w:val="008C2DE8"/>
    <w:rsid w:val="008C5113"/>
    <w:rsid w:val="008C5B8A"/>
    <w:rsid w:val="008D3D5F"/>
    <w:rsid w:val="008D4E81"/>
    <w:rsid w:val="008D505F"/>
    <w:rsid w:val="008E0F55"/>
    <w:rsid w:val="008E71C7"/>
    <w:rsid w:val="008F253F"/>
    <w:rsid w:val="008F7F31"/>
    <w:rsid w:val="00900019"/>
    <w:rsid w:val="009023B1"/>
    <w:rsid w:val="009147D6"/>
    <w:rsid w:val="00914D98"/>
    <w:rsid w:val="00925F8C"/>
    <w:rsid w:val="00927324"/>
    <w:rsid w:val="00932E8B"/>
    <w:rsid w:val="00932ED7"/>
    <w:rsid w:val="00933990"/>
    <w:rsid w:val="00941B89"/>
    <w:rsid w:val="00941DEA"/>
    <w:rsid w:val="009656CC"/>
    <w:rsid w:val="00970E8C"/>
    <w:rsid w:val="00971671"/>
    <w:rsid w:val="00977128"/>
    <w:rsid w:val="00977738"/>
    <w:rsid w:val="00981A37"/>
    <w:rsid w:val="009830B2"/>
    <w:rsid w:val="0098467B"/>
    <w:rsid w:val="009861E2"/>
    <w:rsid w:val="0099063E"/>
    <w:rsid w:val="00992356"/>
    <w:rsid w:val="00992674"/>
    <w:rsid w:val="00994793"/>
    <w:rsid w:val="00996AE3"/>
    <w:rsid w:val="00997841"/>
    <w:rsid w:val="009A0450"/>
    <w:rsid w:val="009A1446"/>
    <w:rsid w:val="009A1E27"/>
    <w:rsid w:val="009A307B"/>
    <w:rsid w:val="009B04E7"/>
    <w:rsid w:val="009B14E8"/>
    <w:rsid w:val="009B4D21"/>
    <w:rsid w:val="009B5A73"/>
    <w:rsid w:val="009C54C9"/>
    <w:rsid w:val="009C589C"/>
    <w:rsid w:val="009D192B"/>
    <w:rsid w:val="009D21E0"/>
    <w:rsid w:val="009D2582"/>
    <w:rsid w:val="009D33E1"/>
    <w:rsid w:val="009D3B45"/>
    <w:rsid w:val="009D7CF9"/>
    <w:rsid w:val="009E017A"/>
    <w:rsid w:val="009E2CCC"/>
    <w:rsid w:val="009E2CDD"/>
    <w:rsid w:val="009E366E"/>
    <w:rsid w:val="009E6FC4"/>
    <w:rsid w:val="009F00DC"/>
    <w:rsid w:val="009F3199"/>
    <w:rsid w:val="009F3355"/>
    <w:rsid w:val="009F3648"/>
    <w:rsid w:val="009F3B7A"/>
    <w:rsid w:val="009F54D0"/>
    <w:rsid w:val="00A04523"/>
    <w:rsid w:val="00A135A1"/>
    <w:rsid w:val="00A16159"/>
    <w:rsid w:val="00A161E6"/>
    <w:rsid w:val="00A17885"/>
    <w:rsid w:val="00A2337D"/>
    <w:rsid w:val="00A25A31"/>
    <w:rsid w:val="00A27FD2"/>
    <w:rsid w:val="00A31BBE"/>
    <w:rsid w:val="00A31D34"/>
    <w:rsid w:val="00A333EF"/>
    <w:rsid w:val="00A33F85"/>
    <w:rsid w:val="00A40642"/>
    <w:rsid w:val="00A40645"/>
    <w:rsid w:val="00A44FF0"/>
    <w:rsid w:val="00A6016C"/>
    <w:rsid w:val="00A64D90"/>
    <w:rsid w:val="00A75F55"/>
    <w:rsid w:val="00A769B1"/>
    <w:rsid w:val="00A77DA3"/>
    <w:rsid w:val="00A80CFC"/>
    <w:rsid w:val="00A837D5"/>
    <w:rsid w:val="00A83E04"/>
    <w:rsid w:val="00A91091"/>
    <w:rsid w:val="00A92975"/>
    <w:rsid w:val="00A93EE3"/>
    <w:rsid w:val="00A94BA9"/>
    <w:rsid w:val="00A9535A"/>
    <w:rsid w:val="00AA4970"/>
    <w:rsid w:val="00AA536D"/>
    <w:rsid w:val="00AA7069"/>
    <w:rsid w:val="00AB22C0"/>
    <w:rsid w:val="00AB28FC"/>
    <w:rsid w:val="00AB49E4"/>
    <w:rsid w:val="00AC1479"/>
    <w:rsid w:val="00AC2AAC"/>
    <w:rsid w:val="00AC40F1"/>
    <w:rsid w:val="00AC4C45"/>
    <w:rsid w:val="00AD1085"/>
    <w:rsid w:val="00AD28D8"/>
    <w:rsid w:val="00AD3DB7"/>
    <w:rsid w:val="00AD5B40"/>
    <w:rsid w:val="00AD69FB"/>
    <w:rsid w:val="00AE72C9"/>
    <w:rsid w:val="00AF0DAC"/>
    <w:rsid w:val="00AF289F"/>
    <w:rsid w:val="00AF30B9"/>
    <w:rsid w:val="00AF43DF"/>
    <w:rsid w:val="00AF67A4"/>
    <w:rsid w:val="00AF7510"/>
    <w:rsid w:val="00B063B5"/>
    <w:rsid w:val="00B10C68"/>
    <w:rsid w:val="00B12D31"/>
    <w:rsid w:val="00B15F6E"/>
    <w:rsid w:val="00B21BEE"/>
    <w:rsid w:val="00B23284"/>
    <w:rsid w:val="00B37D43"/>
    <w:rsid w:val="00B46F21"/>
    <w:rsid w:val="00B505F4"/>
    <w:rsid w:val="00B50911"/>
    <w:rsid w:val="00B511A5"/>
    <w:rsid w:val="00B51CDE"/>
    <w:rsid w:val="00B56541"/>
    <w:rsid w:val="00B605ED"/>
    <w:rsid w:val="00B64B26"/>
    <w:rsid w:val="00B71F97"/>
    <w:rsid w:val="00B72538"/>
    <w:rsid w:val="00B736A7"/>
    <w:rsid w:val="00B7651F"/>
    <w:rsid w:val="00B76730"/>
    <w:rsid w:val="00B90771"/>
    <w:rsid w:val="00B919FA"/>
    <w:rsid w:val="00B94A16"/>
    <w:rsid w:val="00BA55AD"/>
    <w:rsid w:val="00BA6044"/>
    <w:rsid w:val="00BB13D9"/>
    <w:rsid w:val="00BB1A93"/>
    <w:rsid w:val="00BC14BF"/>
    <w:rsid w:val="00BC2625"/>
    <w:rsid w:val="00BC3200"/>
    <w:rsid w:val="00BC338A"/>
    <w:rsid w:val="00BC5346"/>
    <w:rsid w:val="00BD7AB0"/>
    <w:rsid w:val="00BF3C20"/>
    <w:rsid w:val="00BF4636"/>
    <w:rsid w:val="00C011BC"/>
    <w:rsid w:val="00C02423"/>
    <w:rsid w:val="00C03DBA"/>
    <w:rsid w:val="00C112E7"/>
    <w:rsid w:val="00C11C78"/>
    <w:rsid w:val="00C11CD4"/>
    <w:rsid w:val="00C15061"/>
    <w:rsid w:val="00C1510E"/>
    <w:rsid w:val="00C1713D"/>
    <w:rsid w:val="00C20D9D"/>
    <w:rsid w:val="00C2134F"/>
    <w:rsid w:val="00C24718"/>
    <w:rsid w:val="00C2675D"/>
    <w:rsid w:val="00C30AEE"/>
    <w:rsid w:val="00C33362"/>
    <w:rsid w:val="00C353AE"/>
    <w:rsid w:val="00C4194E"/>
    <w:rsid w:val="00C516B1"/>
    <w:rsid w:val="00C5350C"/>
    <w:rsid w:val="00C56E09"/>
    <w:rsid w:val="00C61B1B"/>
    <w:rsid w:val="00C63656"/>
    <w:rsid w:val="00C66AB7"/>
    <w:rsid w:val="00C673D1"/>
    <w:rsid w:val="00C746CB"/>
    <w:rsid w:val="00C77BBF"/>
    <w:rsid w:val="00C77D64"/>
    <w:rsid w:val="00C81564"/>
    <w:rsid w:val="00C9080C"/>
    <w:rsid w:val="00C94429"/>
    <w:rsid w:val="00C968B0"/>
    <w:rsid w:val="00CA18FD"/>
    <w:rsid w:val="00CA27E5"/>
    <w:rsid w:val="00CA4897"/>
    <w:rsid w:val="00CA6928"/>
    <w:rsid w:val="00CB3D3F"/>
    <w:rsid w:val="00CB5A1A"/>
    <w:rsid w:val="00CC2DA9"/>
    <w:rsid w:val="00CC59E6"/>
    <w:rsid w:val="00CD0071"/>
    <w:rsid w:val="00CD1888"/>
    <w:rsid w:val="00CD5BDD"/>
    <w:rsid w:val="00CE0D56"/>
    <w:rsid w:val="00CF096B"/>
    <w:rsid w:val="00CF10F7"/>
    <w:rsid w:val="00CF5EE3"/>
    <w:rsid w:val="00CF691F"/>
    <w:rsid w:val="00D00D99"/>
    <w:rsid w:val="00D013A4"/>
    <w:rsid w:val="00D026DC"/>
    <w:rsid w:val="00D03E88"/>
    <w:rsid w:val="00D12BC6"/>
    <w:rsid w:val="00D15595"/>
    <w:rsid w:val="00D251B5"/>
    <w:rsid w:val="00D343A8"/>
    <w:rsid w:val="00D37832"/>
    <w:rsid w:val="00D44860"/>
    <w:rsid w:val="00D47689"/>
    <w:rsid w:val="00D50656"/>
    <w:rsid w:val="00D50C42"/>
    <w:rsid w:val="00D57CF5"/>
    <w:rsid w:val="00D612BC"/>
    <w:rsid w:val="00D62F98"/>
    <w:rsid w:val="00D66FD6"/>
    <w:rsid w:val="00D8285B"/>
    <w:rsid w:val="00D862EB"/>
    <w:rsid w:val="00D86619"/>
    <w:rsid w:val="00D93E7C"/>
    <w:rsid w:val="00DB2B94"/>
    <w:rsid w:val="00DB2BE6"/>
    <w:rsid w:val="00DB76B3"/>
    <w:rsid w:val="00DD1052"/>
    <w:rsid w:val="00DD167C"/>
    <w:rsid w:val="00DD3C7B"/>
    <w:rsid w:val="00DD5966"/>
    <w:rsid w:val="00DE2B21"/>
    <w:rsid w:val="00DE48DE"/>
    <w:rsid w:val="00DF25F2"/>
    <w:rsid w:val="00DF3B32"/>
    <w:rsid w:val="00DF4166"/>
    <w:rsid w:val="00DF6484"/>
    <w:rsid w:val="00E000F4"/>
    <w:rsid w:val="00E01231"/>
    <w:rsid w:val="00E037F4"/>
    <w:rsid w:val="00E04279"/>
    <w:rsid w:val="00E11393"/>
    <w:rsid w:val="00E125D9"/>
    <w:rsid w:val="00E16D30"/>
    <w:rsid w:val="00E20DE0"/>
    <w:rsid w:val="00E31E69"/>
    <w:rsid w:val="00E33169"/>
    <w:rsid w:val="00E34A7B"/>
    <w:rsid w:val="00E3751F"/>
    <w:rsid w:val="00E40973"/>
    <w:rsid w:val="00E429A1"/>
    <w:rsid w:val="00E45507"/>
    <w:rsid w:val="00E53E5C"/>
    <w:rsid w:val="00E545FF"/>
    <w:rsid w:val="00E6080E"/>
    <w:rsid w:val="00E64168"/>
    <w:rsid w:val="00E655B3"/>
    <w:rsid w:val="00E6769A"/>
    <w:rsid w:val="00E7081D"/>
    <w:rsid w:val="00E70904"/>
    <w:rsid w:val="00E71319"/>
    <w:rsid w:val="00E75171"/>
    <w:rsid w:val="00E804B0"/>
    <w:rsid w:val="00E835FB"/>
    <w:rsid w:val="00E86772"/>
    <w:rsid w:val="00E879D2"/>
    <w:rsid w:val="00E90B8B"/>
    <w:rsid w:val="00E92BD2"/>
    <w:rsid w:val="00E93ADD"/>
    <w:rsid w:val="00E952D8"/>
    <w:rsid w:val="00EA1993"/>
    <w:rsid w:val="00EB00E4"/>
    <w:rsid w:val="00EB28DA"/>
    <w:rsid w:val="00EB3812"/>
    <w:rsid w:val="00EB44EB"/>
    <w:rsid w:val="00EB66B8"/>
    <w:rsid w:val="00EB791E"/>
    <w:rsid w:val="00EC1FEA"/>
    <w:rsid w:val="00EC70A9"/>
    <w:rsid w:val="00ED4C00"/>
    <w:rsid w:val="00ED4C3A"/>
    <w:rsid w:val="00EE1C85"/>
    <w:rsid w:val="00EE54BF"/>
    <w:rsid w:val="00EE5FFC"/>
    <w:rsid w:val="00EF0918"/>
    <w:rsid w:val="00EF21D9"/>
    <w:rsid w:val="00EF2A94"/>
    <w:rsid w:val="00EF32E4"/>
    <w:rsid w:val="00EF32FB"/>
    <w:rsid w:val="00EF44B1"/>
    <w:rsid w:val="00EF4865"/>
    <w:rsid w:val="00EF5954"/>
    <w:rsid w:val="00F100D2"/>
    <w:rsid w:val="00F12942"/>
    <w:rsid w:val="00F13C41"/>
    <w:rsid w:val="00F14496"/>
    <w:rsid w:val="00F14886"/>
    <w:rsid w:val="00F16421"/>
    <w:rsid w:val="00F201EE"/>
    <w:rsid w:val="00F23E59"/>
    <w:rsid w:val="00F35AA0"/>
    <w:rsid w:val="00F43C49"/>
    <w:rsid w:val="00F454B9"/>
    <w:rsid w:val="00F45C12"/>
    <w:rsid w:val="00F53DD4"/>
    <w:rsid w:val="00F544A2"/>
    <w:rsid w:val="00F6627A"/>
    <w:rsid w:val="00F73D03"/>
    <w:rsid w:val="00F76CB9"/>
    <w:rsid w:val="00F77A73"/>
    <w:rsid w:val="00F80E46"/>
    <w:rsid w:val="00F82EC0"/>
    <w:rsid w:val="00F96236"/>
    <w:rsid w:val="00FA10CE"/>
    <w:rsid w:val="00FA222F"/>
    <w:rsid w:val="00FA2891"/>
    <w:rsid w:val="00FB693D"/>
    <w:rsid w:val="00FB7768"/>
    <w:rsid w:val="00FC7489"/>
    <w:rsid w:val="00FD1BA8"/>
    <w:rsid w:val="00FD218F"/>
    <w:rsid w:val="00FD3A9A"/>
    <w:rsid w:val="00FD5663"/>
    <w:rsid w:val="00FD56C6"/>
    <w:rsid w:val="00FE3221"/>
    <w:rsid w:val="00FE48EA"/>
    <w:rsid w:val="00FE571F"/>
    <w:rsid w:val="00FF47F6"/>
    <w:rsid w:val="016E63C2"/>
    <w:rsid w:val="024B0C39"/>
    <w:rsid w:val="0A8128A6"/>
    <w:rsid w:val="0BF32A1B"/>
    <w:rsid w:val="10BD2C22"/>
    <w:rsid w:val="1E8A1194"/>
    <w:rsid w:val="22987C80"/>
    <w:rsid w:val="24192CCC"/>
    <w:rsid w:val="38113A93"/>
    <w:rsid w:val="39A66CD4"/>
    <w:rsid w:val="3C5B1E94"/>
    <w:rsid w:val="3CD52CE1"/>
    <w:rsid w:val="410F2E6A"/>
    <w:rsid w:val="4430136C"/>
    <w:rsid w:val="4AB0382B"/>
    <w:rsid w:val="53FB6DBC"/>
    <w:rsid w:val="569868B5"/>
    <w:rsid w:val="611F6817"/>
    <w:rsid w:val="617443DF"/>
    <w:rsid w:val="66CA1754"/>
    <w:rsid w:val="6F1E65D4"/>
    <w:rsid w:val="6F266C86"/>
    <w:rsid w:val="6F5042C2"/>
    <w:rsid w:val="74316312"/>
    <w:rsid w:val="780F13C8"/>
    <w:rsid w:val="7C385448"/>
    <w:rsid w:val="7CB3663D"/>
    <w:rsid w:val="BEFB14D1"/>
    <w:rsid w:val="FE1BC43E"/>
    <w:rsid w:val="FFF76F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99"/>
    <w:pPr>
      <w:widowControl w:val="0"/>
    </w:pPr>
    <w:rPr>
      <w:rFonts w:ascii="Times New Roman" w:hAnsi="Times New Roman" w:cs="Times New Roman"/>
      <w:kern w:val="2"/>
      <w:sz w:val="21"/>
    </w:rPr>
  </w:style>
  <w:style w:type="paragraph" w:styleId="4">
    <w:name w:val="Body Text Indent"/>
    <w:basedOn w:val="1"/>
    <w:link w:val="26"/>
    <w:qFormat/>
    <w:uiPriority w:val="0"/>
    <w:pPr>
      <w:spacing w:line="480" w:lineRule="exact"/>
      <w:ind w:firstLine="425"/>
    </w:pPr>
    <w:rPr>
      <w:rFonts w:ascii="Calibri" w:hAnsi="Calibri" w:cs="Times New Roman"/>
      <w:kern w:val="2"/>
      <w:sz w:val="21"/>
      <w:szCs w:val="20"/>
    </w:rPr>
  </w:style>
  <w:style w:type="paragraph" w:styleId="5">
    <w:name w:val="Balloon Text"/>
    <w:basedOn w:val="1"/>
    <w:link w:val="31"/>
    <w:semiHidden/>
    <w:qFormat/>
    <w:uiPriority w:val="0"/>
    <w:rPr>
      <w:rFonts w:asciiTheme="minorHAnsi" w:hAnsiTheme="minorHAnsi" w:eastAsiaTheme="minorEastAsia" w:cstheme="minorBidi"/>
      <w:sz w:val="2"/>
      <w:szCs w:val="20"/>
    </w:rPr>
  </w:style>
  <w:style w:type="paragraph" w:styleId="6">
    <w:name w:val="footer"/>
    <w:basedOn w:val="1"/>
    <w:link w:val="15"/>
    <w:unhideWhenUsed/>
    <w:qFormat/>
    <w:uiPriority w:val="0"/>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Emphasis"/>
    <w:qFormat/>
    <w:uiPriority w:val="0"/>
    <w:rPr>
      <w:color w:val="C60A00"/>
    </w:rPr>
  </w:style>
  <w:style w:type="character" w:customStyle="1" w:styleId="14">
    <w:name w:val="页眉 Char1"/>
    <w:basedOn w:val="11"/>
    <w:link w:val="7"/>
    <w:semiHidden/>
    <w:qFormat/>
    <w:uiPriority w:val="99"/>
    <w:rPr>
      <w:sz w:val="18"/>
      <w:szCs w:val="18"/>
    </w:rPr>
  </w:style>
  <w:style w:type="character" w:customStyle="1" w:styleId="15">
    <w:name w:val="页脚 Char1"/>
    <w:basedOn w:val="11"/>
    <w:link w:val="6"/>
    <w:semiHidden/>
    <w:qFormat/>
    <w:uiPriority w:val="99"/>
    <w:rPr>
      <w:sz w:val="18"/>
      <w:szCs w:val="18"/>
    </w:rPr>
  </w:style>
  <w:style w:type="paragraph" w:customStyle="1" w:styleId="16">
    <w:name w:val="表格标题DG"/>
    <w:basedOn w:val="1"/>
    <w:qFormat/>
    <w:uiPriority w:val="0"/>
    <w:pPr>
      <w:snapToGrid w:val="0"/>
      <w:jc w:val="center"/>
    </w:pPr>
    <w:rPr>
      <w:rFonts w:ascii="Arial" w:hAnsi="Arial" w:eastAsia="黑体"/>
      <w:bCs/>
      <w:color w:val="000000"/>
      <w:sz w:val="21"/>
      <w:szCs w:val="20"/>
    </w:rPr>
  </w:style>
  <w:style w:type="paragraph" w:customStyle="1" w:styleId="17">
    <w:name w:val="表格正文DG"/>
    <w:basedOn w:val="1"/>
    <w:qFormat/>
    <w:uiPriority w:val="0"/>
    <w:pPr>
      <w:jc w:val="center"/>
    </w:pPr>
    <w:rPr>
      <w:rFonts w:ascii="Times New Roman" w:hAnsi="Times New Roman"/>
      <w:color w:val="000000"/>
      <w:sz w:val="21"/>
      <w:szCs w:val="21"/>
    </w:rPr>
  </w:style>
  <w:style w:type="paragraph" w:styleId="18">
    <w:name w:val="List Paragraph"/>
    <w:basedOn w:val="1"/>
    <w:unhideWhenUsed/>
    <w:qFormat/>
    <w:uiPriority w:val="99"/>
    <w:pPr>
      <w:ind w:firstLine="420" w:firstLineChars="200"/>
    </w:pPr>
  </w:style>
  <w:style w:type="paragraph" w:customStyle="1" w:styleId="19">
    <w:name w:val="一级标题DG"/>
    <w:basedOn w:val="1"/>
    <w:qFormat/>
    <w:uiPriority w:val="0"/>
    <w:pPr>
      <w:spacing w:line="480" w:lineRule="auto"/>
      <w:outlineLvl w:val="0"/>
    </w:pPr>
    <w:rPr>
      <w:rFonts w:ascii="Arial" w:hAnsi="Arial" w:eastAsia="黑体"/>
      <w:sz w:val="28"/>
    </w:rPr>
  </w:style>
  <w:style w:type="paragraph" w:customStyle="1" w:styleId="20">
    <w:name w:val="二级标题DG"/>
    <w:basedOn w:val="8"/>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1">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Char"/>
    <w:basedOn w:val="11"/>
    <w:link w:val="2"/>
    <w:qFormat/>
    <w:uiPriority w:val="9"/>
    <w:rPr>
      <w:rFonts w:ascii="Calibri" w:hAnsi="Calibri" w:eastAsia="宋体" w:cs="Times New Roman"/>
      <w:b/>
      <w:bCs/>
      <w:kern w:val="44"/>
      <w:sz w:val="44"/>
      <w:szCs w:val="44"/>
    </w:rPr>
  </w:style>
  <w:style w:type="character" w:customStyle="1" w:styleId="23">
    <w:name w:val="批注文字 Char"/>
    <w:basedOn w:val="11"/>
    <w:link w:val="3"/>
    <w:qFormat/>
    <w:uiPriority w:val="99"/>
    <w:rPr>
      <w:rFonts w:ascii="Times New Roman" w:hAnsi="Times New Roman" w:eastAsia="宋体" w:cs="Times New Roman"/>
      <w:kern w:val="2"/>
      <w:sz w:val="21"/>
      <w:szCs w:val="24"/>
    </w:rPr>
  </w:style>
  <w:style w:type="character" w:customStyle="1" w:styleId="24">
    <w:name w:val="editor-text-node"/>
    <w:basedOn w:val="11"/>
    <w:qFormat/>
    <w:uiPriority w:val="0"/>
  </w:style>
  <w:style w:type="character" w:styleId="25">
    <w:name w:val="Placeholder Text"/>
    <w:basedOn w:val="11"/>
    <w:unhideWhenUsed/>
    <w:qFormat/>
    <w:uiPriority w:val="99"/>
    <w:rPr>
      <w:color w:val="808080"/>
    </w:rPr>
  </w:style>
  <w:style w:type="character" w:customStyle="1" w:styleId="26">
    <w:name w:val="正文文本缩进 Char1"/>
    <w:link w:val="4"/>
    <w:qFormat/>
    <w:locked/>
    <w:uiPriority w:val="0"/>
    <w:rPr>
      <w:rFonts w:ascii="Calibri" w:hAnsi="Calibri" w:eastAsia="宋体" w:cs="Times New Roman"/>
      <w:kern w:val="2"/>
      <w:sz w:val="21"/>
    </w:rPr>
  </w:style>
  <w:style w:type="character" w:customStyle="1" w:styleId="27">
    <w:name w:val="正文文本缩进 字符"/>
    <w:basedOn w:val="11"/>
    <w:semiHidden/>
    <w:qFormat/>
    <w:uiPriority w:val="0"/>
    <w:rPr>
      <w:rFonts w:ascii="宋体" w:hAnsi="宋体" w:eastAsia="宋体" w:cs="宋体"/>
      <w:sz w:val="24"/>
      <w:szCs w:val="24"/>
    </w:rPr>
  </w:style>
  <w:style w:type="character" w:customStyle="1" w:styleId="28">
    <w:name w:val="页眉 Char"/>
    <w:qFormat/>
    <w:locked/>
    <w:uiPriority w:val="0"/>
    <w:rPr>
      <w:sz w:val="18"/>
    </w:rPr>
  </w:style>
  <w:style w:type="character" w:customStyle="1" w:styleId="29">
    <w:name w:val="页脚 Char"/>
    <w:qFormat/>
    <w:locked/>
    <w:uiPriority w:val="0"/>
    <w:rPr>
      <w:sz w:val="18"/>
    </w:rPr>
  </w:style>
  <w:style w:type="character" w:customStyle="1" w:styleId="30">
    <w:name w:val="正文文本缩进 Char"/>
    <w:qFormat/>
    <w:locked/>
    <w:uiPriority w:val="0"/>
    <w:rPr>
      <w:kern w:val="2"/>
      <w:sz w:val="21"/>
    </w:rPr>
  </w:style>
  <w:style w:type="character" w:customStyle="1" w:styleId="31">
    <w:name w:val="批注框文本 Char"/>
    <w:link w:val="5"/>
    <w:semiHidden/>
    <w:qFormat/>
    <w:locked/>
    <w:uiPriority w:val="0"/>
    <w:rPr>
      <w:sz w:val="2"/>
    </w:rPr>
  </w:style>
  <w:style w:type="paragraph" w:customStyle="1" w:styleId="32">
    <w:name w:val="样式1"/>
    <w:basedOn w:val="1"/>
    <w:qFormat/>
    <w:uiPriority w:val="0"/>
    <w:rPr>
      <w:rFonts w:ascii="Times New Roman" w:hAnsi="Times New Roman" w:cs="Times New Roman"/>
      <w:sz w:val="20"/>
      <w:szCs w:val="20"/>
    </w:rPr>
  </w:style>
  <w:style w:type="character" w:customStyle="1" w:styleId="33">
    <w:name w:val="批注框文本 字符"/>
    <w:basedOn w:val="11"/>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www.gench.edu.cn</Company>
  <Pages>9</Pages>
  <Words>5372</Words>
  <Characters>5621</Characters>
  <Lines>44</Lines>
  <Paragraphs>12</Paragraphs>
  <TotalTime>0</TotalTime>
  <ScaleCrop>false</ScaleCrop>
  <LinksUpToDate>false</LinksUpToDate>
  <CharactersWithSpaces>5681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2023-11-21T18:39:00Z</dcterms:created>
  <dc:creator>juvg</dc:creator>
  <cp:lastModifiedBy>郭永洪</cp:lastModifiedBy>
  <cp:lastPrinted>2023-11-21T16:52:00Z</cp:lastPrinted>
  <dcterms:modified xsi:type="dcterms:W3CDTF">2024-09-04T08:08:58Z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FB252DD19E50A6F788FAC1657BC27F5D_42</vt:lpwstr>
  </property>
</Properties>
</file>