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D8" w:rsidRDefault="002F0366">
      <w:pPr>
        <w:spacing w:line="288" w:lineRule="auto"/>
        <w:jc w:val="center"/>
        <w:rPr>
          <w:rFonts w:ascii="方正小标宋简体" w:hAnsi="宋体"/>
          <w:bCs/>
          <w:kern w:val="0"/>
          <w:szCs w:val="21"/>
        </w:rPr>
      </w:pPr>
      <w:r w:rsidRPr="002F0366">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rsidR="00BC3DD8" w:rsidRDefault="00223E7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sidR="00223E76">
        <w:rPr>
          <w:rFonts w:ascii="方正小标宋简体" w:eastAsia="方正小标宋简体" w:hAnsi="宋体" w:hint="eastAsia"/>
          <w:bCs/>
          <w:kern w:val="0"/>
          <w:sz w:val="40"/>
          <w:szCs w:val="40"/>
        </w:rPr>
        <w:t>专业课课程教学大纲</w:t>
      </w:r>
    </w:p>
    <w:p w:rsidR="00BC3DD8" w:rsidRDefault="00223E76">
      <w:pPr>
        <w:spacing w:line="288" w:lineRule="auto"/>
        <w:jc w:val="center"/>
        <w:rPr>
          <w:b/>
          <w:sz w:val="28"/>
          <w:szCs w:val="30"/>
        </w:rPr>
      </w:pPr>
      <w:r>
        <w:rPr>
          <w:rFonts w:hint="eastAsia"/>
          <w:b/>
          <w:sz w:val="28"/>
          <w:szCs w:val="30"/>
        </w:rPr>
        <w:t>【人体生理学】</w:t>
      </w:r>
    </w:p>
    <w:p w:rsidR="00BC3DD8" w:rsidRDefault="00223E76">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Human</w:t>
      </w:r>
      <w:r>
        <w:rPr>
          <w:b/>
          <w:sz w:val="28"/>
          <w:szCs w:val="30"/>
        </w:rPr>
        <w:t xml:space="preserve"> </w:t>
      </w:r>
      <w:r>
        <w:rPr>
          <w:rFonts w:hint="eastAsia"/>
          <w:b/>
          <w:sz w:val="28"/>
          <w:szCs w:val="30"/>
        </w:rPr>
        <w:t>Physiology</w:t>
      </w:r>
      <w:r>
        <w:rPr>
          <w:rFonts w:hint="eastAsia"/>
          <w:b/>
          <w:sz w:val="28"/>
          <w:szCs w:val="30"/>
        </w:rPr>
        <w:t>】</w:t>
      </w:r>
      <w:bookmarkStart w:id="0" w:name="a2"/>
      <w:bookmarkEnd w:id="0"/>
    </w:p>
    <w:p w:rsidR="00BC3DD8" w:rsidRDefault="00223E76" w:rsidP="002F0366">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C3DD8" w:rsidRDefault="00223E76">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1170024</w:t>
      </w:r>
      <w:r>
        <w:rPr>
          <w:color w:val="000000"/>
          <w:sz w:val="20"/>
          <w:szCs w:val="20"/>
        </w:rPr>
        <w:t>】</w:t>
      </w:r>
    </w:p>
    <w:p w:rsidR="00BC3DD8" w:rsidRDefault="00223E76">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3.0</w:t>
      </w:r>
      <w:r>
        <w:rPr>
          <w:color w:val="000000"/>
          <w:sz w:val="20"/>
          <w:szCs w:val="20"/>
        </w:rPr>
        <w:t>】</w:t>
      </w:r>
    </w:p>
    <w:p w:rsidR="00BC3DD8" w:rsidRDefault="00223E7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rsidR="00BC3DD8" w:rsidRDefault="00223E7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sidR="002D3CB0">
        <w:rPr>
          <w:rFonts w:ascii="宋体" w:hAnsi="宋体" w:hint="eastAsia"/>
          <w:color w:val="000000"/>
          <w:sz w:val="20"/>
          <w:szCs w:val="20"/>
        </w:rPr>
        <w:t>◎</w:t>
      </w:r>
      <w:r>
        <w:rPr>
          <w:color w:val="000000"/>
          <w:sz w:val="20"/>
          <w:szCs w:val="20"/>
        </w:rPr>
        <w:t>】</w:t>
      </w:r>
    </w:p>
    <w:p w:rsidR="00BC3DD8" w:rsidRDefault="00223E76">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健康管理学院护理系</w:t>
      </w:r>
    </w:p>
    <w:p w:rsidR="00BC3DD8" w:rsidRDefault="00223E76">
      <w:pPr>
        <w:snapToGrid w:val="0"/>
        <w:spacing w:line="288" w:lineRule="auto"/>
        <w:ind w:firstLineChars="196" w:firstLine="394"/>
        <w:rPr>
          <w:color w:val="000000"/>
          <w:sz w:val="20"/>
          <w:szCs w:val="20"/>
        </w:rPr>
      </w:pPr>
      <w:r>
        <w:rPr>
          <w:b/>
          <w:bCs/>
          <w:color w:val="000000"/>
          <w:sz w:val="20"/>
          <w:szCs w:val="20"/>
        </w:rPr>
        <w:t>使用教材：</w:t>
      </w:r>
    </w:p>
    <w:p w:rsidR="00BC3DD8" w:rsidRDefault="00223E76">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《生理学》第</w:t>
      </w:r>
      <w:r w:rsidR="00D248E6">
        <w:rPr>
          <w:color w:val="000000"/>
          <w:sz w:val="20"/>
          <w:szCs w:val="20"/>
        </w:rPr>
        <w:t>5</w:t>
      </w:r>
      <w:r>
        <w:rPr>
          <w:rFonts w:hint="eastAsia"/>
          <w:color w:val="000000"/>
          <w:sz w:val="20"/>
          <w:szCs w:val="20"/>
        </w:rPr>
        <w:t>版，主编：唐四元，人民卫生出版社，</w:t>
      </w:r>
      <w:r>
        <w:rPr>
          <w:rFonts w:hint="eastAsia"/>
          <w:color w:val="000000"/>
          <w:sz w:val="20"/>
          <w:szCs w:val="20"/>
        </w:rPr>
        <w:t>20</w:t>
      </w:r>
      <w:r w:rsidR="00D248E6">
        <w:rPr>
          <w:color w:val="000000"/>
          <w:sz w:val="20"/>
          <w:szCs w:val="20"/>
        </w:rPr>
        <w:t>22</w:t>
      </w:r>
      <w:r>
        <w:rPr>
          <w:color w:val="000000"/>
          <w:sz w:val="20"/>
          <w:szCs w:val="20"/>
        </w:rPr>
        <w:t>】</w:t>
      </w:r>
    </w:p>
    <w:p w:rsidR="00BC3DD8" w:rsidRDefault="00223E76">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《生理学》第</w:t>
      </w:r>
      <w:r>
        <w:rPr>
          <w:rFonts w:hint="eastAsia"/>
          <w:color w:val="000000"/>
          <w:sz w:val="20"/>
          <w:szCs w:val="20"/>
        </w:rPr>
        <w:t>2</w:t>
      </w:r>
      <w:r>
        <w:rPr>
          <w:rFonts w:hint="eastAsia"/>
          <w:color w:val="000000"/>
          <w:sz w:val="20"/>
          <w:szCs w:val="20"/>
        </w:rPr>
        <w:t>版（全国高等学校八年制临床医学专业教材），主编：姚泰，人民卫生出版社，</w:t>
      </w:r>
      <w:r>
        <w:rPr>
          <w:rFonts w:hint="eastAsia"/>
          <w:color w:val="000000"/>
          <w:sz w:val="20"/>
          <w:szCs w:val="20"/>
        </w:rPr>
        <w:t>2010</w:t>
      </w:r>
      <w:r>
        <w:rPr>
          <w:rFonts w:hint="eastAsia"/>
          <w:color w:val="000000"/>
          <w:sz w:val="20"/>
          <w:szCs w:val="20"/>
        </w:rPr>
        <w:t>；《生理学》第</w:t>
      </w:r>
      <w:r>
        <w:rPr>
          <w:rFonts w:hint="eastAsia"/>
          <w:color w:val="000000"/>
          <w:sz w:val="20"/>
          <w:szCs w:val="20"/>
        </w:rPr>
        <w:t>8</w:t>
      </w:r>
      <w:r>
        <w:rPr>
          <w:rFonts w:hint="eastAsia"/>
          <w:color w:val="000000"/>
          <w:sz w:val="20"/>
          <w:szCs w:val="20"/>
        </w:rPr>
        <w:t>版，主编：朱大年、王庭槐，人民卫生出版社；《生理学学习指导与习题集》，主编：罗自强，人民卫生出版社，</w:t>
      </w:r>
      <w:r>
        <w:rPr>
          <w:rFonts w:hint="eastAsia"/>
          <w:color w:val="000000"/>
          <w:sz w:val="20"/>
          <w:szCs w:val="20"/>
        </w:rPr>
        <w:t>2</w:t>
      </w:r>
      <w:r>
        <w:rPr>
          <w:color w:val="000000"/>
          <w:sz w:val="20"/>
          <w:szCs w:val="20"/>
        </w:rPr>
        <w:t>017</w:t>
      </w:r>
      <w:r>
        <w:rPr>
          <w:rFonts w:hint="eastAsia"/>
          <w:color w:val="000000"/>
          <w:sz w:val="20"/>
          <w:szCs w:val="20"/>
        </w:rPr>
        <w:t>；</w:t>
      </w:r>
      <w:r>
        <w:rPr>
          <w:color w:val="000000"/>
          <w:sz w:val="20"/>
          <w:szCs w:val="20"/>
        </w:rPr>
        <w:t>】</w:t>
      </w:r>
    </w:p>
    <w:p w:rsidR="00BC3DD8" w:rsidRDefault="00223E76">
      <w:pPr>
        <w:snapToGrid w:val="0"/>
        <w:spacing w:line="288" w:lineRule="auto"/>
        <w:ind w:firstLineChars="196" w:firstLine="394"/>
        <w:rPr>
          <w:color w:val="000000"/>
          <w:sz w:val="20"/>
          <w:szCs w:val="20"/>
        </w:rPr>
      </w:pPr>
      <w:r>
        <w:rPr>
          <w:rFonts w:hint="eastAsia"/>
          <w:b/>
          <w:bCs/>
          <w:color w:val="000000"/>
          <w:sz w:val="20"/>
          <w:szCs w:val="20"/>
        </w:rPr>
        <w:t>课程网站网址：暂无</w:t>
      </w:r>
    </w:p>
    <w:p w:rsidR="00BC3DD8" w:rsidRDefault="00223E76">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w:t>
      </w:r>
    </w:p>
    <w:p w:rsidR="00BC3DD8" w:rsidRDefault="00223E76" w:rsidP="002F0366">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C3DD8" w:rsidRDefault="00223E76">
      <w:pPr>
        <w:snapToGrid w:val="0"/>
        <w:spacing w:line="288" w:lineRule="auto"/>
        <w:ind w:firstLineChars="200" w:firstLine="400"/>
        <w:rPr>
          <w:color w:val="000000"/>
          <w:sz w:val="20"/>
          <w:szCs w:val="20"/>
        </w:rPr>
      </w:pPr>
      <w:r>
        <w:rPr>
          <w:rFonts w:hint="eastAsia"/>
          <w:color w:val="000000"/>
          <w:sz w:val="20"/>
          <w:szCs w:val="20"/>
        </w:rPr>
        <w:t>生理学是研究在正常状态下，人体内各细胞、器官、系统的功能，以及作为一个整体，各部分之间的相互协调并与外界环境相适应过程的规律和机制，从而认识和掌握生命活动的规律，为防病治病、增进人类健康、延长人类寿命提供科学的理论依据。</w:t>
      </w:r>
    </w:p>
    <w:p w:rsidR="00BC3DD8" w:rsidRDefault="00223E76">
      <w:pPr>
        <w:snapToGrid w:val="0"/>
        <w:spacing w:line="288" w:lineRule="auto"/>
        <w:ind w:firstLineChars="200" w:firstLine="400"/>
        <w:rPr>
          <w:color w:val="000000"/>
          <w:sz w:val="20"/>
          <w:szCs w:val="20"/>
        </w:rPr>
      </w:pPr>
      <w:r>
        <w:rPr>
          <w:rFonts w:hint="eastAsia"/>
          <w:color w:val="000000"/>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rsidR="00BC3DD8" w:rsidRDefault="00223E76">
      <w:pPr>
        <w:snapToGrid w:val="0"/>
        <w:spacing w:line="288" w:lineRule="auto"/>
        <w:ind w:firstLineChars="200" w:firstLine="400"/>
        <w:rPr>
          <w:color w:val="000000"/>
          <w:sz w:val="20"/>
          <w:szCs w:val="20"/>
        </w:rPr>
      </w:pPr>
      <w:r>
        <w:rPr>
          <w:rFonts w:hint="eastAsia"/>
          <w:sz w:val="20"/>
          <w:szCs w:val="20"/>
        </w:rPr>
        <w:t>本课程在第二学期开设，总时数为</w:t>
      </w:r>
      <w:r>
        <w:rPr>
          <w:sz w:val="20"/>
          <w:szCs w:val="20"/>
        </w:rPr>
        <w:t>48</w:t>
      </w:r>
      <w:r>
        <w:rPr>
          <w:rFonts w:hint="eastAsia"/>
          <w:sz w:val="20"/>
          <w:szCs w:val="20"/>
        </w:rPr>
        <w:t>。其中理论课时</w:t>
      </w:r>
      <w:r>
        <w:rPr>
          <w:rFonts w:hint="eastAsia"/>
          <w:sz w:val="20"/>
          <w:szCs w:val="20"/>
        </w:rPr>
        <w:t>44</w:t>
      </w:r>
      <w:r>
        <w:rPr>
          <w:rFonts w:hint="eastAsia"/>
          <w:sz w:val="20"/>
          <w:szCs w:val="20"/>
        </w:rPr>
        <w:t>学时，实训课时</w:t>
      </w:r>
      <w:r>
        <w:rPr>
          <w:sz w:val="20"/>
          <w:szCs w:val="20"/>
        </w:rPr>
        <w:t>4</w:t>
      </w:r>
      <w:r>
        <w:rPr>
          <w:rFonts w:hint="eastAsia"/>
          <w:sz w:val="20"/>
          <w:szCs w:val="20"/>
        </w:rPr>
        <w:t>时。</w:t>
      </w:r>
    </w:p>
    <w:p w:rsidR="00BC3DD8" w:rsidRDefault="00223E76" w:rsidP="002F036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C3DD8" w:rsidRDefault="00223E76">
      <w:pPr>
        <w:snapToGrid w:val="0"/>
        <w:spacing w:line="288" w:lineRule="auto"/>
        <w:ind w:firstLineChars="200" w:firstLine="400"/>
        <w:rPr>
          <w:color w:val="000000"/>
          <w:sz w:val="20"/>
          <w:szCs w:val="20"/>
        </w:rPr>
      </w:pPr>
      <w:r>
        <w:rPr>
          <w:rFonts w:hint="eastAsia"/>
          <w:sz w:val="20"/>
          <w:szCs w:val="20"/>
        </w:rPr>
        <w:t>本课程面向护理学专业，开设于</w:t>
      </w:r>
      <w:r>
        <w:rPr>
          <w:rFonts w:hint="eastAsia"/>
          <w:sz w:val="20"/>
          <w:szCs w:val="20"/>
        </w:rPr>
        <w:t>专升本第</w:t>
      </w:r>
      <w:r>
        <w:rPr>
          <w:rFonts w:hint="eastAsia"/>
          <w:sz w:val="20"/>
          <w:szCs w:val="20"/>
        </w:rPr>
        <w:t>1</w:t>
      </w:r>
      <w:r>
        <w:rPr>
          <w:rFonts w:hint="eastAsia"/>
          <w:sz w:val="20"/>
          <w:szCs w:val="20"/>
        </w:rPr>
        <w:t>学期，是重要的医学基础课程，建议在掌握了解剖学知识的基础上修读。</w:t>
      </w:r>
    </w:p>
    <w:p w:rsidR="00BC3DD8" w:rsidRDefault="00223E76" w:rsidP="002F036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480" w:type="dxa"/>
        <w:tblLayout w:type="fixed"/>
        <w:tblLook w:val="04A0"/>
      </w:tblPr>
      <w:tblGrid>
        <w:gridCol w:w="1668"/>
        <w:gridCol w:w="4961"/>
        <w:gridCol w:w="851"/>
      </w:tblGrid>
      <w:tr w:rsidR="00223E76" w:rsidTr="00165632">
        <w:tc>
          <w:tcPr>
            <w:tcW w:w="6629" w:type="dxa"/>
            <w:gridSpan w:val="2"/>
          </w:tcPr>
          <w:p w:rsidR="00223E76" w:rsidRDefault="00223E76" w:rsidP="00165632">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rsidR="00223E76" w:rsidRDefault="00223E76" w:rsidP="0016563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23E76" w:rsidTr="00165632">
        <w:tc>
          <w:tcPr>
            <w:tcW w:w="1668" w:type="dxa"/>
            <w:vMerge w:val="restart"/>
            <w:vAlign w:val="center"/>
          </w:tcPr>
          <w:p w:rsidR="00223E76" w:rsidRPr="00222914" w:rsidRDefault="00223E76" w:rsidP="00165632">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4961" w:type="dxa"/>
          </w:tcPr>
          <w:p w:rsidR="00223E76" w:rsidRPr="00222914" w:rsidRDefault="00223E76" w:rsidP="00165632">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爱党爱国，坚决拥护党的领导，热爱祖国的大好河山、悠久历史、灿烂文化，自觉维护民族利益和国家尊严。</w:t>
            </w:r>
          </w:p>
        </w:tc>
        <w:tc>
          <w:tcPr>
            <w:tcW w:w="851" w:type="dxa"/>
            <w:vAlign w:val="center"/>
          </w:tcPr>
          <w:p w:rsidR="00223E76" w:rsidRDefault="00223E76" w:rsidP="00165632">
            <w:pPr>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Default="00223E76" w:rsidP="00165632">
            <w:pPr>
              <w:widowControl/>
              <w:rPr>
                <w:rFonts w:ascii="仿宋" w:eastAsia="仿宋" w:hAnsi="仿宋" w:cs="宋体"/>
                <w:color w:val="000000"/>
                <w:kern w:val="0"/>
                <w:sz w:val="24"/>
                <w:szCs w:val="20"/>
              </w:rPr>
            </w:pPr>
          </w:p>
        </w:tc>
        <w:tc>
          <w:tcPr>
            <w:tcW w:w="4961" w:type="dxa"/>
          </w:tcPr>
          <w:p w:rsidR="00223E76" w:rsidRPr="002E19D1" w:rsidRDefault="00223E76" w:rsidP="00165632">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Default="00223E76" w:rsidP="00165632">
            <w:pPr>
              <w:widowControl/>
              <w:rPr>
                <w:rFonts w:ascii="仿宋" w:eastAsia="仿宋" w:hAnsi="仿宋" w:cs="宋体"/>
                <w:color w:val="000000"/>
                <w:kern w:val="0"/>
                <w:sz w:val="24"/>
                <w:szCs w:val="20"/>
              </w:rPr>
            </w:pPr>
          </w:p>
        </w:tc>
        <w:tc>
          <w:tcPr>
            <w:tcW w:w="4961" w:type="dxa"/>
          </w:tcPr>
          <w:p w:rsidR="00223E76" w:rsidRPr="002E19D1" w:rsidRDefault="00223E76" w:rsidP="00165632">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r w:rsidRPr="00DE6020">
              <w:rPr>
                <w:color w:val="000000"/>
                <w:kern w:val="0"/>
                <w:sz w:val="20"/>
                <w:szCs w:val="20"/>
              </w:rPr>
              <w:t>●</w:t>
            </w: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r w:rsidRPr="00DE6020">
              <w:rPr>
                <w:color w:val="000000"/>
                <w:kern w:val="0"/>
                <w:sz w:val="20"/>
                <w:szCs w:val="20"/>
              </w:rPr>
              <w:t>●</w:t>
            </w: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Default="00223E76" w:rsidP="00165632">
            <w:pPr>
              <w:widowControl/>
              <w:rPr>
                <w:kern w:val="0"/>
                <w:sz w:val="20"/>
                <w:szCs w:val="20"/>
              </w:rPr>
            </w:pPr>
          </w:p>
        </w:tc>
        <w:tc>
          <w:tcPr>
            <w:tcW w:w="4961" w:type="dxa"/>
          </w:tcPr>
          <w:p w:rsidR="00223E76" w:rsidRPr="002E19D1" w:rsidRDefault="00223E76" w:rsidP="00165632">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Default="00223E76" w:rsidP="00165632">
            <w:pPr>
              <w:widowControl/>
              <w:rPr>
                <w:kern w:val="0"/>
                <w:sz w:val="20"/>
                <w:szCs w:val="20"/>
              </w:rPr>
            </w:pPr>
          </w:p>
        </w:tc>
        <w:tc>
          <w:tcPr>
            <w:tcW w:w="4961" w:type="dxa"/>
          </w:tcPr>
          <w:p w:rsidR="00223E76" w:rsidRPr="002E19D1" w:rsidRDefault="00223E76" w:rsidP="00165632">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rPr>
          <w:trHeight w:val="363"/>
        </w:trPr>
        <w:tc>
          <w:tcPr>
            <w:tcW w:w="1668" w:type="dxa"/>
            <w:vMerge w:val="restart"/>
            <w:vAlign w:val="center"/>
          </w:tcPr>
          <w:p w:rsidR="00223E76" w:rsidRPr="00222914" w:rsidRDefault="00223E76" w:rsidP="00165632">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4961" w:type="dxa"/>
          </w:tcPr>
          <w:p w:rsidR="00223E76" w:rsidRPr="002E19D1"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r w:rsidRPr="00DE6020">
              <w:rPr>
                <w:color w:val="000000"/>
                <w:kern w:val="0"/>
                <w:sz w:val="20"/>
                <w:szCs w:val="20"/>
              </w:rPr>
              <w:t>●</w:t>
            </w: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r w:rsidRPr="00DE6020">
              <w:rPr>
                <w:color w:val="000000"/>
                <w:kern w:val="0"/>
                <w:sz w:val="20"/>
                <w:szCs w:val="20"/>
              </w:rPr>
              <w:t>●</w:t>
            </w: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心理健康，学习和参与心理调适各项活动，耐挫折，能承受学习和生活中的压力。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能用创新的方法或者多种方法解决复杂问题或真实问题。</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LO7信息应用</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r>
              <w:rPr>
                <w:bCs/>
              </w:rPr>
              <w:t>练使用计算机，掌握常用办公软件。</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restart"/>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7EF5"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r w:rsidR="00223E76" w:rsidTr="00165632">
        <w:tc>
          <w:tcPr>
            <w:tcW w:w="1668" w:type="dxa"/>
            <w:vMerge/>
            <w:vAlign w:val="center"/>
          </w:tcPr>
          <w:p w:rsidR="00223E76" w:rsidRPr="00222914" w:rsidRDefault="00223E76" w:rsidP="00165632">
            <w:pPr>
              <w:widowControl/>
              <w:rPr>
                <w:rFonts w:asciiTheme="minorEastAsia" w:eastAsiaTheme="minorEastAsia" w:hAnsiTheme="minorEastAsia" w:cs="宋体"/>
                <w:color w:val="000000"/>
                <w:kern w:val="0"/>
                <w:sz w:val="20"/>
                <w:szCs w:val="20"/>
              </w:rPr>
            </w:pPr>
          </w:p>
        </w:tc>
        <w:tc>
          <w:tcPr>
            <w:tcW w:w="4961" w:type="dxa"/>
          </w:tcPr>
          <w:p w:rsidR="00223E76" w:rsidRPr="00222914" w:rsidRDefault="00223E76" w:rsidP="00165632">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rsidR="00223E76" w:rsidRDefault="00223E76" w:rsidP="00165632">
            <w:pPr>
              <w:widowControl/>
              <w:jc w:val="center"/>
              <w:rPr>
                <w:rFonts w:ascii="仿宋" w:eastAsia="仿宋" w:hAnsi="仿宋" w:cs="宋体"/>
                <w:color w:val="000000"/>
                <w:kern w:val="0"/>
                <w:sz w:val="24"/>
                <w:szCs w:val="20"/>
              </w:rPr>
            </w:pPr>
          </w:p>
        </w:tc>
      </w:tr>
    </w:tbl>
    <w:p w:rsidR="00BC3DD8" w:rsidRDefault="00BC3DD8"/>
    <w:p w:rsidR="00BC3DD8" w:rsidRDefault="00223E76" w:rsidP="002F036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1092"/>
        <w:gridCol w:w="3168"/>
        <w:gridCol w:w="1812"/>
        <w:gridCol w:w="1026"/>
      </w:tblGrid>
      <w:tr w:rsidR="00223E76" w:rsidTr="00165632">
        <w:trPr>
          <w:cantSplit/>
          <w:trHeight w:val="633"/>
        </w:trPr>
        <w:tc>
          <w:tcPr>
            <w:tcW w:w="557" w:type="dxa"/>
            <w:vAlign w:val="center"/>
          </w:tcPr>
          <w:p w:rsidR="00223E76" w:rsidRDefault="00223E76" w:rsidP="00165632">
            <w:pPr>
              <w:snapToGrid w:val="0"/>
              <w:spacing w:line="288" w:lineRule="auto"/>
              <w:jc w:val="center"/>
              <w:rPr>
                <w:b/>
                <w:color w:val="000000"/>
                <w:sz w:val="20"/>
                <w:szCs w:val="20"/>
              </w:rPr>
            </w:pPr>
            <w:r>
              <w:rPr>
                <w:b/>
                <w:color w:val="000000"/>
                <w:sz w:val="20"/>
                <w:szCs w:val="20"/>
              </w:rPr>
              <w:t>序号</w:t>
            </w:r>
          </w:p>
        </w:tc>
        <w:tc>
          <w:tcPr>
            <w:tcW w:w="1092" w:type="dxa"/>
            <w:vAlign w:val="center"/>
          </w:tcPr>
          <w:p w:rsidR="00223E76" w:rsidRDefault="00223E76" w:rsidP="00165632">
            <w:pPr>
              <w:snapToGrid w:val="0"/>
              <w:spacing w:line="288" w:lineRule="auto"/>
              <w:jc w:val="center"/>
              <w:rPr>
                <w:b/>
                <w:color w:val="000000"/>
                <w:sz w:val="20"/>
                <w:szCs w:val="20"/>
              </w:rPr>
            </w:pPr>
            <w:r>
              <w:rPr>
                <w:b/>
                <w:color w:val="000000"/>
                <w:sz w:val="20"/>
                <w:szCs w:val="20"/>
              </w:rPr>
              <w:t>课程预期</w:t>
            </w:r>
          </w:p>
          <w:p w:rsidR="00223E76" w:rsidRDefault="00223E76" w:rsidP="00165632">
            <w:pPr>
              <w:snapToGrid w:val="0"/>
              <w:spacing w:line="288" w:lineRule="auto"/>
              <w:jc w:val="center"/>
              <w:rPr>
                <w:b/>
                <w:color w:val="000000"/>
                <w:sz w:val="20"/>
                <w:szCs w:val="20"/>
              </w:rPr>
            </w:pPr>
            <w:r>
              <w:rPr>
                <w:b/>
                <w:color w:val="000000"/>
                <w:sz w:val="20"/>
                <w:szCs w:val="20"/>
              </w:rPr>
              <w:t>学习成果</w:t>
            </w:r>
          </w:p>
        </w:tc>
        <w:tc>
          <w:tcPr>
            <w:tcW w:w="3168" w:type="dxa"/>
            <w:vAlign w:val="center"/>
          </w:tcPr>
          <w:p w:rsidR="00223E76" w:rsidRDefault="00223E76" w:rsidP="00165632">
            <w:pPr>
              <w:snapToGrid w:val="0"/>
              <w:spacing w:line="288" w:lineRule="auto"/>
              <w:jc w:val="center"/>
              <w:rPr>
                <w:b/>
                <w:color w:val="000000"/>
                <w:sz w:val="20"/>
                <w:szCs w:val="20"/>
              </w:rPr>
            </w:pPr>
            <w:r>
              <w:rPr>
                <w:b/>
                <w:color w:val="000000"/>
                <w:sz w:val="20"/>
                <w:szCs w:val="20"/>
              </w:rPr>
              <w:t>课程目标</w:t>
            </w:r>
          </w:p>
        </w:tc>
        <w:tc>
          <w:tcPr>
            <w:tcW w:w="1812" w:type="dxa"/>
            <w:vAlign w:val="center"/>
          </w:tcPr>
          <w:p w:rsidR="00223E76" w:rsidRDefault="00223E76" w:rsidP="00165632">
            <w:pPr>
              <w:snapToGrid w:val="0"/>
              <w:spacing w:line="288" w:lineRule="auto"/>
              <w:jc w:val="center"/>
              <w:rPr>
                <w:b/>
                <w:color w:val="000000"/>
                <w:sz w:val="20"/>
                <w:szCs w:val="20"/>
              </w:rPr>
            </w:pPr>
            <w:r>
              <w:rPr>
                <w:b/>
                <w:color w:val="000000"/>
                <w:sz w:val="20"/>
                <w:szCs w:val="20"/>
              </w:rPr>
              <w:t>教与学方式</w:t>
            </w:r>
          </w:p>
        </w:tc>
        <w:tc>
          <w:tcPr>
            <w:tcW w:w="1026" w:type="dxa"/>
            <w:vAlign w:val="center"/>
          </w:tcPr>
          <w:p w:rsidR="00223E76" w:rsidRDefault="00223E76" w:rsidP="00165632">
            <w:pPr>
              <w:snapToGrid w:val="0"/>
              <w:spacing w:line="288" w:lineRule="auto"/>
              <w:jc w:val="center"/>
              <w:rPr>
                <w:b/>
                <w:color w:val="000000"/>
                <w:sz w:val="20"/>
                <w:szCs w:val="20"/>
              </w:rPr>
            </w:pPr>
            <w:r>
              <w:rPr>
                <w:b/>
                <w:color w:val="000000"/>
                <w:sz w:val="20"/>
                <w:szCs w:val="20"/>
              </w:rPr>
              <w:t>评价方式</w:t>
            </w:r>
          </w:p>
        </w:tc>
      </w:tr>
      <w:tr w:rsidR="00223E76" w:rsidTr="00165632">
        <w:trPr>
          <w:cantSplit/>
          <w:trHeight w:val="690"/>
        </w:trPr>
        <w:tc>
          <w:tcPr>
            <w:tcW w:w="557"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1</w:t>
            </w:r>
          </w:p>
        </w:tc>
        <w:tc>
          <w:tcPr>
            <w:tcW w:w="1092"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LO15</w:t>
            </w:r>
          </w:p>
        </w:tc>
        <w:tc>
          <w:tcPr>
            <w:tcW w:w="3168" w:type="dxa"/>
            <w:vAlign w:val="center"/>
          </w:tcPr>
          <w:p w:rsidR="00223E76" w:rsidRDefault="00223E76" w:rsidP="00165632">
            <w:pPr>
              <w:jc w:val="left"/>
              <w:rPr>
                <w:color w:val="000000"/>
                <w:sz w:val="20"/>
                <w:szCs w:val="20"/>
              </w:rPr>
            </w:pPr>
            <w:r>
              <w:rPr>
                <w:rFonts w:hint="eastAsia"/>
                <w:color w:val="000000"/>
                <w:sz w:val="20"/>
                <w:szCs w:val="20"/>
              </w:rPr>
              <w:t>建立职业使命感和责任感。</w:t>
            </w:r>
          </w:p>
        </w:tc>
        <w:tc>
          <w:tcPr>
            <w:tcW w:w="1812" w:type="dxa"/>
          </w:tcPr>
          <w:p w:rsidR="00223E76" w:rsidRDefault="00223E76" w:rsidP="00165632">
            <w:pPr>
              <w:snapToGrid w:val="0"/>
              <w:spacing w:line="288" w:lineRule="auto"/>
              <w:jc w:val="left"/>
              <w:rPr>
                <w:color w:val="000000"/>
                <w:sz w:val="20"/>
                <w:szCs w:val="20"/>
              </w:rPr>
            </w:pPr>
            <w:r>
              <w:rPr>
                <w:color w:val="000000"/>
                <w:sz w:val="20"/>
                <w:szCs w:val="20"/>
              </w:rPr>
              <w:t>教师理论讲授；教师案例分析</w:t>
            </w:r>
            <w:r>
              <w:rPr>
                <w:color w:val="000000"/>
                <w:sz w:val="20"/>
                <w:szCs w:val="20"/>
              </w:rPr>
              <w:t xml:space="preserve"> </w:t>
            </w:r>
          </w:p>
        </w:tc>
        <w:tc>
          <w:tcPr>
            <w:tcW w:w="1026" w:type="dxa"/>
            <w:vAlign w:val="center"/>
          </w:tcPr>
          <w:p w:rsidR="00223E76" w:rsidRDefault="00223E76" w:rsidP="00165632">
            <w:pPr>
              <w:snapToGrid w:val="0"/>
              <w:spacing w:line="288" w:lineRule="auto"/>
              <w:jc w:val="center"/>
              <w:rPr>
                <w:color w:val="000000"/>
                <w:sz w:val="20"/>
                <w:szCs w:val="20"/>
              </w:rPr>
            </w:pPr>
            <w:r>
              <w:rPr>
                <w:color w:val="000000"/>
                <w:sz w:val="20"/>
                <w:szCs w:val="20"/>
              </w:rPr>
              <w:t>纸笔测试</w:t>
            </w:r>
          </w:p>
          <w:p w:rsidR="00223E76" w:rsidRDefault="00223E76" w:rsidP="00165632">
            <w:pPr>
              <w:snapToGrid w:val="0"/>
              <w:spacing w:line="288" w:lineRule="auto"/>
              <w:jc w:val="center"/>
              <w:rPr>
                <w:color w:val="000000"/>
                <w:sz w:val="20"/>
                <w:szCs w:val="20"/>
              </w:rPr>
            </w:pPr>
          </w:p>
        </w:tc>
      </w:tr>
      <w:tr w:rsidR="00223E76" w:rsidTr="00165632">
        <w:trPr>
          <w:cantSplit/>
          <w:trHeight w:val="731"/>
        </w:trPr>
        <w:tc>
          <w:tcPr>
            <w:tcW w:w="557"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2</w:t>
            </w:r>
          </w:p>
        </w:tc>
        <w:tc>
          <w:tcPr>
            <w:tcW w:w="1092"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LO22</w:t>
            </w:r>
          </w:p>
        </w:tc>
        <w:tc>
          <w:tcPr>
            <w:tcW w:w="3168" w:type="dxa"/>
            <w:vAlign w:val="center"/>
          </w:tcPr>
          <w:p w:rsidR="00223E76" w:rsidRDefault="00223E76" w:rsidP="00165632">
            <w:pPr>
              <w:jc w:val="left"/>
              <w:rPr>
                <w:color w:val="000000"/>
                <w:sz w:val="20"/>
                <w:szCs w:val="20"/>
              </w:rPr>
            </w:pPr>
            <w:r>
              <w:rPr>
                <w:color w:val="000000"/>
                <w:sz w:val="20"/>
                <w:szCs w:val="20"/>
              </w:rPr>
              <w:t>掌握基本的</w:t>
            </w:r>
            <w:r>
              <w:rPr>
                <w:rFonts w:hint="eastAsia"/>
                <w:color w:val="000000"/>
                <w:sz w:val="20"/>
                <w:szCs w:val="20"/>
              </w:rPr>
              <w:t>生理学知识。</w:t>
            </w:r>
          </w:p>
        </w:tc>
        <w:tc>
          <w:tcPr>
            <w:tcW w:w="1812" w:type="dxa"/>
          </w:tcPr>
          <w:p w:rsidR="00223E76" w:rsidRDefault="00223E76" w:rsidP="00165632">
            <w:pPr>
              <w:snapToGrid w:val="0"/>
              <w:spacing w:line="288" w:lineRule="auto"/>
              <w:jc w:val="left"/>
              <w:rPr>
                <w:color w:val="000000"/>
                <w:sz w:val="20"/>
                <w:szCs w:val="20"/>
              </w:rPr>
            </w:pPr>
            <w:r>
              <w:rPr>
                <w:color w:val="000000"/>
                <w:sz w:val="20"/>
                <w:szCs w:val="20"/>
              </w:rPr>
              <w:t>教师理论讲授；教师案例分析；学生实践、教师辅导</w:t>
            </w:r>
          </w:p>
        </w:tc>
        <w:tc>
          <w:tcPr>
            <w:tcW w:w="1026" w:type="dxa"/>
            <w:vAlign w:val="center"/>
          </w:tcPr>
          <w:p w:rsidR="00223E76" w:rsidRDefault="00223E76" w:rsidP="00165632">
            <w:pPr>
              <w:snapToGrid w:val="0"/>
              <w:spacing w:line="288" w:lineRule="auto"/>
              <w:jc w:val="center"/>
              <w:rPr>
                <w:color w:val="000000"/>
                <w:sz w:val="20"/>
                <w:szCs w:val="20"/>
              </w:rPr>
            </w:pPr>
            <w:r>
              <w:rPr>
                <w:color w:val="000000"/>
                <w:sz w:val="20"/>
                <w:szCs w:val="20"/>
              </w:rPr>
              <w:t>纸笔测试</w:t>
            </w:r>
            <w:r>
              <w:rPr>
                <w:sz w:val="20"/>
                <w:szCs w:val="20"/>
              </w:rPr>
              <w:t>实验报告</w:t>
            </w:r>
          </w:p>
        </w:tc>
      </w:tr>
      <w:tr w:rsidR="00223E76" w:rsidTr="00165632">
        <w:trPr>
          <w:cantSplit/>
          <w:trHeight w:val="731"/>
        </w:trPr>
        <w:tc>
          <w:tcPr>
            <w:tcW w:w="557" w:type="dxa"/>
            <w:vAlign w:val="center"/>
          </w:tcPr>
          <w:p w:rsidR="00223E76" w:rsidRDefault="00223E76" w:rsidP="00165632">
            <w:pPr>
              <w:jc w:val="center"/>
              <w:rPr>
                <w:rFonts w:eastAsia="仿宋"/>
                <w:color w:val="000000"/>
                <w:kern w:val="0"/>
                <w:sz w:val="20"/>
                <w:szCs w:val="20"/>
              </w:rPr>
            </w:pPr>
            <w:r>
              <w:rPr>
                <w:rFonts w:eastAsia="仿宋" w:hint="eastAsia"/>
                <w:color w:val="000000"/>
                <w:kern w:val="0"/>
                <w:sz w:val="20"/>
                <w:szCs w:val="20"/>
              </w:rPr>
              <w:t>3</w:t>
            </w:r>
          </w:p>
        </w:tc>
        <w:tc>
          <w:tcPr>
            <w:tcW w:w="1092" w:type="dxa"/>
            <w:vAlign w:val="center"/>
          </w:tcPr>
          <w:p w:rsidR="00223E76" w:rsidRDefault="00223E76" w:rsidP="00165632">
            <w:pPr>
              <w:jc w:val="center"/>
              <w:rPr>
                <w:rFonts w:eastAsia="仿宋"/>
                <w:color w:val="000000"/>
                <w:kern w:val="0"/>
                <w:sz w:val="20"/>
                <w:szCs w:val="20"/>
              </w:rPr>
            </w:pPr>
            <w:r>
              <w:rPr>
                <w:rFonts w:eastAsia="仿宋" w:hint="eastAsia"/>
                <w:color w:val="000000"/>
                <w:kern w:val="0"/>
                <w:sz w:val="20"/>
                <w:szCs w:val="20"/>
              </w:rPr>
              <w:t>L041</w:t>
            </w:r>
          </w:p>
        </w:tc>
        <w:tc>
          <w:tcPr>
            <w:tcW w:w="3168" w:type="dxa"/>
            <w:vAlign w:val="center"/>
          </w:tcPr>
          <w:p w:rsidR="00223E76" w:rsidRDefault="00223E76" w:rsidP="00165632">
            <w:pPr>
              <w:jc w:val="left"/>
              <w:rPr>
                <w:color w:val="000000"/>
                <w:sz w:val="20"/>
                <w:szCs w:val="20"/>
              </w:rPr>
            </w:pPr>
            <w:r w:rsidRPr="002C785E">
              <w:rPr>
                <w:rFonts w:hint="eastAsia"/>
                <w:color w:val="000000"/>
                <w:sz w:val="20"/>
                <w:szCs w:val="20"/>
              </w:rPr>
              <w:t>具有自主学习的基本能力</w:t>
            </w:r>
            <w:r>
              <w:rPr>
                <w:rFonts w:hint="eastAsia"/>
                <w:color w:val="000000"/>
                <w:sz w:val="20"/>
                <w:szCs w:val="20"/>
              </w:rPr>
              <w:t>。</w:t>
            </w:r>
          </w:p>
        </w:tc>
        <w:tc>
          <w:tcPr>
            <w:tcW w:w="1812" w:type="dxa"/>
          </w:tcPr>
          <w:p w:rsidR="00223E76" w:rsidRDefault="00223E76" w:rsidP="00165632">
            <w:pPr>
              <w:snapToGrid w:val="0"/>
              <w:spacing w:line="288" w:lineRule="auto"/>
              <w:jc w:val="left"/>
              <w:rPr>
                <w:color w:val="000000"/>
                <w:sz w:val="20"/>
                <w:szCs w:val="20"/>
              </w:rPr>
            </w:pPr>
            <w:r w:rsidRPr="00A84A28">
              <w:rPr>
                <w:rFonts w:hint="eastAsia"/>
                <w:color w:val="000000"/>
                <w:sz w:val="20"/>
                <w:szCs w:val="20"/>
              </w:rPr>
              <w:t>教师理论讲授；教师案例分析；学生实践、教师辅导</w:t>
            </w:r>
          </w:p>
        </w:tc>
        <w:tc>
          <w:tcPr>
            <w:tcW w:w="1026" w:type="dxa"/>
            <w:vAlign w:val="center"/>
          </w:tcPr>
          <w:p w:rsidR="00223E76" w:rsidRDefault="00223E76" w:rsidP="00165632">
            <w:pPr>
              <w:snapToGrid w:val="0"/>
              <w:spacing w:line="288" w:lineRule="auto"/>
              <w:jc w:val="center"/>
              <w:rPr>
                <w:color w:val="000000"/>
                <w:sz w:val="20"/>
                <w:szCs w:val="20"/>
              </w:rPr>
            </w:pPr>
            <w:r>
              <w:rPr>
                <w:color w:val="000000"/>
                <w:sz w:val="20"/>
                <w:szCs w:val="20"/>
              </w:rPr>
              <w:t>纸笔测试</w:t>
            </w:r>
            <w:r>
              <w:rPr>
                <w:sz w:val="20"/>
                <w:szCs w:val="20"/>
              </w:rPr>
              <w:t>实验报告</w:t>
            </w:r>
          </w:p>
        </w:tc>
      </w:tr>
      <w:tr w:rsidR="00223E76" w:rsidTr="00165632">
        <w:trPr>
          <w:cantSplit/>
          <w:trHeight w:val="302"/>
        </w:trPr>
        <w:tc>
          <w:tcPr>
            <w:tcW w:w="557"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4</w:t>
            </w:r>
          </w:p>
        </w:tc>
        <w:tc>
          <w:tcPr>
            <w:tcW w:w="1092" w:type="dxa"/>
            <w:vAlign w:val="center"/>
          </w:tcPr>
          <w:p w:rsidR="00223E76" w:rsidRDefault="00223E76" w:rsidP="00165632">
            <w:pPr>
              <w:jc w:val="center"/>
              <w:rPr>
                <w:rFonts w:eastAsia="仿宋"/>
                <w:color w:val="000000"/>
                <w:kern w:val="0"/>
                <w:sz w:val="20"/>
                <w:szCs w:val="20"/>
              </w:rPr>
            </w:pPr>
            <w:r>
              <w:rPr>
                <w:rFonts w:eastAsia="仿宋"/>
                <w:color w:val="000000"/>
                <w:kern w:val="0"/>
                <w:sz w:val="20"/>
                <w:szCs w:val="20"/>
              </w:rPr>
              <w:t>LO</w:t>
            </w:r>
            <w:r>
              <w:rPr>
                <w:rFonts w:eastAsia="仿宋" w:hint="eastAsia"/>
                <w:color w:val="000000"/>
                <w:kern w:val="0"/>
                <w:sz w:val="20"/>
                <w:szCs w:val="20"/>
              </w:rPr>
              <w:t>42</w:t>
            </w:r>
          </w:p>
        </w:tc>
        <w:tc>
          <w:tcPr>
            <w:tcW w:w="3168" w:type="dxa"/>
            <w:vAlign w:val="center"/>
          </w:tcPr>
          <w:p w:rsidR="00223E76" w:rsidRPr="006E615E" w:rsidRDefault="00223E76" w:rsidP="00165632">
            <w:pPr>
              <w:pStyle w:val="a8"/>
              <w:spacing w:line="240" w:lineRule="auto"/>
              <w:ind w:firstLine="0"/>
              <w:jc w:val="left"/>
              <w:rPr>
                <w:color w:val="000000"/>
                <w:sz w:val="20"/>
              </w:rPr>
            </w:pPr>
            <w:r w:rsidRPr="006E615E">
              <w:rPr>
                <w:color w:val="000000"/>
                <w:kern w:val="0"/>
                <w:sz w:val="20"/>
              </w:rPr>
              <w:t>能够使用适合的工具来搜集信息，并对信息加以分析、鉴别、判断与整合。</w:t>
            </w:r>
          </w:p>
        </w:tc>
        <w:tc>
          <w:tcPr>
            <w:tcW w:w="1812" w:type="dxa"/>
          </w:tcPr>
          <w:p w:rsidR="00223E76" w:rsidRDefault="00223E76" w:rsidP="00165632">
            <w:pPr>
              <w:snapToGrid w:val="0"/>
              <w:spacing w:line="288" w:lineRule="auto"/>
              <w:jc w:val="left"/>
              <w:rPr>
                <w:color w:val="000000"/>
                <w:sz w:val="20"/>
                <w:szCs w:val="20"/>
              </w:rPr>
            </w:pPr>
            <w:r>
              <w:rPr>
                <w:color w:val="000000"/>
                <w:sz w:val="20"/>
                <w:szCs w:val="20"/>
              </w:rPr>
              <w:t>教师理论讲授；教师案例分析，学生实践、教师辅导</w:t>
            </w:r>
          </w:p>
        </w:tc>
        <w:tc>
          <w:tcPr>
            <w:tcW w:w="1026" w:type="dxa"/>
            <w:vAlign w:val="center"/>
          </w:tcPr>
          <w:p w:rsidR="00223E76" w:rsidRDefault="00223E76" w:rsidP="00165632">
            <w:pPr>
              <w:snapToGrid w:val="0"/>
              <w:spacing w:line="288" w:lineRule="auto"/>
              <w:jc w:val="center"/>
              <w:rPr>
                <w:color w:val="000000"/>
                <w:sz w:val="20"/>
                <w:szCs w:val="20"/>
              </w:rPr>
            </w:pPr>
            <w:r>
              <w:rPr>
                <w:color w:val="000000"/>
                <w:sz w:val="20"/>
                <w:szCs w:val="20"/>
              </w:rPr>
              <w:t>纸笔测试</w:t>
            </w:r>
          </w:p>
          <w:p w:rsidR="00223E76" w:rsidRDefault="00223E76" w:rsidP="00165632">
            <w:pPr>
              <w:snapToGrid w:val="0"/>
              <w:spacing w:line="288" w:lineRule="auto"/>
              <w:jc w:val="center"/>
              <w:rPr>
                <w:sz w:val="20"/>
                <w:szCs w:val="20"/>
              </w:rPr>
            </w:pPr>
            <w:r>
              <w:rPr>
                <w:sz w:val="20"/>
                <w:szCs w:val="20"/>
              </w:rPr>
              <w:t>实验报告</w:t>
            </w:r>
          </w:p>
        </w:tc>
      </w:tr>
    </w:tbl>
    <w:p w:rsidR="00BC3DD8" w:rsidRDefault="00BC3DD8" w:rsidP="002F0366">
      <w:pPr>
        <w:widowControl/>
        <w:spacing w:beforeLines="50" w:afterLines="50" w:line="288" w:lineRule="auto"/>
        <w:ind w:firstLineChars="150" w:firstLine="360"/>
        <w:jc w:val="left"/>
        <w:rPr>
          <w:rFonts w:ascii="黑体" w:eastAsia="黑体" w:hAnsi="宋体"/>
          <w:sz w:val="24"/>
        </w:rPr>
      </w:pPr>
    </w:p>
    <w:p w:rsidR="00BC3DD8" w:rsidRDefault="00223E76" w:rsidP="002F036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5"/>
        <w:tblW w:w="8522" w:type="dxa"/>
        <w:jc w:val="center"/>
        <w:tblLayout w:type="fixed"/>
        <w:tblLook w:val="04A0"/>
      </w:tblPr>
      <w:tblGrid>
        <w:gridCol w:w="421"/>
        <w:gridCol w:w="425"/>
        <w:gridCol w:w="2126"/>
        <w:gridCol w:w="2268"/>
        <w:gridCol w:w="1753"/>
        <w:gridCol w:w="515"/>
        <w:gridCol w:w="515"/>
        <w:gridCol w:w="499"/>
      </w:tblGrid>
      <w:tr w:rsidR="00BC3DD8">
        <w:trPr>
          <w:jc w:val="center"/>
        </w:trPr>
        <w:tc>
          <w:tcPr>
            <w:tcW w:w="421" w:type="dxa"/>
            <w:vAlign w:val="center"/>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25" w:type="dxa"/>
            <w:vAlign w:val="center"/>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单元名称</w:t>
            </w:r>
          </w:p>
        </w:tc>
        <w:tc>
          <w:tcPr>
            <w:tcW w:w="2126" w:type="dxa"/>
            <w:vAlign w:val="center"/>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知识点</w:t>
            </w:r>
          </w:p>
        </w:tc>
        <w:tc>
          <w:tcPr>
            <w:tcW w:w="2268" w:type="dxa"/>
            <w:vAlign w:val="center"/>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能力目标</w:t>
            </w:r>
          </w:p>
        </w:tc>
        <w:tc>
          <w:tcPr>
            <w:tcW w:w="1753" w:type="dxa"/>
            <w:vAlign w:val="center"/>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教学重点</w:t>
            </w:r>
          </w:p>
        </w:tc>
        <w:tc>
          <w:tcPr>
            <w:tcW w:w="515" w:type="dxa"/>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理论课时</w:t>
            </w:r>
          </w:p>
        </w:tc>
        <w:tc>
          <w:tcPr>
            <w:tcW w:w="515" w:type="dxa"/>
          </w:tcPr>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实践课时</w:t>
            </w:r>
          </w:p>
        </w:tc>
        <w:tc>
          <w:tcPr>
            <w:tcW w:w="499" w:type="dxa"/>
          </w:tcPr>
          <w:p w:rsidR="00BC3DD8" w:rsidRDefault="00BC3DD8">
            <w:pPr>
              <w:snapToGrid w:val="0"/>
              <w:spacing w:line="288" w:lineRule="auto"/>
              <w:jc w:val="center"/>
              <w:rPr>
                <w:rFonts w:ascii="宋体" w:hAnsi="宋体" w:cs="宋体"/>
                <w:b/>
                <w:bCs/>
                <w:szCs w:val="21"/>
              </w:rPr>
            </w:pPr>
          </w:p>
          <w:p w:rsidR="00BC3DD8" w:rsidRDefault="00223E76">
            <w:pPr>
              <w:snapToGrid w:val="0"/>
              <w:spacing w:line="288" w:lineRule="auto"/>
              <w:jc w:val="center"/>
              <w:rPr>
                <w:rFonts w:ascii="宋体" w:hAnsi="宋体" w:cs="宋体"/>
                <w:b/>
                <w:bCs/>
                <w:szCs w:val="21"/>
              </w:rPr>
            </w:pPr>
            <w:r>
              <w:rPr>
                <w:rFonts w:ascii="宋体" w:hAnsi="宋体" w:cs="宋体" w:hint="eastAsia"/>
                <w:b/>
                <w:bCs/>
                <w:szCs w:val="21"/>
              </w:rPr>
              <w:t>总课时</w:t>
            </w:r>
          </w:p>
        </w:tc>
      </w:tr>
      <w:tr w:rsidR="00BC3DD8">
        <w:trPr>
          <w:trHeight w:val="90"/>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p>
        </w:tc>
        <w:tc>
          <w:tcPr>
            <w:tcW w:w="425" w:type="dxa"/>
          </w:tcPr>
          <w:p w:rsidR="00BC3DD8" w:rsidRDefault="00223E76" w:rsidP="002F0366">
            <w:pPr>
              <w:widowControl/>
              <w:spacing w:beforeLines="50" w:afterLines="50"/>
              <w:rPr>
                <w:rFonts w:ascii="宋体" w:hAnsi="宋体" w:cs="宋体"/>
                <w:sz w:val="18"/>
                <w:szCs w:val="18"/>
              </w:rPr>
            </w:pPr>
            <w:r>
              <w:rPr>
                <w:rFonts w:ascii="宋体" w:hAnsi="宋体" w:cs="宋体" w:hint="eastAsia"/>
                <w:sz w:val="18"/>
                <w:szCs w:val="18"/>
              </w:rPr>
              <w:t>绪论</w:t>
            </w:r>
          </w:p>
          <w:p w:rsidR="00BC3DD8" w:rsidRDefault="00BC3DD8">
            <w:pPr>
              <w:snapToGrid w:val="0"/>
              <w:spacing w:line="288" w:lineRule="auto"/>
              <w:rPr>
                <w:rFonts w:ascii="宋体" w:hAnsi="宋体" w:cs="宋体"/>
                <w:sz w:val="18"/>
                <w:szCs w:val="18"/>
              </w:rPr>
            </w:pPr>
          </w:p>
        </w:tc>
        <w:tc>
          <w:tcPr>
            <w:tcW w:w="2126" w:type="dxa"/>
          </w:tcPr>
          <w:p w:rsidR="00BC3DD8" w:rsidRDefault="00223E7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知道生理学的任务与研究对象。</w:t>
            </w:r>
          </w:p>
          <w:p w:rsidR="00BC3DD8" w:rsidRDefault="00223E7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知道兴奋性、刺激、阈值、反应、兴奋和抑制的概念。</w:t>
            </w:r>
          </w:p>
          <w:p w:rsidR="00BC3DD8" w:rsidRDefault="00223E76">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知道内环境和稳态的概念及生理意义。</w:t>
            </w:r>
          </w:p>
          <w:p w:rsidR="00BC3DD8" w:rsidRDefault="00223E76">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理解神经调节、体液调节、自身调节的特点与生理功能。</w:t>
            </w:r>
          </w:p>
          <w:p w:rsidR="00BC3DD8" w:rsidRDefault="00223E76">
            <w:pPr>
              <w:numPr>
                <w:ilvl w:val="0"/>
                <w:numId w:val="1"/>
              </w:numPr>
              <w:snapToGrid w:val="0"/>
              <w:spacing w:line="288" w:lineRule="auto"/>
              <w:rPr>
                <w:rFonts w:ascii="宋体" w:hAnsi="宋体" w:cs="宋体"/>
                <w:sz w:val="18"/>
                <w:szCs w:val="18"/>
              </w:rPr>
            </w:pPr>
            <w:r>
              <w:rPr>
                <w:rFonts w:ascii="宋体" w:hAnsi="宋体" w:cs="宋体" w:hint="eastAsia"/>
                <w:sz w:val="18"/>
                <w:szCs w:val="18"/>
              </w:rPr>
              <w:lastRenderedPageBreak/>
              <w:t>理解负反馈、正反馈的机制，知道前馈控制的特点。</w:t>
            </w:r>
          </w:p>
        </w:tc>
        <w:tc>
          <w:tcPr>
            <w:tcW w:w="2268" w:type="dxa"/>
          </w:tcPr>
          <w:p w:rsidR="00BC3DD8" w:rsidRDefault="00223E76">
            <w:pPr>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．能正确概述什么是生理学。</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．能简述生命的基本特征。</w:t>
            </w:r>
          </w:p>
          <w:p w:rsidR="00BC3DD8" w:rsidRDefault="00223E76">
            <w:pPr>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能用辩证唯物主义的观点，解释生命活动的规律。</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兴奋性的概念。</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内环境与稳态</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神经调节、体液调节的特点。</w:t>
            </w:r>
          </w:p>
          <w:p w:rsidR="00BC3DD8" w:rsidRDefault="00223E76">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负反馈的机制</w:t>
            </w:r>
          </w:p>
          <w:p w:rsidR="00BC3DD8" w:rsidRDefault="00BC3DD8">
            <w:pPr>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2</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2</w:t>
            </w:r>
          </w:p>
        </w:tc>
        <w:tc>
          <w:tcPr>
            <w:tcW w:w="425" w:type="dxa"/>
          </w:tcPr>
          <w:p w:rsidR="00BC3DD8" w:rsidRDefault="00223E76" w:rsidP="002F0366">
            <w:pPr>
              <w:widowControl/>
              <w:spacing w:beforeLines="50" w:afterLines="50"/>
              <w:rPr>
                <w:rFonts w:ascii="宋体" w:hAnsi="宋体" w:cs="宋体"/>
                <w:sz w:val="18"/>
                <w:szCs w:val="18"/>
              </w:rPr>
            </w:pPr>
            <w:r>
              <w:rPr>
                <w:rFonts w:ascii="宋体" w:hAnsi="宋体" w:cs="宋体" w:hint="eastAsia"/>
                <w:sz w:val="18"/>
                <w:szCs w:val="18"/>
              </w:rPr>
              <w:t>细胞的基本功能</w:t>
            </w:r>
          </w:p>
          <w:p w:rsidR="00BC3DD8" w:rsidRDefault="00BC3DD8" w:rsidP="002F0366">
            <w:pPr>
              <w:widowControl/>
              <w:spacing w:beforeLines="50" w:afterLines="50"/>
              <w:rPr>
                <w:rFonts w:ascii="宋体" w:hAnsi="宋体" w:cs="宋体"/>
                <w:sz w:val="18"/>
                <w:szCs w:val="18"/>
              </w:rPr>
            </w:pPr>
          </w:p>
        </w:tc>
        <w:tc>
          <w:tcPr>
            <w:tcW w:w="2126"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．知道细胞膜的几种物质转运方式：单纯扩散、易化扩散、主动转运、出胞入胞，钠泵的生理意义。</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知道细胞跨膜信号转导、第二信使学说。</w:t>
            </w:r>
          </w:p>
          <w:p w:rsidR="00BC3DD8" w:rsidRDefault="00223E7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知道静息电位、动作电位、局部电位的形成机制与生理意义。</w:t>
            </w:r>
          </w:p>
          <w:p w:rsidR="00BC3DD8" w:rsidRDefault="00223E76">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知道骨骼肌神经</w:t>
            </w:r>
            <w:r>
              <w:rPr>
                <w:rFonts w:ascii="宋体" w:hAnsi="宋体" w:cs="宋体" w:hint="eastAsia"/>
                <w:sz w:val="18"/>
                <w:szCs w:val="18"/>
              </w:rPr>
              <w:t>-</w:t>
            </w:r>
            <w:r>
              <w:rPr>
                <w:rFonts w:ascii="宋体" w:hAnsi="宋体" w:cs="宋体" w:hint="eastAsia"/>
                <w:sz w:val="18"/>
                <w:szCs w:val="18"/>
              </w:rPr>
              <w:t>肌接头兴奋传递的过程，肌细胞兴奋</w:t>
            </w:r>
            <w:r>
              <w:rPr>
                <w:rFonts w:ascii="宋体" w:hAnsi="宋体" w:cs="宋体" w:hint="eastAsia"/>
                <w:sz w:val="18"/>
                <w:szCs w:val="18"/>
              </w:rPr>
              <w:t>-</w:t>
            </w:r>
            <w:r>
              <w:rPr>
                <w:rFonts w:ascii="宋体" w:hAnsi="宋体" w:cs="宋体" w:hint="eastAsia"/>
                <w:sz w:val="18"/>
                <w:szCs w:val="18"/>
              </w:rPr>
              <w:t>收缩耦联的机制、肌丝滑行理论。</w:t>
            </w:r>
          </w:p>
        </w:tc>
        <w:tc>
          <w:tcPr>
            <w:tcW w:w="2268" w:type="dxa"/>
          </w:tcPr>
          <w:p w:rsidR="00BC3DD8" w:rsidRDefault="00223E76">
            <w:pPr>
              <w:rPr>
                <w:rFonts w:ascii="宋体" w:hAnsi="宋体" w:cs="宋体"/>
                <w:sz w:val="18"/>
                <w:szCs w:val="18"/>
              </w:rPr>
            </w:pPr>
            <w:r>
              <w:rPr>
                <w:rFonts w:ascii="宋体" w:hAnsi="宋体" w:cs="Arial" w:hint="eastAsia"/>
                <w:kern w:val="0"/>
                <w:szCs w:val="21"/>
              </w:rPr>
              <w:t>1</w:t>
            </w:r>
            <w:r>
              <w:rPr>
                <w:rFonts w:ascii="宋体" w:hAnsi="宋体" w:cs="宋体" w:hint="eastAsia"/>
                <w:sz w:val="18"/>
                <w:szCs w:val="18"/>
              </w:rPr>
              <w:t>．能说出细胞的几种基本功能。</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．能说出影响骨骼肌收缩的因素。</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能运用静息电位和动作电位等知识解释生物电与生命活动的关系</w:t>
            </w:r>
            <w:r>
              <w:rPr>
                <w:rFonts w:ascii="宋体" w:hAnsi="宋体" w:cs="宋体" w:hint="eastAsia"/>
                <w:sz w:val="18"/>
                <w:szCs w:val="18"/>
              </w:rPr>
              <w:t>.</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钠泵的生理意义</w:t>
            </w:r>
          </w:p>
          <w:p w:rsidR="00BC3DD8" w:rsidRDefault="00223E76">
            <w:pPr>
              <w:snapToGrid w:val="0"/>
              <w:spacing w:line="288"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静息电位和动作电位的产生机制</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骨骼肌神经</w:t>
            </w:r>
            <w:r>
              <w:rPr>
                <w:rFonts w:ascii="宋体" w:hAnsi="宋体" w:cs="宋体" w:hint="eastAsia"/>
                <w:sz w:val="18"/>
                <w:szCs w:val="18"/>
              </w:rPr>
              <w:t>-</w:t>
            </w:r>
            <w:r>
              <w:rPr>
                <w:rFonts w:ascii="宋体" w:hAnsi="宋体" w:cs="宋体" w:hint="eastAsia"/>
                <w:sz w:val="18"/>
                <w:szCs w:val="18"/>
              </w:rPr>
              <w:t>肌接头兴奋的传递</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骨骼肌的兴奋</w:t>
            </w:r>
            <w:r>
              <w:rPr>
                <w:rFonts w:ascii="宋体" w:hAnsi="宋体" w:cs="宋体" w:hint="eastAsia"/>
                <w:sz w:val="18"/>
                <w:szCs w:val="18"/>
              </w:rPr>
              <w:t>-</w:t>
            </w:r>
            <w:r>
              <w:rPr>
                <w:rFonts w:ascii="宋体" w:hAnsi="宋体" w:cs="宋体" w:hint="eastAsia"/>
                <w:sz w:val="18"/>
                <w:szCs w:val="18"/>
              </w:rPr>
              <w:t>收缩耦联</w:t>
            </w:r>
          </w:p>
          <w:p w:rsidR="00BC3DD8" w:rsidRDefault="00BC3DD8">
            <w:pPr>
              <w:snapToGrid w:val="0"/>
              <w:spacing w:line="288" w:lineRule="auto"/>
              <w:rPr>
                <w:rFonts w:ascii="宋体" w:hAnsi="宋体" w:cs="宋体"/>
                <w:kern w:val="0"/>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4</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BC3DD8">
        <w:trPr>
          <w:trHeight w:val="1763"/>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p>
        </w:tc>
        <w:tc>
          <w:tcPr>
            <w:tcW w:w="425" w:type="dxa"/>
          </w:tcPr>
          <w:p w:rsidR="00BC3DD8" w:rsidRDefault="00223E76" w:rsidP="002F0366">
            <w:pPr>
              <w:widowControl/>
              <w:spacing w:beforeLines="50" w:afterLines="50"/>
              <w:rPr>
                <w:rFonts w:ascii="宋体" w:hAnsi="宋体" w:cs="宋体"/>
                <w:sz w:val="18"/>
                <w:szCs w:val="18"/>
              </w:rPr>
            </w:pPr>
            <w:r>
              <w:rPr>
                <w:rFonts w:ascii="宋体" w:hAnsi="宋体" w:cs="宋体" w:hint="eastAsia"/>
                <w:sz w:val="18"/>
                <w:szCs w:val="18"/>
              </w:rPr>
              <w:t>血液</w:t>
            </w:r>
          </w:p>
          <w:p w:rsidR="00BC3DD8" w:rsidRDefault="00BC3DD8">
            <w:pPr>
              <w:snapToGrid w:val="0"/>
              <w:spacing w:line="288" w:lineRule="auto"/>
              <w:rPr>
                <w:rFonts w:ascii="宋体" w:hAnsi="宋体" w:cs="宋体"/>
                <w:sz w:val="18"/>
                <w:szCs w:val="18"/>
              </w:rPr>
            </w:pPr>
          </w:p>
        </w:tc>
        <w:tc>
          <w:tcPr>
            <w:tcW w:w="2126"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知道血液的组成、理化特性、生理功能。</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知道血细胞的生成与凋亡机制，红细胞、白细胞、血小板生理。</w:t>
            </w:r>
          </w:p>
          <w:p w:rsidR="00BC3DD8" w:rsidRDefault="00223E7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知道生理性止血的过程，血液的凝固与调控机制；血栓的溶解。</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知道抗原抗体基本知识、红细胞的</w:t>
            </w:r>
            <w:r>
              <w:rPr>
                <w:rFonts w:ascii="宋体" w:hAnsi="宋体" w:cs="宋体" w:hint="eastAsia"/>
                <w:sz w:val="18"/>
                <w:szCs w:val="18"/>
              </w:rPr>
              <w:t>ABO</w:t>
            </w:r>
            <w:r>
              <w:rPr>
                <w:rFonts w:ascii="宋体" w:hAnsi="宋体" w:cs="宋体" w:hint="eastAsia"/>
                <w:sz w:val="18"/>
                <w:szCs w:val="18"/>
              </w:rPr>
              <w:t>、</w:t>
            </w:r>
            <w:r>
              <w:rPr>
                <w:rFonts w:ascii="宋体" w:hAnsi="宋体" w:cs="宋体" w:hint="eastAsia"/>
                <w:sz w:val="18"/>
                <w:szCs w:val="18"/>
              </w:rPr>
              <w:t>Rh</w:t>
            </w:r>
            <w:r>
              <w:rPr>
                <w:rFonts w:ascii="宋体" w:hAnsi="宋体" w:cs="宋体" w:hint="eastAsia"/>
                <w:sz w:val="18"/>
                <w:szCs w:val="18"/>
              </w:rPr>
              <w:t>血型系统，理解输血的基本原则。</w:t>
            </w:r>
          </w:p>
        </w:tc>
        <w:tc>
          <w:tcPr>
            <w:tcW w:w="2268"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能简述镰刀形红细胞贫血、缺铁性贫血、巨幼红细胞性贫血的发病机制。</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能正确说出什么是交叉配血试验，牢记输血原则。</w:t>
            </w:r>
          </w:p>
          <w:p w:rsidR="00BC3DD8" w:rsidRDefault="00223E76">
            <w:pPr>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能通过自主学习及查阅资料，归纳总结血液相关的疾病，以及输血时所需要注意的护理要点。</w:t>
            </w:r>
          </w:p>
        </w:tc>
        <w:tc>
          <w:tcPr>
            <w:tcW w:w="1753" w:type="dxa"/>
          </w:tcPr>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血浆渗透压的生理意义。</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红细胞的生理特性</w:t>
            </w:r>
          </w:p>
          <w:p w:rsidR="00BC3DD8" w:rsidRDefault="00223E7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血液凝固的步骤</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输血原则</w:t>
            </w:r>
          </w:p>
          <w:p w:rsidR="00BC3DD8" w:rsidRDefault="00BC3DD8">
            <w:pPr>
              <w:tabs>
                <w:tab w:val="left" w:pos="312"/>
              </w:tabs>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p>
        </w:tc>
        <w:tc>
          <w:tcPr>
            <w:tcW w:w="425" w:type="dxa"/>
          </w:tcPr>
          <w:p w:rsidR="00BC3DD8" w:rsidRDefault="00223E76" w:rsidP="002F0366">
            <w:pPr>
              <w:widowControl/>
              <w:spacing w:beforeLines="50" w:afterLines="50"/>
              <w:rPr>
                <w:rFonts w:ascii="宋体" w:hAnsi="宋体" w:cs="宋体"/>
                <w:sz w:val="18"/>
                <w:szCs w:val="18"/>
              </w:rPr>
            </w:pPr>
            <w:r>
              <w:rPr>
                <w:rFonts w:ascii="宋体" w:hAnsi="宋体" w:cs="宋体" w:hint="eastAsia"/>
                <w:sz w:val="18"/>
                <w:szCs w:val="18"/>
              </w:rPr>
              <w:t>血液循环</w:t>
            </w:r>
          </w:p>
          <w:p w:rsidR="00BC3DD8" w:rsidRDefault="00BC3DD8">
            <w:pPr>
              <w:snapToGrid w:val="0"/>
              <w:spacing w:line="288" w:lineRule="auto"/>
              <w:rPr>
                <w:rFonts w:ascii="宋体" w:hAnsi="宋体" w:cs="宋体"/>
                <w:sz w:val="18"/>
                <w:szCs w:val="18"/>
              </w:rPr>
            </w:pPr>
          </w:p>
        </w:tc>
        <w:tc>
          <w:tcPr>
            <w:tcW w:w="2126"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知道心肌细胞跨膜电位的形成、心肌的生理特性；心电图的波形与生理意义。</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知道心动周期、心音的概念，心脏的泵血过程、影响心输出量的因素。</w:t>
            </w:r>
          </w:p>
          <w:p w:rsidR="00BC3DD8" w:rsidRDefault="00223E7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知道血管的功能特点，动脉血压的形成与影响因素；静脉血压与静脉回心血量的临床意义与影响因素；微循环的概念；组织液的生成及其影响因素。</w:t>
            </w:r>
          </w:p>
          <w:p w:rsidR="00BC3DD8" w:rsidRDefault="00223E76">
            <w:pPr>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知道心血管活动的调节机制。</w:t>
            </w:r>
          </w:p>
          <w:p w:rsidR="00BC3DD8" w:rsidRDefault="00223E76">
            <w:pPr>
              <w:rPr>
                <w:rFonts w:ascii="宋体" w:hAnsi="宋体" w:cs="宋体"/>
                <w:sz w:val="18"/>
                <w:szCs w:val="18"/>
              </w:rPr>
            </w:pPr>
            <w:r>
              <w:rPr>
                <w:rFonts w:ascii="宋体" w:hAnsi="宋体" w:cs="宋体" w:hint="eastAsia"/>
                <w:sz w:val="18"/>
                <w:szCs w:val="18"/>
              </w:rPr>
              <w:lastRenderedPageBreak/>
              <w:t>5.</w:t>
            </w:r>
            <w:r>
              <w:rPr>
                <w:rFonts w:ascii="宋体" w:hAnsi="宋体" w:cs="宋体" w:hint="eastAsia"/>
                <w:sz w:val="18"/>
                <w:szCs w:val="18"/>
              </w:rPr>
              <w:t>知道冠脉循环、肺循环、脑循环的概念。</w:t>
            </w:r>
          </w:p>
        </w:tc>
        <w:tc>
          <w:tcPr>
            <w:tcW w:w="2268" w:type="dxa"/>
          </w:tcPr>
          <w:p w:rsidR="00BC3DD8" w:rsidRDefault="00223E76">
            <w:pPr>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．能应用心脏的生物电活动相关知识解释不同类型心律失常的发病机制和治疗原理，并能思考心律失常的护理评估重点及护理措施。</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．能运用心脏泵血功能相关</w:t>
            </w:r>
            <w:r>
              <w:rPr>
                <w:rFonts w:ascii="宋体" w:hAnsi="宋体" w:cs="宋体" w:hint="eastAsia"/>
                <w:sz w:val="18"/>
                <w:szCs w:val="18"/>
              </w:rPr>
              <w:t>知识解释心力衰竭的发病机制和临床表现，并能思考疾病的健康指导和护理措施。</w:t>
            </w:r>
          </w:p>
          <w:p w:rsidR="00BC3DD8" w:rsidRDefault="00223E76">
            <w:pP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．能运用动脉血压的影响因素解释高血压病人日常生活的注意事项和健康指导。</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．能运用静脉回流、组织</w:t>
            </w:r>
            <w:r>
              <w:rPr>
                <w:rFonts w:ascii="宋体" w:hAnsi="宋体" w:cs="宋体" w:hint="eastAsia"/>
                <w:sz w:val="18"/>
                <w:szCs w:val="18"/>
              </w:rPr>
              <w:lastRenderedPageBreak/>
              <w:t>液生成和淋巴回流的影响因素解释水肿的发病机制。</w:t>
            </w:r>
          </w:p>
        </w:tc>
        <w:tc>
          <w:tcPr>
            <w:tcW w:w="1753" w:type="dxa"/>
          </w:tcPr>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sz w:val="18"/>
                <w:szCs w:val="18"/>
              </w:rPr>
              <w:t>.</w:t>
            </w:r>
            <w:r>
              <w:rPr>
                <w:rFonts w:ascii="宋体" w:hAnsi="宋体" w:cs="宋体" w:hint="eastAsia"/>
                <w:sz w:val="18"/>
                <w:szCs w:val="18"/>
              </w:rPr>
              <w:t>心肌细胞的动作电位、心肌的生理特性</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影响心输出量的因素</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动脉血压的影响因素</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影响静脉回心血量的因素。</w:t>
            </w:r>
          </w:p>
          <w:p w:rsidR="00BC3DD8" w:rsidRDefault="00BC3DD8">
            <w:pPr>
              <w:tabs>
                <w:tab w:val="left" w:pos="312"/>
              </w:tabs>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7</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5</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呼吸</w:t>
            </w:r>
          </w:p>
        </w:tc>
        <w:tc>
          <w:tcPr>
            <w:tcW w:w="2126" w:type="dxa"/>
          </w:tcPr>
          <w:p w:rsidR="00BC3DD8" w:rsidRDefault="00223E7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知道呼吸道、肺泡、胸廓的结构和功能特点。</w:t>
            </w:r>
          </w:p>
          <w:p w:rsidR="00BC3DD8" w:rsidRDefault="00223E7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知道肺通气的动力、胸膜腔负压的生理意义，肺通气的阻力、肺泡表面活性物质的作用与意义。</w:t>
            </w:r>
          </w:p>
          <w:p w:rsidR="00BC3DD8" w:rsidRDefault="00223E7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知道气体交换的原理；肺换气的过程及影响因素；肺通气／血流比值；组织换气的过程。</w:t>
            </w:r>
          </w:p>
          <w:p w:rsidR="00BC3DD8" w:rsidRDefault="00223E7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知道氧气、二氧化碳在血液中的运输；</w:t>
            </w:r>
            <w:r>
              <w:rPr>
                <w:rFonts w:ascii="宋体" w:hAnsi="宋体" w:cs="宋体" w:hint="eastAsia"/>
                <w:sz w:val="18"/>
                <w:szCs w:val="18"/>
              </w:rPr>
              <w:t xml:space="preserve"> O</w:t>
            </w:r>
            <w:r>
              <w:rPr>
                <w:rFonts w:ascii="宋体" w:hAnsi="宋体" w:cs="宋体" w:hint="eastAsia"/>
                <w:sz w:val="18"/>
                <w:szCs w:val="18"/>
                <w:vertAlign w:val="subscript"/>
              </w:rPr>
              <w:t>2</w:t>
            </w:r>
            <w:r>
              <w:rPr>
                <w:rFonts w:ascii="宋体" w:hAnsi="宋体" w:cs="宋体" w:hint="eastAsia"/>
                <w:sz w:val="18"/>
                <w:szCs w:val="18"/>
              </w:rPr>
              <w:t>解离曲线与</w:t>
            </w:r>
            <w:r>
              <w:rPr>
                <w:rFonts w:ascii="宋体" w:hAnsi="宋体" w:cs="宋体" w:hint="eastAsia"/>
                <w:sz w:val="18"/>
                <w:szCs w:val="18"/>
              </w:rPr>
              <w:t>CO</w:t>
            </w:r>
            <w:r>
              <w:rPr>
                <w:rFonts w:ascii="宋体" w:hAnsi="宋体" w:cs="宋体" w:hint="eastAsia"/>
                <w:sz w:val="18"/>
                <w:szCs w:val="18"/>
                <w:vertAlign w:val="subscript"/>
              </w:rPr>
              <w:t>2</w:t>
            </w:r>
            <w:r>
              <w:rPr>
                <w:rFonts w:ascii="宋体" w:hAnsi="宋体" w:cs="宋体" w:hint="eastAsia"/>
                <w:sz w:val="18"/>
                <w:szCs w:val="18"/>
              </w:rPr>
              <w:t>解离曲线。</w:t>
            </w:r>
          </w:p>
          <w:p w:rsidR="00BC3DD8" w:rsidRDefault="00223E76">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知道呼吸中枢与呼吸节律的形成；呼吸的反射性调节；周期性呼吸的概念。</w:t>
            </w:r>
          </w:p>
        </w:tc>
        <w:tc>
          <w:tcPr>
            <w:tcW w:w="2268"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能说出呼吸的概念及基本过程。</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能运用所学知识说出急性低氧环境对呼吸及机体的影响，机体如何适应低氧环境，高压环境对机体的影响。</w:t>
            </w:r>
          </w:p>
          <w:p w:rsidR="00BC3DD8" w:rsidRDefault="00223E76">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hint="eastAsia"/>
                <w:sz w:val="18"/>
                <w:szCs w:val="18"/>
              </w:rPr>
              <w:t>能用所学知识解释血液中</w:t>
            </w:r>
            <w:r>
              <w:rPr>
                <w:rFonts w:ascii="宋体" w:hAnsi="宋体" w:cs="宋体" w:hint="eastAsia"/>
                <w:sz w:val="18"/>
                <w:szCs w:val="18"/>
              </w:rPr>
              <w:t>CO</w:t>
            </w:r>
            <w:r>
              <w:rPr>
                <w:rFonts w:ascii="宋体" w:hAnsi="宋体" w:cs="宋体" w:hint="eastAsia"/>
                <w:sz w:val="18"/>
                <w:szCs w:val="18"/>
                <w:vertAlign w:val="subscript"/>
              </w:rPr>
              <w:t>2</w:t>
            </w:r>
            <w:r>
              <w:rPr>
                <w:rFonts w:ascii="宋体" w:hAnsi="宋体" w:cs="宋体" w:hint="eastAsia"/>
                <w:sz w:val="18"/>
                <w:szCs w:val="18"/>
              </w:rPr>
              <w:t>、</w:t>
            </w:r>
            <w:r>
              <w:rPr>
                <w:rFonts w:ascii="宋体" w:hAnsi="宋体" w:cs="宋体" w:hint="eastAsia"/>
                <w:sz w:val="18"/>
                <w:szCs w:val="18"/>
              </w:rPr>
              <w:t>H</w:t>
            </w:r>
            <w:r>
              <w:rPr>
                <w:rFonts w:ascii="宋体" w:hAnsi="宋体" w:cs="宋体" w:hint="eastAsia"/>
                <w:sz w:val="18"/>
                <w:szCs w:val="18"/>
                <w:vertAlign w:val="superscript"/>
              </w:rPr>
              <w:t>+</w:t>
            </w:r>
            <w:r>
              <w:rPr>
                <w:rFonts w:ascii="宋体" w:hAnsi="宋体" w:cs="宋体" w:hint="eastAsia"/>
                <w:sz w:val="18"/>
                <w:szCs w:val="18"/>
              </w:rPr>
              <w:t>和</w:t>
            </w:r>
            <w:r>
              <w:rPr>
                <w:rFonts w:ascii="宋体" w:hAnsi="宋体" w:cs="宋体" w:hint="eastAsia"/>
                <w:sz w:val="18"/>
                <w:szCs w:val="18"/>
              </w:rPr>
              <w:t>O</w:t>
            </w:r>
            <w:r>
              <w:rPr>
                <w:rFonts w:ascii="宋体" w:hAnsi="宋体" w:cs="宋体" w:hint="eastAsia"/>
                <w:sz w:val="18"/>
                <w:szCs w:val="18"/>
                <w:vertAlign w:val="subscript"/>
              </w:rPr>
              <w:t>2</w:t>
            </w:r>
            <w:r>
              <w:rPr>
                <w:rFonts w:ascii="宋体" w:hAnsi="宋体" w:cs="宋体" w:hint="eastAsia"/>
                <w:sz w:val="18"/>
                <w:szCs w:val="18"/>
              </w:rPr>
              <w:t>变化对呼吸的影响。</w:t>
            </w:r>
          </w:p>
        </w:tc>
        <w:tc>
          <w:tcPr>
            <w:tcW w:w="1753" w:type="dxa"/>
          </w:tcPr>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胸膜腔负压的生理意义。</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肺泡表面活性物质的作用与意义。</w:t>
            </w:r>
          </w:p>
          <w:p w:rsidR="00BC3DD8" w:rsidRDefault="00223E7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气体交换的原理。</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O</w:t>
            </w:r>
            <w:r>
              <w:rPr>
                <w:rFonts w:ascii="宋体" w:hAnsi="宋体" w:cs="宋体" w:hint="eastAsia"/>
                <w:sz w:val="18"/>
                <w:szCs w:val="18"/>
                <w:vertAlign w:val="subscript"/>
              </w:rPr>
              <w:t>2</w:t>
            </w:r>
            <w:r>
              <w:rPr>
                <w:rFonts w:ascii="宋体" w:hAnsi="宋体" w:cs="宋体" w:hint="eastAsia"/>
                <w:sz w:val="18"/>
                <w:szCs w:val="18"/>
              </w:rPr>
              <w:t>的解</w:t>
            </w:r>
            <w:r>
              <w:rPr>
                <w:rFonts w:ascii="宋体" w:hAnsi="宋体" w:cs="宋体" w:hint="eastAsia"/>
                <w:sz w:val="18"/>
                <w:szCs w:val="18"/>
              </w:rPr>
              <w:t>离曲线与影响因素。</w:t>
            </w:r>
          </w:p>
          <w:p w:rsidR="00BC3DD8" w:rsidRDefault="00BC3DD8">
            <w:pPr>
              <w:tabs>
                <w:tab w:val="left" w:pos="312"/>
              </w:tabs>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5</w:t>
            </w:r>
          </w:p>
        </w:tc>
      </w:tr>
      <w:tr w:rsidR="00BC3DD8">
        <w:trPr>
          <w:trHeight w:val="557"/>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6</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消化和吸收</w:t>
            </w:r>
          </w:p>
        </w:tc>
        <w:tc>
          <w:tcPr>
            <w:tcW w:w="2126" w:type="dxa"/>
          </w:tcPr>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知道消化和吸收的概念。</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知道消化道平滑肌的生理特性、消化腺的分泌功能、消化道的神经支配。</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知道唾液的成分、作用及其分泌的调节；咀嚼和吞咽。</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知道胃液的成分、作用及其分泌的调节；黏液</w:t>
            </w:r>
            <w:r>
              <w:rPr>
                <w:rFonts w:ascii="宋体" w:hAnsi="宋体" w:cs="宋体" w:hint="eastAsia"/>
                <w:sz w:val="18"/>
                <w:szCs w:val="18"/>
              </w:rPr>
              <w:t>-</w:t>
            </w:r>
            <w:r>
              <w:rPr>
                <w:rFonts w:ascii="宋体" w:hAnsi="宋体" w:cs="宋体" w:hint="eastAsia"/>
                <w:sz w:val="18"/>
                <w:szCs w:val="18"/>
              </w:rPr>
              <w:t>碳酸氢盐屏障的生理功能；胃的运动；胃排空及其控制。</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知道胰液、胆汁、小肠液的分泌及其作用；小肠的运动形式及神经调节。</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知道大肠的生理功能；大肠内细菌的作用；大肠的运动和排便。</w:t>
            </w:r>
          </w:p>
          <w:p w:rsidR="00BC3DD8" w:rsidRDefault="00223E76">
            <w:pPr>
              <w:numPr>
                <w:ilvl w:val="0"/>
                <w:numId w:val="3"/>
              </w:numPr>
              <w:snapToGrid w:val="0"/>
              <w:spacing w:line="288" w:lineRule="auto"/>
              <w:rPr>
                <w:rFonts w:ascii="宋体" w:hAnsi="宋体" w:cs="宋体"/>
                <w:sz w:val="18"/>
                <w:szCs w:val="18"/>
              </w:rPr>
            </w:pPr>
            <w:r>
              <w:rPr>
                <w:rFonts w:ascii="宋体" w:hAnsi="宋体" w:cs="宋体" w:hint="eastAsia"/>
                <w:sz w:val="18"/>
                <w:szCs w:val="18"/>
              </w:rPr>
              <w:t>知道吸收的部位、途径及机制；小肠的吸收功能。</w:t>
            </w:r>
          </w:p>
        </w:tc>
        <w:tc>
          <w:tcPr>
            <w:tcW w:w="2268" w:type="dxa"/>
          </w:tcPr>
          <w:p w:rsidR="00BC3DD8" w:rsidRDefault="00223E76">
            <w:pP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．能运用本章所学知识，解释慢波与平滑肌活动的关系，在调节胃肠功能中所起的作用。</w:t>
            </w:r>
          </w:p>
          <w:p w:rsidR="00BC3DD8" w:rsidRDefault="00223E76">
            <w:pP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．能运用所学知识，解释行胃大部分切除术或回肠切除术后的病人会出现的贫血类型与应对策略。</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胃液的成分、作用，黏液</w:t>
            </w:r>
            <w:r>
              <w:rPr>
                <w:rFonts w:ascii="宋体" w:hAnsi="宋体" w:cs="宋体" w:hint="eastAsia"/>
                <w:sz w:val="18"/>
                <w:szCs w:val="18"/>
              </w:rPr>
              <w:t>-</w:t>
            </w:r>
            <w:r>
              <w:rPr>
                <w:rFonts w:ascii="宋体" w:hAnsi="宋体" w:cs="宋体" w:hint="eastAsia"/>
                <w:sz w:val="18"/>
                <w:szCs w:val="18"/>
              </w:rPr>
              <w:t>碳酸氢盐屏障的生理功能</w:t>
            </w:r>
          </w:p>
          <w:p w:rsidR="00BC3DD8" w:rsidRDefault="00223E7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胰液与胆汁的作用</w:t>
            </w:r>
          </w:p>
          <w:p w:rsidR="00BC3DD8" w:rsidRDefault="00BC3DD8">
            <w:pPr>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4</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7</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能量代谢和</w:t>
            </w:r>
            <w:r>
              <w:rPr>
                <w:rFonts w:ascii="宋体" w:hAnsi="宋体" w:cs="宋体" w:hint="eastAsia"/>
                <w:sz w:val="18"/>
                <w:szCs w:val="18"/>
              </w:rPr>
              <w:lastRenderedPageBreak/>
              <w:t>体温</w:t>
            </w:r>
          </w:p>
        </w:tc>
        <w:tc>
          <w:tcPr>
            <w:tcW w:w="2126"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知道什么是能量代谢；能量的来源和去路；能量平衡。</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知道能量代谢的测定原理和方法。</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3.</w:t>
            </w:r>
            <w:r>
              <w:rPr>
                <w:rFonts w:ascii="宋体" w:hAnsi="宋体" w:cs="宋体" w:hint="eastAsia"/>
                <w:sz w:val="18"/>
                <w:szCs w:val="18"/>
              </w:rPr>
              <w:t>知道影响能量代谢的因素</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知道基础代谢和基础代谢率的概念。</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知道表层温度和核心温度；理解体温的生理变动。</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6.</w:t>
            </w:r>
            <w:r>
              <w:rPr>
                <w:rFonts w:ascii="宋体" w:hAnsi="宋体" w:cs="宋体" w:hint="eastAsia"/>
                <w:sz w:val="18"/>
                <w:szCs w:val="18"/>
              </w:rPr>
              <w:t>知道机体的产热与散热；体温的调节；异常体温的机制。</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知道人体对高温、寒冷环境的反应；习服的概念。</w:t>
            </w:r>
          </w:p>
        </w:tc>
        <w:tc>
          <w:tcPr>
            <w:tcW w:w="2268"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能简述人体主要的供能物质。</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能正确概述影响能量代谢的主要因素和体温的生理变动。</w:t>
            </w:r>
          </w:p>
          <w:p w:rsidR="00BC3DD8" w:rsidRDefault="00223E76">
            <w:pPr>
              <w:snapToGrid w:val="0"/>
              <w:spacing w:line="288" w:lineRule="auto"/>
              <w:rPr>
                <w:rFonts w:ascii="宋体" w:hAnsi="宋体" w:cs="宋体"/>
                <w:sz w:val="18"/>
                <w:szCs w:val="18"/>
              </w:rPr>
            </w:pPr>
            <w:r>
              <w:rPr>
                <w:rFonts w:ascii="宋体" w:hAnsi="宋体" w:cs="宋体"/>
                <w:sz w:val="18"/>
                <w:szCs w:val="18"/>
              </w:rPr>
              <w:lastRenderedPageBreak/>
              <w:t>3</w:t>
            </w:r>
            <w:r>
              <w:rPr>
                <w:rFonts w:ascii="宋体" w:hAnsi="宋体" w:cs="宋体" w:hint="eastAsia"/>
                <w:sz w:val="18"/>
                <w:szCs w:val="18"/>
              </w:rPr>
              <w:t>.</w:t>
            </w:r>
            <w:r>
              <w:rPr>
                <w:rFonts w:ascii="宋体" w:hAnsi="宋体" w:cs="宋体" w:hint="eastAsia"/>
                <w:sz w:val="18"/>
                <w:szCs w:val="18"/>
              </w:rPr>
              <w:t>能说出机体产热的机制和散热的途径及方式。</w:t>
            </w:r>
          </w:p>
          <w:p w:rsidR="00BC3DD8" w:rsidRDefault="00223E76">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w:t>
            </w:r>
            <w:r>
              <w:rPr>
                <w:rFonts w:ascii="宋体" w:hAnsi="宋体" w:cs="宋体" w:hint="eastAsia"/>
                <w:sz w:val="18"/>
                <w:szCs w:val="18"/>
              </w:rPr>
              <w:t>能运用机体散热原理为体温升高的病人降温。</w:t>
            </w:r>
          </w:p>
          <w:p w:rsidR="00BC3DD8" w:rsidRDefault="00223E76">
            <w:pPr>
              <w:snapToGrid w:val="0"/>
              <w:spacing w:line="288" w:lineRule="auto"/>
              <w:rPr>
                <w:rFonts w:ascii="宋体" w:hAnsi="宋体" w:cs="宋体"/>
                <w:sz w:val="18"/>
                <w:szCs w:val="18"/>
              </w:rPr>
            </w:pPr>
            <w:r>
              <w:rPr>
                <w:rFonts w:ascii="宋体" w:hAnsi="宋体" w:cs="宋体"/>
                <w:sz w:val="18"/>
                <w:szCs w:val="18"/>
              </w:rPr>
              <w:t>5</w:t>
            </w:r>
            <w:r>
              <w:rPr>
                <w:rFonts w:ascii="宋体" w:hAnsi="宋体" w:cs="宋体" w:hint="eastAsia"/>
                <w:sz w:val="18"/>
                <w:szCs w:val="18"/>
              </w:rPr>
              <w:t>.</w:t>
            </w:r>
            <w:r>
              <w:rPr>
                <w:rFonts w:ascii="宋体" w:hAnsi="宋体" w:cs="宋体" w:hint="eastAsia"/>
                <w:sz w:val="18"/>
                <w:szCs w:val="18"/>
              </w:rPr>
              <w:t>能运用调定点学说解释机体发热的机制。</w:t>
            </w:r>
            <w:r>
              <w:rPr>
                <w:rFonts w:ascii="宋体" w:hAnsi="宋体" w:cs="宋体" w:hint="eastAsia"/>
                <w:sz w:val="18"/>
                <w:szCs w:val="18"/>
              </w:rPr>
              <w:t xml:space="preserve"> </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hint="eastAsia"/>
                <w:sz w:val="18"/>
                <w:szCs w:val="18"/>
              </w:rPr>
              <w:t>能量平衡。</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体温的调节机制</w:t>
            </w:r>
            <w:r>
              <w:rPr>
                <w:rFonts w:ascii="宋体" w:hAnsi="宋体" w:cs="宋体" w:hint="eastAsia"/>
                <w:sz w:val="18"/>
                <w:szCs w:val="18"/>
              </w:rPr>
              <w:t>。</w:t>
            </w:r>
          </w:p>
          <w:p w:rsidR="00BC3DD8" w:rsidRDefault="00BC3DD8">
            <w:pPr>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8</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尿的生成与排放</w:t>
            </w:r>
          </w:p>
        </w:tc>
        <w:tc>
          <w:tcPr>
            <w:tcW w:w="2126" w:type="dxa"/>
          </w:tcPr>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知道肾脏的结构特点；肾脏血液循环的特征；肾脏的泌尿功能与内分泌功能。</w:t>
            </w:r>
          </w:p>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知道肾小球滤过的机</w:t>
            </w:r>
            <w:r>
              <w:rPr>
                <w:rFonts w:ascii="宋体" w:hAnsi="宋体" w:cs="宋体" w:hint="eastAsia"/>
                <w:sz w:val="18"/>
                <w:szCs w:val="18"/>
              </w:rPr>
              <w:t>制及影响因素；肾小管与集合管的重吸收机制、分泌和排泄作用；</w:t>
            </w:r>
          </w:p>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理解尿液浓缩和稀释的机制。</w:t>
            </w:r>
          </w:p>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知道尿生成的调节：抗利尿激素、醛固酮等对肾的作用。</w:t>
            </w:r>
          </w:p>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知道血浆清除率的概念及生理意义。</w:t>
            </w:r>
          </w:p>
          <w:p w:rsidR="00BC3DD8" w:rsidRDefault="00223E76">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知道排尿反射与排尿异常。</w:t>
            </w:r>
          </w:p>
        </w:tc>
        <w:tc>
          <w:tcPr>
            <w:tcW w:w="2268" w:type="dxa"/>
          </w:tcPr>
          <w:p w:rsidR="00BC3DD8" w:rsidRDefault="00223E76">
            <w:pPr>
              <w:numPr>
                <w:ilvl w:val="0"/>
                <w:numId w:val="5"/>
              </w:numPr>
              <w:snapToGrid w:val="0"/>
              <w:spacing w:line="288" w:lineRule="auto"/>
              <w:rPr>
                <w:rFonts w:ascii="宋体" w:hAnsi="宋体" w:cs="宋体"/>
                <w:sz w:val="18"/>
                <w:szCs w:val="18"/>
              </w:rPr>
            </w:pPr>
            <w:r>
              <w:rPr>
                <w:rFonts w:ascii="宋体" w:hAnsi="宋体" w:cs="宋体" w:hint="eastAsia"/>
                <w:sz w:val="18"/>
                <w:szCs w:val="18"/>
              </w:rPr>
              <w:t>能用基本知识，解释糖尿病病人多尿、多饮的原因及健康教育；对排尿异常症状的评估及护理指导。</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影响肾小球滤过的因素</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尿液的稀释和浓缩过程</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尿生成的体液调节</w:t>
            </w:r>
          </w:p>
          <w:p w:rsidR="00BC3DD8" w:rsidRDefault="00BC3DD8">
            <w:pPr>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5</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9</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感觉器官</w:t>
            </w:r>
          </w:p>
        </w:tc>
        <w:tc>
          <w:tcPr>
            <w:tcW w:w="2126" w:type="dxa"/>
          </w:tcPr>
          <w:p w:rsidR="00BC3DD8" w:rsidRDefault="00223E7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知道感受器、感觉器官的定义；理解感受器的一般生理特性。</w:t>
            </w:r>
          </w:p>
          <w:p w:rsidR="00BC3DD8" w:rsidRDefault="00223E7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知道眼的视觉功能、眼的折光系统及其调节；视网膜的感光功能；暗适应、明适应、视野、立体视觉。</w:t>
            </w:r>
          </w:p>
          <w:p w:rsidR="00BC3DD8" w:rsidRDefault="00223E7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知道外耳、中耳的传音功能；气传导、骨传导；内耳的感音功能。</w:t>
            </w:r>
          </w:p>
          <w:p w:rsidR="00BC3DD8" w:rsidRDefault="00223E76">
            <w:pPr>
              <w:numPr>
                <w:ilvl w:val="0"/>
                <w:numId w:val="6"/>
              </w:numPr>
              <w:snapToGrid w:val="0"/>
              <w:spacing w:line="288" w:lineRule="auto"/>
              <w:rPr>
                <w:rFonts w:ascii="宋体" w:hAnsi="宋体" w:cs="宋体"/>
                <w:sz w:val="18"/>
                <w:szCs w:val="18"/>
              </w:rPr>
            </w:pPr>
            <w:r>
              <w:rPr>
                <w:rFonts w:ascii="宋体" w:hAnsi="宋体" w:cs="宋体" w:hint="eastAsia"/>
                <w:sz w:val="18"/>
                <w:szCs w:val="18"/>
              </w:rPr>
              <w:t>理解前庭器官的平衡感觉功能；知道前庭反应。</w:t>
            </w:r>
          </w:p>
          <w:p w:rsidR="00BC3DD8" w:rsidRDefault="00223E76">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知道其他感觉器官的功能：嗅觉器官、味觉器官、皮肤感觉。</w:t>
            </w:r>
          </w:p>
        </w:tc>
        <w:tc>
          <w:tcPr>
            <w:tcW w:w="2268" w:type="dxa"/>
          </w:tcPr>
          <w:p w:rsidR="00BC3DD8" w:rsidRDefault="00223E7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能运用眼的折光功能分析近视眼的产生原因、矫正及预防措施。</w:t>
            </w:r>
          </w:p>
          <w:p w:rsidR="00BC3DD8" w:rsidRDefault="00223E7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能运用三原色学说，解释人眼能分辨颜色的原因。</w:t>
            </w:r>
          </w:p>
          <w:p w:rsidR="00BC3DD8" w:rsidRDefault="00223E76">
            <w:pPr>
              <w:numPr>
                <w:ilvl w:val="0"/>
                <w:numId w:val="7"/>
              </w:numPr>
              <w:snapToGrid w:val="0"/>
              <w:spacing w:line="288" w:lineRule="auto"/>
              <w:rPr>
                <w:rFonts w:ascii="宋体" w:hAnsi="宋体" w:cs="宋体"/>
                <w:sz w:val="18"/>
                <w:szCs w:val="18"/>
              </w:rPr>
            </w:pPr>
            <w:r>
              <w:rPr>
                <w:rFonts w:ascii="宋体" w:hAnsi="宋体" w:cs="宋体" w:hint="eastAsia"/>
                <w:sz w:val="18"/>
                <w:szCs w:val="18"/>
              </w:rPr>
              <w:t>能运用声波传人内耳的途径及人耳对声音频率的分析功能，分析产生耳聋的原因及可能出现病变的部位。</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眼的遮光系统及其调节</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外耳、中耳的传音功能</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前庭器官的平衡感觉功能</w:t>
            </w:r>
          </w:p>
          <w:p w:rsidR="00BC3DD8" w:rsidRDefault="00BC3DD8">
            <w:pPr>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10</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神经</w:t>
            </w:r>
            <w:r>
              <w:rPr>
                <w:rFonts w:ascii="宋体" w:hAnsi="宋体" w:cs="宋体" w:hint="eastAsia"/>
                <w:sz w:val="18"/>
                <w:szCs w:val="18"/>
              </w:rPr>
              <w:lastRenderedPageBreak/>
              <w:t>系统</w:t>
            </w:r>
          </w:p>
        </w:tc>
        <w:tc>
          <w:tcPr>
            <w:tcW w:w="2126" w:type="dxa"/>
          </w:tcPr>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lastRenderedPageBreak/>
              <w:t>知道神经元的信息传递、神经反射的活动规</w:t>
            </w:r>
            <w:r>
              <w:rPr>
                <w:rFonts w:ascii="宋体" w:hAnsi="宋体" w:cs="宋体" w:hint="eastAsia"/>
                <w:sz w:val="18"/>
                <w:szCs w:val="18"/>
              </w:rPr>
              <w:lastRenderedPageBreak/>
              <w:t>律。</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知道丘脑的感觉传入通路、特异与非特异投射系统的概念。</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知道第一体表感觉区、触</w:t>
            </w:r>
            <w:r>
              <w:rPr>
                <w:rFonts w:ascii="宋体" w:hAnsi="宋体" w:cs="宋体" w:hint="eastAsia"/>
                <w:sz w:val="18"/>
                <w:szCs w:val="18"/>
              </w:rPr>
              <w:t>-</w:t>
            </w:r>
            <w:r>
              <w:rPr>
                <w:rFonts w:ascii="宋体" w:hAnsi="宋体" w:cs="宋体" w:hint="eastAsia"/>
                <w:sz w:val="18"/>
                <w:szCs w:val="18"/>
              </w:rPr>
              <w:t>压觉、本体感觉、温度觉、痛觉的概念；内脏痛、体腔壁痛、牵涉痛的概念和意义。</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知道脊髓、脑干、小脑、基底神经节、大脑皮层对姿势和运动的调节；运动单位和最后公路；脊髓休克、去大脑僵直、牵张反射的概念；小脑的分类和功能；大脑皮层运动区；运动传导系统。</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知道自主神经系统的</w:t>
            </w:r>
            <w:r>
              <w:rPr>
                <w:rFonts w:ascii="宋体" w:hAnsi="宋体" w:cs="宋体" w:hint="eastAsia"/>
                <w:sz w:val="18"/>
                <w:szCs w:val="18"/>
              </w:rPr>
              <w:t>功能及意义；下丘脑对内脏活动的调节；神经系统对本能行为和情绪的调节；大脑皮层活动的特征</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知道脑电活动的形式、睡眠与觉醒的概念。</w:t>
            </w:r>
          </w:p>
          <w:p w:rsidR="00BC3DD8" w:rsidRDefault="00223E76">
            <w:pPr>
              <w:numPr>
                <w:ilvl w:val="0"/>
                <w:numId w:val="8"/>
              </w:numPr>
              <w:snapToGrid w:val="0"/>
              <w:spacing w:line="288" w:lineRule="auto"/>
              <w:rPr>
                <w:rFonts w:ascii="宋体" w:hAnsi="宋体" w:cs="宋体"/>
                <w:sz w:val="18"/>
                <w:szCs w:val="18"/>
              </w:rPr>
            </w:pPr>
            <w:r>
              <w:rPr>
                <w:rFonts w:ascii="宋体" w:hAnsi="宋体" w:cs="宋体" w:hint="eastAsia"/>
                <w:sz w:val="18"/>
                <w:szCs w:val="18"/>
              </w:rPr>
              <w:t>理解条件反射的机制和特点，大脑皮层活动的特征。</w:t>
            </w:r>
          </w:p>
        </w:tc>
        <w:tc>
          <w:tcPr>
            <w:tcW w:w="2268" w:type="dxa"/>
          </w:tcPr>
          <w:p w:rsidR="00BC3DD8" w:rsidRDefault="00223E76">
            <w:pPr>
              <w:numPr>
                <w:ilvl w:val="0"/>
                <w:numId w:val="9"/>
              </w:numPr>
              <w:snapToGrid w:val="0"/>
              <w:spacing w:line="288" w:lineRule="auto"/>
              <w:rPr>
                <w:rFonts w:ascii="宋体" w:hAnsi="宋体" w:cs="宋体"/>
                <w:sz w:val="18"/>
                <w:szCs w:val="18"/>
              </w:rPr>
            </w:pPr>
            <w:r>
              <w:rPr>
                <w:rFonts w:ascii="宋体" w:hAnsi="宋体" w:cs="宋体" w:hint="eastAsia"/>
                <w:sz w:val="18"/>
                <w:szCs w:val="18"/>
              </w:rPr>
              <w:lastRenderedPageBreak/>
              <w:t>能运用神经纤维和中枢传导兴奋的特征、神经递</w:t>
            </w:r>
            <w:r>
              <w:rPr>
                <w:rFonts w:ascii="宋体" w:hAnsi="宋体" w:cs="宋体" w:hint="eastAsia"/>
                <w:sz w:val="18"/>
                <w:szCs w:val="18"/>
              </w:rPr>
              <w:lastRenderedPageBreak/>
              <w:t>质和受体、神经元信息传递等现象联系临床实际。</w:t>
            </w:r>
          </w:p>
          <w:p w:rsidR="00BC3DD8" w:rsidRDefault="00223E76">
            <w:pPr>
              <w:numPr>
                <w:ilvl w:val="0"/>
                <w:numId w:val="9"/>
              </w:numPr>
              <w:snapToGrid w:val="0"/>
              <w:spacing w:line="288" w:lineRule="auto"/>
              <w:rPr>
                <w:rFonts w:ascii="宋体" w:hAnsi="宋体" w:cs="宋体"/>
                <w:sz w:val="18"/>
                <w:szCs w:val="18"/>
              </w:rPr>
            </w:pPr>
            <w:r>
              <w:rPr>
                <w:rFonts w:ascii="宋体" w:hAnsi="宋体" w:cs="宋体" w:hint="eastAsia"/>
                <w:sz w:val="18"/>
                <w:szCs w:val="18"/>
              </w:rPr>
              <w:t>能运用感觉传入通路的特点说明脊髓或高位中枢损伤时感觉异常的表现。</w:t>
            </w:r>
          </w:p>
          <w:p w:rsidR="00BC3DD8" w:rsidRDefault="00223E76">
            <w:pPr>
              <w:numPr>
                <w:ilvl w:val="0"/>
                <w:numId w:val="9"/>
              </w:numPr>
              <w:snapToGrid w:val="0"/>
              <w:spacing w:line="288" w:lineRule="auto"/>
              <w:rPr>
                <w:rFonts w:ascii="宋体" w:hAnsi="宋体" w:cs="宋体"/>
                <w:sz w:val="18"/>
                <w:szCs w:val="18"/>
              </w:rPr>
            </w:pPr>
            <w:r>
              <w:rPr>
                <w:rFonts w:ascii="宋体" w:hAnsi="宋体" w:cs="宋体" w:hint="eastAsia"/>
                <w:sz w:val="18"/>
                <w:szCs w:val="18"/>
              </w:rPr>
              <w:t>能运用运动的机制和通路分析临床运动障碍的表现。</w:t>
            </w:r>
          </w:p>
        </w:tc>
        <w:tc>
          <w:tcPr>
            <w:tcW w:w="1753" w:type="dxa"/>
          </w:tcPr>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sz w:val="18"/>
                <w:szCs w:val="18"/>
              </w:rPr>
              <w:t>.</w:t>
            </w:r>
            <w:r>
              <w:rPr>
                <w:rFonts w:ascii="宋体" w:hAnsi="宋体" w:cs="宋体" w:hint="eastAsia"/>
                <w:sz w:val="18"/>
                <w:szCs w:val="18"/>
              </w:rPr>
              <w:t>神经反射的活动规律</w:t>
            </w:r>
          </w:p>
          <w:p w:rsidR="00BC3DD8" w:rsidRDefault="00223E76">
            <w:pPr>
              <w:tabs>
                <w:tab w:val="left" w:pos="312"/>
              </w:tabs>
              <w:snapToGrid w:val="0"/>
              <w:spacing w:line="288" w:lineRule="auto"/>
              <w:rPr>
                <w:rFonts w:ascii="宋体" w:hAnsi="宋体" w:cs="宋体"/>
                <w:sz w:val="18"/>
                <w:szCs w:val="18"/>
              </w:rPr>
            </w:pPr>
            <w:r>
              <w:rPr>
                <w:rFonts w:ascii="宋体" w:hAnsi="宋体" w:cs="宋体" w:hint="eastAsia"/>
                <w:sz w:val="18"/>
                <w:szCs w:val="18"/>
              </w:rPr>
              <w:lastRenderedPageBreak/>
              <w:t>2</w:t>
            </w:r>
            <w:r>
              <w:rPr>
                <w:rFonts w:ascii="宋体" w:hAnsi="宋体" w:cs="宋体"/>
                <w:sz w:val="18"/>
                <w:szCs w:val="18"/>
              </w:rPr>
              <w:t>.</w:t>
            </w:r>
            <w:r>
              <w:rPr>
                <w:rFonts w:ascii="宋体" w:hAnsi="宋体" w:cs="宋体" w:hint="eastAsia"/>
                <w:sz w:val="18"/>
                <w:szCs w:val="18"/>
              </w:rPr>
              <w:t>大脑皮层的的感觉分析功能</w:t>
            </w:r>
          </w:p>
          <w:p w:rsidR="00BC3DD8" w:rsidRDefault="00223E76">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神经系统对姿势和运动的调节。</w:t>
            </w:r>
          </w:p>
          <w:p w:rsidR="00BC3DD8" w:rsidRDefault="00BC3DD8">
            <w:pPr>
              <w:tabs>
                <w:tab w:val="left" w:pos="312"/>
              </w:tabs>
              <w:snapToGrid w:val="0"/>
              <w:spacing w:line="288" w:lineRule="auto"/>
              <w:rPr>
                <w:rFonts w:ascii="宋体" w:hAnsi="宋体" w:cs="宋体"/>
                <w:sz w:val="18"/>
                <w:szCs w:val="18"/>
              </w:rPr>
            </w:pP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lastRenderedPageBreak/>
              <w:t>6</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1</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sz w:val="18"/>
                <w:szCs w:val="18"/>
              </w:rPr>
              <w:t>7</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11</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内分泌</w:t>
            </w:r>
          </w:p>
        </w:tc>
        <w:tc>
          <w:tcPr>
            <w:tcW w:w="2126" w:type="dxa"/>
          </w:tcPr>
          <w:p w:rsidR="00BC3DD8" w:rsidRDefault="00223E7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知道激素的概念；甲状腺激素、糖皮质激素、胰岛素的生理作用及分泌的调节。</w:t>
            </w:r>
          </w:p>
          <w:p w:rsidR="00BC3DD8" w:rsidRDefault="00223E7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知道激素作用的一般特征；下丘脑与垂体的功能联系；生长激素、肾上腺髓质激素的主要生理作用；应激反应与应急反应。</w:t>
            </w:r>
          </w:p>
          <w:p w:rsidR="00BC3DD8" w:rsidRDefault="00223E76">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知道激素的分类；催乳素、甲状旁腺素、降钙素胰高血糖素、催产素等激素的主要生理作用。</w:t>
            </w:r>
          </w:p>
        </w:tc>
        <w:tc>
          <w:tcPr>
            <w:tcW w:w="2268"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能比较下丘脑</w:t>
            </w:r>
            <w:r>
              <w:rPr>
                <w:rFonts w:ascii="宋体" w:hAnsi="宋体" w:cs="宋体" w:hint="eastAsia"/>
                <w:sz w:val="18"/>
                <w:szCs w:val="18"/>
              </w:rPr>
              <w:t>-</w:t>
            </w:r>
            <w:r>
              <w:rPr>
                <w:rFonts w:ascii="宋体" w:hAnsi="宋体" w:cs="宋体" w:hint="eastAsia"/>
                <w:sz w:val="18"/>
                <w:szCs w:val="18"/>
              </w:rPr>
              <w:t>腺垂体一外周靶腺轴在激素分泌调节中的作用。</w:t>
            </w:r>
          </w:p>
          <w:p w:rsidR="00BC3DD8" w:rsidRDefault="00223E7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．能运用已有的生理学知识，解释临床上长期应用糖皮质激素的病人，应该如何停药。</w:t>
            </w:r>
          </w:p>
        </w:tc>
        <w:tc>
          <w:tcPr>
            <w:tcW w:w="1753"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甲状腺激素的生理作用</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糖皮质激素的生理作用</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胰岛素的生理作用</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12</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生殖</w:t>
            </w:r>
          </w:p>
        </w:tc>
        <w:tc>
          <w:tcPr>
            <w:tcW w:w="2126" w:type="dxa"/>
          </w:tcPr>
          <w:p w:rsidR="00BC3DD8" w:rsidRDefault="00223E7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知道睾酮、雌激素、孕激素的生理作用；月经周期概念及卵巢和子宫内膜的周期性变化。</w:t>
            </w:r>
          </w:p>
          <w:p w:rsidR="00BC3DD8" w:rsidRDefault="00223E7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知道睾丸和卵巢的生理功能；月经周期形成机制。</w:t>
            </w:r>
          </w:p>
          <w:p w:rsidR="00BC3DD8" w:rsidRDefault="00223E76">
            <w:pPr>
              <w:numPr>
                <w:ilvl w:val="0"/>
                <w:numId w:val="11"/>
              </w:numPr>
              <w:snapToGrid w:val="0"/>
              <w:spacing w:line="288" w:lineRule="auto"/>
              <w:rPr>
                <w:rFonts w:ascii="宋体" w:hAnsi="宋体" w:cs="宋体"/>
                <w:sz w:val="18"/>
                <w:szCs w:val="18"/>
              </w:rPr>
            </w:pPr>
            <w:r>
              <w:rPr>
                <w:rFonts w:ascii="宋体" w:hAnsi="宋体" w:cs="宋体" w:hint="eastAsia"/>
                <w:sz w:val="18"/>
                <w:szCs w:val="18"/>
              </w:rPr>
              <w:t>理解睾丸及卵巢功能</w:t>
            </w:r>
            <w:r>
              <w:rPr>
                <w:rFonts w:ascii="宋体" w:hAnsi="宋体" w:cs="宋体" w:hint="eastAsia"/>
                <w:sz w:val="18"/>
                <w:szCs w:val="18"/>
              </w:rPr>
              <w:lastRenderedPageBreak/>
              <w:t>的调节机制。</w:t>
            </w:r>
          </w:p>
          <w:p w:rsidR="00BC3DD8" w:rsidRDefault="00223E7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知道妊娠过程、分娩、哺乳过程中的激素调节作用。</w:t>
            </w:r>
          </w:p>
          <w:p w:rsidR="00BC3DD8" w:rsidRDefault="00223E76">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知道避孕与人类辅助生殖的措施与原理。</w:t>
            </w:r>
          </w:p>
        </w:tc>
        <w:tc>
          <w:tcPr>
            <w:tcW w:w="2268" w:type="dxa"/>
          </w:tcPr>
          <w:p w:rsidR="00BC3DD8" w:rsidRDefault="00223E76">
            <w:pPr>
              <w:numPr>
                <w:ilvl w:val="0"/>
                <w:numId w:val="12"/>
              </w:numPr>
              <w:snapToGrid w:val="0"/>
              <w:spacing w:line="288" w:lineRule="auto"/>
              <w:rPr>
                <w:rFonts w:ascii="宋体" w:hAnsi="宋体" w:cs="宋体"/>
                <w:sz w:val="18"/>
                <w:szCs w:val="18"/>
              </w:rPr>
            </w:pPr>
            <w:r>
              <w:rPr>
                <w:rFonts w:ascii="宋体" w:hAnsi="宋体" w:cs="宋体" w:hint="eastAsia"/>
                <w:sz w:val="18"/>
                <w:szCs w:val="18"/>
              </w:rPr>
              <w:lastRenderedPageBreak/>
              <w:t>能运用所学知识，解释月经周期中卵巢和子宫内膜的变化。</w:t>
            </w:r>
          </w:p>
          <w:p w:rsidR="00BC3DD8" w:rsidRDefault="00223E76">
            <w:pPr>
              <w:numPr>
                <w:ilvl w:val="0"/>
                <w:numId w:val="12"/>
              </w:numPr>
              <w:snapToGrid w:val="0"/>
              <w:spacing w:line="288" w:lineRule="auto"/>
              <w:rPr>
                <w:rFonts w:ascii="宋体" w:hAnsi="宋体" w:cs="宋体"/>
                <w:sz w:val="18"/>
                <w:szCs w:val="18"/>
              </w:rPr>
            </w:pPr>
            <w:r>
              <w:rPr>
                <w:rFonts w:ascii="宋体" w:hAnsi="宋体" w:cs="宋体" w:hint="eastAsia"/>
                <w:sz w:val="18"/>
                <w:szCs w:val="18"/>
              </w:rPr>
              <w:t>能了解避孕和人类辅助生殖的措施和原理。</w:t>
            </w:r>
          </w:p>
        </w:tc>
        <w:tc>
          <w:tcPr>
            <w:tcW w:w="1753" w:type="dxa"/>
          </w:tcPr>
          <w:p w:rsidR="00BC3DD8" w:rsidRDefault="00223E76">
            <w:pPr>
              <w:widowControl/>
              <w:snapToGrid w:val="0"/>
              <w:spacing w:line="360"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雌激素和孕激素的生理作用</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月经周期的形成机制</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BC3DD8">
        <w:trPr>
          <w:jc w:val="center"/>
        </w:trPr>
        <w:tc>
          <w:tcPr>
            <w:tcW w:w="421"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lastRenderedPageBreak/>
              <w:t>13</w:t>
            </w:r>
          </w:p>
        </w:tc>
        <w:tc>
          <w:tcPr>
            <w:tcW w:w="425"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人体几个重要阶段的生理特征</w:t>
            </w:r>
          </w:p>
        </w:tc>
        <w:tc>
          <w:tcPr>
            <w:tcW w:w="2126"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知道婴儿期体格生长的特点；婴儿期体内各系统的生理特点。</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知道男、女青春期的生理特点；体格形态变化；性成熟的调节。</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男性更年期生理变化及症状表现；女性围绝经期分期和症状特点。</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老年期的生理特点；衰老的生物学理论。</w:t>
            </w:r>
          </w:p>
          <w:p w:rsidR="00BC3DD8" w:rsidRDefault="00223E76">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死亡、临床死亡、脑死亡的定义；</w:t>
            </w:r>
          </w:p>
        </w:tc>
        <w:tc>
          <w:tcPr>
            <w:tcW w:w="2268" w:type="dxa"/>
          </w:tcPr>
          <w:p w:rsidR="00BC3DD8" w:rsidRDefault="00223E7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．能用所学知识，解释青春期性成熟的调节机制。</w:t>
            </w:r>
          </w:p>
          <w:p w:rsidR="00BC3DD8" w:rsidRDefault="00223E76">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．能查阅资料，概括女性围绝经期的特点，了解围绝经期的治疗策略。</w:t>
            </w:r>
          </w:p>
        </w:tc>
        <w:tc>
          <w:tcPr>
            <w:tcW w:w="1753" w:type="dxa"/>
          </w:tcPr>
          <w:p w:rsidR="00BC3DD8" w:rsidRDefault="00223E76">
            <w:pPr>
              <w:widowControl/>
              <w:snapToGrid w:val="0"/>
              <w:spacing w:line="360" w:lineRule="auto"/>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男、女青春期的生理特点。</w:t>
            </w:r>
          </w:p>
          <w:p w:rsidR="00BC3DD8" w:rsidRDefault="00223E76">
            <w:pPr>
              <w:widowControl/>
              <w:snapToGrid w:val="0"/>
              <w:spacing w:line="360"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女性围绝经期分期和症状特点。</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rsidR="00BC3DD8" w:rsidRDefault="00223E76">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BC3DD8">
        <w:trPr>
          <w:jc w:val="center"/>
        </w:trPr>
        <w:tc>
          <w:tcPr>
            <w:tcW w:w="421" w:type="dxa"/>
          </w:tcPr>
          <w:p w:rsidR="00BC3DD8" w:rsidRDefault="00223E76">
            <w:pPr>
              <w:snapToGrid w:val="0"/>
              <w:spacing w:line="288" w:lineRule="auto"/>
              <w:rPr>
                <w:rFonts w:ascii="宋体" w:hAnsi="宋体" w:cs="宋体"/>
                <w:b/>
                <w:bCs/>
                <w:sz w:val="18"/>
                <w:szCs w:val="18"/>
              </w:rPr>
            </w:pPr>
            <w:r>
              <w:rPr>
                <w:rFonts w:ascii="宋体" w:hAnsi="宋体" w:cs="宋体" w:hint="eastAsia"/>
                <w:b/>
                <w:bCs/>
                <w:sz w:val="18"/>
                <w:szCs w:val="18"/>
              </w:rPr>
              <w:t>合计</w:t>
            </w:r>
          </w:p>
        </w:tc>
        <w:tc>
          <w:tcPr>
            <w:tcW w:w="425" w:type="dxa"/>
          </w:tcPr>
          <w:p w:rsidR="00BC3DD8" w:rsidRDefault="00BC3DD8">
            <w:pPr>
              <w:snapToGrid w:val="0"/>
              <w:spacing w:line="288" w:lineRule="auto"/>
              <w:rPr>
                <w:rFonts w:ascii="宋体" w:hAnsi="宋体" w:cs="宋体"/>
                <w:b/>
                <w:bCs/>
                <w:sz w:val="18"/>
                <w:szCs w:val="18"/>
              </w:rPr>
            </w:pPr>
          </w:p>
        </w:tc>
        <w:tc>
          <w:tcPr>
            <w:tcW w:w="2126" w:type="dxa"/>
          </w:tcPr>
          <w:p w:rsidR="00BC3DD8" w:rsidRDefault="00BC3DD8">
            <w:pPr>
              <w:snapToGrid w:val="0"/>
              <w:spacing w:line="288" w:lineRule="auto"/>
              <w:rPr>
                <w:rFonts w:ascii="宋体" w:hAnsi="宋体" w:cs="宋体"/>
                <w:b/>
                <w:bCs/>
                <w:sz w:val="18"/>
                <w:szCs w:val="18"/>
              </w:rPr>
            </w:pPr>
          </w:p>
        </w:tc>
        <w:tc>
          <w:tcPr>
            <w:tcW w:w="2268" w:type="dxa"/>
          </w:tcPr>
          <w:p w:rsidR="00BC3DD8" w:rsidRDefault="00BC3DD8">
            <w:pPr>
              <w:snapToGrid w:val="0"/>
              <w:spacing w:line="288" w:lineRule="auto"/>
              <w:rPr>
                <w:rFonts w:ascii="宋体" w:hAnsi="宋体" w:cs="宋体"/>
                <w:b/>
                <w:bCs/>
                <w:sz w:val="18"/>
                <w:szCs w:val="18"/>
              </w:rPr>
            </w:pPr>
          </w:p>
        </w:tc>
        <w:tc>
          <w:tcPr>
            <w:tcW w:w="1753" w:type="dxa"/>
          </w:tcPr>
          <w:p w:rsidR="00BC3DD8" w:rsidRDefault="00BC3DD8">
            <w:pPr>
              <w:snapToGrid w:val="0"/>
              <w:spacing w:line="288" w:lineRule="auto"/>
              <w:rPr>
                <w:rFonts w:ascii="宋体" w:hAnsi="宋体" w:cs="宋体"/>
                <w:b/>
                <w:bCs/>
                <w:sz w:val="18"/>
                <w:szCs w:val="18"/>
              </w:rPr>
            </w:pPr>
          </w:p>
        </w:tc>
        <w:tc>
          <w:tcPr>
            <w:tcW w:w="515" w:type="dxa"/>
            <w:vAlign w:val="center"/>
          </w:tcPr>
          <w:p w:rsidR="00BC3DD8" w:rsidRDefault="00223E76">
            <w:pPr>
              <w:snapToGrid w:val="0"/>
              <w:spacing w:line="288" w:lineRule="auto"/>
              <w:jc w:val="center"/>
              <w:rPr>
                <w:rFonts w:ascii="宋体" w:hAnsi="宋体" w:cs="宋体"/>
                <w:b/>
                <w:bCs/>
                <w:sz w:val="18"/>
                <w:szCs w:val="18"/>
              </w:rPr>
            </w:pPr>
            <w:r>
              <w:rPr>
                <w:rFonts w:ascii="宋体" w:hAnsi="宋体" w:cs="宋体" w:hint="eastAsia"/>
                <w:b/>
                <w:bCs/>
                <w:sz w:val="18"/>
                <w:szCs w:val="18"/>
              </w:rPr>
              <w:t>44</w:t>
            </w:r>
          </w:p>
        </w:tc>
        <w:tc>
          <w:tcPr>
            <w:tcW w:w="515" w:type="dxa"/>
            <w:vAlign w:val="center"/>
          </w:tcPr>
          <w:p w:rsidR="00BC3DD8" w:rsidRDefault="00223E76">
            <w:pPr>
              <w:snapToGrid w:val="0"/>
              <w:spacing w:line="288" w:lineRule="auto"/>
              <w:jc w:val="center"/>
              <w:rPr>
                <w:rFonts w:ascii="宋体" w:hAnsi="宋体" w:cs="宋体"/>
                <w:b/>
                <w:bCs/>
                <w:sz w:val="18"/>
                <w:szCs w:val="18"/>
              </w:rPr>
            </w:pPr>
            <w:r>
              <w:rPr>
                <w:rFonts w:ascii="宋体" w:hAnsi="宋体" w:cs="宋体"/>
                <w:b/>
                <w:bCs/>
                <w:sz w:val="18"/>
                <w:szCs w:val="18"/>
              </w:rPr>
              <w:t>4</w:t>
            </w:r>
          </w:p>
        </w:tc>
        <w:tc>
          <w:tcPr>
            <w:tcW w:w="499" w:type="dxa"/>
            <w:vAlign w:val="center"/>
          </w:tcPr>
          <w:p w:rsidR="00BC3DD8" w:rsidRDefault="00223E76">
            <w:pPr>
              <w:snapToGrid w:val="0"/>
              <w:spacing w:line="288" w:lineRule="auto"/>
              <w:jc w:val="center"/>
              <w:rPr>
                <w:rFonts w:ascii="宋体" w:hAnsi="宋体" w:cs="宋体"/>
                <w:b/>
                <w:bCs/>
                <w:sz w:val="18"/>
                <w:szCs w:val="18"/>
              </w:rPr>
            </w:pPr>
            <w:r>
              <w:rPr>
                <w:rFonts w:ascii="宋体" w:hAnsi="宋体" w:cs="宋体"/>
                <w:b/>
                <w:bCs/>
                <w:sz w:val="18"/>
                <w:szCs w:val="18"/>
              </w:rPr>
              <w:t>48</w:t>
            </w:r>
          </w:p>
        </w:tc>
      </w:tr>
    </w:tbl>
    <w:p w:rsidR="00BC3DD8" w:rsidRDefault="00BC3DD8">
      <w:pPr>
        <w:snapToGrid w:val="0"/>
        <w:spacing w:line="288" w:lineRule="auto"/>
        <w:rPr>
          <w:rFonts w:ascii="宋体" w:hAnsi="宋体"/>
          <w:sz w:val="20"/>
          <w:szCs w:val="20"/>
        </w:rPr>
      </w:pPr>
    </w:p>
    <w:p w:rsidR="00BC3DD8" w:rsidRDefault="00BC3DD8">
      <w:pPr>
        <w:snapToGrid w:val="0"/>
        <w:spacing w:line="288" w:lineRule="auto"/>
        <w:ind w:right="26"/>
        <w:rPr>
          <w:sz w:val="20"/>
          <w:szCs w:val="20"/>
        </w:rPr>
      </w:pPr>
    </w:p>
    <w:p w:rsidR="00BC3DD8" w:rsidRDefault="00223E76" w:rsidP="002F036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七、课内实践名称及基本要求</w:t>
      </w:r>
    </w:p>
    <w:p w:rsidR="00BC3DD8" w:rsidRDefault="00BC3DD8">
      <w:pPr>
        <w:snapToGrid w:val="0"/>
        <w:spacing w:line="288" w:lineRule="auto"/>
        <w:ind w:right="26" w:firstLineChars="200" w:firstLine="400"/>
        <w:rPr>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268"/>
        <w:gridCol w:w="3090"/>
        <w:gridCol w:w="709"/>
        <w:gridCol w:w="1134"/>
        <w:gridCol w:w="708"/>
      </w:tblGrid>
      <w:tr w:rsidR="00BC3DD8">
        <w:trPr>
          <w:trHeight w:val="34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jc w:val="center"/>
              <w:rPr>
                <w:rFonts w:ascii="宋体"/>
                <w:sz w:val="20"/>
                <w:szCs w:val="20"/>
              </w:rPr>
            </w:pPr>
            <w:r>
              <w:rPr>
                <w:rFonts w:ascii="宋体" w:hAnsi="宋体" w:hint="eastAsia"/>
                <w:sz w:val="20"/>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jc w:val="center"/>
              <w:rPr>
                <w:rFonts w:ascii="宋体"/>
                <w:sz w:val="20"/>
                <w:szCs w:val="20"/>
              </w:rPr>
            </w:pPr>
            <w:r>
              <w:rPr>
                <w:rFonts w:ascii="宋体" w:hAnsi="宋体" w:hint="eastAsia"/>
                <w:sz w:val="20"/>
                <w:szCs w:val="20"/>
              </w:rPr>
              <w:t>实训名称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jc w:val="center"/>
              <w:rPr>
                <w:rFonts w:ascii="宋体" w:hAnsi="宋体"/>
                <w:sz w:val="20"/>
                <w:szCs w:val="20"/>
              </w:rPr>
            </w:pPr>
            <w:r>
              <w:rPr>
                <w:rFonts w:ascii="宋体" w:hAnsi="宋体" w:hint="eastAsia"/>
                <w:sz w:val="20"/>
                <w:szCs w:val="20"/>
              </w:rPr>
              <w:t>实训</w:t>
            </w:r>
          </w:p>
          <w:p w:rsidR="00BC3DD8" w:rsidRDefault="00223E76">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BC3DD8" w:rsidRDefault="00223E76">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BC3DD8" w:rsidRDefault="00223E76">
            <w:pPr>
              <w:snapToGrid w:val="0"/>
              <w:jc w:val="center"/>
              <w:rPr>
                <w:rFonts w:ascii="宋体"/>
                <w:sz w:val="20"/>
                <w:szCs w:val="20"/>
              </w:rPr>
            </w:pPr>
            <w:r>
              <w:rPr>
                <w:rFonts w:ascii="宋体" w:hAnsi="宋体" w:hint="eastAsia"/>
                <w:sz w:val="20"/>
                <w:szCs w:val="20"/>
              </w:rPr>
              <w:t>备注</w:t>
            </w:r>
          </w:p>
        </w:tc>
      </w:tr>
      <w:tr w:rsidR="00BC3DD8">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生理学专题</w:t>
            </w:r>
            <w:r>
              <w:rPr>
                <w:rFonts w:asciiTheme="minorEastAsia" w:eastAsiaTheme="minorEastAsia" w:hAnsiTheme="minorEastAsia" w:cstheme="minorEastAsia" w:hint="eastAsia"/>
                <w:sz w:val="20"/>
                <w:szCs w:val="20"/>
              </w:rPr>
              <w:t>PBL</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学生运用所学知识完成指定的研究学习任务，包括：循环、呼吸、泌尿、神经四个专题。</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1134" w:type="dxa"/>
            <w:tcBorders>
              <w:left w:val="single" w:sz="4" w:space="0" w:color="auto"/>
              <w:right w:val="single" w:sz="4" w:space="0" w:color="auto"/>
            </w:tcBorders>
            <w:shd w:val="clear" w:color="auto" w:fill="auto"/>
            <w:vAlign w:val="center"/>
          </w:tcPr>
          <w:p w:rsidR="00BC3DD8" w:rsidRDefault="00223E7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rsidR="00BC3DD8" w:rsidRDefault="00BC3DD8" w:rsidP="002F0366">
            <w:pPr>
              <w:snapToGrid w:val="0"/>
              <w:spacing w:beforeLines="50" w:afterLines="50"/>
              <w:rPr>
                <w:rFonts w:ascii="宋体" w:hAnsi="宋体"/>
                <w:sz w:val="20"/>
                <w:szCs w:val="20"/>
              </w:rPr>
            </w:pPr>
          </w:p>
        </w:tc>
      </w:tr>
      <w:tr w:rsidR="00BC3DD8">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合计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BC3DD8">
            <w:pPr>
              <w:snapToGrid w:val="0"/>
              <w:spacing w:line="360" w:lineRule="atLeast"/>
              <w:jc w:val="center"/>
              <w:rPr>
                <w:rFonts w:asciiTheme="minorEastAsia" w:eastAsiaTheme="minorEastAsia" w:hAnsiTheme="minorEastAsia" w:cstheme="minorEastAsia"/>
                <w:b/>
                <w:sz w:val="20"/>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BC3DD8">
            <w:pPr>
              <w:snapToGrid w:val="0"/>
              <w:spacing w:line="360" w:lineRule="atLeast"/>
              <w:jc w:val="center"/>
              <w:rPr>
                <w:rFonts w:asciiTheme="minorEastAsia" w:eastAsiaTheme="minorEastAsia" w:hAnsiTheme="minorEastAsia" w:cstheme="minorEastAsia"/>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3DD8" w:rsidRDefault="00223E76">
            <w:pPr>
              <w:snapToGrid w:val="0"/>
              <w:spacing w:line="360" w:lineRule="atLeast"/>
              <w:jc w:val="center"/>
              <w:rPr>
                <w:rFonts w:asciiTheme="minorEastAsia" w:eastAsiaTheme="minorEastAsia" w:hAnsiTheme="minorEastAsia" w:cstheme="minorEastAsia"/>
                <w:b/>
                <w:sz w:val="20"/>
                <w:szCs w:val="20"/>
              </w:rPr>
            </w:pPr>
            <w:r>
              <w:rPr>
                <w:rFonts w:asciiTheme="minorEastAsia" w:eastAsiaTheme="minorEastAsia" w:hAnsiTheme="minorEastAsia" w:cstheme="minorEastAsia"/>
                <w:b/>
                <w:sz w:val="20"/>
                <w:szCs w:val="20"/>
              </w:rPr>
              <w:t>4</w:t>
            </w:r>
          </w:p>
        </w:tc>
        <w:tc>
          <w:tcPr>
            <w:tcW w:w="1134" w:type="dxa"/>
            <w:tcBorders>
              <w:left w:val="single" w:sz="4" w:space="0" w:color="auto"/>
              <w:right w:val="single" w:sz="4" w:space="0" w:color="auto"/>
            </w:tcBorders>
            <w:shd w:val="clear" w:color="auto" w:fill="auto"/>
            <w:vAlign w:val="center"/>
          </w:tcPr>
          <w:p w:rsidR="00BC3DD8" w:rsidRDefault="00BC3DD8">
            <w:pPr>
              <w:snapToGrid w:val="0"/>
              <w:spacing w:line="360" w:lineRule="atLeast"/>
              <w:jc w:val="center"/>
              <w:rPr>
                <w:rFonts w:asciiTheme="minorEastAsia" w:eastAsiaTheme="minorEastAsia" w:hAnsiTheme="minorEastAsia" w:cstheme="minorEastAsia"/>
                <w:b/>
                <w:sz w:val="20"/>
                <w:szCs w:val="20"/>
              </w:rPr>
            </w:pPr>
          </w:p>
        </w:tc>
        <w:tc>
          <w:tcPr>
            <w:tcW w:w="708" w:type="dxa"/>
            <w:tcBorders>
              <w:left w:val="single" w:sz="4" w:space="0" w:color="auto"/>
              <w:right w:val="single" w:sz="4" w:space="0" w:color="auto"/>
            </w:tcBorders>
            <w:shd w:val="clear" w:color="auto" w:fill="auto"/>
          </w:tcPr>
          <w:p w:rsidR="00BC3DD8" w:rsidRDefault="00BC3DD8" w:rsidP="002F0366">
            <w:pPr>
              <w:snapToGrid w:val="0"/>
              <w:spacing w:beforeLines="50" w:afterLines="50"/>
              <w:rPr>
                <w:rFonts w:ascii="宋体" w:hAnsi="宋体"/>
                <w:sz w:val="20"/>
                <w:szCs w:val="20"/>
              </w:rPr>
            </w:pPr>
          </w:p>
        </w:tc>
      </w:tr>
    </w:tbl>
    <w:p w:rsidR="00BC3DD8" w:rsidRDefault="00BC3DD8">
      <w:pPr>
        <w:snapToGrid w:val="0"/>
        <w:spacing w:line="288" w:lineRule="auto"/>
        <w:ind w:right="2520" w:firstLineChars="200" w:firstLine="400"/>
        <w:rPr>
          <w:sz w:val="20"/>
          <w:szCs w:val="20"/>
        </w:rPr>
      </w:pPr>
    </w:p>
    <w:p w:rsidR="00BC3DD8" w:rsidRDefault="00223E76">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9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C3DD8">
        <w:tc>
          <w:tcPr>
            <w:tcW w:w="1809" w:type="dxa"/>
            <w:shd w:val="clear" w:color="auto" w:fill="auto"/>
          </w:tcPr>
          <w:p w:rsidR="00BC3DD8" w:rsidRDefault="00223E76" w:rsidP="002F0366">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C3DD8" w:rsidRDefault="00223E76" w:rsidP="002F0366">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C3DD8" w:rsidRDefault="00223E76" w:rsidP="002F0366">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BC3DD8">
        <w:tc>
          <w:tcPr>
            <w:tcW w:w="1809"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5103"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1843" w:type="dxa"/>
            <w:shd w:val="clear" w:color="auto" w:fill="auto"/>
          </w:tcPr>
          <w:p w:rsidR="00BC3DD8" w:rsidRDefault="002D3CB0">
            <w:pPr>
              <w:widowControl/>
              <w:spacing w:line="360" w:lineRule="auto"/>
              <w:jc w:val="center"/>
              <w:rPr>
                <w:rFonts w:ascii="宋体" w:hAnsi="宋体" w:cs="Arial"/>
                <w:kern w:val="0"/>
                <w:sz w:val="20"/>
                <w:szCs w:val="20"/>
              </w:rPr>
            </w:pPr>
            <w:r>
              <w:rPr>
                <w:rFonts w:ascii="宋体" w:hAnsi="宋体" w:cs="Arial"/>
                <w:kern w:val="0"/>
                <w:sz w:val="20"/>
                <w:szCs w:val="20"/>
              </w:rPr>
              <w:t>6</w:t>
            </w:r>
            <w:r>
              <w:rPr>
                <w:rFonts w:ascii="宋体" w:hAnsi="宋体" w:cs="Arial" w:hint="eastAsia"/>
                <w:kern w:val="0"/>
                <w:sz w:val="20"/>
                <w:szCs w:val="20"/>
              </w:rPr>
              <w:t>0%</w:t>
            </w:r>
          </w:p>
        </w:tc>
      </w:tr>
      <w:tr w:rsidR="00BC3DD8">
        <w:tc>
          <w:tcPr>
            <w:tcW w:w="1809"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5103"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课堂表现</w:t>
            </w:r>
          </w:p>
        </w:tc>
        <w:tc>
          <w:tcPr>
            <w:tcW w:w="1843"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10%</w:t>
            </w:r>
          </w:p>
        </w:tc>
      </w:tr>
      <w:tr w:rsidR="00BC3DD8">
        <w:tc>
          <w:tcPr>
            <w:tcW w:w="1809"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X2</w:t>
            </w:r>
          </w:p>
        </w:tc>
        <w:tc>
          <w:tcPr>
            <w:tcW w:w="5103"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PBL</w:t>
            </w:r>
            <w:r>
              <w:rPr>
                <w:rFonts w:ascii="宋体" w:hAnsi="宋体" w:cs="Arial" w:hint="eastAsia"/>
                <w:kern w:val="0"/>
                <w:sz w:val="20"/>
                <w:szCs w:val="20"/>
              </w:rPr>
              <w:t>学习报告</w:t>
            </w:r>
          </w:p>
        </w:tc>
        <w:tc>
          <w:tcPr>
            <w:tcW w:w="1843" w:type="dxa"/>
            <w:shd w:val="clear" w:color="auto" w:fill="auto"/>
          </w:tcPr>
          <w:p w:rsidR="00BC3DD8" w:rsidRDefault="00223E76">
            <w:pPr>
              <w:widowControl/>
              <w:spacing w:line="360" w:lineRule="auto"/>
              <w:jc w:val="center"/>
              <w:rPr>
                <w:rFonts w:ascii="宋体" w:hAnsi="宋体" w:cs="Arial"/>
                <w:kern w:val="0"/>
                <w:sz w:val="20"/>
                <w:szCs w:val="20"/>
              </w:rPr>
            </w:pPr>
            <w:r>
              <w:rPr>
                <w:rFonts w:ascii="宋体" w:hAnsi="宋体" w:cs="Arial" w:hint="eastAsia"/>
                <w:kern w:val="0"/>
                <w:sz w:val="20"/>
                <w:szCs w:val="20"/>
              </w:rPr>
              <w:t>20%</w:t>
            </w:r>
          </w:p>
        </w:tc>
      </w:tr>
      <w:tr w:rsidR="002D3CB0">
        <w:tc>
          <w:tcPr>
            <w:tcW w:w="1809" w:type="dxa"/>
            <w:shd w:val="clear" w:color="auto" w:fill="auto"/>
          </w:tcPr>
          <w:p w:rsidR="002D3CB0" w:rsidRDefault="002D3CB0">
            <w:pPr>
              <w:widowControl/>
              <w:spacing w:line="360" w:lineRule="auto"/>
              <w:jc w:val="center"/>
              <w:rPr>
                <w:rFonts w:ascii="宋体" w:hAnsi="宋体" w:cs="Arial"/>
                <w:kern w:val="0"/>
                <w:sz w:val="20"/>
                <w:szCs w:val="20"/>
              </w:rPr>
            </w:pPr>
            <w:r>
              <w:rPr>
                <w:rFonts w:ascii="宋体" w:hAnsi="宋体" w:cs="Arial" w:hint="eastAsia"/>
                <w:kern w:val="0"/>
                <w:sz w:val="20"/>
                <w:szCs w:val="20"/>
              </w:rPr>
              <w:t>X</w:t>
            </w:r>
            <w:r>
              <w:rPr>
                <w:rFonts w:ascii="宋体" w:hAnsi="宋体" w:cs="Arial"/>
                <w:kern w:val="0"/>
                <w:sz w:val="20"/>
                <w:szCs w:val="20"/>
              </w:rPr>
              <w:t>3</w:t>
            </w:r>
          </w:p>
        </w:tc>
        <w:tc>
          <w:tcPr>
            <w:tcW w:w="5103" w:type="dxa"/>
            <w:shd w:val="clear" w:color="auto" w:fill="auto"/>
          </w:tcPr>
          <w:p w:rsidR="002D3CB0" w:rsidRDefault="005F3700">
            <w:pPr>
              <w:widowControl/>
              <w:spacing w:line="360" w:lineRule="auto"/>
              <w:jc w:val="center"/>
              <w:rPr>
                <w:rFonts w:ascii="宋体" w:hAnsi="宋体" w:cs="Arial"/>
                <w:kern w:val="0"/>
                <w:sz w:val="20"/>
                <w:szCs w:val="20"/>
              </w:rPr>
            </w:pPr>
            <w:r>
              <w:rPr>
                <w:rFonts w:ascii="宋体" w:hAnsi="宋体" w:cs="Arial" w:hint="eastAsia"/>
                <w:kern w:val="0"/>
                <w:sz w:val="20"/>
                <w:szCs w:val="20"/>
              </w:rPr>
              <w:t>病例分析</w:t>
            </w:r>
          </w:p>
        </w:tc>
        <w:tc>
          <w:tcPr>
            <w:tcW w:w="1843" w:type="dxa"/>
            <w:shd w:val="clear" w:color="auto" w:fill="auto"/>
          </w:tcPr>
          <w:p w:rsidR="002D3CB0" w:rsidRDefault="002D3CB0">
            <w:pPr>
              <w:widowControl/>
              <w:spacing w:line="360" w:lineRule="auto"/>
              <w:jc w:val="center"/>
              <w:rPr>
                <w:rFonts w:ascii="宋体" w:hAnsi="宋体" w:cs="Arial"/>
                <w:kern w:val="0"/>
                <w:sz w:val="20"/>
                <w:szCs w:val="20"/>
              </w:rPr>
            </w:pPr>
            <w:r>
              <w:rPr>
                <w:rFonts w:ascii="宋体" w:hAnsi="宋体" w:cs="Arial" w:hint="eastAsia"/>
                <w:kern w:val="0"/>
                <w:sz w:val="20"/>
                <w:szCs w:val="20"/>
              </w:rPr>
              <w:t>1</w:t>
            </w:r>
            <w:r>
              <w:rPr>
                <w:rFonts w:ascii="宋体" w:hAnsi="宋体" w:cs="Arial"/>
                <w:kern w:val="0"/>
                <w:sz w:val="20"/>
                <w:szCs w:val="20"/>
              </w:rPr>
              <w:t>0</w:t>
            </w:r>
            <w:r>
              <w:rPr>
                <w:rFonts w:ascii="宋体" w:hAnsi="宋体" w:cs="Arial" w:hint="eastAsia"/>
                <w:kern w:val="0"/>
                <w:sz w:val="20"/>
                <w:szCs w:val="20"/>
              </w:rPr>
              <w:t>%</w:t>
            </w:r>
          </w:p>
        </w:tc>
      </w:tr>
    </w:tbl>
    <w:p w:rsidR="00BC3DD8" w:rsidRDefault="00BC3DD8">
      <w:pPr>
        <w:snapToGrid w:val="0"/>
        <w:spacing w:before="120" w:after="120" w:line="288" w:lineRule="auto"/>
        <w:ind w:firstLineChars="200" w:firstLine="400"/>
        <w:rPr>
          <w:rFonts w:ascii="宋体" w:hAnsi="宋体"/>
          <w:sz w:val="20"/>
          <w:szCs w:val="20"/>
          <w:highlight w:val="yellow"/>
        </w:rPr>
      </w:pPr>
    </w:p>
    <w:p w:rsidR="00BC3DD8" w:rsidRDefault="00223E76">
      <w:pPr>
        <w:snapToGrid w:val="0"/>
        <w:spacing w:line="288" w:lineRule="auto"/>
        <w:ind w:firstLineChars="300" w:firstLine="840"/>
        <w:rPr>
          <w:sz w:val="28"/>
          <w:szCs w:val="28"/>
        </w:rPr>
      </w:pPr>
      <w:r>
        <w:rPr>
          <w:rFonts w:hint="eastAsia"/>
          <w:sz w:val="28"/>
          <w:szCs w:val="28"/>
        </w:rPr>
        <w:lastRenderedPageBreak/>
        <w:t>撰写人：</w:t>
      </w:r>
      <w:r w:rsidR="005F3700">
        <w:rPr>
          <w:rFonts w:hint="eastAsia"/>
          <w:noProof/>
          <w:sz w:val="28"/>
          <w:szCs w:val="28"/>
        </w:rPr>
        <w:drawing>
          <wp:inline distT="0" distB="0" distL="0" distR="0">
            <wp:extent cx="550467" cy="393700"/>
            <wp:effectExtent l="0" t="0" r="2540" b="6350"/>
            <wp:docPr id="12512009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200933" name="图片 1251200933"/>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9074" cy="399856"/>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5F3700">
        <w:rPr>
          <w:noProof/>
          <w:sz w:val="28"/>
          <w:szCs w:val="28"/>
        </w:rPr>
        <w:drawing>
          <wp:inline distT="0" distB="0" distL="0" distR="0">
            <wp:extent cx="838200" cy="456842"/>
            <wp:effectExtent l="0" t="0" r="0" b="635"/>
            <wp:docPr id="1183509647"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09647" name="图片 2" descr="卡通人物&#10;&#10;低可信度描述已自动生成"/>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49202" cy="462839"/>
                    </a:xfrm>
                    <a:prstGeom prst="rect">
                      <a:avLst/>
                    </a:prstGeom>
                  </pic:spPr>
                </pic:pic>
              </a:graphicData>
            </a:graphic>
          </wp:inline>
        </w:drawing>
      </w:r>
    </w:p>
    <w:p w:rsidR="00BC3DD8" w:rsidRDefault="00223E76">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02</w:t>
      </w:r>
      <w:r>
        <w:rPr>
          <w:rFonts w:hint="eastAsia"/>
          <w:sz w:val="28"/>
          <w:szCs w:val="28"/>
        </w:rPr>
        <w:t>2</w:t>
      </w:r>
      <w:r>
        <w:rPr>
          <w:rFonts w:hint="eastAsia"/>
          <w:sz w:val="28"/>
          <w:szCs w:val="28"/>
        </w:rPr>
        <w:t>年</w:t>
      </w:r>
      <w:r>
        <w:rPr>
          <w:sz w:val="28"/>
          <w:szCs w:val="28"/>
        </w:rPr>
        <w:t>9</w:t>
      </w:r>
      <w:r>
        <w:rPr>
          <w:rFonts w:hint="eastAsia"/>
          <w:sz w:val="28"/>
          <w:szCs w:val="28"/>
        </w:rPr>
        <w:t>月</w:t>
      </w:r>
      <w:r>
        <w:rPr>
          <w:rFonts w:hint="eastAsia"/>
          <w:sz w:val="28"/>
          <w:szCs w:val="28"/>
        </w:rPr>
        <w:t>2</w:t>
      </w:r>
      <w:r>
        <w:rPr>
          <w:sz w:val="28"/>
          <w:szCs w:val="28"/>
        </w:rPr>
        <w:t>5</w:t>
      </w:r>
      <w:r>
        <w:rPr>
          <w:rFonts w:hint="eastAsia"/>
          <w:sz w:val="28"/>
          <w:szCs w:val="28"/>
        </w:rPr>
        <w:t>日</w:t>
      </w:r>
      <w:r>
        <w:rPr>
          <w:rFonts w:hint="eastAsia"/>
          <w:sz w:val="28"/>
          <w:szCs w:val="28"/>
        </w:rPr>
        <w:t xml:space="preserve">                       </w:t>
      </w:r>
    </w:p>
    <w:p w:rsidR="00BC3DD8" w:rsidRDefault="00BC3DD8"/>
    <w:sectPr w:rsidR="00BC3DD8" w:rsidSect="002F03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HarmonyOS Sans SC"/>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1B6DC0"/>
    <w:multiLevelType w:val="singleLevel"/>
    <w:tmpl w:val="801B6DC0"/>
    <w:lvl w:ilvl="0">
      <w:start w:val="1"/>
      <w:numFmt w:val="decimal"/>
      <w:suff w:val="space"/>
      <w:lvlText w:val="%1."/>
      <w:lvlJc w:val="left"/>
    </w:lvl>
  </w:abstractNum>
  <w:abstractNum w:abstractNumId="1">
    <w:nsid w:val="94AD5D56"/>
    <w:multiLevelType w:val="singleLevel"/>
    <w:tmpl w:val="94AD5D56"/>
    <w:lvl w:ilvl="0">
      <w:start w:val="1"/>
      <w:numFmt w:val="decimal"/>
      <w:suff w:val="space"/>
      <w:lvlText w:val="%1."/>
      <w:lvlJc w:val="left"/>
    </w:lvl>
  </w:abstractNum>
  <w:abstractNum w:abstractNumId="2">
    <w:nsid w:val="AA517DA3"/>
    <w:multiLevelType w:val="singleLevel"/>
    <w:tmpl w:val="AA517DA3"/>
    <w:lvl w:ilvl="0">
      <w:start w:val="1"/>
      <w:numFmt w:val="decimal"/>
      <w:suff w:val="space"/>
      <w:lvlText w:val="%1."/>
      <w:lvlJc w:val="left"/>
    </w:lvl>
  </w:abstractNum>
  <w:abstractNum w:abstractNumId="3">
    <w:nsid w:val="B1BFCC16"/>
    <w:multiLevelType w:val="singleLevel"/>
    <w:tmpl w:val="B1BFCC16"/>
    <w:lvl w:ilvl="0">
      <w:start w:val="1"/>
      <w:numFmt w:val="decimal"/>
      <w:suff w:val="space"/>
      <w:lvlText w:val="%1."/>
      <w:lvlJc w:val="left"/>
    </w:lvl>
  </w:abstractNum>
  <w:abstractNum w:abstractNumId="4">
    <w:nsid w:val="E2FA16C0"/>
    <w:multiLevelType w:val="singleLevel"/>
    <w:tmpl w:val="E2FA16C0"/>
    <w:lvl w:ilvl="0">
      <w:start w:val="1"/>
      <w:numFmt w:val="decimal"/>
      <w:suff w:val="space"/>
      <w:lvlText w:val="%1."/>
      <w:lvlJc w:val="left"/>
    </w:lvl>
  </w:abstractNum>
  <w:abstractNum w:abstractNumId="5">
    <w:nsid w:val="E95935B4"/>
    <w:multiLevelType w:val="singleLevel"/>
    <w:tmpl w:val="E95935B4"/>
    <w:lvl w:ilvl="0">
      <w:start w:val="1"/>
      <w:numFmt w:val="decimal"/>
      <w:suff w:val="space"/>
      <w:lvlText w:val="%1."/>
      <w:lvlJc w:val="left"/>
    </w:lvl>
  </w:abstractNum>
  <w:abstractNum w:abstractNumId="6">
    <w:nsid w:val="EF90E456"/>
    <w:multiLevelType w:val="singleLevel"/>
    <w:tmpl w:val="EF90E456"/>
    <w:lvl w:ilvl="0">
      <w:start w:val="1"/>
      <w:numFmt w:val="decimal"/>
      <w:suff w:val="space"/>
      <w:lvlText w:val="%1."/>
      <w:lvlJc w:val="left"/>
    </w:lvl>
  </w:abstractNum>
  <w:abstractNum w:abstractNumId="7">
    <w:nsid w:val="2144A0C1"/>
    <w:multiLevelType w:val="singleLevel"/>
    <w:tmpl w:val="2144A0C1"/>
    <w:lvl w:ilvl="0">
      <w:start w:val="1"/>
      <w:numFmt w:val="decimal"/>
      <w:suff w:val="space"/>
      <w:lvlText w:val="%1."/>
      <w:lvlJc w:val="left"/>
    </w:lvl>
  </w:abstractNum>
  <w:abstractNum w:abstractNumId="8">
    <w:nsid w:val="24BAA4AC"/>
    <w:multiLevelType w:val="singleLevel"/>
    <w:tmpl w:val="24BAA4AC"/>
    <w:lvl w:ilvl="0">
      <w:start w:val="1"/>
      <w:numFmt w:val="decimal"/>
      <w:suff w:val="space"/>
      <w:lvlText w:val="%1."/>
      <w:lvlJc w:val="left"/>
    </w:lvl>
  </w:abstractNum>
  <w:abstractNum w:abstractNumId="9">
    <w:nsid w:val="26154C4E"/>
    <w:multiLevelType w:val="singleLevel"/>
    <w:tmpl w:val="26154C4E"/>
    <w:lvl w:ilvl="0">
      <w:start w:val="1"/>
      <w:numFmt w:val="decimal"/>
      <w:suff w:val="space"/>
      <w:lvlText w:val="%1."/>
      <w:lvlJc w:val="left"/>
    </w:lvl>
  </w:abstractNum>
  <w:abstractNum w:abstractNumId="10">
    <w:nsid w:val="5D17A636"/>
    <w:multiLevelType w:val="singleLevel"/>
    <w:tmpl w:val="5D17A636"/>
    <w:lvl w:ilvl="0">
      <w:start w:val="1"/>
      <w:numFmt w:val="decimal"/>
      <w:suff w:val="space"/>
      <w:lvlText w:val="%1."/>
      <w:lvlJc w:val="left"/>
    </w:lvl>
  </w:abstractNum>
  <w:abstractNum w:abstractNumId="11">
    <w:nsid w:val="62D5FE2C"/>
    <w:multiLevelType w:val="singleLevel"/>
    <w:tmpl w:val="62D5FE2C"/>
    <w:lvl w:ilvl="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BmZjhlYmNmYTYxNTE2YTE4YjIwNjViNTQwMjAyY2YifQ=="/>
  </w:docVars>
  <w:rsids>
    <w:rsidRoot w:val="00B7651F"/>
    <w:rsid w:val="00022EAD"/>
    <w:rsid w:val="00066F5D"/>
    <w:rsid w:val="00071FFB"/>
    <w:rsid w:val="00087029"/>
    <w:rsid w:val="0009589F"/>
    <w:rsid w:val="000B6807"/>
    <w:rsid w:val="000E56F5"/>
    <w:rsid w:val="00101F44"/>
    <w:rsid w:val="001072BC"/>
    <w:rsid w:val="00133E7A"/>
    <w:rsid w:val="00135A5D"/>
    <w:rsid w:val="001508AE"/>
    <w:rsid w:val="00162389"/>
    <w:rsid w:val="001629B0"/>
    <w:rsid w:val="00184D9D"/>
    <w:rsid w:val="001B6CA6"/>
    <w:rsid w:val="001B715C"/>
    <w:rsid w:val="001D757E"/>
    <w:rsid w:val="001E2E96"/>
    <w:rsid w:val="00223E76"/>
    <w:rsid w:val="00256B39"/>
    <w:rsid w:val="00257A3A"/>
    <w:rsid w:val="0026033C"/>
    <w:rsid w:val="00274D4E"/>
    <w:rsid w:val="00283321"/>
    <w:rsid w:val="002A7F2A"/>
    <w:rsid w:val="002C274F"/>
    <w:rsid w:val="002C76E5"/>
    <w:rsid w:val="002D3CB0"/>
    <w:rsid w:val="002E3721"/>
    <w:rsid w:val="002F0366"/>
    <w:rsid w:val="00313BBA"/>
    <w:rsid w:val="003214EF"/>
    <w:rsid w:val="0032342F"/>
    <w:rsid w:val="0032602E"/>
    <w:rsid w:val="00332E49"/>
    <w:rsid w:val="003367AE"/>
    <w:rsid w:val="00340D4D"/>
    <w:rsid w:val="00385D9E"/>
    <w:rsid w:val="00391055"/>
    <w:rsid w:val="003B1258"/>
    <w:rsid w:val="003D1115"/>
    <w:rsid w:val="004100B0"/>
    <w:rsid w:val="004463DF"/>
    <w:rsid w:val="00490EA6"/>
    <w:rsid w:val="0049590C"/>
    <w:rsid w:val="004B1C2C"/>
    <w:rsid w:val="004F67D3"/>
    <w:rsid w:val="00500A1E"/>
    <w:rsid w:val="00503456"/>
    <w:rsid w:val="00512D8B"/>
    <w:rsid w:val="00516578"/>
    <w:rsid w:val="00543FDC"/>
    <w:rsid w:val="005467DC"/>
    <w:rsid w:val="00553D03"/>
    <w:rsid w:val="005B2B6D"/>
    <w:rsid w:val="005B4B4E"/>
    <w:rsid w:val="005F11C1"/>
    <w:rsid w:val="005F3700"/>
    <w:rsid w:val="00621CA6"/>
    <w:rsid w:val="00624FE1"/>
    <w:rsid w:val="0063009E"/>
    <w:rsid w:val="0063580D"/>
    <w:rsid w:val="00647F6A"/>
    <w:rsid w:val="006E6A67"/>
    <w:rsid w:val="00720533"/>
    <w:rsid w:val="007208D6"/>
    <w:rsid w:val="00746CC8"/>
    <w:rsid w:val="0076209E"/>
    <w:rsid w:val="007C186A"/>
    <w:rsid w:val="007D21D1"/>
    <w:rsid w:val="00820096"/>
    <w:rsid w:val="00844850"/>
    <w:rsid w:val="00853B7A"/>
    <w:rsid w:val="008B0CC1"/>
    <w:rsid w:val="008B397C"/>
    <w:rsid w:val="008B47F4"/>
    <w:rsid w:val="008D2577"/>
    <w:rsid w:val="00900019"/>
    <w:rsid w:val="00904714"/>
    <w:rsid w:val="00911AF3"/>
    <w:rsid w:val="00980098"/>
    <w:rsid w:val="0099063E"/>
    <w:rsid w:val="009B5A96"/>
    <w:rsid w:val="009D161F"/>
    <w:rsid w:val="00A06631"/>
    <w:rsid w:val="00A1311A"/>
    <w:rsid w:val="00A147A6"/>
    <w:rsid w:val="00A52314"/>
    <w:rsid w:val="00A769B1"/>
    <w:rsid w:val="00A77008"/>
    <w:rsid w:val="00A837D5"/>
    <w:rsid w:val="00AC4C45"/>
    <w:rsid w:val="00AC698F"/>
    <w:rsid w:val="00AE7869"/>
    <w:rsid w:val="00B22105"/>
    <w:rsid w:val="00B46F21"/>
    <w:rsid w:val="00B511A5"/>
    <w:rsid w:val="00B62AAF"/>
    <w:rsid w:val="00B66F9E"/>
    <w:rsid w:val="00B736A7"/>
    <w:rsid w:val="00B7651F"/>
    <w:rsid w:val="00B80818"/>
    <w:rsid w:val="00BC3DD8"/>
    <w:rsid w:val="00C27D2A"/>
    <w:rsid w:val="00C313D8"/>
    <w:rsid w:val="00C56E09"/>
    <w:rsid w:val="00C65759"/>
    <w:rsid w:val="00C70E9E"/>
    <w:rsid w:val="00C8526B"/>
    <w:rsid w:val="00CE01F1"/>
    <w:rsid w:val="00CE4F04"/>
    <w:rsid w:val="00CF096B"/>
    <w:rsid w:val="00D248E6"/>
    <w:rsid w:val="00D37538"/>
    <w:rsid w:val="00D533D7"/>
    <w:rsid w:val="00D60E87"/>
    <w:rsid w:val="00D66049"/>
    <w:rsid w:val="00D660FC"/>
    <w:rsid w:val="00D66AAC"/>
    <w:rsid w:val="00DA5C3D"/>
    <w:rsid w:val="00DA66AB"/>
    <w:rsid w:val="00DB45BD"/>
    <w:rsid w:val="00E04B15"/>
    <w:rsid w:val="00E16D30"/>
    <w:rsid w:val="00E33169"/>
    <w:rsid w:val="00E70904"/>
    <w:rsid w:val="00E80334"/>
    <w:rsid w:val="00E85757"/>
    <w:rsid w:val="00E90613"/>
    <w:rsid w:val="00EC036B"/>
    <w:rsid w:val="00EC5A91"/>
    <w:rsid w:val="00EC64F6"/>
    <w:rsid w:val="00EF44B1"/>
    <w:rsid w:val="00F32B1A"/>
    <w:rsid w:val="00F35AA0"/>
    <w:rsid w:val="00F4666F"/>
    <w:rsid w:val="00F715DC"/>
    <w:rsid w:val="00FB2AF0"/>
    <w:rsid w:val="00FC2050"/>
    <w:rsid w:val="016E63C2"/>
    <w:rsid w:val="024B0C39"/>
    <w:rsid w:val="0A8128A6"/>
    <w:rsid w:val="0BF32A1B"/>
    <w:rsid w:val="10BD2C22"/>
    <w:rsid w:val="1184329A"/>
    <w:rsid w:val="12350728"/>
    <w:rsid w:val="196E6079"/>
    <w:rsid w:val="1BC914A8"/>
    <w:rsid w:val="22987C80"/>
    <w:rsid w:val="24192CCC"/>
    <w:rsid w:val="39A66CD4"/>
    <w:rsid w:val="3CD52CE1"/>
    <w:rsid w:val="410F2E6A"/>
    <w:rsid w:val="4430136C"/>
    <w:rsid w:val="4AB0382B"/>
    <w:rsid w:val="569868B5"/>
    <w:rsid w:val="611F6817"/>
    <w:rsid w:val="66CA1754"/>
    <w:rsid w:val="6F1E65D4"/>
    <w:rsid w:val="6F266C86"/>
    <w:rsid w:val="6F5042C2"/>
    <w:rsid w:val="722C7F85"/>
    <w:rsid w:val="74316312"/>
    <w:rsid w:val="780F13C8"/>
    <w:rsid w:val="79200A06"/>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036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F03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2F036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F0366"/>
    <w:rPr>
      <w:sz w:val="18"/>
      <w:szCs w:val="18"/>
    </w:rPr>
  </w:style>
  <w:style w:type="character" w:customStyle="1" w:styleId="Char">
    <w:name w:val="页脚 Char"/>
    <w:basedOn w:val="a0"/>
    <w:link w:val="a3"/>
    <w:uiPriority w:val="99"/>
    <w:semiHidden/>
    <w:qFormat/>
    <w:rsid w:val="002F0366"/>
    <w:rPr>
      <w:sz w:val="18"/>
      <w:szCs w:val="18"/>
    </w:rPr>
  </w:style>
  <w:style w:type="paragraph" w:styleId="a6">
    <w:name w:val="List Paragraph"/>
    <w:basedOn w:val="a"/>
    <w:uiPriority w:val="99"/>
    <w:qFormat/>
    <w:rsid w:val="002F0366"/>
    <w:pPr>
      <w:ind w:firstLineChars="200" w:firstLine="420"/>
    </w:pPr>
  </w:style>
  <w:style w:type="character" w:customStyle="1" w:styleId="a7">
    <w:name w:val="正文文本缩进 字符"/>
    <w:link w:val="a8"/>
    <w:uiPriority w:val="99"/>
    <w:rsid w:val="00223E76"/>
    <w:rPr>
      <w:kern w:val="2"/>
      <w:sz w:val="21"/>
    </w:rPr>
  </w:style>
  <w:style w:type="paragraph" w:styleId="a8">
    <w:name w:val="Body Text Indent"/>
    <w:basedOn w:val="a"/>
    <w:link w:val="a7"/>
    <w:uiPriority w:val="99"/>
    <w:rsid w:val="00223E76"/>
    <w:pPr>
      <w:spacing w:line="480" w:lineRule="exact"/>
      <w:ind w:firstLine="425"/>
    </w:pPr>
    <w:rPr>
      <w:szCs w:val="20"/>
    </w:rPr>
  </w:style>
  <w:style w:type="character" w:customStyle="1" w:styleId="Char1">
    <w:name w:val="正文文本缩进 Char"/>
    <w:basedOn w:val="a0"/>
    <w:link w:val="a8"/>
    <w:uiPriority w:val="99"/>
    <w:semiHidden/>
    <w:rsid w:val="00223E76"/>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9</Pages>
  <Words>979</Words>
  <Characters>5586</Characters>
  <Application>Microsoft Office Word</Application>
  <DocSecurity>0</DocSecurity>
  <Lines>46</Lines>
  <Paragraphs>13</Paragraphs>
  <ScaleCrop>false</ScaleCrop>
  <Company>CHINA</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dreamsummit</cp:lastModifiedBy>
  <cp:revision>13</cp:revision>
  <dcterms:created xsi:type="dcterms:W3CDTF">2022-09-20T14:41:00Z</dcterms:created>
  <dcterms:modified xsi:type="dcterms:W3CDTF">2023-09-12T04:19:00Z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ACAA012F51DF4A33A009BD1561A693D4</vt:lpwstr>
  </property>
</Properties>
</file>