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2BE9E">
      <w:pPr>
        <w:pStyle w:val="7"/>
      </w:pPr>
      <w:r>
        <w:t>《老年常见疾病预防与照护》</w:t>
      </w:r>
      <w:r>
        <w:rPr>
          <w:rFonts w:hint="eastAsia"/>
        </w:rPr>
        <w:t>本科课程教学大纲（实验课）</w:t>
      </w:r>
    </w:p>
    <w:p w14:paraId="24BBC1E8"/>
    <w:p w14:paraId="520A967B">
      <w:pPr>
        <w:pStyle w:val="18"/>
        <w:jc w:val="left"/>
      </w:pPr>
      <w:r>
        <w:t>一、课程基本信息</w:t>
      </w:r>
    </w:p>
    <w:tbl>
      <w:tblPr>
        <w:tblStyle w:val="10"/>
        <w:tblW w:w="10348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76"/>
        <w:gridCol w:w="2410"/>
        <w:gridCol w:w="1694"/>
        <w:gridCol w:w="854"/>
        <w:gridCol w:w="571"/>
        <w:gridCol w:w="842"/>
        <w:gridCol w:w="2701"/>
      </w:tblGrid>
      <w:tr w14:paraId="345A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B3BC52C">
            <w:r>
              <w:t>课程名称</w:t>
            </w:r>
          </w:p>
        </w:tc>
        <w:tc>
          <w:tcPr>
            <w:tcW w:w="9072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0816AE">
            <w:pPr>
              <w:rPr>
                <w:rFonts w:eastAsiaTheme="majorEastAsia"/>
              </w:rPr>
            </w:pPr>
            <w:r>
              <w:t>老年常见疾病预防与照护</w:t>
            </w:r>
          </w:p>
        </w:tc>
      </w:tr>
      <w:tr w14:paraId="3760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852892"/>
        </w:tc>
        <w:tc>
          <w:tcPr>
            <w:tcW w:w="9072" w:type="dxa"/>
            <w:gridSpan w:val="6"/>
            <w:tcBorders>
              <w:right w:val="single" w:color="auto" w:sz="12" w:space="0"/>
            </w:tcBorders>
            <w:vAlign w:val="center"/>
          </w:tcPr>
          <w:p w14:paraId="75722774">
            <w:r>
              <w:rPr>
                <w:rFonts w:hint="eastAsia"/>
              </w:rPr>
              <w:t>Theory and practice of chronic disease management</w:t>
            </w:r>
          </w:p>
        </w:tc>
      </w:tr>
      <w:tr w14:paraId="0D8C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1EC88E">
            <w:r>
              <w:t>课程代码</w:t>
            </w:r>
          </w:p>
        </w:tc>
        <w:tc>
          <w:tcPr>
            <w:tcW w:w="2410" w:type="dxa"/>
            <w:vAlign w:val="center"/>
          </w:tcPr>
          <w:p w14:paraId="5A00A7C8">
            <w:r>
              <w:t>2170101</w:t>
            </w:r>
          </w:p>
        </w:tc>
        <w:tc>
          <w:tcPr>
            <w:tcW w:w="2548" w:type="dxa"/>
            <w:gridSpan w:val="2"/>
            <w:vAlign w:val="center"/>
          </w:tcPr>
          <w:p w14:paraId="66318656">
            <w:r>
              <w:t>课程学分</w:t>
            </w:r>
          </w:p>
        </w:tc>
        <w:tc>
          <w:tcPr>
            <w:tcW w:w="4114" w:type="dxa"/>
            <w:gridSpan w:val="3"/>
            <w:tcBorders>
              <w:right w:val="single" w:color="auto" w:sz="12" w:space="0"/>
            </w:tcBorders>
            <w:vAlign w:val="center"/>
          </w:tcPr>
          <w:p w14:paraId="14FB738D">
            <w:r>
              <w:t>2</w:t>
            </w:r>
          </w:p>
        </w:tc>
      </w:tr>
      <w:tr w14:paraId="48D7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09DF01">
            <w:r>
              <w:t xml:space="preserve">课程学时 </w:t>
            </w:r>
          </w:p>
        </w:tc>
        <w:tc>
          <w:tcPr>
            <w:tcW w:w="2410" w:type="dxa"/>
            <w:vAlign w:val="center"/>
          </w:tcPr>
          <w:p w14:paraId="5DBD21EC">
            <w:r>
              <w:t>32</w:t>
            </w:r>
          </w:p>
        </w:tc>
        <w:tc>
          <w:tcPr>
            <w:tcW w:w="1694" w:type="dxa"/>
            <w:vAlign w:val="center"/>
          </w:tcPr>
          <w:p w14:paraId="3BCB3E8A">
            <w:r>
              <w:t>理论学时</w:t>
            </w:r>
          </w:p>
        </w:tc>
        <w:tc>
          <w:tcPr>
            <w:tcW w:w="854" w:type="dxa"/>
            <w:vAlign w:val="center"/>
          </w:tcPr>
          <w:p w14:paraId="7F2B0BDF">
            <w: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31735EC0">
            <w:r>
              <w:t>实践学时</w:t>
            </w:r>
          </w:p>
        </w:tc>
        <w:tc>
          <w:tcPr>
            <w:tcW w:w="2701" w:type="dxa"/>
            <w:tcBorders>
              <w:right w:val="single" w:color="auto" w:sz="12" w:space="0"/>
            </w:tcBorders>
            <w:vAlign w:val="center"/>
          </w:tcPr>
          <w:p w14:paraId="3206C597">
            <w:r>
              <w:t>24</w:t>
            </w:r>
          </w:p>
        </w:tc>
      </w:tr>
      <w:tr w14:paraId="0A7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AF2B6E">
            <w:r>
              <w:t>开课学院</w:t>
            </w:r>
          </w:p>
        </w:tc>
        <w:tc>
          <w:tcPr>
            <w:tcW w:w="2410" w:type="dxa"/>
            <w:vAlign w:val="center"/>
          </w:tcPr>
          <w:p w14:paraId="0A220F8E">
            <w:r>
              <w:t>健康管理学院</w:t>
            </w:r>
          </w:p>
        </w:tc>
        <w:tc>
          <w:tcPr>
            <w:tcW w:w="2548" w:type="dxa"/>
            <w:gridSpan w:val="2"/>
            <w:vAlign w:val="center"/>
          </w:tcPr>
          <w:p w14:paraId="57BB5FF9">
            <w:r>
              <w:t>适用专业与年级</w:t>
            </w:r>
          </w:p>
        </w:tc>
        <w:tc>
          <w:tcPr>
            <w:tcW w:w="4114" w:type="dxa"/>
            <w:gridSpan w:val="3"/>
            <w:tcBorders>
              <w:right w:val="single" w:color="auto" w:sz="12" w:space="0"/>
            </w:tcBorders>
            <w:vAlign w:val="center"/>
          </w:tcPr>
          <w:p w14:paraId="4A5DC5CC">
            <w:r>
              <w:t>养老服务管理</w:t>
            </w:r>
            <w:r>
              <w:rPr>
                <w:rFonts w:hint="eastAsia"/>
              </w:rPr>
              <w:t>B2</w:t>
            </w:r>
            <w:r>
              <w:t>4</w:t>
            </w:r>
            <w:r>
              <w:rPr>
                <w:rFonts w:hint="eastAsia"/>
              </w:rPr>
              <w:t>-1，B2</w:t>
            </w:r>
            <w:r>
              <w:t>4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</w:tr>
      <w:tr w14:paraId="5BC4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F7FBCC">
            <w:r>
              <w:t>课程类别与性质</w:t>
            </w:r>
          </w:p>
        </w:tc>
        <w:tc>
          <w:tcPr>
            <w:tcW w:w="2410" w:type="dxa"/>
            <w:vAlign w:val="center"/>
          </w:tcPr>
          <w:p w14:paraId="15837064">
            <w:r>
              <w:t>专业选修</w:t>
            </w:r>
          </w:p>
        </w:tc>
        <w:tc>
          <w:tcPr>
            <w:tcW w:w="2548" w:type="dxa"/>
            <w:gridSpan w:val="2"/>
            <w:vAlign w:val="center"/>
          </w:tcPr>
          <w:p w14:paraId="6E7B7767">
            <w:r>
              <w:t>考核方式</w:t>
            </w:r>
          </w:p>
        </w:tc>
        <w:tc>
          <w:tcPr>
            <w:tcW w:w="4114" w:type="dxa"/>
            <w:gridSpan w:val="3"/>
            <w:tcBorders>
              <w:right w:val="single" w:color="auto" w:sz="12" w:space="0"/>
            </w:tcBorders>
            <w:vAlign w:val="center"/>
          </w:tcPr>
          <w:p w14:paraId="11A0AAC6">
            <w:r>
              <w:t>考查</w:t>
            </w:r>
          </w:p>
        </w:tc>
      </w:tr>
      <w:tr w14:paraId="3879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3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229A5E">
            <w:r>
              <w:t>选用教材</w:t>
            </w:r>
          </w:p>
        </w:tc>
        <w:tc>
          <w:tcPr>
            <w:tcW w:w="4958" w:type="dxa"/>
            <w:gridSpan w:val="3"/>
            <w:vAlign w:val="center"/>
          </w:tcPr>
          <w:p w14:paraId="3D88D301">
            <w:r>
              <w:rPr>
                <w:rFonts w:hint="eastAsia"/>
              </w:rPr>
              <w:t>《慢性病社区防控与健康管理》主编 张帆 王凌云  化学工业出版社</w:t>
            </w:r>
          </w:p>
        </w:tc>
        <w:tc>
          <w:tcPr>
            <w:tcW w:w="1413" w:type="dxa"/>
            <w:gridSpan w:val="2"/>
            <w:vAlign w:val="center"/>
          </w:tcPr>
          <w:p w14:paraId="45139272">
            <w:r>
              <w:t>是否为</w:t>
            </w:r>
          </w:p>
          <w:p w14:paraId="1AE60B63">
            <w:r>
              <w:t>马工程教材</w:t>
            </w:r>
          </w:p>
        </w:tc>
        <w:tc>
          <w:tcPr>
            <w:tcW w:w="2701" w:type="dxa"/>
            <w:tcBorders>
              <w:right w:val="single" w:color="auto" w:sz="12" w:space="0"/>
            </w:tcBorders>
            <w:vAlign w:val="center"/>
          </w:tcPr>
          <w:p w14:paraId="064FA4FE">
            <w:r>
              <w:t>否</w:t>
            </w:r>
          </w:p>
        </w:tc>
      </w:tr>
      <w:tr w14:paraId="0328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1CB2F1">
            <w:r>
              <w:t>先修课程</w:t>
            </w:r>
          </w:p>
        </w:tc>
        <w:tc>
          <w:tcPr>
            <w:tcW w:w="9072" w:type="dxa"/>
            <w:gridSpan w:val="6"/>
            <w:tcBorders>
              <w:right w:val="single" w:color="auto" w:sz="12" w:space="0"/>
            </w:tcBorders>
            <w:vAlign w:val="center"/>
          </w:tcPr>
          <w:p w14:paraId="42098B10">
            <w:pPr>
              <w:pStyle w:val="16"/>
            </w:pPr>
            <w:r>
              <w:rPr>
                <w:rFonts w:hint="eastAsia"/>
              </w:rPr>
              <w:t>正常人体结构学21700001（3）、正常人体功能学2170002（3）、疾病学基础2170003（4）、《临床医学概要》2170006（4）</w:t>
            </w:r>
          </w:p>
        </w:tc>
      </w:tr>
      <w:tr w14:paraId="652C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73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B2FD4F9">
            <w:r>
              <w:t>课程简介</w:t>
            </w:r>
          </w:p>
        </w:tc>
        <w:tc>
          <w:tcPr>
            <w:tcW w:w="9072" w:type="dxa"/>
            <w:gridSpan w:val="6"/>
            <w:tcBorders>
              <w:right w:val="single" w:color="auto" w:sz="12" w:space="0"/>
            </w:tcBorders>
          </w:tcPr>
          <w:p w14:paraId="050A2623">
            <w:pPr>
              <w:ind w:firstLine="480" w:firstLineChars="200"/>
              <w:jc w:val="left"/>
            </w:pPr>
            <w:r>
              <w:t>老年常见疾病预防与照护</w:t>
            </w:r>
            <w:r>
              <w:rPr>
                <w:rFonts w:hint="eastAsia"/>
              </w:rPr>
              <w:t>是一门随社会老龄化发展，社区居民需求而出现的课程，是针对如何对慢性病的病人进行持续性管理，干预的的社区医学科，其主要内容包括全科领域慢性病病人的持续性、全程性治疗、预防保健以及促进人类健康所必需的基础理论、基本知识和基本技能。本课程的主要任务是使学生树立“以人的健康为中心，以社区为单位，以发病率高的慢性病为管理对象，有计划，有组织，全面，持续的进行社区预防和管理活动”，培养和强化健全治疗-康复-长期的护理服务理念，利用所掌握的本课程知识及技能，开展临床及社区慢性病的管理服务。</w:t>
            </w:r>
          </w:p>
          <w:p w14:paraId="7165B061">
            <w:pPr>
              <w:ind w:firstLine="480" w:firstLineChars="200"/>
              <w:jc w:val="left"/>
            </w:pPr>
            <w:r>
              <w:rPr>
                <w:rFonts w:hint="eastAsia"/>
              </w:rPr>
              <w:t>在教学过程中，应始终贯彻预防为主的思想，坚持理论联系临床实际，灵活运用地讲授、自学、讨论、实验、案例分析等方法和多媒体计算机辅助教学活动，注重治未病技能训练、人文关怀、评判思维以及综合分析能力的培养。以高血压，心脑血管疾病，糖尿病，慢性阻塞性肺病等常见病的健康管理为教学重点，适当介绍国内外本学科的新理论、新技术和新动态，反应学科发展水平。</w:t>
            </w:r>
          </w:p>
        </w:tc>
      </w:tr>
      <w:tr w14:paraId="530E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6" w:hRule="atLeast"/>
        </w:trPr>
        <w:tc>
          <w:tcPr>
            <w:tcW w:w="1276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322597D">
            <w:r>
              <w:t>选课建议与学习要求</w:t>
            </w:r>
          </w:p>
        </w:tc>
        <w:tc>
          <w:tcPr>
            <w:tcW w:w="9072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7D009A6">
            <w:pPr>
              <w:ind w:firstLine="480" w:firstLineChars="200"/>
              <w:jc w:val="left"/>
            </w:pPr>
            <w:r>
              <w:rPr>
                <w:rFonts w:hint="eastAsia"/>
              </w:rPr>
              <w:t>学习《慢性病社区防控与健康管理》，需要在学习医学基础各课程（如全科学，流行病学、诊断学、生理学、病理学与病理生理学、药理学、计算机，健康评估等）的基础上才能学习。</w:t>
            </w:r>
          </w:p>
        </w:tc>
      </w:tr>
      <w:tr w14:paraId="02BE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6" w:hRule="atLeast"/>
        </w:trPr>
        <w:tc>
          <w:tcPr>
            <w:tcW w:w="1276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B09C90D">
            <w:r>
              <w:t>大纲编写人</w:t>
            </w:r>
          </w:p>
        </w:tc>
        <w:tc>
          <w:tcPr>
            <w:tcW w:w="4104" w:type="dxa"/>
            <w:gridSpan w:val="2"/>
            <w:tcBorders>
              <w:top w:val="double" w:color="auto" w:sz="4" w:space="0"/>
            </w:tcBorders>
            <w:vAlign w:val="center"/>
          </w:tcPr>
          <w:p w14:paraId="4172E797">
            <w:r>
              <w:drawing>
                <wp:inline distT="0" distB="0" distL="0" distR="0">
                  <wp:extent cx="486410" cy="226060"/>
                  <wp:effectExtent l="0" t="0" r="889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42" cy="24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02B6D09">
            <w:r>
              <w:t>制/修订时间</w:t>
            </w:r>
          </w:p>
        </w:tc>
        <w:tc>
          <w:tcPr>
            <w:tcW w:w="354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D02E2A9">
            <w:pPr>
              <w:rPr>
                <w:rFonts w:hint="eastAsia" w:eastAsiaTheme="minorEastAsia"/>
                <w:lang w:eastAsia="zh-CN"/>
              </w:rPr>
            </w:pPr>
            <w:r>
              <w:t>2026.0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755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27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65FBF2">
            <w:r>
              <w:t>专业负责人</w:t>
            </w:r>
          </w:p>
        </w:tc>
        <w:tc>
          <w:tcPr>
            <w:tcW w:w="4104" w:type="dxa"/>
            <w:gridSpan w:val="2"/>
            <w:vAlign w:val="center"/>
          </w:tcPr>
          <w:p w14:paraId="727F652E">
            <w:r>
              <w:drawing>
                <wp:inline distT="0" distB="0" distL="114300" distR="114300">
                  <wp:extent cx="369570" cy="260350"/>
                  <wp:effectExtent l="0" t="0" r="11430" b="6350"/>
                  <wp:docPr id="2" name="图片 2" descr="f1114f1d25838d99b5e6e81a95ff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114f1d25838d99b5e6e81a95ffe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C5986A1">
            <w:r>
              <w:t>审定时间</w:t>
            </w:r>
          </w:p>
        </w:tc>
        <w:tc>
          <w:tcPr>
            <w:tcW w:w="3543" w:type="dxa"/>
            <w:gridSpan w:val="2"/>
            <w:tcBorders>
              <w:right w:val="single" w:color="auto" w:sz="12" w:space="0"/>
            </w:tcBorders>
            <w:vAlign w:val="center"/>
          </w:tcPr>
          <w:p w14:paraId="318E9E23">
            <w:r>
              <w:t>2026.03</w:t>
            </w:r>
          </w:p>
        </w:tc>
      </w:tr>
      <w:tr w14:paraId="6C23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276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66079B3">
            <w:r>
              <w:t>学院负责人</w:t>
            </w:r>
          </w:p>
        </w:tc>
        <w:tc>
          <w:tcPr>
            <w:tcW w:w="4104" w:type="dxa"/>
            <w:gridSpan w:val="2"/>
            <w:tcBorders>
              <w:bottom w:val="single" w:color="auto" w:sz="12" w:space="0"/>
            </w:tcBorders>
            <w:vAlign w:val="center"/>
          </w:tcPr>
          <w:p w14:paraId="2E2989AA">
            <w:bookmarkStart w:id="4" w:name="_GoBack"/>
            <w:r>
              <w:drawing>
                <wp:inline distT="0" distB="0" distL="114300" distR="114300">
                  <wp:extent cx="550545" cy="374650"/>
                  <wp:effectExtent l="0" t="0" r="1905" b="6350"/>
                  <wp:docPr id="3" name="图片 3" descr="f77e42f2653d6b00b29a3f33e0b3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7e42f2653d6b00b29a3f33e0b313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A931D19">
            <w:r>
              <w:t>批准时间</w:t>
            </w:r>
          </w:p>
        </w:tc>
        <w:tc>
          <w:tcPr>
            <w:tcW w:w="354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8CFEF7E">
            <w:r>
              <w:t>2026.03</w:t>
            </w:r>
          </w:p>
        </w:tc>
      </w:tr>
    </w:tbl>
    <w:p w14:paraId="2E420AC1">
      <w:r>
        <w:br w:type="page"/>
      </w:r>
    </w:p>
    <w:p w14:paraId="36A36CC0">
      <w:pPr>
        <w:pStyle w:val="18"/>
        <w:jc w:val="left"/>
      </w:pPr>
      <w:r>
        <w:t>二、课程目标与毕业要求</w:t>
      </w:r>
    </w:p>
    <w:p w14:paraId="368FC509">
      <w:pPr>
        <w:pStyle w:val="19"/>
      </w:pPr>
      <w:r>
        <w:t xml:space="preserve">（一）课程目标 </w:t>
      </w:r>
    </w:p>
    <w:tbl>
      <w:tblPr>
        <w:tblStyle w:val="9"/>
        <w:tblW w:w="474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85"/>
        <w:gridCol w:w="723"/>
        <w:gridCol w:w="8090"/>
      </w:tblGrid>
      <w:tr w14:paraId="28631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61" w:type="dxa"/>
            <w:vAlign w:val="center"/>
          </w:tcPr>
          <w:p w14:paraId="4486C874">
            <w: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4F059">
            <w:r>
              <w:t>序号</w:t>
            </w:r>
          </w:p>
        </w:tc>
        <w:tc>
          <w:tcPr>
            <w:tcW w:w="7938" w:type="dxa"/>
            <w:vAlign w:val="center"/>
          </w:tcPr>
          <w:p w14:paraId="7B453083">
            <w:r>
              <w:t>内</w:t>
            </w:r>
            <w:r>
              <w:rPr>
                <w:rFonts w:hint="eastAsia"/>
              </w:rPr>
              <w:t xml:space="preserve"> </w:t>
            </w:r>
            <w:r>
              <w:t xml:space="preserve">  容</w:t>
            </w:r>
          </w:p>
        </w:tc>
      </w:tr>
      <w:tr w14:paraId="12E09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Align w:val="center"/>
          </w:tcPr>
          <w:p w14:paraId="7D329009">
            <w: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C93AC">
            <w:r>
              <w:t>1</w:t>
            </w:r>
          </w:p>
        </w:tc>
        <w:tc>
          <w:tcPr>
            <w:tcW w:w="7938" w:type="dxa"/>
            <w:vAlign w:val="center"/>
          </w:tcPr>
          <w:p w14:paraId="1E49DE44">
            <w:pPr>
              <w:jc w:val="left"/>
            </w:pPr>
            <w:r>
              <w:t>掌握管理学、社会学和护理学等学科的基础理论、专门知识，以及现代养老服务管理的前沿理念。</w:t>
            </w:r>
          </w:p>
        </w:tc>
      </w:tr>
      <w:tr w14:paraId="75373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61" w:type="dxa"/>
            <w:vAlign w:val="center"/>
          </w:tcPr>
          <w:p w14:paraId="4C8EE7F5">
            <w: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65891C">
            <w:r>
              <w:t>2</w:t>
            </w:r>
          </w:p>
        </w:tc>
        <w:tc>
          <w:tcPr>
            <w:tcW w:w="7938" w:type="dxa"/>
            <w:vAlign w:val="center"/>
          </w:tcPr>
          <w:p w14:paraId="40B4DAB5">
            <w:pPr>
              <w:jc w:val="left"/>
            </w:pPr>
            <w:r>
              <w:t>能在现代养老服务领域开展与本专业相关的工作，具备研发能力、创新意识和团队精神。掌握发现并致力解决老年人群生理、心理、社会需求问题的专业技能。具备与国际国内同行、客户进行沟通的能力，以及跨文化交流合作的技能。</w:t>
            </w:r>
          </w:p>
        </w:tc>
      </w:tr>
      <w:tr w14:paraId="51BF5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62C67E69">
            <w:r>
              <w:t>素养目标</w:t>
            </w:r>
          </w:p>
          <w:p w14:paraId="73EC7BC0">
            <w:r>
              <w:t>(含课程思政目标)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546D62">
            <w:r>
              <w:t>3</w:t>
            </w:r>
          </w:p>
        </w:tc>
        <w:tc>
          <w:tcPr>
            <w:tcW w:w="7938" w:type="dxa"/>
            <w:vAlign w:val="center"/>
          </w:tcPr>
          <w:p w14:paraId="0BF53387">
            <w:pPr>
              <w:jc w:val="left"/>
            </w:pPr>
            <w:r>
              <w:t>具有爱岗敬业、敢为人先的职业精神，以及强烈的社会责任感。</w:t>
            </w:r>
          </w:p>
          <w:p w14:paraId="58C67D3C">
            <w:pPr>
              <w:jc w:val="left"/>
            </w:pPr>
            <w:r>
              <w:t>拥有创新精神和创业意识，能够适应养老服务行业的发展变化。</w:t>
            </w:r>
          </w:p>
        </w:tc>
      </w:tr>
      <w:tr w14:paraId="2622E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33F99E0A"/>
        </w:tc>
        <w:tc>
          <w:tcPr>
            <w:tcW w:w="709" w:type="dxa"/>
            <w:shd w:val="clear" w:color="auto" w:fill="auto"/>
            <w:vAlign w:val="center"/>
          </w:tcPr>
          <w:p w14:paraId="0A30B416">
            <w:r>
              <w:rPr>
                <w:rFonts w:hint="eastAsia"/>
              </w:rPr>
              <w:t>4</w:t>
            </w:r>
          </w:p>
        </w:tc>
        <w:tc>
          <w:tcPr>
            <w:tcW w:w="7938" w:type="dxa"/>
            <w:vAlign w:val="center"/>
          </w:tcPr>
          <w:p w14:paraId="11EF5880">
            <w:pPr>
              <w:jc w:val="left"/>
            </w:pPr>
            <w:r>
              <w:t>具备人文素养，满足个人学术愿望和职业期望，有终身学习和专业发展的意愿。拥有国际化视野，能够积极参与全球养老服务的交流与合作。</w:t>
            </w:r>
          </w:p>
        </w:tc>
      </w:tr>
    </w:tbl>
    <w:p w14:paraId="234A6F66">
      <w:pPr>
        <w:pStyle w:val="19"/>
      </w:pPr>
      <w:r>
        <w:t>（二）课程支撑的毕业要求</w:t>
      </w:r>
    </w:p>
    <w:tbl>
      <w:tblPr>
        <w:tblStyle w:val="10"/>
        <w:tblW w:w="0" w:type="auto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4"/>
      </w:tblGrid>
      <w:tr w14:paraId="17B2F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10064" w:type="dxa"/>
          </w:tcPr>
          <w:p w14:paraId="79A05A3E">
            <w:pPr>
              <w:pStyle w:val="16"/>
              <w:jc w:val="left"/>
            </w:pPr>
            <w: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  <w:r>
              <w:rPr>
                <w:rFonts w:hint="eastAsia"/>
              </w:rPr>
              <w:t>③</w:t>
            </w:r>
            <w:r>
              <w:t>奉献社会，富有爱心，懂得感恩，自觉传承和弘扬雷锋精神，具有服务社会的意愿和行动，积极参加志愿者服务。</w:t>
            </w:r>
          </w:p>
        </w:tc>
      </w:tr>
      <w:tr w14:paraId="392CB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</w:tcPr>
          <w:p w14:paraId="47378D18">
            <w:pPr>
              <w:jc w:val="left"/>
            </w:pPr>
            <w:r>
              <w:t>LO2专业能力：</w:t>
            </w:r>
            <w:r>
              <w:rPr>
                <w:rFonts w:hint="eastAsia"/>
              </w:rPr>
              <w:t>掌握管理学、社会学、护理学等学科基础理论和专门知识，能够熟练运用养老机构经营管理、老年健康管理、老年照护等专业技能，具备现代养老服务管理的理念和素养。②健康评估能力：能全面评估老年人的身心、社会及精神方面的健康状态，具有健康监测、健康风险评估能力。</w:t>
            </w:r>
          </w:p>
        </w:tc>
      </w:tr>
      <w:tr w14:paraId="3C092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</w:tcPr>
          <w:p w14:paraId="0353AC64">
            <w:pPr>
              <w:jc w:val="left"/>
            </w:pPr>
            <w:r>
              <w:rPr>
                <w:rFonts w:hint="eastAsia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⑤健康教育能力：能确定老年人的健康需求，并采用合适的健康教育策略。</w:t>
            </w:r>
          </w:p>
        </w:tc>
      </w:tr>
    </w:tbl>
    <w:p w14:paraId="45F979FC">
      <w:pPr>
        <w:pStyle w:val="19"/>
      </w:pPr>
      <w:r>
        <w:t xml:space="preserve">（三）毕业要求与课程目标的关系 </w:t>
      </w:r>
    </w:p>
    <w:tbl>
      <w:tblPr>
        <w:tblStyle w:val="9"/>
        <w:tblW w:w="47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74"/>
        <w:gridCol w:w="997"/>
        <w:gridCol w:w="997"/>
        <w:gridCol w:w="5976"/>
        <w:gridCol w:w="1154"/>
      </w:tblGrid>
      <w:tr w14:paraId="12E1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95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C99D7B">
            <w:pPr>
              <w:pStyle w:val="15"/>
              <w:rPr>
                <w:szCs w:val="16"/>
              </w:rPr>
            </w:pPr>
            <w:r>
              <w:t>毕业要求</w:t>
            </w:r>
          </w:p>
        </w:tc>
        <w:tc>
          <w:tcPr>
            <w:tcW w:w="9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AB1E7F">
            <w:pPr>
              <w:pStyle w:val="15"/>
            </w:pPr>
            <w:r>
              <w:t>指标点</w:t>
            </w:r>
          </w:p>
        </w:tc>
        <w:tc>
          <w:tcPr>
            <w:tcW w:w="9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ABDCB6D">
            <w:pPr>
              <w:pStyle w:val="15"/>
            </w:pPr>
            <w:r>
              <w:t>支撑度</w:t>
            </w:r>
          </w:p>
        </w:tc>
        <w:tc>
          <w:tcPr>
            <w:tcW w:w="5864" w:type="dxa"/>
            <w:tcBorders>
              <w:top w:val="single" w:color="auto" w:sz="12" w:space="0"/>
            </w:tcBorders>
            <w:vAlign w:val="center"/>
          </w:tcPr>
          <w:p w14:paraId="4E31CD8B">
            <w:pPr>
              <w:pStyle w:val="15"/>
            </w:pPr>
            <w:r>
              <w:t>课程目标</w:t>
            </w:r>
          </w:p>
        </w:tc>
        <w:tc>
          <w:tcPr>
            <w:tcW w:w="113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A72922">
            <w:pPr>
              <w:pStyle w:val="15"/>
            </w:pPr>
            <w:r>
              <w:t>对指标点的贡献度</w:t>
            </w:r>
          </w:p>
        </w:tc>
      </w:tr>
      <w:tr w14:paraId="0FB5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  <w:jc w:val="center"/>
        </w:trPr>
        <w:tc>
          <w:tcPr>
            <w:tcW w:w="95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E0DAC5">
            <w:pPr>
              <w:pStyle w:val="16"/>
            </w:pPr>
            <w:r>
              <w:t>LO1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 w14:paraId="3635B526">
            <w:pPr>
              <w:pStyle w:val="16"/>
            </w:pPr>
            <w:r>
              <w:rPr>
                <w:rFonts w:hint="eastAsia"/>
              </w:rPr>
              <w:t>③</w:t>
            </w:r>
          </w:p>
        </w:tc>
        <w:tc>
          <w:tcPr>
            <w:tcW w:w="9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7336C4">
            <w:pPr>
              <w:pStyle w:val="16"/>
            </w:pPr>
            <w:r>
              <w:t>M</w:t>
            </w:r>
          </w:p>
        </w:tc>
        <w:tc>
          <w:tcPr>
            <w:tcW w:w="5864" w:type="dxa"/>
            <w:vAlign w:val="center"/>
          </w:tcPr>
          <w:p w14:paraId="7008CD60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具有爱岗敬业、敢为人先的职业精神，以及强烈的社会责任感。</w:t>
            </w:r>
          </w:p>
          <w:p w14:paraId="1CBBC35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拥有创新精神和创业意识，能够适应养老服务行业的发展变化。</w:t>
            </w:r>
          </w:p>
          <w:p w14:paraId="6A4227B0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具备人文素养，满足个人学术愿望和职业期望，有终身学习和专业发展的意愿。</w:t>
            </w:r>
          </w:p>
          <w:p w14:paraId="06F97C88">
            <w:pPr>
              <w:jc w:val="left"/>
            </w:pPr>
            <w:r>
              <w:rPr>
                <w:lang w:bidi="ar"/>
              </w:rPr>
              <w:t>拥有国际化视野，能够积极参与全球养老服务的交流与合作。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2C2B2EF8">
            <w:pPr>
              <w:pStyle w:val="16"/>
            </w:pPr>
            <w:r>
              <w:t>100%</w:t>
            </w:r>
          </w:p>
        </w:tc>
      </w:tr>
      <w:tr w14:paraId="09D7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94BFBC3">
            <w:pPr>
              <w:pStyle w:val="16"/>
            </w:pPr>
            <w:r>
              <w:t>LO2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 w14:paraId="03065623">
            <w:pPr>
              <w:pStyle w:val="16"/>
            </w:pPr>
            <w:r>
              <w:rPr>
                <w:rFonts w:hint="eastAsia"/>
              </w:rPr>
              <w:t>②</w:t>
            </w:r>
          </w:p>
        </w:tc>
        <w:tc>
          <w:tcPr>
            <w:tcW w:w="9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233E94">
            <w:pPr>
              <w:pStyle w:val="16"/>
            </w:pPr>
            <w:r>
              <w:t>H</w:t>
            </w:r>
          </w:p>
        </w:tc>
        <w:tc>
          <w:tcPr>
            <w:tcW w:w="5864" w:type="dxa"/>
            <w:vAlign w:val="center"/>
          </w:tcPr>
          <w:p w14:paraId="542480A5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能在现代养老服务领域开展与本专业相关的工作，具备研发能力、创新意识和团队精神。</w:t>
            </w:r>
          </w:p>
          <w:p w14:paraId="1768125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掌握发现并致力解决老年人群生理、心理、社会需求问题的专业技能。</w:t>
            </w:r>
          </w:p>
          <w:p w14:paraId="0E9513C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具备与国际国内同行、客户进行沟通的能力，以及跨文化交流合作的技能。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0824E0FC">
            <w:pPr>
              <w:pStyle w:val="16"/>
            </w:pPr>
            <w:r>
              <w:t>100%</w:t>
            </w:r>
          </w:p>
        </w:tc>
      </w:tr>
      <w:tr w14:paraId="265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956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B51F0F8">
            <w:pPr>
              <w:pStyle w:val="16"/>
            </w:pPr>
            <w:r>
              <w:t>LO2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 w14:paraId="51962DF0">
            <w:pPr>
              <w:pStyle w:val="16"/>
            </w:pPr>
            <w:r>
              <w:rPr>
                <w:rFonts w:hint="eastAsia"/>
              </w:rPr>
              <w:t>⑤</w:t>
            </w:r>
          </w:p>
        </w:tc>
        <w:tc>
          <w:tcPr>
            <w:tcW w:w="9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96D33D9">
            <w:pPr>
              <w:pStyle w:val="16"/>
            </w:pPr>
            <w:r>
              <w:t>H</w:t>
            </w:r>
          </w:p>
        </w:tc>
        <w:tc>
          <w:tcPr>
            <w:tcW w:w="5864" w:type="dxa"/>
            <w:vAlign w:val="center"/>
          </w:tcPr>
          <w:p w14:paraId="3D6AAF46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能在现代养老服务领域开展与本专业相关的工作，具备研发能力、创新意识和团队精神。</w:t>
            </w:r>
          </w:p>
          <w:p w14:paraId="40D2E70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掌握发现并致力解决老年人群生理、心理、社会需求问题的专业技能。</w:t>
            </w:r>
          </w:p>
          <w:p w14:paraId="75F6904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具备与国际国内同行、客户进行沟通的能力，以及跨文化交流合作的技能。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0F0AA4C1">
            <w:pPr>
              <w:pStyle w:val="16"/>
            </w:pPr>
            <w:r>
              <w:t>100%</w:t>
            </w:r>
          </w:p>
        </w:tc>
      </w:tr>
    </w:tbl>
    <w:p w14:paraId="2EE8E6E8">
      <w:pPr>
        <w:pStyle w:val="1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三、</w:t>
      </w:r>
      <w:r>
        <w:rPr>
          <w:rFonts w:hint="eastAsia" w:ascii="黑体" w:hAnsi="宋体"/>
        </w:rPr>
        <w:t>实验</w:t>
      </w:r>
      <w:r>
        <w:rPr>
          <w:rFonts w:hint="eastAsia"/>
          <w:szCs w:val="28"/>
        </w:rPr>
        <w:t>内容与要求</w:t>
      </w:r>
    </w:p>
    <w:p w14:paraId="7C4BAF92">
      <w:pPr>
        <w:pStyle w:val="19"/>
      </w:pPr>
      <w:r>
        <w:rPr>
          <w:rFonts w:hint="eastAsia"/>
        </w:rPr>
        <w:t>（一）各实验项目的基本信息</w:t>
      </w:r>
    </w:p>
    <w:tbl>
      <w:tblPr>
        <w:tblStyle w:val="9"/>
        <w:tblW w:w="474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7"/>
        <w:gridCol w:w="4514"/>
        <w:gridCol w:w="1635"/>
        <w:gridCol w:w="774"/>
        <w:gridCol w:w="867"/>
        <w:gridCol w:w="1011"/>
      </w:tblGrid>
      <w:tr w14:paraId="5BC8F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27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E9B5D03">
            <w:r>
              <w:rPr>
                <w:rFonts w:hint="eastAsia"/>
              </w:rPr>
              <w:t>序号</w:t>
            </w:r>
          </w:p>
        </w:tc>
        <w:tc>
          <w:tcPr>
            <w:tcW w:w="442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4C3F4A">
            <w:r>
              <w:rPr>
                <w:rFonts w:hint="eastAsia"/>
              </w:rPr>
              <w:t>实验项目名称</w:t>
            </w:r>
          </w:p>
        </w:tc>
        <w:tc>
          <w:tcPr>
            <w:tcW w:w="160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D24D5D1">
            <w:r>
              <w:rPr>
                <w:rFonts w:hint="eastAsia"/>
              </w:rPr>
              <w:t>实验类型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92BAE42">
            <w:pPr>
              <w:rPr>
                <w:rFonts w:ascii="Arial" w:hAnsi="Arial"/>
                <w:szCs w:val="16"/>
              </w:rPr>
            </w:pPr>
            <w:r>
              <w:rPr>
                <w:rFonts w:hint="eastAsia"/>
              </w:rPr>
              <w:t>学时分配</w:t>
            </w:r>
          </w:p>
        </w:tc>
      </w:tr>
      <w:tr w14:paraId="6DAC4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276BA2"/>
        </w:tc>
        <w:tc>
          <w:tcPr>
            <w:tcW w:w="442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58F9D8"/>
        </w:tc>
        <w:tc>
          <w:tcPr>
            <w:tcW w:w="16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75C50F"/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15B860">
            <w:r>
              <w:rPr>
                <w:rFonts w:hint="eastAsia"/>
              </w:rPr>
              <w:t>理论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4F123D">
            <w:r>
              <w:rPr>
                <w:rFonts w:hint="eastAsia"/>
              </w:rPr>
              <w:t>实践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7BA66C">
            <w:r>
              <w:rPr>
                <w:rFonts w:hint="eastAsia"/>
              </w:rPr>
              <w:t>小计</w:t>
            </w:r>
          </w:p>
        </w:tc>
      </w:tr>
      <w:tr w14:paraId="5A780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4E9245C">
            <w:r>
              <w:t>1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F247FCF">
            <w:r>
              <w:t>慢性病案例分析与报告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364836B7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B67D08B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8B8119B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88281F">
            <w:r>
              <w:t>2</w:t>
            </w:r>
          </w:p>
        </w:tc>
      </w:tr>
      <w:tr w14:paraId="69B5F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649A3A">
            <w:r>
              <w:t>2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07D8D9F">
            <w:r>
              <w:t>慢性病社区防治与管理案例实操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3BAECB7A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BC0E26F">
            <w:r>
              <w:t>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71BB915D">
            <w:r>
              <w:t>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3C4A335">
            <w:r>
              <w:t>1</w:t>
            </w:r>
          </w:p>
        </w:tc>
      </w:tr>
      <w:tr w14:paraId="245F9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5B7AD30">
            <w:r>
              <w:t>3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7BC926">
            <w:r>
              <w:t>慢性病社区健康教育方案设计与演练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11E0B849">
            <w:r>
              <w:t>设计型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50A7732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D8BBF96">
            <w:r>
              <w:t>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541B23C">
            <w:r>
              <w:t>3</w:t>
            </w:r>
          </w:p>
        </w:tc>
      </w:tr>
      <w:tr w14:paraId="793AD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137DEA1">
            <w:r>
              <w:rPr>
                <w:rFonts w:hint="eastAsia"/>
              </w:rPr>
              <w:t>4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76485CD">
            <w:r>
              <w:rPr>
                <w:rFonts w:hint="eastAsia"/>
              </w:rPr>
              <w:t>健康管理概述</w:t>
            </w:r>
            <w:r>
              <w:t>方案设计与</w:t>
            </w:r>
            <w:r>
              <w:rPr>
                <w:rFonts w:hint="eastAsia"/>
              </w:rPr>
              <w:t>报告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766DF5F7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3820588"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5E1B1589">
            <w:r>
              <w:rPr>
                <w:rFonts w:hint="eastAsia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0160E99">
            <w:r>
              <w:rPr>
                <w:rFonts w:hint="eastAsia"/>
              </w:rPr>
              <w:t>1</w:t>
            </w:r>
          </w:p>
        </w:tc>
      </w:tr>
      <w:tr w14:paraId="69B7C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35ACDBB">
            <w:r>
              <w:rPr>
                <w:rFonts w:hint="eastAsia"/>
              </w:rPr>
              <w:t>5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D935BFF">
            <w:r>
              <w:rPr>
                <w:rFonts w:hint="eastAsia"/>
              </w:rPr>
              <w:t>健康体检</w:t>
            </w:r>
            <w:r>
              <w:t>方案设计与</w:t>
            </w:r>
            <w:r>
              <w:rPr>
                <w:rFonts w:hint="eastAsia"/>
              </w:rPr>
              <w:t>报告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693D100A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69D37A2"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386C2030">
            <w:r>
              <w:rPr>
                <w:rFonts w:hint="eastAsia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71B9F37">
            <w:r>
              <w:rPr>
                <w:rFonts w:hint="eastAsia"/>
              </w:rPr>
              <w:t>1</w:t>
            </w:r>
          </w:p>
        </w:tc>
      </w:tr>
      <w:tr w14:paraId="168AA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17E1F0D">
            <w:r>
              <w:t>6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E79EA78">
            <w:r>
              <w:t>高血压管理案例实操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0624F901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716085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3F90C142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F52CCE1">
            <w:r>
              <w:t>2</w:t>
            </w:r>
          </w:p>
        </w:tc>
      </w:tr>
      <w:tr w14:paraId="47F0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134B84E">
            <w:r>
              <w:t>7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E8F83F8">
            <w:r>
              <w:t>冠心病与 PCI 术后管理案例实操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22C68FB2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68367E5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6A3599ED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55EFBDB">
            <w:r>
              <w:t>2</w:t>
            </w:r>
          </w:p>
        </w:tc>
      </w:tr>
      <w:tr w14:paraId="6AFBB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A87B44C">
            <w:r>
              <w:t>8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31CC26B">
            <w:r>
              <w:t>血脂异常管理案例实操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415B519F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75716ED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13177DF5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747DD26">
            <w:r>
              <w:t>2</w:t>
            </w:r>
          </w:p>
        </w:tc>
      </w:tr>
      <w:tr w14:paraId="5F05D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59BC358">
            <w:r>
              <w:t>9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A1DF4F">
            <w:r>
              <w:t>脑卒中管理与康复指导实操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0400B976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AD79C97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C9F1397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DBF4D50">
            <w:r>
              <w:t>2</w:t>
            </w:r>
          </w:p>
        </w:tc>
      </w:tr>
      <w:tr w14:paraId="136E6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F362985">
            <w:r>
              <w:t>10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BE3BCAA">
            <w:r>
              <w:t>糖尿病管理案例实操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4AC9AE95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63B6864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0208B23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B868A25">
            <w:r>
              <w:t>2</w:t>
            </w:r>
          </w:p>
        </w:tc>
      </w:tr>
      <w:tr w14:paraId="26F93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E1B56F1">
            <w:r>
              <w:t>11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9E30D14">
            <w:r>
              <w:t>高尿酸血症与痛风管理案例实操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26799494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145C337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0C5ED978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DC984D2">
            <w:r>
              <w:t>2</w:t>
            </w:r>
          </w:p>
        </w:tc>
      </w:tr>
      <w:tr w14:paraId="5065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BCABEA">
            <w:r>
              <w:t>12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E1C01FA">
            <w:r>
              <w:t>肥胖症管理案例实操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1384C916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8230ECE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3FBEF6C">
            <w:r>
              <w:t>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31CBC02">
            <w:r>
              <w:t>1</w:t>
            </w:r>
          </w:p>
        </w:tc>
      </w:tr>
      <w:tr w14:paraId="612C0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96B5596">
            <w:r>
              <w:t>13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5BF4931">
            <w:r>
              <w:t>COPD 管理与急性发作处理实操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16678D48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DA3CAA4">
            <w:r>
              <w:t>1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FA1B3FF">
            <w:r>
              <w:t>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982FCE0">
            <w:r>
              <w:t>1</w:t>
            </w:r>
          </w:p>
        </w:tc>
      </w:tr>
      <w:tr w14:paraId="1283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078367A">
            <w:r>
              <w:t>14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ECEC900">
            <w:r>
              <w:t>慢性肾脏病管理案例实操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6E01E761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A166108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27956638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97F44EB">
            <w:r>
              <w:t>2</w:t>
            </w:r>
          </w:p>
        </w:tc>
      </w:tr>
      <w:tr w14:paraId="6185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F68F161">
            <w:r>
              <w:t>15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8010CD9">
            <w:r>
              <w:t>膝骨关节炎管理与康复指导实操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3B56CF47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5AA698">
            <w:r>
              <w:t>0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0CB5D9DB">
            <w:r>
              <w:t>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77368B9">
            <w:r>
              <w:t>2</w:t>
            </w:r>
          </w:p>
        </w:tc>
      </w:tr>
      <w:tr w14:paraId="12200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9BB4E67">
            <w:r>
              <w:rPr>
                <w:rFonts w:hint="eastAsia"/>
              </w:rPr>
              <w:t>1</w:t>
            </w:r>
            <w:r>
              <w:t xml:space="preserve">6 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1BBB91D">
            <w:r>
              <w:rPr>
                <w:rFonts w:hint="eastAsia"/>
              </w:rPr>
              <w:t>安宁疗护</w:t>
            </w:r>
            <w:r>
              <w:t>案例实操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19B92C09">
            <w:r>
              <w:t>综合型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FDB05F9"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408114D9">
            <w:r>
              <w:rPr>
                <w:rFonts w:hint="eastAsia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309982F">
            <w:r>
              <w:rPr>
                <w:rFonts w:hint="eastAsia"/>
              </w:rPr>
              <w:t>2</w:t>
            </w:r>
          </w:p>
        </w:tc>
      </w:tr>
      <w:tr w14:paraId="5ACF2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9B518C0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44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3833891">
            <w:r>
              <w:rPr>
                <w:rFonts w:hint="eastAsia"/>
              </w:rPr>
              <w:t>随堂测验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</w:tcPr>
          <w:p w14:paraId="6C1E0311">
            <w:r>
              <w:rPr>
                <w:rFonts w:hint="eastAsia"/>
              </w:rPr>
              <w:t>理论考试</w:t>
            </w:r>
          </w:p>
        </w:tc>
        <w:tc>
          <w:tcPr>
            <w:tcW w:w="7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6688EB2">
            <w:r>
              <w:t>2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 w14:paraId="043735AF">
            <w:r>
              <w:t>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5132715">
            <w:r>
              <w:rPr>
                <w:rFonts w:hint="eastAsia"/>
              </w:rPr>
              <w:t>2</w:t>
            </w:r>
          </w:p>
        </w:tc>
      </w:tr>
      <w:tr w14:paraId="6B4D2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9908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F535D"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  <w:p w14:paraId="6FC309C5">
            <w:pPr>
              <w:pStyle w:val="19"/>
            </w:pPr>
            <w:r>
              <w:rPr>
                <w:rFonts w:hint="eastAsia"/>
              </w:rPr>
              <w:t>（二）各实验项目教学目标、内容与要求</w:t>
            </w:r>
          </w:p>
          <w:p w14:paraId="2A7A3049"/>
          <w:tbl>
            <w:tblPr>
              <w:tblStyle w:val="10"/>
              <w:tblW w:w="967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3"/>
              <w:gridCol w:w="1853"/>
              <w:gridCol w:w="7087"/>
            </w:tblGrid>
            <w:tr w14:paraId="496A6EB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</w:trPr>
              <w:tc>
                <w:tcPr>
                  <w:tcW w:w="733" w:type="dxa"/>
                </w:tcPr>
                <w:p w14:paraId="6F3ABD73"/>
                <w:p w14:paraId="3A0CC300">
                  <w:r>
                    <w:t>序号</w:t>
                  </w:r>
                </w:p>
              </w:tc>
              <w:tc>
                <w:tcPr>
                  <w:tcW w:w="1853" w:type="dxa"/>
                </w:tcPr>
                <w:p w14:paraId="54489734"/>
                <w:p w14:paraId="16A1A321">
                  <w:r>
                    <w:t>实验项目名称</w:t>
                  </w:r>
                </w:p>
              </w:tc>
              <w:tc>
                <w:tcPr>
                  <w:tcW w:w="7087" w:type="dxa"/>
                </w:tcPr>
                <w:p w14:paraId="033C2B58"/>
                <w:p w14:paraId="51FBF171">
                  <w:r>
                    <w:t>目标要求与主要内容</w:t>
                  </w:r>
                </w:p>
              </w:tc>
            </w:tr>
            <w:tr w14:paraId="30471EB6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132552B2">
                  <w:r>
                    <w:t>1</w:t>
                  </w:r>
                </w:p>
                <w:p w14:paraId="19E23AB4"/>
              </w:tc>
              <w:tc>
                <w:tcPr>
                  <w:tcW w:w="1853" w:type="dxa"/>
                </w:tcPr>
                <w:p w14:paraId="16F2BC2C">
                  <w:pPr>
                    <w:jc w:val="left"/>
                  </w:pPr>
                  <w:r>
                    <w:t>慢性病案例分析与报告</w:t>
                  </w:r>
                </w:p>
                <w:p w14:paraId="7929A0F9">
                  <w:pPr>
                    <w:jc w:val="left"/>
                  </w:pPr>
                </w:p>
              </w:tc>
              <w:tc>
                <w:tcPr>
                  <w:tcW w:w="7087" w:type="dxa"/>
                </w:tcPr>
                <w:p w14:paraId="4D116B1D">
                  <w:pPr>
                    <w:jc w:val="left"/>
                  </w:pPr>
                  <w:r>
                    <w:t>选择常见慢性病（如高血压、糖尿病、冠心病等），根据病历进行分析，识别病因、危害及防控措施，撰写报告总结。通过案例分析，深化对慢性病发病机制、防控要点的理解，为后续实操奠定基础。</w:t>
                  </w:r>
                </w:p>
              </w:tc>
            </w:tr>
            <w:tr w14:paraId="1A2CDDC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33720A87">
                  <w:r>
                    <w:t>2</w:t>
                  </w:r>
                </w:p>
              </w:tc>
              <w:tc>
                <w:tcPr>
                  <w:tcW w:w="1853" w:type="dxa"/>
                </w:tcPr>
                <w:p w14:paraId="390AB1CA">
                  <w:pPr>
                    <w:jc w:val="left"/>
                  </w:pPr>
                  <w:r>
                    <w:t>健康管理方案设计与实施</w:t>
                  </w:r>
                </w:p>
              </w:tc>
              <w:tc>
                <w:tcPr>
                  <w:tcW w:w="7087" w:type="dxa"/>
                </w:tcPr>
                <w:p w14:paraId="6A535691">
                  <w:pPr>
                    <w:jc w:val="left"/>
                  </w:pPr>
                  <w:r>
                    <w:t>根据所学知识，设计并实施一份适用于社区的慢性病健康管理方案，具体涉及慢性病人群的评估、干预策略、随访管理等。方案需结合社区实际，确保科学性、针对性和可操作性，实施后总结成效与改进方向。</w:t>
                  </w:r>
                </w:p>
              </w:tc>
            </w:tr>
            <w:tr w14:paraId="63021AF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2" w:hRule="atLeast"/>
              </w:trPr>
              <w:tc>
                <w:tcPr>
                  <w:tcW w:w="733" w:type="dxa"/>
                </w:tcPr>
                <w:p w14:paraId="35D7B0E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853" w:type="dxa"/>
                </w:tcPr>
                <w:p w14:paraId="2EA9616F">
                  <w:pPr>
                    <w:jc w:val="left"/>
                  </w:pPr>
                  <w:r>
                    <w:t>健康教育实施演练</w:t>
                  </w:r>
                </w:p>
              </w:tc>
              <w:tc>
                <w:tcPr>
                  <w:tcW w:w="7087" w:type="dxa"/>
                </w:tcPr>
                <w:p w14:paraId="330BB3EB">
                  <w:pPr>
                    <w:jc w:val="left"/>
                  </w:pPr>
                  <w:r>
                    <w:t>小组讨论并设计一份健康教育方案，针对特定慢性病进行社区健康教育的实施演练（例如高血压、糖尿病健康教育等），并进行小组汇报。</w:t>
                  </w:r>
                </w:p>
              </w:tc>
            </w:tr>
            <w:tr w14:paraId="5C5D79D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4644103A">
                  <w:r>
                    <w:t>4</w:t>
                  </w:r>
                </w:p>
              </w:tc>
              <w:tc>
                <w:tcPr>
                  <w:tcW w:w="1853" w:type="dxa"/>
                </w:tcPr>
                <w:p w14:paraId="3C2F561D">
                  <w:pPr>
                    <w:jc w:val="left"/>
                  </w:pPr>
                  <w:r>
                    <w:t>高血压管理案例实操</w:t>
                  </w:r>
                </w:p>
              </w:tc>
              <w:tc>
                <w:tcPr>
                  <w:tcW w:w="7087" w:type="dxa"/>
                </w:tcPr>
                <w:p w14:paraId="7F077697">
                  <w:pPr>
                    <w:jc w:val="left"/>
                  </w:pPr>
                  <w:r>
                    <w:t>选取社区高血压确诊患者案例，完成筛查评估、个性化干预（用药、饮食、运动指导）、定期随访及转诊流程实操，记录案例详情，总结管理经验，掌握高血压社区规范化管理方法。</w:t>
                  </w:r>
                </w:p>
              </w:tc>
            </w:tr>
            <w:tr w14:paraId="2B797F5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0916FD41">
                  <w:r>
                    <w:t>5</w:t>
                  </w:r>
                </w:p>
              </w:tc>
              <w:tc>
                <w:tcPr>
                  <w:tcW w:w="1853" w:type="dxa"/>
                </w:tcPr>
                <w:p w14:paraId="51FE4E2D">
                  <w:pPr>
                    <w:jc w:val="left"/>
                  </w:pPr>
                  <w:r>
                    <w:t>冠心病与PCI术后管理案例实操</w:t>
                  </w:r>
                </w:p>
              </w:tc>
              <w:tc>
                <w:tcPr>
                  <w:tcW w:w="7087" w:type="dxa"/>
                </w:tcPr>
                <w:p w14:paraId="2409EA98">
                  <w:pPr>
                    <w:jc w:val="left"/>
                  </w:pPr>
                  <w:r>
                    <w:t>选取社区冠心病PCI术后患者案例，开展术后用药指导、症状监测、饮食运动干预、并发症预防及随访实操，模拟转诊流程，总结术后管理重点，提升术后康复管理能力。</w:t>
                  </w:r>
                </w:p>
              </w:tc>
            </w:tr>
            <w:tr w14:paraId="06EC2BF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6F1625CF">
                  <w:r>
                    <w:t>6</w:t>
                  </w:r>
                </w:p>
              </w:tc>
              <w:tc>
                <w:tcPr>
                  <w:tcW w:w="1853" w:type="dxa"/>
                </w:tcPr>
                <w:p w14:paraId="3FB558CE">
                  <w:pPr>
                    <w:jc w:val="left"/>
                  </w:pPr>
                  <w:r>
                    <w:t>血脂异常管理案例实操</w:t>
                  </w:r>
                </w:p>
              </w:tc>
              <w:tc>
                <w:tcPr>
                  <w:tcW w:w="7087" w:type="dxa"/>
                </w:tcPr>
                <w:p w14:paraId="2B1CB22D">
                  <w:pPr>
                    <w:jc w:val="left"/>
                  </w:pPr>
                  <w:r>
                    <w:t>选取社区血脂异常患者（或高危人群）案例，完成健康评估、生活方式干预（饮食、运动、戒烟限酒）、用药指导（必要时）及随访实操，监测血脂指标变化，总结干预要点。</w:t>
                  </w:r>
                </w:p>
              </w:tc>
            </w:tr>
            <w:tr w14:paraId="033DCB4C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2D5E4385">
                  <w:r>
                    <w:t>7</w:t>
                  </w:r>
                </w:p>
              </w:tc>
              <w:tc>
                <w:tcPr>
                  <w:tcW w:w="1853" w:type="dxa"/>
                </w:tcPr>
                <w:p w14:paraId="14511B0A">
                  <w:pPr>
                    <w:jc w:val="left"/>
                  </w:pPr>
                  <w:r>
                    <w:t>脑卒中管理与康复指导实操</w:t>
                  </w:r>
                </w:p>
              </w:tc>
              <w:tc>
                <w:tcPr>
                  <w:tcW w:w="7087" w:type="dxa"/>
                </w:tcPr>
                <w:p w14:paraId="0686FA52">
                  <w:pPr>
                    <w:jc w:val="left"/>
                  </w:pPr>
                  <w:r>
                    <w:t>选取社区脑卒中恢复期患者案例，开展肢体康复、言语康复指导，落实并发症预防、用药管理及随访实操，制定个性化康复计划，掌握脑卒中社区康复核心方法。</w:t>
                  </w:r>
                </w:p>
              </w:tc>
            </w:tr>
            <w:tr w14:paraId="32D7A2D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74ACDC3A">
                  <w:r>
                    <w:t>8</w:t>
                  </w:r>
                </w:p>
              </w:tc>
              <w:tc>
                <w:tcPr>
                  <w:tcW w:w="1853" w:type="dxa"/>
                </w:tcPr>
                <w:p w14:paraId="26899110">
                  <w:pPr>
                    <w:jc w:val="left"/>
                  </w:pPr>
                  <w:r>
                    <w:t>糖尿病管理案例实操</w:t>
                  </w:r>
                </w:p>
              </w:tc>
              <w:tc>
                <w:tcPr>
                  <w:tcW w:w="7087" w:type="dxa"/>
                </w:tcPr>
                <w:p w14:paraId="068EE443">
                  <w:pPr>
                    <w:jc w:val="left"/>
                  </w:pPr>
                  <w:r>
                    <w:t>选取社区糖尿病确诊患者案例，完成血糖监测、饮食运动干预、用药指导、并发症筛查及随访实操，记录血糖控制情况，优化干预方案，掌握糖尿病社区规范化管理流程。</w:t>
                  </w:r>
                </w:p>
              </w:tc>
            </w:tr>
            <w:tr w14:paraId="793C6A16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158E533E">
                  <w:r>
                    <w:t>9</w:t>
                  </w:r>
                </w:p>
              </w:tc>
              <w:tc>
                <w:tcPr>
                  <w:tcW w:w="1853" w:type="dxa"/>
                </w:tcPr>
                <w:p w14:paraId="101C3C28">
                  <w:pPr>
                    <w:jc w:val="left"/>
                  </w:pPr>
                  <w:r>
                    <w:t>高尿酸血症与痛风管理案例实操</w:t>
                  </w:r>
                </w:p>
              </w:tc>
              <w:tc>
                <w:tcPr>
                  <w:tcW w:w="7087" w:type="dxa"/>
                </w:tcPr>
                <w:p w14:paraId="263C7AB6">
                  <w:pPr>
                    <w:jc w:val="left"/>
                  </w:pPr>
                  <w:r>
                    <w:t>选取社区高尿酸血症或痛风患者案例，开展饮食干预（限嘌呤）、运动指导、用药指导、急性发作应急处理及随访实操，掌握痛风急性发作的社区处理方法和长期管理要点。</w:t>
                  </w:r>
                </w:p>
              </w:tc>
            </w:tr>
            <w:tr w14:paraId="53F4FED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1DBEC342">
                  <w:r>
                    <w:t>10</w:t>
                  </w:r>
                </w:p>
              </w:tc>
              <w:tc>
                <w:tcPr>
                  <w:tcW w:w="1853" w:type="dxa"/>
                </w:tcPr>
                <w:p w14:paraId="3A5578CB">
                  <w:pPr>
                    <w:jc w:val="left"/>
                  </w:pPr>
                  <w:r>
                    <w:t>肥胖症管理案例实操</w:t>
                  </w:r>
                </w:p>
              </w:tc>
              <w:tc>
                <w:tcPr>
                  <w:tcW w:w="7087" w:type="dxa"/>
                </w:tcPr>
                <w:p w14:paraId="7C07D7F6">
                  <w:pPr>
                    <w:jc w:val="left"/>
                  </w:pPr>
                  <w:r>
                    <w:t>选取社区肥胖症患者（或超重高危人群）案例，完成健康评估、饮食热量控制、个性化运动计划制定、体重监测及随访实操，总结肥胖症干预技巧，助力体重规范控制。</w:t>
                  </w:r>
                </w:p>
              </w:tc>
            </w:tr>
            <w:tr w14:paraId="76AEB6D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78E23FEB">
                  <w:r>
                    <w:t>11</w:t>
                  </w:r>
                </w:p>
              </w:tc>
              <w:tc>
                <w:tcPr>
                  <w:tcW w:w="1853" w:type="dxa"/>
                </w:tcPr>
                <w:p w14:paraId="1ABB2032">
                  <w:pPr>
                    <w:jc w:val="left"/>
                  </w:pPr>
                  <w:r>
                    <w:t>COPD管理与急性发作处理实操</w:t>
                  </w:r>
                </w:p>
              </w:tc>
              <w:tc>
                <w:tcPr>
                  <w:tcW w:w="7087" w:type="dxa"/>
                </w:tcPr>
                <w:p w14:paraId="17CEE187">
                  <w:pPr>
                    <w:jc w:val="left"/>
                  </w:pPr>
                  <w:r>
                    <w:t>选取社区COPD患者案例，开展日常管理（戒烟、呼吸训练）、用药指导、急性发作应急处理模拟、并发症监测及随访实操，掌握COPD急性发作的社区急救流程和长期管理方法。</w:t>
                  </w:r>
                </w:p>
              </w:tc>
            </w:tr>
            <w:tr w14:paraId="4E364BE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27A8EB76">
                  <w:r>
                    <w:t>12</w:t>
                  </w:r>
                </w:p>
              </w:tc>
              <w:tc>
                <w:tcPr>
                  <w:tcW w:w="1853" w:type="dxa"/>
                </w:tcPr>
                <w:p w14:paraId="165DDEDE">
                  <w:pPr>
                    <w:jc w:val="left"/>
                  </w:pPr>
                  <w:r>
                    <w:t>慢性肾脏病管理案例实操</w:t>
                  </w:r>
                </w:p>
              </w:tc>
              <w:tc>
                <w:tcPr>
                  <w:tcW w:w="7087" w:type="dxa"/>
                </w:tcPr>
                <w:p w14:paraId="2A3BABB0">
                  <w:pPr>
                    <w:jc w:val="left"/>
                  </w:pPr>
                  <w:r>
                    <w:t>选取社区慢性肾脏病患者案例，完成肾功能监测、饮食干预（限盐、限蛋白）、用药指导、并发症预防及随访实操，明确转诊指征，掌握慢性肾脏病社区管理重点。</w:t>
                  </w:r>
                </w:p>
              </w:tc>
            </w:tr>
            <w:tr w14:paraId="08BA26B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733" w:type="dxa"/>
                </w:tcPr>
                <w:p w14:paraId="140A3236">
                  <w:r>
                    <w:t>13</w:t>
                  </w:r>
                </w:p>
              </w:tc>
              <w:tc>
                <w:tcPr>
                  <w:tcW w:w="1853" w:type="dxa"/>
                </w:tcPr>
                <w:p w14:paraId="663506ED">
                  <w:pPr>
                    <w:jc w:val="left"/>
                  </w:pPr>
                  <w:r>
                    <w:t>膝骨关节炎管理与康复指导实操</w:t>
                  </w:r>
                </w:p>
              </w:tc>
              <w:tc>
                <w:tcPr>
                  <w:tcW w:w="7087" w:type="dxa"/>
                </w:tcPr>
                <w:p w14:paraId="1B578C9D">
                  <w:pPr>
                    <w:jc w:val="left"/>
                  </w:pPr>
                  <w:r>
                    <w:t>选取社区膝骨关节炎患者案例，开展关节保护指导、康复训练（肌力训练、关节活动训练）、疼痛管理、用药指导及随访实操，制定个性化康复方案，提升关节功能。</w:t>
                  </w:r>
                </w:p>
              </w:tc>
            </w:tr>
          </w:tbl>
          <w:p w14:paraId="39FAF31B"/>
        </w:tc>
      </w:tr>
    </w:tbl>
    <w:p w14:paraId="4D141623">
      <w:pPr>
        <w:pStyle w:val="19"/>
      </w:pPr>
      <w:r>
        <w:t>（</w:t>
      </w:r>
      <w:r>
        <w:rPr>
          <w:rFonts w:hint="eastAsia"/>
        </w:rPr>
        <w:t>三</w:t>
      </w:r>
      <w:r>
        <w:t>）</w:t>
      </w:r>
      <w:r>
        <w:rPr>
          <w:rFonts w:hint="eastAsia"/>
        </w:rPr>
        <w:t>各实验项目</w:t>
      </w:r>
      <w:r>
        <w:t>对课程目标的支撑关系</w:t>
      </w:r>
    </w:p>
    <w:tbl>
      <w:tblPr>
        <w:tblStyle w:val="9"/>
        <w:tblW w:w="4545" w:type="pct"/>
        <w:tblInd w:w="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96"/>
        <w:gridCol w:w="1185"/>
        <w:gridCol w:w="1299"/>
        <w:gridCol w:w="1156"/>
        <w:gridCol w:w="1732"/>
      </w:tblGrid>
      <w:tr w14:paraId="329F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222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6A20C11">
            <w:pPr>
              <w:pStyle w:val="15"/>
            </w:pPr>
            <w:r>
              <w:t>课程目标</w:t>
            </w:r>
          </w:p>
          <w:p w14:paraId="61B5A95D">
            <w:pPr>
              <w:pStyle w:val="15"/>
            </w:pPr>
          </w:p>
          <w:p w14:paraId="112F2FAD">
            <w:pPr>
              <w:pStyle w:val="15"/>
              <w:rPr>
                <w:color w:val="auto"/>
              </w:rPr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613" w:type="pct"/>
            <w:tcBorders>
              <w:top w:val="single" w:color="auto" w:sz="12" w:space="0"/>
            </w:tcBorders>
            <w:vAlign w:val="center"/>
          </w:tcPr>
          <w:p w14:paraId="5A44BFFC">
            <w:pPr>
              <w:pStyle w:val="15"/>
            </w:pPr>
            <w:r>
              <w:t>1</w:t>
            </w:r>
          </w:p>
        </w:tc>
        <w:tc>
          <w:tcPr>
            <w:tcW w:w="672" w:type="pct"/>
            <w:tcBorders>
              <w:top w:val="single" w:color="auto" w:sz="12" w:space="0"/>
            </w:tcBorders>
            <w:vAlign w:val="center"/>
          </w:tcPr>
          <w:p w14:paraId="1A8612F9">
            <w:pPr>
              <w:pStyle w:val="15"/>
            </w:pPr>
            <w:r>
              <w:t>2</w:t>
            </w:r>
          </w:p>
        </w:tc>
        <w:tc>
          <w:tcPr>
            <w:tcW w:w="598" w:type="pct"/>
            <w:tcBorders>
              <w:top w:val="single" w:color="auto" w:sz="12" w:space="0"/>
            </w:tcBorders>
            <w:vAlign w:val="center"/>
          </w:tcPr>
          <w:p w14:paraId="24928791">
            <w:pPr>
              <w:pStyle w:val="15"/>
            </w:pPr>
            <w:r>
              <w:t>3</w:t>
            </w:r>
          </w:p>
        </w:tc>
        <w:tc>
          <w:tcPr>
            <w:tcW w:w="895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467867E">
            <w:pPr>
              <w:pStyle w:val="15"/>
            </w:pPr>
            <w:r>
              <w:t>4</w:t>
            </w:r>
          </w:p>
        </w:tc>
      </w:tr>
      <w:tr w14:paraId="4836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23931809">
            <w:r>
              <w:rPr>
                <w:lang w:bidi="ar"/>
              </w:rPr>
              <w:t>1.</w:t>
            </w:r>
            <w:r>
              <w:rPr>
                <w:rFonts w:hint="eastAsia"/>
                <w:lang w:bidi="ar"/>
              </w:rPr>
              <w:t>慢性病概述</w:t>
            </w:r>
          </w:p>
        </w:tc>
        <w:tc>
          <w:tcPr>
            <w:tcW w:w="613" w:type="pct"/>
            <w:vAlign w:val="center"/>
          </w:tcPr>
          <w:p w14:paraId="5D0DD574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76C2A837">
            <w:pPr>
              <w:pStyle w:val="16"/>
            </w:pPr>
          </w:p>
        </w:tc>
        <w:tc>
          <w:tcPr>
            <w:tcW w:w="598" w:type="pct"/>
            <w:vAlign w:val="center"/>
          </w:tcPr>
          <w:p w14:paraId="24BC4775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660E288C">
            <w:pPr>
              <w:pStyle w:val="16"/>
            </w:pPr>
            <w:r>
              <w:t>√</w:t>
            </w:r>
          </w:p>
        </w:tc>
      </w:tr>
      <w:tr w14:paraId="192C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697DA5F7">
            <w:r>
              <w:rPr>
                <w:lang w:bidi="ar"/>
              </w:rPr>
              <w:t>2.慢性病社区防治与管理</w:t>
            </w:r>
          </w:p>
        </w:tc>
        <w:tc>
          <w:tcPr>
            <w:tcW w:w="613" w:type="pct"/>
            <w:vAlign w:val="center"/>
          </w:tcPr>
          <w:p w14:paraId="1454D158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14EFE3EE">
            <w:pPr>
              <w:pStyle w:val="16"/>
            </w:pPr>
          </w:p>
        </w:tc>
        <w:tc>
          <w:tcPr>
            <w:tcW w:w="598" w:type="pct"/>
            <w:vAlign w:val="center"/>
          </w:tcPr>
          <w:p w14:paraId="5207D576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1194EBF5">
            <w:pPr>
              <w:pStyle w:val="16"/>
            </w:pPr>
            <w:r>
              <w:t>√</w:t>
            </w:r>
          </w:p>
        </w:tc>
      </w:tr>
      <w:tr w14:paraId="629C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679615B4">
            <w:r>
              <w:rPr>
                <w:lang w:bidi="ar"/>
              </w:rPr>
              <w:t>3.慢性病社区健康教育</w:t>
            </w:r>
          </w:p>
        </w:tc>
        <w:tc>
          <w:tcPr>
            <w:tcW w:w="613" w:type="pct"/>
            <w:vAlign w:val="center"/>
          </w:tcPr>
          <w:p w14:paraId="03CB9A39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34E82B8A">
            <w:pPr>
              <w:pStyle w:val="16"/>
            </w:pPr>
          </w:p>
        </w:tc>
        <w:tc>
          <w:tcPr>
            <w:tcW w:w="598" w:type="pct"/>
            <w:vAlign w:val="center"/>
          </w:tcPr>
          <w:p w14:paraId="49DB14C4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74B86F8D">
            <w:pPr>
              <w:pStyle w:val="16"/>
            </w:pPr>
            <w:r>
              <w:t>√</w:t>
            </w:r>
          </w:p>
        </w:tc>
      </w:tr>
      <w:tr w14:paraId="7161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27B26558">
            <w:r>
              <w:rPr>
                <w:lang w:bidi="ar"/>
              </w:rPr>
              <w:t>4.健康管理概述</w:t>
            </w:r>
          </w:p>
        </w:tc>
        <w:tc>
          <w:tcPr>
            <w:tcW w:w="613" w:type="pct"/>
            <w:vAlign w:val="center"/>
          </w:tcPr>
          <w:p w14:paraId="01E6A010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0797370B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4F276170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34D1D840">
            <w:pPr>
              <w:pStyle w:val="16"/>
            </w:pPr>
          </w:p>
        </w:tc>
      </w:tr>
      <w:tr w14:paraId="7D2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52E4B849">
            <w:r>
              <w:rPr>
                <w:lang w:bidi="ar"/>
              </w:rPr>
              <w:t>5.健康体检</w:t>
            </w:r>
          </w:p>
        </w:tc>
        <w:tc>
          <w:tcPr>
            <w:tcW w:w="613" w:type="pct"/>
            <w:vAlign w:val="center"/>
          </w:tcPr>
          <w:p w14:paraId="2B7EBBD6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37F8C920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5E4895EF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21ACCC57">
            <w:pPr>
              <w:pStyle w:val="16"/>
            </w:pPr>
          </w:p>
        </w:tc>
      </w:tr>
      <w:tr w14:paraId="2157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7F2CB05D">
            <w:r>
              <w:rPr>
                <w:lang w:bidi="ar"/>
              </w:rPr>
              <w:t>6.高血压管理</w:t>
            </w:r>
          </w:p>
        </w:tc>
        <w:tc>
          <w:tcPr>
            <w:tcW w:w="613" w:type="pct"/>
            <w:vAlign w:val="center"/>
          </w:tcPr>
          <w:p w14:paraId="7076D7E5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1A454CA0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6F996745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6B1BB767">
            <w:pPr>
              <w:pStyle w:val="16"/>
            </w:pPr>
          </w:p>
        </w:tc>
      </w:tr>
      <w:tr w14:paraId="0C9F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41ABCBB8">
            <w:r>
              <w:rPr>
                <w:lang w:bidi="ar"/>
              </w:rPr>
              <w:t>7.冠心病与介入术后管理</w:t>
            </w:r>
          </w:p>
        </w:tc>
        <w:tc>
          <w:tcPr>
            <w:tcW w:w="613" w:type="pct"/>
            <w:vAlign w:val="center"/>
          </w:tcPr>
          <w:p w14:paraId="76B33532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540CB9D2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07419478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79E977A3">
            <w:pPr>
              <w:pStyle w:val="16"/>
            </w:pPr>
            <w:r>
              <w:t>√</w:t>
            </w:r>
          </w:p>
        </w:tc>
      </w:tr>
      <w:tr w14:paraId="7ABB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63496B69">
            <w:r>
              <w:rPr>
                <w:lang w:bidi="ar"/>
              </w:rPr>
              <w:t>8.血脂异常管理</w:t>
            </w:r>
          </w:p>
        </w:tc>
        <w:tc>
          <w:tcPr>
            <w:tcW w:w="613" w:type="pct"/>
            <w:vAlign w:val="center"/>
          </w:tcPr>
          <w:p w14:paraId="12AA8732">
            <w:pPr>
              <w:pStyle w:val="16"/>
            </w:pPr>
          </w:p>
        </w:tc>
        <w:tc>
          <w:tcPr>
            <w:tcW w:w="672" w:type="pct"/>
            <w:vAlign w:val="center"/>
          </w:tcPr>
          <w:p w14:paraId="331139CB">
            <w:pPr>
              <w:pStyle w:val="16"/>
            </w:pPr>
          </w:p>
        </w:tc>
        <w:tc>
          <w:tcPr>
            <w:tcW w:w="598" w:type="pct"/>
            <w:vAlign w:val="center"/>
          </w:tcPr>
          <w:p w14:paraId="36E2F62A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3C0A85CB">
            <w:pPr>
              <w:pStyle w:val="16"/>
            </w:pPr>
          </w:p>
        </w:tc>
      </w:tr>
      <w:tr w14:paraId="2796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0B6CD492">
            <w:r>
              <w:rPr>
                <w:lang w:bidi="ar"/>
              </w:rPr>
              <w:t>9.脑卒中管理</w:t>
            </w:r>
          </w:p>
        </w:tc>
        <w:tc>
          <w:tcPr>
            <w:tcW w:w="613" w:type="pct"/>
            <w:vAlign w:val="center"/>
          </w:tcPr>
          <w:p w14:paraId="69239A76">
            <w:pPr>
              <w:pStyle w:val="16"/>
            </w:pPr>
          </w:p>
        </w:tc>
        <w:tc>
          <w:tcPr>
            <w:tcW w:w="672" w:type="pct"/>
            <w:vAlign w:val="center"/>
          </w:tcPr>
          <w:p w14:paraId="15E98E44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3C0381AC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6D927B73">
            <w:pPr>
              <w:pStyle w:val="16"/>
            </w:pPr>
            <w:r>
              <w:t>√</w:t>
            </w:r>
          </w:p>
        </w:tc>
      </w:tr>
      <w:tr w14:paraId="73FF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5F6BE2D9">
            <w:r>
              <w:rPr>
                <w:lang w:bidi="ar"/>
              </w:rPr>
              <w:t>10.糖尿病管理</w:t>
            </w:r>
          </w:p>
        </w:tc>
        <w:tc>
          <w:tcPr>
            <w:tcW w:w="613" w:type="pct"/>
            <w:vAlign w:val="center"/>
          </w:tcPr>
          <w:p w14:paraId="48EA9106">
            <w:pPr>
              <w:pStyle w:val="16"/>
            </w:pPr>
          </w:p>
        </w:tc>
        <w:tc>
          <w:tcPr>
            <w:tcW w:w="672" w:type="pct"/>
            <w:vAlign w:val="center"/>
          </w:tcPr>
          <w:p w14:paraId="69CA6620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14BCB664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26ADC8DC">
            <w:pPr>
              <w:pStyle w:val="16"/>
            </w:pPr>
            <w:r>
              <w:t>√</w:t>
            </w:r>
          </w:p>
        </w:tc>
      </w:tr>
      <w:tr w14:paraId="3A4A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29C6ECD5">
            <w:r>
              <w:rPr>
                <w:lang w:bidi="ar"/>
              </w:rPr>
              <w:t>11.高尿酸症及痛风管理</w:t>
            </w:r>
          </w:p>
        </w:tc>
        <w:tc>
          <w:tcPr>
            <w:tcW w:w="613" w:type="pct"/>
            <w:vAlign w:val="center"/>
          </w:tcPr>
          <w:p w14:paraId="4F788351">
            <w:pPr>
              <w:pStyle w:val="16"/>
            </w:pPr>
          </w:p>
        </w:tc>
        <w:tc>
          <w:tcPr>
            <w:tcW w:w="672" w:type="pct"/>
            <w:vAlign w:val="center"/>
          </w:tcPr>
          <w:p w14:paraId="5D528F65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4353EEC8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05FC4760">
            <w:pPr>
              <w:pStyle w:val="16"/>
            </w:pPr>
          </w:p>
        </w:tc>
      </w:tr>
      <w:tr w14:paraId="6296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6610073A">
            <w:r>
              <w:rPr>
                <w:lang w:bidi="ar"/>
              </w:rPr>
              <w:t>12.肥胖症管理</w:t>
            </w:r>
          </w:p>
        </w:tc>
        <w:tc>
          <w:tcPr>
            <w:tcW w:w="613" w:type="pct"/>
            <w:vAlign w:val="center"/>
          </w:tcPr>
          <w:p w14:paraId="0FF22B0B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5869F8D8">
            <w:pPr>
              <w:pStyle w:val="16"/>
            </w:pPr>
          </w:p>
        </w:tc>
        <w:tc>
          <w:tcPr>
            <w:tcW w:w="598" w:type="pct"/>
            <w:vAlign w:val="center"/>
          </w:tcPr>
          <w:p w14:paraId="747C6AFB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64210A54">
            <w:pPr>
              <w:pStyle w:val="16"/>
            </w:pPr>
            <w:r>
              <w:t>√</w:t>
            </w:r>
          </w:p>
        </w:tc>
      </w:tr>
      <w:tr w14:paraId="67CB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369ACD12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13.</w:t>
            </w:r>
            <w:r>
              <w:rPr>
                <w:lang w:bidi="ar"/>
              </w:rPr>
              <w:t>慢性阻塞性肺疾病（COPD）管理</w:t>
            </w:r>
          </w:p>
        </w:tc>
        <w:tc>
          <w:tcPr>
            <w:tcW w:w="613" w:type="pct"/>
            <w:vAlign w:val="center"/>
          </w:tcPr>
          <w:p w14:paraId="6BB9FB56">
            <w:pPr>
              <w:pStyle w:val="16"/>
            </w:pPr>
          </w:p>
        </w:tc>
        <w:tc>
          <w:tcPr>
            <w:tcW w:w="672" w:type="pct"/>
            <w:vAlign w:val="center"/>
          </w:tcPr>
          <w:p w14:paraId="58EBFD3D">
            <w:pPr>
              <w:pStyle w:val="16"/>
            </w:pPr>
          </w:p>
        </w:tc>
        <w:tc>
          <w:tcPr>
            <w:tcW w:w="598" w:type="pct"/>
            <w:vAlign w:val="center"/>
          </w:tcPr>
          <w:p w14:paraId="705EF5AF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06042354">
            <w:pPr>
              <w:pStyle w:val="16"/>
            </w:pPr>
          </w:p>
        </w:tc>
      </w:tr>
      <w:tr w14:paraId="18EB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17F2E616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14.</w:t>
            </w:r>
            <w:r>
              <w:rPr>
                <w:lang w:bidi="ar"/>
              </w:rPr>
              <w:t>慢性肾脏病管理</w:t>
            </w:r>
          </w:p>
        </w:tc>
        <w:tc>
          <w:tcPr>
            <w:tcW w:w="613" w:type="pct"/>
            <w:vAlign w:val="center"/>
          </w:tcPr>
          <w:p w14:paraId="5C719DCD">
            <w:pPr>
              <w:pStyle w:val="16"/>
            </w:pPr>
            <w:r>
              <w:t>√</w:t>
            </w:r>
          </w:p>
        </w:tc>
        <w:tc>
          <w:tcPr>
            <w:tcW w:w="672" w:type="pct"/>
            <w:vAlign w:val="center"/>
          </w:tcPr>
          <w:p w14:paraId="0DBFAA13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0CEC6443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63CF0B25">
            <w:pPr>
              <w:pStyle w:val="16"/>
            </w:pPr>
            <w:r>
              <w:t>√</w:t>
            </w:r>
          </w:p>
        </w:tc>
      </w:tr>
      <w:tr w14:paraId="3979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1D0506B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15.</w:t>
            </w:r>
            <w:r>
              <w:rPr>
                <w:lang w:bidi="ar"/>
              </w:rPr>
              <w:t>膝骨关节炎管理</w:t>
            </w:r>
          </w:p>
        </w:tc>
        <w:tc>
          <w:tcPr>
            <w:tcW w:w="613" w:type="pct"/>
            <w:vAlign w:val="center"/>
          </w:tcPr>
          <w:p w14:paraId="64DEFAA2">
            <w:pPr>
              <w:pStyle w:val="16"/>
            </w:pPr>
          </w:p>
        </w:tc>
        <w:tc>
          <w:tcPr>
            <w:tcW w:w="672" w:type="pct"/>
            <w:vAlign w:val="center"/>
          </w:tcPr>
          <w:p w14:paraId="5942117C">
            <w:pPr>
              <w:pStyle w:val="16"/>
            </w:pPr>
            <w:r>
              <w:t>√</w:t>
            </w:r>
          </w:p>
        </w:tc>
        <w:tc>
          <w:tcPr>
            <w:tcW w:w="598" w:type="pct"/>
            <w:vAlign w:val="center"/>
          </w:tcPr>
          <w:p w14:paraId="56A5ACD2">
            <w:pPr>
              <w:pStyle w:val="16"/>
            </w:pP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2CE3C7E9">
            <w:pPr>
              <w:pStyle w:val="16"/>
            </w:pPr>
            <w:r>
              <w:t>√</w:t>
            </w:r>
          </w:p>
        </w:tc>
      </w:tr>
      <w:tr w14:paraId="5BF3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</w:tcBorders>
            <w:vAlign w:val="center"/>
          </w:tcPr>
          <w:p w14:paraId="72AA6CDB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16.</w:t>
            </w:r>
            <w:r>
              <w:rPr>
                <w:rFonts w:hint="eastAsia" w:cs="微软雅黑"/>
                <w:lang w:bidi="ar"/>
              </w:rPr>
              <w:t>安宁疗护</w:t>
            </w:r>
          </w:p>
        </w:tc>
        <w:tc>
          <w:tcPr>
            <w:tcW w:w="613" w:type="pct"/>
            <w:vAlign w:val="center"/>
          </w:tcPr>
          <w:p w14:paraId="0F1F096B">
            <w:pPr>
              <w:pStyle w:val="16"/>
            </w:pPr>
          </w:p>
        </w:tc>
        <w:tc>
          <w:tcPr>
            <w:tcW w:w="672" w:type="pct"/>
            <w:vAlign w:val="center"/>
          </w:tcPr>
          <w:p w14:paraId="34B90B17">
            <w:pPr>
              <w:pStyle w:val="16"/>
            </w:pPr>
          </w:p>
        </w:tc>
        <w:tc>
          <w:tcPr>
            <w:tcW w:w="598" w:type="pct"/>
            <w:vAlign w:val="center"/>
          </w:tcPr>
          <w:p w14:paraId="39EB3431">
            <w:pPr>
              <w:pStyle w:val="16"/>
            </w:pPr>
            <w:r>
              <w:t>√</w:t>
            </w:r>
          </w:p>
        </w:tc>
        <w:tc>
          <w:tcPr>
            <w:tcW w:w="895" w:type="pct"/>
            <w:tcBorders>
              <w:right w:val="single" w:color="auto" w:sz="12" w:space="0"/>
            </w:tcBorders>
            <w:vAlign w:val="center"/>
          </w:tcPr>
          <w:p w14:paraId="0F3E168B">
            <w:pPr>
              <w:pStyle w:val="16"/>
            </w:pPr>
          </w:p>
        </w:tc>
      </w:tr>
      <w:tr w14:paraId="5D71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2222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369554"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17.随堂测验</w:t>
            </w:r>
          </w:p>
        </w:tc>
        <w:tc>
          <w:tcPr>
            <w:tcW w:w="613" w:type="pct"/>
            <w:tcBorders>
              <w:bottom w:val="single" w:color="auto" w:sz="12" w:space="0"/>
            </w:tcBorders>
            <w:vAlign w:val="center"/>
          </w:tcPr>
          <w:p w14:paraId="510B8A3C">
            <w:pPr>
              <w:pStyle w:val="16"/>
            </w:pPr>
            <w:r>
              <w:t>√</w:t>
            </w:r>
          </w:p>
        </w:tc>
        <w:tc>
          <w:tcPr>
            <w:tcW w:w="672" w:type="pct"/>
            <w:tcBorders>
              <w:bottom w:val="single" w:color="auto" w:sz="12" w:space="0"/>
            </w:tcBorders>
            <w:vAlign w:val="center"/>
          </w:tcPr>
          <w:p w14:paraId="42C30E04">
            <w:pPr>
              <w:pStyle w:val="16"/>
            </w:pPr>
          </w:p>
        </w:tc>
        <w:tc>
          <w:tcPr>
            <w:tcW w:w="598" w:type="pct"/>
            <w:tcBorders>
              <w:bottom w:val="single" w:color="auto" w:sz="12" w:space="0"/>
            </w:tcBorders>
            <w:vAlign w:val="center"/>
          </w:tcPr>
          <w:p w14:paraId="4FFD90B6">
            <w:pPr>
              <w:pStyle w:val="16"/>
            </w:pPr>
          </w:p>
        </w:tc>
        <w:tc>
          <w:tcPr>
            <w:tcW w:w="895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A5671D">
            <w:pPr>
              <w:pStyle w:val="16"/>
            </w:pPr>
            <w:r>
              <w:t>√</w:t>
            </w:r>
          </w:p>
        </w:tc>
      </w:tr>
    </w:tbl>
    <w:p w14:paraId="3C9AA52D">
      <w:pPr>
        <w:pStyle w:val="19"/>
      </w:pPr>
      <w:bookmarkStart w:id="0" w:name="OLE_LINK1"/>
      <w:bookmarkStart w:id="1" w:name="OLE_LINK2"/>
      <w:r>
        <w:t>四、课程思政教学设计</w:t>
      </w:r>
    </w:p>
    <w:bookmarkEnd w:id="0"/>
    <w:bookmarkEnd w:id="1"/>
    <w:tbl>
      <w:tblPr>
        <w:tblStyle w:val="10"/>
        <w:tblW w:w="4482" w:type="pct"/>
        <w:tblInd w:w="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9534"/>
      </w:tblGrid>
      <w:tr w14:paraId="711DA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9355" w:type="dxa"/>
            <w:vAlign w:val="center"/>
          </w:tcPr>
          <w:p w14:paraId="13BF73C3">
            <w:pPr>
              <w:pStyle w:val="16"/>
              <w:jc w:val="left"/>
            </w:pPr>
            <w:r>
              <w:rPr>
                <w:rFonts w:hint="eastAsia"/>
              </w:rPr>
              <w:t xml:space="preserve">1. </w:t>
            </w:r>
            <w:r>
              <w:t>树立职业发展使命感与责任感</w:t>
            </w:r>
          </w:p>
          <w:p w14:paraId="32C8AD19">
            <w:pPr>
              <w:pStyle w:val="16"/>
              <w:jc w:val="left"/>
            </w:pPr>
            <w:r>
              <w:t>在讲解慢性病管理的基础理论时，强调健康管理职业对社会的责任与使命感，特别是为老年人群体提供健康管理与服务。通过具体的社会实例，激发学生在从事慢病管理工作时，能够深刻理解服务老年群体、促进公共健康的社会责任。</w:t>
            </w:r>
          </w:p>
          <w:p w14:paraId="57A566D5">
            <w:pPr>
              <w:pStyle w:val="16"/>
              <w:jc w:val="left"/>
            </w:pPr>
            <w:r>
              <w:t>实践案例：引导学生学习国内外健康管理领域的先进理念与实践，突出健康服务对个体与社会的重要性。</w:t>
            </w:r>
          </w:p>
          <w:p w14:paraId="7F66CF8B">
            <w:pPr>
              <w:pStyle w:val="16"/>
              <w:numPr>
                <w:ilvl w:val="0"/>
                <w:numId w:val="1"/>
              </w:numPr>
              <w:jc w:val="left"/>
            </w:pPr>
            <w:r>
              <w:t>增强民族文化自信与中西医结合的创新应用</w:t>
            </w:r>
          </w:p>
          <w:p w14:paraId="2635035B">
            <w:pPr>
              <w:pStyle w:val="16"/>
              <w:jc w:val="left"/>
            </w:pPr>
            <w:r>
              <w:t>通过介绍慢性病的中医防治方法（如糖尿病、冠心病的中医干预）以及现代医学结合的信息技术，增强学生对传统文化和现代医学的自信。在慢病管理过程中，如何合理结合中西医治疗，创造出适合老年群体的全方位健康管理方案。</w:t>
            </w:r>
          </w:p>
          <w:p w14:paraId="5ACE7746">
            <w:pPr>
              <w:pStyle w:val="16"/>
              <w:jc w:val="left"/>
            </w:pPr>
            <w:r>
              <w:t>教学内容：通过讲解中国传统中医理论与现代慢病管理的结合案例，促进学生了解如何通过多学科融合提升治疗效果。</w:t>
            </w:r>
          </w:p>
          <w:p w14:paraId="3DC2A1A1">
            <w:pPr>
              <w:pStyle w:val="16"/>
              <w:numPr>
                <w:ilvl w:val="0"/>
                <w:numId w:val="2"/>
              </w:numPr>
              <w:jc w:val="left"/>
            </w:pPr>
            <w:r>
              <w:t>服务人民、奉献精神的培养</w:t>
            </w:r>
          </w:p>
          <w:p w14:paraId="6EBF7839">
            <w:pPr>
              <w:pStyle w:val="16"/>
              <w:jc w:val="left"/>
            </w:pPr>
            <w:r>
              <w:t>在介绍慢性病的健康管理模式和社区防控策略时，引导学生注重慢性病患者的整体福祉，特别是如何通过健康管理提升患者的生活质量。将课程思政中的服务人民精神融入到慢性病管理的具体实践中，培养学生的服务意识与社会责任感。</w:t>
            </w:r>
          </w:p>
          <w:p w14:paraId="427421A3">
            <w:pPr>
              <w:pStyle w:val="16"/>
              <w:jc w:val="left"/>
            </w:pPr>
            <w:r>
              <w:t>实践活动：通过小组讨论与角色扮演，模拟健康管理工作中的服务情境，帮助学生将服务奉献精神应用到日常健康管理工作中。</w:t>
            </w:r>
          </w:p>
          <w:p w14:paraId="7C3B38A9">
            <w:pPr>
              <w:pStyle w:val="16"/>
              <w:numPr>
                <w:ilvl w:val="0"/>
                <w:numId w:val="2"/>
              </w:numPr>
              <w:jc w:val="left"/>
            </w:pPr>
            <w:r>
              <w:t>推动创新精神与健康管理技术的结合</w:t>
            </w:r>
          </w:p>
          <w:p w14:paraId="06F9B26B">
            <w:pPr>
              <w:pStyle w:val="16"/>
              <w:jc w:val="left"/>
            </w:pPr>
            <w:r>
              <w:t>通过介绍健康管理领域的新技术和新动态，鼓励学生了解并运用信息技术（如智能健康监测设备、大数据分析、人工智能）提升慢性病管理的效率与精准性。培养学生具备创新精神，能够在未来的工作中探索适应社会需求的新型健康管理模式。</w:t>
            </w:r>
          </w:p>
          <w:p w14:paraId="343E72A3">
            <w:pPr>
              <w:pStyle w:val="16"/>
              <w:jc w:val="left"/>
            </w:pPr>
            <w:r>
              <w:t>实际应用：通过研究现有慢性病管理中的创新技术，学生将探讨如何运用现代科技手段改善社区健康管理服务，增强学生的创新思维。</w:t>
            </w:r>
          </w:p>
          <w:p w14:paraId="5AC0A0CB">
            <w:pPr>
              <w:pStyle w:val="16"/>
              <w:numPr>
                <w:ilvl w:val="0"/>
                <w:numId w:val="2"/>
              </w:numPr>
              <w:jc w:val="left"/>
            </w:pPr>
            <w:r>
              <w:t>强化终身学习与自我发展意识</w:t>
            </w:r>
          </w:p>
          <w:p w14:paraId="2AE573D3">
            <w:pPr>
              <w:pStyle w:val="16"/>
              <w:jc w:val="left"/>
            </w:pPr>
            <w:r>
              <w:t>强调慢性病管理与健康管理领域的不断发展，鼓励学生树立终身学习的理念，适应不断变化的医疗与健康管理环境。课程中可以通过案例分析和最新研究成果，引导学生对未来发展方向进行思考和规划。</w:t>
            </w:r>
          </w:p>
          <w:p w14:paraId="3F992498">
            <w:pPr>
              <w:pStyle w:val="16"/>
              <w:jc w:val="left"/>
            </w:pPr>
            <w:r>
              <w:t>学习目标：培养学生具备持续学习和自我提升的能力，能够在未来的职业生涯中不断吸收新知识、应对挑战、解决问题。</w:t>
            </w:r>
          </w:p>
        </w:tc>
      </w:tr>
    </w:tbl>
    <w:p w14:paraId="194AEE0F">
      <w:pPr>
        <w:pStyle w:val="18"/>
        <w:jc w:val="left"/>
      </w:pPr>
      <w: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10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2977"/>
        <w:gridCol w:w="850"/>
        <w:gridCol w:w="851"/>
        <w:gridCol w:w="850"/>
        <w:gridCol w:w="851"/>
        <w:gridCol w:w="1134"/>
      </w:tblGrid>
      <w:tr w14:paraId="7652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9B706A">
            <w:pPr>
              <w:pStyle w:val="18"/>
              <w:rPr>
                <w:b/>
              </w:rPr>
            </w:pPr>
            <w:r>
              <w:t>总评构成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</w:tcBorders>
            <w:vAlign w:val="center"/>
          </w:tcPr>
          <w:p w14:paraId="683490D6">
            <w:pPr>
              <w:pStyle w:val="18"/>
            </w:pPr>
            <w:r>
              <w:t>占比</w:t>
            </w:r>
          </w:p>
        </w:tc>
        <w:tc>
          <w:tcPr>
            <w:tcW w:w="297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A54506">
            <w:pPr>
              <w:pStyle w:val="18"/>
            </w:pPr>
            <w:r>
              <w:t>考核方式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655C482">
            <w:pPr>
              <w:pStyle w:val="18"/>
            </w:pPr>
            <w:r>
              <w:t>课程目标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607417">
            <w:pPr>
              <w:pStyle w:val="18"/>
            </w:pPr>
            <w:r>
              <w:t>合计</w:t>
            </w:r>
          </w:p>
        </w:tc>
      </w:tr>
      <w:tr w14:paraId="6BED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18" w:type="dxa"/>
            <w:vMerge w:val="continue"/>
            <w:tcBorders>
              <w:left w:val="single" w:color="auto" w:sz="12" w:space="0"/>
            </w:tcBorders>
          </w:tcPr>
          <w:p w14:paraId="4D7CE6D6"/>
        </w:tc>
        <w:tc>
          <w:tcPr>
            <w:tcW w:w="850" w:type="dxa"/>
            <w:vMerge w:val="continue"/>
          </w:tcPr>
          <w:p w14:paraId="4BB0783B">
            <w:pPr>
              <w:pStyle w:val="18"/>
            </w:pPr>
          </w:p>
        </w:tc>
        <w:tc>
          <w:tcPr>
            <w:tcW w:w="2977" w:type="dxa"/>
            <w:vMerge w:val="continue"/>
            <w:tcBorders>
              <w:right w:val="double" w:color="auto" w:sz="4" w:space="0"/>
            </w:tcBorders>
          </w:tcPr>
          <w:p w14:paraId="4C015D21">
            <w:pPr>
              <w:pStyle w:val="18"/>
            </w:pP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6B5E91D4">
            <w:pPr>
              <w:pStyle w:val="18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260D5FDD">
            <w:pPr>
              <w:pStyle w:val="18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6A235FD9">
            <w:pPr>
              <w:pStyle w:val="18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A20FB5F">
            <w:pPr>
              <w:pStyle w:val="18"/>
            </w:pPr>
            <w:r>
              <w:t>4</w:t>
            </w:r>
          </w:p>
        </w:tc>
        <w:tc>
          <w:tcPr>
            <w:tcW w:w="1134" w:type="dxa"/>
            <w:vMerge w:val="continue"/>
            <w:tcBorders>
              <w:right w:val="single" w:color="auto" w:sz="12" w:space="0"/>
            </w:tcBorders>
          </w:tcPr>
          <w:p w14:paraId="0E5848CD">
            <w:pPr>
              <w:pStyle w:val="18"/>
            </w:pPr>
          </w:p>
        </w:tc>
      </w:tr>
      <w:tr w14:paraId="6265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 w14:paraId="15237983">
            <w:r>
              <w:t>X1</w:t>
            </w:r>
          </w:p>
        </w:tc>
        <w:tc>
          <w:tcPr>
            <w:tcW w:w="850" w:type="dxa"/>
          </w:tcPr>
          <w:p w14:paraId="0CF94FC3">
            <w:r>
              <w:t>40%</w:t>
            </w:r>
          </w:p>
        </w:tc>
        <w:tc>
          <w:tcPr>
            <w:tcW w:w="2977" w:type="dxa"/>
            <w:tcBorders>
              <w:right w:val="double" w:color="auto" w:sz="4" w:space="0"/>
            </w:tcBorders>
          </w:tcPr>
          <w:p w14:paraId="5375B605">
            <w:r>
              <w:rPr>
                <w:lang w:eastAsia="zh-Hans"/>
              </w:rPr>
              <w:t>随堂测验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65D4B0E9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2B93C558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0" w:type="dxa"/>
            <w:vAlign w:val="center"/>
          </w:tcPr>
          <w:p w14:paraId="5F068D9E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1973DFA3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0D571FA6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75A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 w14:paraId="77CDE9BF">
            <w:r>
              <w:t>X2</w:t>
            </w:r>
          </w:p>
        </w:tc>
        <w:tc>
          <w:tcPr>
            <w:tcW w:w="850" w:type="dxa"/>
          </w:tcPr>
          <w:p w14:paraId="318D4B1C">
            <w:r>
              <w:t>20%</w:t>
            </w:r>
          </w:p>
        </w:tc>
        <w:tc>
          <w:tcPr>
            <w:tcW w:w="2977" w:type="dxa"/>
            <w:tcBorders>
              <w:right w:val="double" w:color="auto" w:sz="4" w:space="0"/>
            </w:tcBorders>
          </w:tcPr>
          <w:p w14:paraId="14873B6E">
            <w:r>
              <w:t>课堂</w:t>
            </w:r>
            <w:r>
              <w:rPr>
                <w:lang w:eastAsia="zh-Hans"/>
              </w:rPr>
              <w:t>作业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22FF9EAA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43769FF9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0" w:type="dxa"/>
            <w:vAlign w:val="center"/>
          </w:tcPr>
          <w:p w14:paraId="38E3E07C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1927C466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25A63E3F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0A9C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 w14:paraId="48F2C1A5">
            <w:r>
              <w:t>X3</w:t>
            </w:r>
          </w:p>
        </w:tc>
        <w:tc>
          <w:tcPr>
            <w:tcW w:w="850" w:type="dxa"/>
          </w:tcPr>
          <w:p w14:paraId="23FBC35D">
            <w:r>
              <w:t>20%</w:t>
            </w:r>
          </w:p>
        </w:tc>
        <w:tc>
          <w:tcPr>
            <w:tcW w:w="2977" w:type="dxa"/>
            <w:tcBorders>
              <w:right w:val="double" w:color="auto" w:sz="4" w:space="0"/>
            </w:tcBorders>
          </w:tcPr>
          <w:p w14:paraId="0C829A42">
            <w:r>
              <w:t>平时成绩（考勤+课堂表现）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096496CB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72F9A1CA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40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0" w:type="dxa"/>
            <w:vAlign w:val="center"/>
          </w:tcPr>
          <w:p w14:paraId="6DC0BD7D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16324F09">
            <w:pPr>
              <w:pStyle w:val="16"/>
            </w:pP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230ED208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 w14:paraId="005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tcBorders>
              <w:left w:val="single" w:color="auto" w:sz="12" w:space="0"/>
            </w:tcBorders>
            <w:vAlign w:val="center"/>
          </w:tcPr>
          <w:p w14:paraId="25970A2A">
            <w:r>
              <w:rPr>
                <w:rFonts w:hint="eastAsia"/>
              </w:rPr>
              <w:t>X4</w:t>
            </w:r>
          </w:p>
        </w:tc>
        <w:tc>
          <w:tcPr>
            <w:tcW w:w="850" w:type="dxa"/>
          </w:tcPr>
          <w:p w14:paraId="2E6DA3CF">
            <w:r>
              <w:t>20%</w:t>
            </w:r>
          </w:p>
        </w:tc>
        <w:tc>
          <w:tcPr>
            <w:tcW w:w="2977" w:type="dxa"/>
            <w:tcBorders>
              <w:right w:val="double" w:color="auto" w:sz="4" w:space="0"/>
            </w:tcBorders>
          </w:tcPr>
          <w:p w14:paraId="3F31F8AB">
            <w:r>
              <w:t>汇报</w:t>
            </w:r>
          </w:p>
        </w:tc>
        <w:tc>
          <w:tcPr>
            <w:tcW w:w="850" w:type="dxa"/>
            <w:tcBorders>
              <w:left w:val="double" w:color="auto" w:sz="4" w:space="0"/>
            </w:tcBorders>
            <w:vAlign w:val="center"/>
          </w:tcPr>
          <w:p w14:paraId="7B1D81FF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36111796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0" w:type="dxa"/>
            <w:vAlign w:val="center"/>
          </w:tcPr>
          <w:p w14:paraId="48C2AA63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51" w:type="dxa"/>
            <w:vAlign w:val="center"/>
          </w:tcPr>
          <w:p w14:paraId="6F0F6A15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 w14:paraId="3D65AAD4">
            <w:pPr>
              <w:pStyle w:val="16"/>
              <w:rPr>
                <w:rFonts w:hint="eastAsia" w:eastAsiaTheme="minorEastAsia"/>
                <w:lang w:val="en-US"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</w:tbl>
    <w:p w14:paraId="337BFF9C">
      <w:pPr>
        <w:pStyle w:val="18"/>
        <w:jc w:val="left"/>
      </w:pPr>
      <w:r>
        <w:t xml:space="preserve">六、其他需要说明的问题 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3A3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41F3FE">
            <w:pPr>
              <w:pStyle w:val="16"/>
            </w:pPr>
            <w:r>
              <w:t>无</w:t>
            </w:r>
          </w:p>
        </w:tc>
      </w:tr>
    </w:tbl>
    <w:p w14:paraId="785598E3">
      <w:pPr>
        <w:pStyle w:val="18"/>
      </w:pPr>
    </w:p>
    <w:sectPr>
      <w:headerReference r:id="rId3" w:type="default"/>
      <w:pgSz w:w="11906" w:h="16838"/>
      <w:pgMar w:top="720" w:right="720" w:bottom="720" w:left="72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71134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topMargin">
                <wp:align>bottom</wp:align>
              </wp:positionV>
              <wp:extent cx="2635250" cy="280670"/>
              <wp:effectExtent l="0" t="0" r="0" b="508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493C02">
                          <w:r>
                            <w:t>SJQUQRJW056（A0）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0pt;margin-top:13.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GmVTiNAAAAAE&#10;AQAADwAAAGRycy9kb3ducmV2LnhtbE2PS2vDMBCE74X+B7GF3BrZwS3BtZxDINdAHs1ZsbaWibQy&#10;kvL89d320l6WHWaZ/aZZ3LwTF4xpCKSgnBYgkLpgBuoV7Her1zmIlDUZ7QKhgjsmWLTPT42uTbjS&#10;Bi/b3AsOoVRrBTbnsZYydRa9TtMwIrH3FaLXmWXspYn6yuHeyVlRvEuvB+IPVo+4tNidtmev4ND7&#10;x+GzHKM13lW0ftx3+zAoNXkpiw8QGW/57xh+8BkdWmY6hjOZJJwCLpJ/J3tV+cbyyEs1A9k28j98&#10;+w1QSwMEFAAAAAgAh07iQBOPN/NdAgAApQQAAA4AAABkcnMvZTJvRG9jLnhtbK1UwW4TMRC9I/EP&#10;lu90N6FN2qibKrQKQqpopYI4O15vdiWvx9hOdssHwB9w4sKd7+p38OxN2lI49EAOzoxn/Gbmzcye&#10;nvWtZlvlfEOm4KODnDNlJJWNWRf844flq2POfBCmFJqMKvit8vxs/vLFaWdnakw16VI5BhDjZ50t&#10;eB2CnWWZl7VqhT8gqwyMFblWBKhunZVOdEBvdTbO80nWkSutI6m8x+3FYOQ7RPccQKqqRqoLkptW&#10;mTCgOqVFQEm+bqzn85RtVSkZrqrKq8B0wVFpSCeCQF7FM5ufitnaCVs3cpeCeE4KT2pqRWMQ9B7q&#10;QgTBNq75C6ptpCNPVTiQ1GZDIYkRVDHKn3BzUwurUi2g2tt70v3/g5Xvt9eONWXBDw/zaX4ynYw4&#10;M6JF4+++f7v78evu51c2ijR11s/gfWPhH/o31GN49vcel7H6vnJt/EddDHaQfHtPsuoDk7gcT14f&#10;jY9gkrCNj/PJNHUhe3htnQ9vFbUsCgV3aGLiVmwvfUAmcN27xGCedFMuG62T4tarc+3YVqDhy/SL&#10;SeLJH27asK7gyCRPyIbi+8FPm4ij0uzs4sXShxKjFPpVv+NjReUt6HA0zJW3ctkg50vhw7VwGCSU&#10;iVULVzgqTQhJO4mzmtyXf91Hf/QXVs46DGbB/eeNcIoz/c6g8ycjdAqTnJTDo+kYintsWT22mE17&#10;TqACXUV2SYz+Qe/FylH7CRu5iFFhEkYidsHDXjwPw7pgo6VaLJITZteKcGlurIzQkTBDi02gqkkN&#10;ijQN3ID6qGB6UxN2mxbX47GevB6+Lv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mVTiNAAAAAE&#10;AQAADwAAAAAAAAABACAAAAAiAAAAZHJzL2Rvd25yZXYueG1sUEsBAhQAFAAAAAgAh07iQBOPN/Nd&#10;AgAApQQAAA4AAAAAAAAAAQAgAAAAHw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493C02">
                    <w:r>
                      <w:t>SJQUQRJW056（A0）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BD19D"/>
    <w:multiLevelType w:val="singleLevel"/>
    <w:tmpl w:val="5A2BD19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96ADC05"/>
    <w:multiLevelType w:val="singleLevel"/>
    <w:tmpl w:val="696ADC0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YzU1NTI0ZmVmZTVmNmY2ZTNhNDdhNTAzZmUyY2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2618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6F09"/>
    <w:rsid w:val="00183AA1"/>
    <w:rsid w:val="0018767C"/>
    <w:rsid w:val="001A135C"/>
    <w:rsid w:val="001B0D49"/>
    <w:rsid w:val="001B546F"/>
    <w:rsid w:val="001C12EA"/>
    <w:rsid w:val="001C16FC"/>
    <w:rsid w:val="001C2E3E"/>
    <w:rsid w:val="001C388D"/>
    <w:rsid w:val="001D610B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4431C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485C"/>
    <w:rsid w:val="002A4649"/>
    <w:rsid w:val="002A7227"/>
    <w:rsid w:val="002B0773"/>
    <w:rsid w:val="002B0C48"/>
    <w:rsid w:val="002B13CA"/>
    <w:rsid w:val="002B3650"/>
    <w:rsid w:val="002B7322"/>
    <w:rsid w:val="002C28C1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9A0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4F1B"/>
    <w:rsid w:val="003E7D72"/>
    <w:rsid w:val="003F3923"/>
    <w:rsid w:val="003F43F6"/>
    <w:rsid w:val="004019DB"/>
    <w:rsid w:val="00402B67"/>
    <w:rsid w:val="00403C91"/>
    <w:rsid w:val="0040433E"/>
    <w:rsid w:val="00404974"/>
    <w:rsid w:val="00405DF8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F6E"/>
    <w:rsid w:val="0046549D"/>
    <w:rsid w:val="00471668"/>
    <w:rsid w:val="00481F98"/>
    <w:rsid w:val="004852BF"/>
    <w:rsid w:val="004874D5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5C47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6851"/>
    <w:rsid w:val="0059045B"/>
    <w:rsid w:val="00597EC2"/>
    <w:rsid w:val="005A13AB"/>
    <w:rsid w:val="005B1150"/>
    <w:rsid w:val="005B1FFC"/>
    <w:rsid w:val="005B2B6D"/>
    <w:rsid w:val="005B36CC"/>
    <w:rsid w:val="005B4B4E"/>
    <w:rsid w:val="005C3A76"/>
    <w:rsid w:val="005C5CFF"/>
    <w:rsid w:val="005D5B6F"/>
    <w:rsid w:val="005E38A5"/>
    <w:rsid w:val="005F5185"/>
    <w:rsid w:val="00614F83"/>
    <w:rsid w:val="0062115C"/>
    <w:rsid w:val="0062265B"/>
    <w:rsid w:val="00624B5C"/>
    <w:rsid w:val="00624FE1"/>
    <w:rsid w:val="0062577D"/>
    <w:rsid w:val="006262AF"/>
    <w:rsid w:val="0063249D"/>
    <w:rsid w:val="006331EE"/>
    <w:rsid w:val="006355E6"/>
    <w:rsid w:val="00637E00"/>
    <w:rsid w:val="0064038A"/>
    <w:rsid w:val="0065167D"/>
    <w:rsid w:val="00652D13"/>
    <w:rsid w:val="00652F1E"/>
    <w:rsid w:val="0066595A"/>
    <w:rsid w:val="00666206"/>
    <w:rsid w:val="00666B05"/>
    <w:rsid w:val="00672788"/>
    <w:rsid w:val="00676183"/>
    <w:rsid w:val="00677541"/>
    <w:rsid w:val="00680DA3"/>
    <w:rsid w:val="00680DFB"/>
    <w:rsid w:val="0068377F"/>
    <w:rsid w:val="00691B24"/>
    <w:rsid w:val="00695B93"/>
    <w:rsid w:val="00697C16"/>
    <w:rsid w:val="006A5A89"/>
    <w:rsid w:val="006B3BB9"/>
    <w:rsid w:val="006B48AC"/>
    <w:rsid w:val="006B5977"/>
    <w:rsid w:val="006C7B6C"/>
    <w:rsid w:val="006D1B59"/>
    <w:rsid w:val="006D2F9C"/>
    <w:rsid w:val="006D4351"/>
    <w:rsid w:val="006D5424"/>
    <w:rsid w:val="006E5CA9"/>
    <w:rsid w:val="006E5E98"/>
    <w:rsid w:val="006E7A37"/>
    <w:rsid w:val="006F28B1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1C88"/>
    <w:rsid w:val="0079338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0622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408D"/>
    <w:rsid w:val="00925F8C"/>
    <w:rsid w:val="00927324"/>
    <w:rsid w:val="00932ED7"/>
    <w:rsid w:val="00933990"/>
    <w:rsid w:val="00941B89"/>
    <w:rsid w:val="00941DEA"/>
    <w:rsid w:val="00950D6B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30A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347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589A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A55D4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63F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B6334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3277"/>
    <w:rsid w:val="00D57CF5"/>
    <w:rsid w:val="00D612BC"/>
    <w:rsid w:val="00D62F98"/>
    <w:rsid w:val="00D66FD6"/>
    <w:rsid w:val="00D8285B"/>
    <w:rsid w:val="00D83BD5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0B5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0195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E84738"/>
    <w:rsid w:val="024B0C39"/>
    <w:rsid w:val="04BA2C42"/>
    <w:rsid w:val="07FF2BEA"/>
    <w:rsid w:val="0A8128A6"/>
    <w:rsid w:val="0BF32A1B"/>
    <w:rsid w:val="0C0F0F2B"/>
    <w:rsid w:val="0DA61477"/>
    <w:rsid w:val="0FC401FA"/>
    <w:rsid w:val="10BD2C22"/>
    <w:rsid w:val="10F66AD9"/>
    <w:rsid w:val="14FC40E8"/>
    <w:rsid w:val="157F6CF7"/>
    <w:rsid w:val="17234858"/>
    <w:rsid w:val="196F11D7"/>
    <w:rsid w:val="1CB76518"/>
    <w:rsid w:val="1F8E2079"/>
    <w:rsid w:val="20F03CE3"/>
    <w:rsid w:val="213637D8"/>
    <w:rsid w:val="215B27B6"/>
    <w:rsid w:val="22987C80"/>
    <w:rsid w:val="22E26EBD"/>
    <w:rsid w:val="23234FEB"/>
    <w:rsid w:val="24192CCC"/>
    <w:rsid w:val="25457290"/>
    <w:rsid w:val="25D52D09"/>
    <w:rsid w:val="27116B4E"/>
    <w:rsid w:val="292F0982"/>
    <w:rsid w:val="2B9A4931"/>
    <w:rsid w:val="2C016606"/>
    <w:rsid w:val="2C1C3449"/>
    <w:rsid w:val="2C9A3402"/>
    <w:rsid w:val="2D276A64"/>
    <w:rsid w:val="2EBF6305"/>
    <w:rsid w:val="2EF266DA"/>
    <w:rsid w:val="33294832"/>
    <w:rsid w:val="37EF5EA7"/>
    <w:rsid w:val="39A66CD4"/>
    <w:rsid w:val="3B250F98"/>
    <w:rsid w:val="3C917734"/>
    <w:rsid w:val="3CBA1E44"/>
    <w:rsid w:val="3CD52CE1"/>
    <w:rsid w:val="3E1250E5"/>
    <w:rsid w:val="401A339B"/>
    <w:rsid w:val="410F2E6A"/>
    <w:rsid w:val="41D01BE3"/>
    <w:rsid w:val="4430136C"/>
    <w:rsid w:val="447D6A17"/>
    <w:rsid w:val="46A165C4"/>
    <w:rsid w:val="47477B71"/>
    <w:rsid w:val="476C4CE8"/>
    <w:rsid w:val="49E3251E"/>
    <w:rsid w:val="4A4C2CEB"/>
    <w:rsid w:val="4A4F27DB"/>
    <w:rsid w:val="4AB0382B"/>
    <w:rsid w:val="4BB3503D"/>
    <w:rsid w:val="4CE73D21"/>
    <w:rsid w:val="4ECA68D4"/>
    <w:rsid w:val="4F58501D"/>
    <w:rsid w:val="4FDD5DBB"/>
    <w:rsid w:val="4FF23CF4"/>
    <w:rsid w:val="5139564B"/>
    <w:rsid w:val="51566012"/>
    <w:rsid w:val="51644DBE"/>
    <w:rsid w:val="519136D9"/>
    <w:rsid w:val="569868B5"/>
    <w:rsid w:val="56DE4CCA"/>
    <w:rsid w:val="57C3182A"/>
    <w:rsid w:val="593A4B28"/>
    <w:rsid w:val="5A6776CD"/>
    <w:rsid w:val="5AB346C0"/>
    <w:rsid w:val="5D767545"/>
    <w:rsid w:val="5FBE5711"/>
    <w:rsid w:val="60786190"/>
    <w:rsid w:val="60A83DB3"/>
    <w:rsid w:val="611F6817"/>
    <w:rsid w:val="61304B8F"/>
    <w:rsid w:val="61C15914"/>
    <w:rsid w:val="6479263F"/>
    <w:rsid w:val="65674A25"/>
    <w:rsid w:val="664B5F82"/>
    <w:rsid w:val="66CA1754"/>
    <w:rsid w:val="6BF50B67"/>
    <w:rsid w:val="6C8E6D3B"/>
    <w:rsid w:val="6F147412"/>
    <w:rsid w:val="6F1E65D4"/>
    <w:rsid w:val="6F266C86"/>
    <w:rsid w:val="6F5042C2"/>
    <w:rsid w:val="70227EC6"/>
    <w:rsid w:val="712A7252"/>
    <w:rsid w:val="717604C9"/>
    <w:rsid w:val="730D5D09"/>
    <w:rsid w:val="74316312"/>
    <w:rsid w:val="76970124"/>
    <w:rsid w:val="780F13C8"/>
    <w:rsid w:val="78756096"/>
    <w:rsid w:val="7A1545F8"/>
    <w:rsid w:val="7A8C2B0C"/>
    <w:rsid w:val="7B332F87"/>
    <w:rsid w:val="7C385448"/>
    <w:rsid w:val="7CB3663D"/>
    <w:rsid w:val="7CB63765"/>
    <w:rsid w:val="7D051A3F"/>
    <w:rsid w:val="7E8C5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center"/>
    </w:pPr>
    <w:rPr>
      <w:rFonts w:cs="Times New Roman" w:asciiTheme="minorEastAsia" w:hAnsiTheme="minorEastAsia" w:eastAsiaTheme="minorEastAsia"/>
      <w:bCs/>
      <w:color w:val="000000" w:themeColor="text1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qFormat/>
    <w:uiPriority w:val="99"/>
    <w:rPr>
      <w:rFonts w:ascii="Times New Roman" w:hAnsi="Times New Roman"/>
      <w:kern w:val="2"/>
    </w:rPr>
  </w:style>
  <w:style w:type="paragraph" w:styleId="4">
    <w:name w:val="Body Text"/>
    <w:basedOn w:val="1"/>
    <w:autoRedefine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cstheme="minorBidi"/>
      <w:sz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rFonts w:asciiTheme="minorHAnsi" w:hAnsiTheme="minorHAnsi" w:cstheme="minorBidi"/>
      <w:sz w:val="18"/>
    </w:rPr>
  </w:style>
  <w:style w:type="paragraph" w:styleId="7">
    <w:name w:val="Subtitle"/>
    <w:basedOn w:val="1"/>
    <w:next w:val="1"/>
    <w:link w:val="26"/>
    <w:qFormat/>
    <w:uiPriority w:val="11"/>
    <w:pPr>
      <w:spacing w:before="240" w:after="60" w:line="312" w:lineRule="auto"/>
      <w:outlineLvl w:val="1"/>
    </w:pPr>
    <w:rPr>
      <w:rFonts w:asciiTheme="minorHAnsi" w:hAnsiTheme="minorHAnsi" w:cstheme="minorBidi"/>
      <w:b/>
      <w:kern w:val="28"/>
      <w:sz w:val="32"/>
      <w:szCs w:val="32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rPr>
      <w:rFonts w:ascii="Arial" w:hAnsi="Arial" w:eastAsia="黑体"/>
      <w:bCs w:val="0"/>
      <w:szCs w:val="20"/>
    </w:rPr>
  </w:style>
  <w:style w:type="paragraph" w:customStyle="1" w:styleId="16">
    <w:name w:val="表格正文DG"/>
    <w:basedOn w:val="1"/>
    <w:autoRedefine/>
    <w:qFormat/>
    <w:uiPriority w:val="0"/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81" w:beforeLines="25" w:beforeAutospacing="0" w:after="163" w:afterLines="50" w:afterAutospacing="0" w:line="440" w:lineRule="exact"/>
      <w:jc w:val="lef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pacing w:line="440" w:lineRule="exact"/>
      <w:ind w:firstLine="480" w:firstLineChars="200"/>
    </w:pPr>
    <w:rPr>
      <w:rFonts w:ascii="Times New Roman" w:hAnsi="Times New Roman"/>
    </w:rPr>
  </w:style>
  <w:style w:type="character" w:customStyle="1" w:styleId="21">
    <w:name w:val="标题 1 字符"/>
    <w:basedOn w:val="11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1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  <w:style w:type="paragraph" w:customStyle="1" w:styleId="25">
    <w:name w:val="列出段落1111"/>
    <w:basedOn w:val="1"/>
    <w:autoRedefine/>
    <w:qFormat/>
    <w:uiPriority w:val="34"/>
    <w:pPr>
      <w:ind w:left="720" w:firstLine="360"/>
      <w:contextualSpacing/>
    </w:pPr>
    <w:rPr>
      <w:rFonts w:ascii="Calibri" w:hAnsi="Calibri"/>
      <w:sz w:val="22"/>
    </w:rPr>
  </w:style>
  <w:style w:type="character" w:customStyle="1" w:styleId="26">
    <w:name w:val="副标题 字符"/>
    <w:basedOn w:val="11"/>
    <w:link w:val="7"/>
    <w:qFormat/>
    <w:uiPriority w:val="11"/>
    <w:rPr>
      <w:rFonts w:asciiTheme="minorHAnsi" w:hAnsiTheme="minorHAnsi" w:eastAsiaTheme="minorEastAsia" w:cstheme="minorBidi"/>
      <w:b/>
      <w:bCs/>
      <w:color w:val="000000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846</Words>
  <Characters>941</Characters>
  <Lines>37</Lines>
  <Paragraphs>10</Paragraphs>
  <TotalTime>6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王飔飔</cp:lastModifiedBy>
  <cp:lastPrinted>2026-03-10T08:20:00Z</cp:lastPrinted>
  <dcterms:modified xsi:type="dcterms:W3CDTF">2026-03-12T04:50:40Z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F9F50904C0EE4CF4890CCDB0CBE38250_12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