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58E4B6C">
      <w:pPr>
        <w:snapToGrid w:val="0"/>
        <w:jc w:val="center"/>
        <w:rPr>
          <w:sz w:val="6"/>
          <w:szCs w:val="6"/>
        </w:rPr>
      </w:pPr>
    </w:p>
    <w:p w14:paraId="40385823">
      <w:pPr>
        <w:snapToGrid w:val="0"/>
        <w:jc w:val="center"/>
        <w:rPr>
          <w:sz w:val="6"/>
          <w:szCs w:val="6"/>
        </w:rPr>
      </w:pPr>
    </w:p>
    <w:p w14:paraId="49F858D1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1B5D9F70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457AA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6703D21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7149E0D6">
            <w:pPr>
              <w:tabs>
                <w:tab w:val="left" w:pos="532"/>
              </w:tabs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眼耳鼻咽喉口腔科护理学</w:t>
            </w:r>
          </w:p>
        </w:tc>
      </w:tr>
      <w:tr w14:paraId="0B861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5A53ADD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C8613D1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2070039</w:t>
            </w:r>
          </w:p>
        </w:tc>
        <w:tc>
          <w:tcPr>
            <w:tcW w:w="1314" w:type="dxa"/>
            <w:vAlign w:val="center"/>
          </w:tcPr>
          <w:p w14:paraId="4BEDDF5D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78286903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highlight w:val="none"/>
                <w:lang w:eastAsia="zh-CN"/>
              </w:rPr>
              <w:t>2511/2488</w:t>
            </w:r>
          </w:p>
        </w:tc>
        <w:tc>
          <w:tcPr>
            <w:tcW w:w="1753" w:type="dxa"/>
            <w:vAlign w:val="center"/>
          </w:tcPr>
          <w:p w14:paraId="572DAD4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43C6E274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2.0/32</w:t>
            </w:r>
          </w:p>
        </w:tc>
      </w:tr>
      <w:tr w14:paraId="635C8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43CEE91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49724600">
            <w:pPr>
              <w:tabs>
                <w:tab w:val="left" w:pos="532"/>
              </w:tabs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聂莹</w:t>
            </w:r>
          </w:p>
        </w:tc>
        <w:tc>
          <w:tcPr>
            <w:tcW w:w="1314" w:type="dxa"/>
            <w:vAlign w:val="center"/>
          </w:tcPr>
          <w:p w14:paraId="3F88AE14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1BD4BF99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23427</w:t>
            </w:r>
          </w:p>
        </w:tc>
        <w:tc>
          <w:tcPr>
            <w:tcW w:w="1753" w:type="dxa"/>
            <w:vAlign w:val="center"/>
          </w:tcPr>
          <w:p w14:paraId="79C0D183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0ED13186">
            <w:pPr>
              <w:tabs>
                <w:tab w:val="left" w:pos="532"/>
              </w:tabs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兼职</w:t>
            </w:r>
          </w:p>
        </w:tc>
      </w:tr>
      <w:tr w14:paraId="13877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D7996E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4E6F8442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Hans"/>
              </w:rPr>
              <w:t>护理学</w:t>
            </w:r>
            <w:r>
              <w:rPr>
                <w:rFonts w:hint="default" w:eastAsia="宋体"/>
                <w:sz w:val="21"/>
                <w:szCs w:val="21"/>
                <w:lang w:eastAsia="zh-Hans"/>
              </w:rPr>
              <w:t>B2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default" w:eastAsia="宋体"/>
                <w:sz w:val="21"/>
                <w:szCs w:val="21"/>
                <w:lang w:eastAsia="zh-Hans"/>
              </w:rPr>
              <w:t>-1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eastAsia="宋体"/>
                <w:sz w:val="21"/>
                <w:szCs w:val="21"/>
                <w:lang w:eastAsia="zh-Hans"/>
              </w:rPr>
              <w:t>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.3</w:t>
            </w:r>
          </w:p>
        </w:tc>
        <w:tc>
          <w:tcPr>
            <w:tcW w:w="1314" w:type="dxa"/>
            <w:vAlign w:val="center"/>
          </w:tcPr>
          <w:p w14:paraId="36BC2FE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7FF9ABF9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52</w:t>
            </w:r>
          </w:p>
        </w:tc>
        <w:tc>
          <w:tcPr>
            <w:tcW w:w="1753" w:type="dxa"/>
            <w:vAlign w:val="center"/>
          </w:tcPr>
          <w:p w14:paraId="307E6EA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4BFCD5C9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Hans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18"/>
                <w:szCs w:val="18"/>
                <w:lang w:val="en-US" w:eastAsia="zh-CN"/>
              </w:rPr>
              <w:t>12号楼225</w:t>
            </w:r>
          </w:p>
        </w:tc>
      </w:tr>
      <w:tr w14:paraId="744CA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437D63A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23E540A">
            <w:pPr>
              <w:tabs>
                <w:tab w:val="left" w:pos="532"/>
              </w:tabs>
              <w:spacing w:line="340" w:lineRule="exact"/>
              <w:rPr>
                <w:rFonts w:ascii="Times New Roman Regular" w:hAnsi="Times New Roman Regular" w:eastAsia="黑体" w:cs="Times New Roman Regular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时间: 每周</w:t>
            </w: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val="en-US" w:eastAsia="zh-Hans"/>
              </w:rPr>
              <w:t>四</w:t>
            </w:r>
            <w:r>
              <w:rPr>
                <w:rFonts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>13:00～16:00    地点:</w:t>
            </w:r>
            <w:r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  <w:t>237</w:t>
            </w:r>
            <w:r>
              <w:rPr>
                <w:rFonts w:ascii="Times New Roman Regular" w:hAnsi="Times New Roman Regular" w:eastAsia="宋体" w:cs="Times New Roman Regular"/>
                <w:sz w:val="21"/>
                <w:szCs w:val="21"/>
                <w:lang w:eastAsia="zh-CN"/>
              </w:rPr>
              <w:t xml:space="preserve">     电话：021-58139474</w:t>
            </w:r>
          </w:p>
        </w:tc>
      </w:tr>
      <w:tr w14:paraId="0E6A9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92A2BB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5060545D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/>
                <w:sz w:val="21"/>
                <w:szCs w:val="21"/>
                <w:highlight w:val="none"/>
                <w:lang w:eastAsia="zh-CN"/>
              </w:rPr>
              <w:t>2511/2488</w:t>
            </w:r>
          </w:p>
        </w:tc>
      </w:tr>
      <w:tr w14:paraId="2B52A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3E6003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51AE2E7C">
            <w:pP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《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眼耳鼻咽喉科护理学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》第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 xml:space="preserve">版 主编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席淑新 肖惠明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eastAsia="zh-Hans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 xml:space="preserve"> 人民卫生出版社   202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年</w:t>
            </w:r>
          </w:p>
        </w:tc>
      </w:tr>
      <w:tr w14:paraId="01A3B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78EA8D94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0D0C51F0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  <w:t>①席淑新，肖惠明 主编。眼耳鼻咽喉科护理学学习指导及习题集。北京：人民卫生出版社，2022.</w:t>
            </w:r>
          </w:p>
          <w:p w14:paraId="4E0B31E1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  <w:t>②杨培增，范先群 主编。眼科学（第 9 版）. 北京：人民卫生出版社，2018.</w:t>
            </w:r>
          </w:p>
          <w:p w14:paraId="0C2EA067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  <w:t>③孔维佳，周梁 主编。耳鼻咽喉头颈外科学（第 9 版）. 北京：人民卫生出版社，2018.</w:t>
            </w:r>
          </w:p>
          <w:p w14:paraId="365A6697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  <w:t>④中华护理学会眼耳鼻咽喉科护理专业委员会。眼科 / 耳鼻咽喉科护理实践指南及相关专家共识（最新版）.</w:t>
            </w:r>
          </w:p>
          <w:p w14:paraId="07A934F1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  <w:t>⑤国家卫生健康委员会。国家基本公共卫生服务健康教育相关眼病防治、青少年近视防控、耳与听力健康等技术规范.</w:t>
            </w:r>
          </w:p>
          <w:p w14:paraId="1EAE26AF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  <w:t>⑥国家高等教育智慧教育平台（爱课程）"眼耳鼻咽喉科护理学 / 眼耳鼻喉口腔科护理学" 在线开放课程及配套微课、动画、操作视频.</w:t>
            </w:r>
          </w:p>
          <w:p w14:paraId="791B232F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  <w:t>⑦人民卫生出版社“人卫 E 教平台”本教材配套数字资源（图谱、习题、操作视频）.</w:t>
            </w:r>
          </w:p>
          <w:p w14:paraId="43E30523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  <w:t>⑧《中华护理杂志》《中国眼耳鼻喉科杂志》《护理学杂志》等专业期刊，用于跟踪专科护理新进展.</w:t>
            </w:r>
          </w:p>
        </w:tc>
      </w:tr>
    </w:tbl>
    <w:p w14:paraId="5576BDAF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5"/>
        <w:tblpPr w:leftFromText="180" w:rightFromText="180" w:vertAnchor="text" w:tblpXSpec="left" w:tblpY="1"/>
        <w:tblOverlap w:val="never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3745"/>
        <w:gridCol w:w="1395"/>
        <w:gridCol w:w="2392"/>
      </w:tblGrid>
      <w:tr w14:paraId="668386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58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DBC433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val="en-US"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5BDF9CA1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374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4B7C2A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D082F9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39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CDA75A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5BA56B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CEB3E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  <w:vAlign w:val="center"/>
          </w:tcPr>
          <w:p w14:paraId="17661BE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4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833420">
            <w:pPr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1.眼的应用解剖和生理</w:t>
            </w:r>
          </w:p>
          <w:p w14:paraId="6CFD7E1E">
            <w:pPr>
              <w:widowControl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2.眼科病人护理概述</w:t>
            </w:r>
          </w:p>
        </w:tc>
        <w:tc>
          <w:tcPr>
            <w:tcW w:w="13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5BBE7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理论讲授</w:t>
            </w:r>
          </w:p>
        </w:tc>
        <w:tc>
          <w:tcPr>
            <w:tcW w:w="239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56542A"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1.复习并完成课后作业</w:t>
            </w:r>
          </w:p>
          <w:p w14:paraId="465CABCE">
            <w:pPr>
              <w:widowControl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615F3C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7F08A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  <w:vAlign w:val="center"/>
          </w:tcPr>
          <w:p w14:paraId="0EF2A72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4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E03B9B">
            <w:pPr>
              <w:widowControl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1.眼睑及泪器病病人的护理</w:t>
            </w:r>
          </w:p>
          <w:p w14:paraId="29A1B70D">
            <w:pPr>
              <w:widowControl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2.眼表疾病病人的护理</w:t>
            </w:r>
          </w:p>
          <w:p w14:paraId="0855BB7C">
            <w:pPr>
              <w:widowControl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3.结膜病病人的护理</w:t>
            </w:r>
          </w:p>
          <w:p w14:paraId="6B178CBA">
            <w:pPr>
              <w:widowControl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4.角膜病病人的护理</w:t>
            </w:r>
          </w:p>
        </w:tc>
        <w:tc>
          <w:tcPr>
            <w:tcW w:w="13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4C667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理论讲授</w:t>
            </w:r>
          </w:p>
        </w:tc>
        <w:tc>
          <w:tcPr>
            <w:tcW w:w="239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BF1428"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1.复习并完成课后作业</w:t>
            </w:r>
          </w:p>
          <w:p w14:paraId="3388BC61">
            <w:pPr>
              <w:widowControl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650DB6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3D4EB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  <w:vAlign w:val="center"/>
          </w:tcPr>
          <w:p w14:paraId="0BF4473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4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1081FC">
            <w:pPr>
              <w:widowControl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1.白内障病人的护理</w:t>
            </w:r>
          </w:p>
          <w:p w14:paraId="7490D53D">
            <w:pPr>
              <w:widowControl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2.青光眼病人的护理</w:t>
            </w:r>
          </w:p>
          <w:p w14:paraId="643E0DAE">
            <w:pPr>
              <w:widowControl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3.葡萄膜炎病人的护理</w:t>
            </w:r>
          </w:p>
        </w:tc>
        <w:tc>
          <w:tcPr>
            <w:tcW w:w="13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E404F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理论讲授</w:t>
            </w:r>
          </w:p>
        </w:tc>
        <w:tc>
          <w:tcPr>
            <w:tcW w:w="239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CBBC98"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1.复习并完成课后作业</w:t>
            </w:r>
          </w:p>
          <w:p w14:paraId="53560557">
            <w:pPr>
              <w:widowControl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2C9409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115C8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  <w:vAlign w:val="center"/>
          </w:tcPr>
          <w:p w14:paraId="15EB58F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45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27795DEB"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1.玻璃体和视网膜病病人的护理</w:t>
            </w:r>
          </w:p>
          <w:p w14:paraId="6E3D0BAC"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2.视神经疾病病人的护理</w:t>
            </w:r>
          </w:p>
          <w:p w14:paraId="6556E132"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3.屈光不正病人和老视的护理</w:t>
            </w:r>
          </w:p>
          <w:p w14:paraId="331CE384">
            <w:pPr>
              <w:widowControl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4.斜视和弱视病人的护理</w:t>
            </w:r>
          </w:p>
        </w:tc>
        <w:tc>
          <w:tcPr>
            <w:tcW w:w="13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03354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理论讲授</w:t>
            </w:r>
          </w:p>
        </w:tc>
        <w:tc>
          <w:tcPr>
            <w:tcW w:w="239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BCDC2C"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1.复习并完成课后作业</w:t>
            </w:r>
          </w:p>
          <w:p w14:paraId="7790A140">
            <w:pPr>
              <w:widowControl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2524EE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F725D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  <w:vAlign w:val="center"/>
          </w:tcPr>
          <w:p w14:paraId="7BC1486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45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1EFA5A9A"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1.眼外伤病人的护理</w:t>
            </w:r>
          </w:p>
          <w:p w14:paraId="2DC27F82"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2.眼部恶性肿瘤病人的护理</w:t>
            </w:r>
          </w:p>
          <w:p w14:paraId="73D85C7E">
            <w:pPr>
              <w:widowControl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3.盲和低视力病人的康复及护理</w:t>
            </w:r>
          </w:p>
        </w:tc>
        <w:tc>
          <w:tcPr>
            <w:tcW w:w="13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3C0E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理论讲授</w:t>
            </w:r>
          </w:p>
        </w:tc>
        <w:tc>
          <w:tcPr>
            <w:tcW w:w="2392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6EEDD31B"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1.复习并完成课后作业</w:t>
            </w:r>
          </w:p>
          <w:p w14:paraId="1F669D05">
            <w:pPr>
              <w:widowControl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63AB12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970DE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  <w:vAlign w:val="center"/>
          </w:tcPr>
          <w:p w14:paraId="7811513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45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0CCEBBC8"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眼科常用护理操作技术</w:t>
            </w:r>
          </w:p>
          <w:p w14:paraId="75413238"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1.滴眼药法</w:t>
            </w:r>
          </w:p>
          <w:p w14:paraId="4E206875"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2.结膜囊冲洗法</w:t>
            </w:r>
          </w:p>
          <w:p w14:paraId="4F50B1B7"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3.眼科常用护理操作技术：泪道冲洗法</w:t>
            </w:r>
          </w:p>
          <w:p w14:paraId="3BB7257D">
            <w:pPr>
              <w:widowControl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4.耳鼻咽喉的应用解剖及生理</w:t>
            </w:r>
          </w:p>
        </w:tc>
        <w:tc>
          <w:tcPr>
            <w:tcW w:w="13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0B8FB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理论讲授</w:t>
            </w:r>
          </w:p>
        </w:tc>
        <w:tc>
          <w:tcPr>
            <w:tcW w:w="2392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28BE5E66"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1.复习并完成课后作业</w:t>
            </w:r>
          </w:p>
          <w:p w14:paraId="1413C517">
            <w:pPr>
              <w:widowControl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7463C3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2EA8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  <w:vAlign w:val="center"/>
          </w:tcPr>
          <w:p w14:paraId="6234014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45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1ABF20C7"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眼科常用护理操作技术</w:t>
            </w:r>
          </w:p>
          <w:p w14:paraId="0C373BB8">
            <w:pPr>
              <w:widowControl/>
              <w:numPr>
                <w:ilvl w:val="0"/>
                <w:numId w:val="1"/>
              </w:numPr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近视力检查法</w:t>
            </w:r>
          </w:p>
          <w:p w14:paraId="06C491C1">
            <w:pPr>
              <w:widowControl/>
              <w:numPr>
                <w:ilvl w:val="0"/>
                <w:numId w:val="1"/>
              </w:numPr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远视力检查法</w:t>
            </w:r>
          </w:p>
          <w:p w14:paraId="649214F7">
            <w:pPr>
              <w:widowControl/>
              <w:numPr>
                <w:ilvl w:val="0"/>
                <w:numId w:val="1"/>
              </w:numPr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涂眼药膏法</w:t>
            </w:r>
          </w:p>
          <w:p w14:paraId="3C311C5C">
            <w:pPr>
              <w:widowControl/>
              <w:numPr>
                <w:ilvl w:val="0"/>
                <w:numId w:val="1"/>
              </w:numPr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泪道冲洗法</w:t>
            </w:r>
          </w:p>
        </w:tc>
        <w:tc>
          <w:tcPr>
            <w:tcW w:w="13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2CFB9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理论讲授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+实践</w:t>
            </w:r>
          </w:p>
        </w:tc>
        <w:tc>
          <w:tcPr>
            <w:tcW w:w="2392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13AE1364"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1.复习并完成课后作业</w:t>
            </w:r>
          </w:p>
          <w:p w14:paraId="3D159A1C">
            <w:pPr>
              <w:widowControl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618B0E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62759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  <w:vAlign w:val="center"/>
          </w:tcPr>
          <w:p w14:paraId="7DD68CB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45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47482034"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1.耳鼻咽喉科病人的护理概述</w:t>
            </w:r>
          </w:p>
          <w:p w14:paraId="0E5E2FD8">
            <w:pPr>
              <w:widowControl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2.鼻科病人的护理</w:t>
            </w:r>
          </w:p>
        </w:tc>
        <w:tc>
          <w:tcPr>
            <w:tcW w:w="13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FD030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理论讲授</w:t>
            </w:r>
          </w:p>
        </w:tc>
        <w:tc>
          <w:tcPr>
            <w:tcW w:w="2392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2129C37B"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1.复习并完成课后作业</w:t>
            </w:r>
          </w:p>
          <w:p w14:paraId="0E0C124C">
            <w:pPr>
              <w:widowControl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3BA180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E7A7B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  <w:vAlign w:val="center"/>
          </w:tcPr>
          <w:p w14:paraId="32B61AA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45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0BA91519"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1.咽科病人的护理</w:t>
            </w:r>
          </w:p>
          <w:p w14:paraId="4094196D">
            <w:pPr>
              <w:widowControl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2.喉科病人的护理</w:t>
            </w:r>
          </w:p>
        </w:tc>
        <w:tc>
          <w:tcPr>
            <w:tcW w:w="13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6AA18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理论讲授</w:t>
            </w:r>
          </w:p>
        </w:tc>
        <w:tc>
          <w:tcPr>
            <w:tcW w:w="2392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789A06D6"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1.复习并完成课后作业</w:t>
            </w:r>
          </w:p>
          <w:p w14:paraId="3B2FEFB7">
            <w:pPr>
              <w:widowControl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0AA9A5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C887E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737" w:type="dxa"/>
            <w:vAlign w:val="center"/>
          </w:tcPr>
          <w:p w14:paraId="7061F4B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45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344381FC"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1.气管食管异物病人的护理</w:t>
            </w:r>
          </w:p>
          <w:p w14:paraId="621DE222">
            <w:pPr>
              <w:widowControl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2.耳科病人的护理</w:t>
            </w:r>
          </w:p>
        </w:tc>
        <w:tc>
          <w:tcPr>
            <w:tcW w:w="13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80BDF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理论讲授</w:t>
            </w:r>
          </w:p>
        </w:tc>
        <w:tc>
          <w:tcPr>
            <w:tcW w:w="2392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69F17ABB"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1.复习并完成课后作业</w:t>
            </w:r>
          </w:p>
          <w:p w14:paraId="6F268A64">
            <w:pPr>
              <w:widowControl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78661C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2743D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737" w:type="dxa"/>
            <w:vAlign w:val="center"/>
          </w:tcPr>
          <w:p w14:paraId="1E76A3E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45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605D98A1"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耳鼻咽喉科常用护理操作技术</w:t>
            </w:r>
          </w:p>
          <w:p w14:paraId="616D11A1"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1.滴鼻法</w:t>
            </w:r>
          </w:p>
          <w:p w14:paraId="7F5B52EF"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2.剪鼻毛法</w:t>
            </w:r>
          </w:p>
          <w:p w14:paraId="4C4DB268">
            <w:pPr>
              <w:widowControl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3、鼻腔冲洗法</w:t>
            </w:r>
          </w:p>
        </w:tc>
        <w:tc>
          <w:tcPr>
            <w:tcW w:w="13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7B637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理论讲授</w:t>
            </w:r>
          </w:p>
        </w:tc>
        <w:tc>
          <w:tcPr>
            <w:tcW w:w="2392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18BF9660"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1.复习并完成课后作业</w:t>
            </w:r>
          </w:p>
          <w:p w14:paraId="2583C0B0">
            <w:pPr>
              <w:widowControl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13527D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BB4CF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737" w:type="dxa"/>
            <w:vAlign w:val="center"/>
          </w:tcPr>
          <w:p w14:paraId="0AAA671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45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36A5427E"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耳鼻咽喉科常用护理操作技术</w:t>
            </w:r>
          </w:p>
          <w:p w14:paraId="3DE9B74A"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1、额镜使用法</w:t>
            </w:r>
          </w:p>
          <w:p w14:paraId="1C98CC84"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2、外耳道冲洗法</w:t>
            </w:r>
          </w:p>
          <w:p w14:paraId="00BFCDE6"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3、外耳道滴药法</w:t>
            </w:r>
          </w:p>
          <w:p w14:paraId="33292A7A">
            <w:pPr>
              <w:widowControl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4、外耳道加压包扎法</w:t>
            </w:r>
          </w:p>
        </w:tc>
        <w:tc>
          <w:tcPr>
            <w:tcW w:w="13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80FF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实践</w:t>
            </w:r>
          </w:p>
        </w:tc>
        <w:tc>
          <w:tcPr>
            <w:tcW w:w="2392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70AA85B0"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1.复习并完成课后作业</w:t>
            </w:r>
          </w:p>
          <w:p w14:paraId="65F828D3">
            <w:pPr>
              <w:widowControl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3B1A6C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220DC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737" w:type="dxa"/>
            <w:vAlign w:val="center"/>
          </w:tcPr>
          <w:p w14:paraId="0CD519F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45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72E80811"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1.口腔颌面部的应用解剖与生理</w:t>
            </w:r>
          </w:p>
          <w:p w14:paraId="3738531C">
            <w:pPr>
              <w:widowControl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2.口腔科病人的护理概述</w:t>
            </w:r>
          </w:p>
        </w:tc>
        <w:tc>
          <w:tcPr>
            <w:tcW w:w="13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49590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理论讲授</w:t>
            </w:r>
          </w:p>
        </w:tc>
        <w:tc>
          <w:tcPr>
            <w:tcW w:w="2392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451B48D5"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1.复习并完成课后作业</w:t>
            </w:r>
          </w:p>
          <w:p w14:paraId="46D3CE20">
            <w:pPr>
              <w:widowControl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3F4A6A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B50F8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737" w:type="dxa"/>
            <w:vAlign w:val="center"/>
          </w:tcPr>
          <w:p w14:paraId="2496C9B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45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29E53537"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1.口腔科病人的护理概述</w:t>
            </w:r>
          </w:p>
          <w:p w14:paraId="3A98FCFA"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2.口腔科病人的护理</w:t>
            </w:r>
          </w:p>
          <w:p w14:paraId="73DE28DC"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.口腔医院感染护理管理</w:t>
            </w:r>
          </w:p>
          <w:p w14:paraId="30F539F3"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.口腔科常用护理操作技术：粘固粉调拌技术</w:t>
            </w:r>
          </w:p>
        </w:tc>
        <w:tc>
          <w:tcPr>
            <w:tcW w:w="13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4BBD5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理论讲授</w:t>
            </w:r>
          </w:p>
        </w:tc>
        <w:tc>
          <w:tcPr>
            <w:tcW w:w="2392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07515176"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1.复习并完成课后作业</w:t>
            </w:r>
          </w:p>
          <w:p w14:paraId="3FB84D40">
            <w:pPr>
              <w:widowControl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1CF064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196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FEE25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737" w:type="dxa"/>
            <w:vAlign w:val="center"/>
          </w:tcPr>
          <w:p w14:paraId="0A66F85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45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5DE47FC8"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口腔科常用护理操作技术：</w:t>
            </w:r>
          </w:p>
          <w:p w14:paraId="08A7BA9E">
            <w:pPr>
              <w:widowControl/>
              <w:numPr>
                <w:ilvl w:val="0"/>
                <w:numId w:val="2"/>
              </w:numPr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颌面部绷带包扎法</w:t>
            </w:r>
          </w:p>
          <w:p w14:paraId="50B6DA27">
            <w:pPr>
              <w:widowControl/>
              <w:numPr>
                <w:ilvl w:val="0"/>
                <w:numId w:val="2"/>
              </w:numPr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颌面外科换药</w:t>
            </w:r>
          </w:p>
        </w:tc>
        <w:tc>
          <w:tcPr>
            <w:tcW w:w="13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1685D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理论讲授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+实践</w:t>
            </w:r>
          </w:p>
        </w:tc>
        <w:tc>
          <w:tcPr>
            <w:tcW w:w="2392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46A38AB2"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1.完成课后作业</w:t>
            </w:r>
          </w:p>
          <w:p w14:paraId="2146169D">
            <w:pPr>
              <w:widowControl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50440A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A2EB1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737" w:type="dxa"/>
            <w:vAlign w:val="center"/>
          </w:tcPr>
          <w:p w14:paraId="773D2D9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745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37CDC4A5">
            <w:pPr>
              <w:widowControl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复习</w:t>
            </w:r>
          </w:p>
        </w:tc>
        <w:tc>
          <w:tcPr>
            <w:tcW w:w="13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92A8F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随堂测试</w:t>
            </w:r>
          </w:p>
        </w:tc>
        <w:tc>
          <w:tcPr>
            <w:tcW w:w="239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509304"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课后复习</w:t>
            </w:r>
          </w:p>
        </w:tc>
      </w:tr>
    </w:tbl>
    <w:p w14:paraId="1D9F7DDC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5"/>
        <w:tblpPr w:leftFromText="180" w:rightFromText="180" w:vertAnchor="text" w:horzAnchor="margin" w:tblpY="24"/>
        <w:tblOverlap w:val="never"/>
        <w:tblW w:w="907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17"/>
        <w:gridCol w:w="1851"/>
        <w:gridCol w:w="5411"/>
      </w:tblGrid>
      <w:tr w14:paraId="5B1003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96" w:hRule="atLeast"/>
        </w:trPr>
        <w:tc>
          <w:tcPr>
            <w:tcW w:w="1817" w:type="dxa"/>
            <w:shd w:val="clear" w:color="auto" w:fill="auto"/>
            <w:vAlign w:val="center"/>
          </w:tcPr>
          <w:p w14:paraId="3B0B8948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490C65E6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411" w:type="dxa"/>
            <w:shd w:val="clear" w:color="auto" w:fill="auto"/>
            <w:vAlign w:val="center"/>
          </w:tcPr>
          <w:p w14:paraId="38E2E939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3F2E63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68" w:hRule="atLeast"/>
        </w:trPr>
        <w:tc>
          <w:tcPr>
            <w:tcW w:w="1817" w:type="dxa"/>
            <w:shd w:val="clear" w:color="auto" w:fill="auto"/>
            <w:vAlign w:val="center"/>
          </w:tcPr>
          <w:p w14:paraId="65F0519A">
            <w:pPr>
              <w:widowControl w:val="0"/>
              <w:snapToGrid w:val="0"/>
              <w:jc w:val="center"/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51" w:type="dxa"/>
            <w:shd w:val="clear" w:color="auto" w:fill="auto"/>
            <w:vAlign w:val="top"/>
          </w:tcPr>
          <w:p w14:paraId="702EE4CE">
            <w:pPr>
              <w:snapToGrid w:val="0"/>
              <w:spacing w:before="156" w:beforeLines="50" w:after="156" w:afterLines="50"/>
              <w:jc w:val="center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color w:val="000000"/>
                <w:sz w:val="20"/>
                <w:szCs w:val="20"/>
              </w:rPr>
              <w:t>60%</w:t>
            </w:r>
          </w:p>
        </w:tc>
        <w:tc>
          <w:tcPr>
            <w:tcW w:w="5411" w:type="dxa"/>
            <w:shd w:val="clear" w:color="auto" w:fill="auto"/>
            <w:vAlign w:val="center"/>
          </w:tcPr>
          <w:p w14:paraId="2BDF212D">
            <w:pPr>
              <w:pStyle w:val="13"/>
              <w:widowControl w:val="0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随堂测试</w:t>
            </w:r>
          </w:p>
        </w:tc>
      </w:tr>
      <w:tr w14:paraId="5AD88D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10" w:hRule="atLeast"/>
        </w:trPr>
        <w:tc>
          <w:tcPr>
            <w:tcW w:w="1817" w:type="dxa"/>
            <w:shd w:val="clear" w:color="auto" w:fill="auto"/>
            <w:vAlign w:val="center"/>
          </w:tcPr>
          <w:p w14:paraId="28028088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  <w:t>X2</w:t>
            </w:r>
          </w:p>
        </w:tc>
        <w:tc>
          <w:tcPr>
            <w:tcW w:w="1851" w:type="dxa"/>
            <w:shd w:val="clear" w:color="auto" w:fill="auto"/>
            <w:vAlign w:val="top"/>
          </w:tcPr>
          <w:p w14:paraId="4F4109D5">
            <w:pPr>
              <w:snapToGrid w:val="0"/>
              <w:spacing w:before="156" w:beforeLines="50" w:after="156" w:afterLines="50"/>
              <w:jc w:val="center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2"/>
                <w:sz w:val="21"/>
                <w:szCs w:val="21"/>
                <w:lang w:val="en-US" w:eastAsia="zh-TW" w:bidi="ar-SA"/>
              </w:rPr>
            </w:pPr>
            <w:r>
              <w:rPr>
                <w:rFonts w:hint="eastAsia" w:ascii="宋体" w:hAnsi="宋体"/>
                <w:bCs/>
                <w:color w:val="000000"/>
                <w:sz w:val="20"/>
                <w:szCs w:val="20"/>
              </w:rPr>
              <w:t>20%</w:t>
            </w:r>
          </w:p>
        </w:tc>
        <w:tc>
          <w:tcPr>
            <w:tcW w:w="5411" w:type="dxa"/>
            <w:shd w:val="clear" w:color="auto" w:fill="auto"/>
            <w:vAlign w:val="center"/>
          </w:tcPr>
          <w:p w14:paraId="6E45DE7D">
            <w:pPr>
              <w:pStyle w:val="13"/>
              <w:widowControl w:val="0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2"/>
                <w:sz w:val="21"/>
                <w:szCs w:val="21"/>
                <w:lang w:val="en-US" w:eastAsia="zh-TW" w:bidi="ar-SA"/>
              </w:rPr>
            </w:pPr>
            <w:r>
              <w:rPr>
                <w:rFonts w:hint="eastAsia"/>
                <w:lang w:val="en-US" w:eastAsia="zh-CN"/>
              </w:rPr>
              <w:t>案例分析</w:t>
            </w:r>
          </w:p>
        </w:tc>
      </w:tr>
      <w:tr w14:paraId="79260D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617" w:hRule="atLeast"/>
        </w:trPr>
        <w:tc>
          <w:tcPr>
            <w:tcW w:w="1817" w:type="dxa"/>
            <w:shd w:val="clear" w:color="auto" w:fill="auto"/>
            <w:vAlign w:val="center"/>
          </w:tcPr>
          <w:p w14:paraId="2AE2E0C4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851" w:type="dxa"/>
            <w:shd w:val="clear" w:color="auto" w:fill="auto"/>
            <w:vAlign w:val="top"/>
          </w:tcPr>
          <w:p w14:paraId="0EAF525C">
            <w:pPr>
              <w:snapToGrid w:val="0"/>
              <w:spacing w:before="156" w:beforeLines="50" w:after="156" w:afterLines="50"/>
              <w:jc w:val="center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2"/>
                <w:sz w:val="21"/>
                <w:szCs w:val="21"/>
                <w:lang w:val="en-US" w:eastAsia="zh-TW" w:bidi="ar-SA"/>
              </w:rPr>
            </w:pPr>
            <w:r>
              <w:rPr>
                <w:rFonts w:hint="eastAsia" w:ascii="宋体" w:hAnsi="宋体"/>
                <w:bCs/>
                <w:color w:val="000000"/>
                <w:sz w:val="20"/>
                <w:szCs w:val="20"/>
              </w:rPr>
              <w:t>10%</w:t>
            </w:r>
          </w:p>
        </w:tc>
        <w:tc>
          <w:tcPr>
            <w:tcW w:w="5411" w:type="dxa"/>
            <w:shd w:val="clear" w:color="auto" w:fill="auto"/>
            <w:vAlign w:val="center"/>
          </w:tcPr>
          <w:p w14:paraId="32F7DCD1">
            <w:pPr>
              <w:pStyle w:val="13"/>
              <w:widowControl w:val="0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2"/>
                <w:sz w:val="21"/>
                <w:szCs w:val="21"/>
                <w:lang w:val="en-US" w:eastAsia="zh-TW" w:bidi="ar-SA"/>
              </w:rPr>
            </w:pPr>
            <w:r>
              <w:rPr>
                <w:rFonts w:hint="eastAsia"/>
                <w:lang w:val="en-US" w:eastAsia="zh-CN"/>
              </w:rPr>
              <w:t>实训报告</w:t>
            </w:r>
          </w:p>
        </w:tc>
      </w:tr>
      <w:tr w14:paraId="2B10C6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641" w:hRule="atLeast"/>
        </w:trPr>
        <w:tc>
          <w:tcPr>
            <w:tcW w:w="1817" w:type="dxa"/>
            <w:shd w:val="clear" w:color="auto" w:fill="auto"/>
            <w:vAlign w:val="center"/>
          </w:tcPr>
          <w:p w14:paraId="570BD9FC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851" w:type="dxa"/>
            <w:shd w:val="clear" w:color="auto" w:fill="auto"/>
            <w:vAlign w:val="top"/>
          </w:tcPr>
          <w:p w14:paraId="16F12C89">
            <w:pPr>
              <w:snapToGrid w:val="0"/>
              <w:spacing w:before="156" w:beforeLines="50" w:after="156" w:afterLines="50"/>
              <w:jc w:val="center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2"/>
                <w:sz w:val="21"/>
                <w:szCs w:val="21"/>
                <w:lang w:val="en-US" w:eastAsia="zh-TW" w:bidi="ar-SA"/>
              </w:rPr>
            </w:pPr>
            <w:r>
              <w:rPr>
                <w:rFonts w:hint="eastAsia" w:ascii="宋体" w:hAnsi="宋体"/>
                <w:bCs/>
                <w:color w:val="000000"/>
                <w:sz w:val="20"/>
                <w:szCs w:val="20"/>
              </w:rPr>
              <w:t>10%</w:t>
            </w:r>
          </w:p>
        </w:tc>
        <w:tc>
          <w:tcPr>
            <w:tcW w:w="5411" w:type="dxa"/>
            <w:shd w:val="clear" w:color="auto" w:fill="auto"/>
            <w:vAlign w:val="center"/>
          </w:tcPr>
          <w:p w14:paraId="06B52C41">
            <w:pPr>
              <w:pStyle w:val="13"/>
              <w:widowControl w:val="0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2"/>
                <w:sz w:val="21"/>
                <w:szCs w:val="21"/>
                <w:lang w:val="en-US" w:eastAsia="zh-TW" w:bidi="ar-SA"/>
              </w:rPr>
            </w:pPr>
            <w:r>
              <w:rPr>
                <w:rFonts w:hint="eastAsia"/>
                <w:lang w:val="en-US" w:eastAsia="zh-CN"/>
              </w:rPr>
              <w:t>课堂表现</w:t>
            </w:r>
          </w:p>
        </w:tc>
      </w:tr>
    </w:tbl>
    <w:p w14:paraId="365B02C5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5A502DEA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ascii="仿宋" w:hAnsi="仿宋" w:eastAsia="仿宋"/>
          <w:color w:val="000000"/>
          <w:position w:val="-20"/>
          <w:sz w:val="28"/>
          <w:szCs w:val="28"/>
          <w:lang w:eastAsia="zh-Hans"/>
        </w:rPr>
        <w:drawing>
          <wp:inline distT="0" distB="0" distL="114300" distR="114300">
            <wp:extent cx="537845" cy="467995"/>
            <wp:effectExtent l="0" t="0" r="8255" b="1905"/>
            <wp:docPr id="4" name="图片 4" descr="7bf77f2d3c7398eb7529e30f4633f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7bf77f2d3c7398eb7529e30f4633f3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7845" cy="46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drawing>
          <wp:inline distT="0" distB="0" distL="114300" distR="114300">
            <wp:extent cx="428625" cy="274320"/>
            <wp:effectExtent l="0" t="0" r="3175" b="508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         </w:t>
      </w:r>
      <w:bookmarkStart w:id="0" w:name="_GoBack"/>
      <w:bookmarkEnd w:id="0"/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default" w:ascii="黑体" w:hAnsi="黑体" w:eastAsia="黑体"/>
          <w:color w:val="000000"/>
          <w:position w:val="-20"/>
          <w:sz w:val="21"/>
          <w:szCs w:val="21"/>
          <w:lang w:eastAsia="zh-CN"/>
        </w:rPr>
        <w:t>202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Hans"/>
        </w:rPr>
        <w:t>年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9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Hans"/>
        </w:rPr>
        <w:t>月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11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Hans"/>
        </w:rPr>
        <w:t>日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Segoe Print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7A50E1">
    <w:pPr>
      <w:pStyle w:val="2"/>
      <w:framePr w:w="1008" w:wrap="around" w:vAnchor="page" w:hAnchor="page" w:x="5491" w:y="16201"/>
      <w:rPr>
        <w:rStyle w:val="9"/>
        <w:rFonts w:ascii="ITC Bookman Demi" w:hAnsi="ITC Bookman Demi"/>
        <w:color w:val="FFFFFF"/>
        <w:sz w:val="26"/>
        <w:szCs w:val="26"/>
      </w:rPr>
    </w:pPr>
    <w:r>
      <w:rPr>
        <w:rStyle w:val="9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9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9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9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1BD78621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9D5D9E">
    <w:pPr>
      <w:pStyle w:val="2"/>
      <w:framePr w:w="406" w:wrap="around" w:vAnchor="page" w:hAnchor="page" w:x="5661" w:y="16221"/>
      <w:jc w:val="center"/>
      <w:rPr>
        <w:rStyle w:val="9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9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9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4750ED0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1BDC3E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AFADA4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427990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68432B2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7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SgFVdtQAAAAJ&#10;AQAADwAAAGRycy9kb3ducmV2LnhtbE2PTU/DMAyG70j8h8hI3FjSqXRVaboDElcktrFz1pimInGq&#10;Jvv89ZgTHO330evH7foSvDjhnMZIGoqFAoHURzvSoGG3fXuqQaRsyBofCTVcMcG6u79rTWPjmT7w&#10;tMmD4BJKjdHgcp4aKVPvMJi0iBMSZ19xDibzOA/SzubM5cHLpVKVDGYkvuDMhK8O++/NMWjYD+G2&#10;/yym2dngS3q/Xbe7OGr9+FCoFxAZL/kPhl99VoeOnQ7xSDYJr6FalUxqeK4qEJyX9ZIXBwaVqkF2&#10;rfz/QfcD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SgFVd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568432B2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C594A0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-26035</wp:posOffset>
          </wp:positionH>
          <wp:positionV relativeFrom="paragraph">
            <wp:posOffset>-31750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C03C08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FB84BC"/>
    <w:multiLevelType w:val="singleLevel"/>
    <w:tmpl w:val="99FB84BC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F01C2F2B"/>
    <w:multiLevelType w:val="singleLevel"/>
    <w:tmpl w:val="F01C2F2B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80"/>
  <w:drawingGridHorizontalSpacing w:val="120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hZTdhZWMxOTE3MWNjMzk4MzAyNWEyNjY2MjU1Y2IifQ=="/>
  </w:docVars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4958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5290FF7"/>
    <w:rsid w:val="06344057"/>
    <w:rsid w:val="09EF5061"/>
    <w:rsid w:val="0B02141F"/>
    <w:rsid w:val="0DB76A4A"/>
    <w:rsid w:val="199D2E85"/>
    <w:rsid w:val="1B9B294B"/>
    <w:rsid w:val="2D7E664E"/>
    <w:rsid w:val="2E59298A"/>
    <w:rsid w:val="37E50B00"/>
    <w:rsid w:val="469E3321"/>
    <w:rsid w:val="49DF08B3"/>
    <w:rsid w:val="4F0911AA"/>
    <w:rsid w:val="5CB564CD"/>
    <w:rsid w:val="638C7DC8"/>
    <w:rsid w:val="65310993"/>
    <w:rsid w:val="6766681B"/>
    <w:rsid w:val="6E256335"/>
    <w:rsid w:val="6FF9B784"/>
    <w:rsid w:val="700912C5"/>
    <w:rsid w:val="74F62C86"/>
    <w:rsid w:val="79232105"/>
    <w:rsid w:val="7B024335"/>
    <w:rsid w:val="7DBC486B"/>
    <w:rsid w:val="7DEF78F1"/>
    <w:rsid w:val="7E7C2E97"/>
    <w:rsid w:val="AFC1C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nhideWhenUsed="0" w:uiPriority="0" w:semiHidden="0" w:name="Table Web 3"/>
    <w:lsdException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4">
    <w:name w:val="Normal (Web)"/>
    <w:basedOn w:val="1"/>
    <w:semiHidden/>
    <w:unhideWhenUsed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page number"/>
    <w:basedOn w:val="7"/>
    <w:qFormat/>
    <w:uiPriority w:val="0"/>
  </w:style>
  <w:style w:type="character" w:styleId="10">
    <w:name w:val="Hyperlink"/>
    <w:qFormat/>
    <w:uiPriority w:val="0"/>
    <w:rPr>
      <w:color w:val="0000FF"/>
      <w:u w:val="single"/>
    </w:rPr>
  </w:style>
  <w:style w:type="paragraph" w:customStyle="1" w:styleId="11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customStyle="1" w:styleId="12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3">
    <w:name w:val="表格正文DG"/>
    <w:basedOn w:val="1"/>
    <w:qFormat/>
    <w:uiPriority w:val="0"/>
    <w:pPr>
      <w:jc w:val="center"/>
    </w:pPr>
    <w:rPr>
      <w:rFonts w:ascii="Times New Roman" w:hAnsi="Times New Roman"/>
      <w:color w:val="000000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4.pn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3</Pages>
  <Words>1456</Words>
  <Characters>1623</Characters>
  <Lines>2</Lines>
  <Paragraphs>1</Paragraphs>
  <TotalTime>16</TotalTime>
  <ScaleCrop>false</ScaleCrop>
  <LinksUpToDate>false</LinksUpToDate>
  <CharactersWithSpaces>1671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2015-08-28T04:51:00Z</dcterms:created>
  <dc:creator>*****</dc:creator>
  <cp:lastModifiedBy>一去二三里</cp:lastModifiedBy>
  <cp:lastPrinted>2015-03-19T03:45:00Z</cp:lastPrinted>
  <dcterms:modified xsi:type="dcterms:W3CDTF">2026-09-17T01:22:41Z</dcterms:modified>
  <dc:title>上海建桥学院教学进度计划表</dc:title>
  <cp:revision>85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2B98DEEF7E0647D0AF2C9F33B37B072D_12</vt:lpwstr>
  </property>
  <property fmtid="{D5CDD505-2E9C-101B-9397-08002B2CF9AE}" pid="4" name="KSOTemplateDocerSaveRecord">
    <vt:lpwstr>eyJoZGlkIjoiOGU4YmE5YTQ3ZTNiYjE1MTNmNDI3YTIzZDBjMjhmZWIiLCJ1c2VySWQiOiI1MDEyNzg3NDgifQ==</vt:lpwstr>
  </property>
</Properties>
</file>