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hint="eastAsia" w:ascii="黑体" w:hAnsi="黑体" w:eastAsia="黑体"/>
          <w:sz w:val="32"/>
          <w:szCs w:val="32"/>
          <w:lang w:eastAsia="zh-CN"/>
        </w:rPr>
      </w:pPr>
      <w:r>
        <w:rPr>
          <w:rFonts w:hint="eastAsia" w:ascii="黑体" w:hAnsi="黑体" w:eastAsia="黑体"/>
          <w:sz w:val="32"/>
          <w:szCs w:val="32"/>
          <w:lang w:eastAsia="zh-CN"/>
        </w:rPr>
        <w:t>课程教学进度计划表</w:t>
      </w:r>
    </w:p>
    <w:p>
      <w:pPr>
        <w:snapToGrid w:val="0"/>
        <w:spacing w:before="360" w:beforeLines="100" w:after="180" w:afterLines="50"/>
        <w:jc w:val="both"/>
        <w:rPr>
          <w:rFonts w:hint="eastAsia"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51"/>
        <w:gridCol w:w="1411"/>
        <w:gridCol w:w="1314"/>
        <w:gridCol w:w="1169"/>
        <w:gridCol w:w="175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pPr>
              <w:tabs>
                <w:tab w:val="left" w:pos="532"/>
              </w:tabs>
              <w:spacing w:line="340" w:lineRule="exact"/>
              <w:jc w:val="center"/>
              <w:rPr>
                <w:rFonts w:hint="eastAsia"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pPr>
              <w:tabs>
                <w:tab w:val="left" w:pos="532"/>
              </w:tabs>
              <w:jc w:val="center"/>
              <w:rPr>
                <w:rFonts w:hint="eastAsia" w:ascii="宋体" w:hAnsi="宋体" w:eastAsia="宋体"/>
                <w:sz w:val="21"/>
                <w:szCs w:val="21"/>
                <w:lang w:eastAsia="zh-CN"/>
              </w:rPr>
            </w:pPr>
            <w:r>
              <w:rPr>
                <w:rFonts w:hint="eastAsia" w:ascii="宋体" w:hAnsi="宋体" w:eastAsia="宋体"/>
                <w:sz w:val="21"/>
                <w:szCs w:val="21"/>
                <w:lang w:eastAsia="zh-CN"/>
              </w:rPr>
              <w:t>老年护理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pPr>
              <w:tabs>
                <w:tab w:val="left" w:pos="532"/>
              </w:tabs>
              <w:jc w:val="center"/>
              <w:rPr>
                <w:rFonts w:eastAsia="宋体"/>
                <w:sz w:val="21"/>
                <w:szCs w:val="21"/>
                <w:lang w:eastAsia="zh-CN"/>
              </w:rPr>
            </w:pPr>
            <w:r>
              <w:rPr>
                <w:rFonts w:hint="eastAsia" w:eastAsia="宋体"/>
                <w:sz w:val="21"/>
                <w:szCs w:val="21"/>
                <w:lang w:eastAsia="zh-CN"/>
              </w:rPr>
              <w:t>0070053</w:t>
            </w:r>
          </w:p>
        </w:tc>
        <w:tc>
          <w:tcPr>
            <w:tcW w:w="1314" w:type="dxa"/>
            <w:vAlign w:val="center"/>
          </w:tcPr>
          <w:p>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1413、1403</w:t>
            </w:r>
          </w:p>
        </w:tc>
        <w:tc>
          <w:tcPr>
            <w:tcW w:w="1753" w:type="dxa"/>
            <w:vAlign w:val="center"/>
          </w:tcPr>
          <w:p>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pPr>
              <w:tabs>
                <w:tab w:val="left" w:pos="532"/>
              </w:tabs>
              <w:jc w:val="center"/>
              <w:rPr>
                <w:rFonts w:eastAsia="宋体"/>
                <w:sz w:val="21"/>
                <w:szCs w:val="21"/>
                <w:lang w:eastAsia="zh-CN"/>
              </w:rPr>
            </w:pPr>
            <w:r>
              <w:rPr>
                <w:rFonts w:hint="eastAsia" w:eastAsia="宋体"/>
                <w:sz w:val="21"/>
                <w:szCs w:val="21"/>
                <w:lang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莫敏玲</w:t>
            </w:r>
          </w:p>
        </w:tc>
        <w:tc>
          <w:tcPr>
            <w:tcW w:w="1314" w:type="dxa"/>
            <w:vAlign w:val="center"/>
          </w:tcPr>
          <w:p>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eastAsia="zh-CN"/>
              </w:rPr>
              <w:t>2</w:t>
            </w:r>
            <w:r>
              <w:rPr>
                <w:rFonts w:hint="eastAsia" w:eastAsia="宋体"/>
                <w:sz w:val="21"/>
                <w:szCs w:val="21"/>
                <w:lang w:val="en-US" w:eastAsia="zh-CN"/>
              </w:rPr>
              <w:t>0602</w:t>
            </w:r>
          </w:p>
        </w:tc>
        <w:tc>
          <w:tcPr>
            <w:tcW w:w="1753" w:type="dxa"/>
            <w:vAlign w:val="center"/>
          </w:tcPr>
          <w:p>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pPr>
              <w:tabs>
                <w:tab w:val="left" w:pos="532"/>
              </w:tabs>
              <w:jc w:val="center"/>
              <w:rPr>
                <w:rFonts w:eastAsia="宋体"/>
                <w:sz w:val="21"/>
                <w:szCs w:val="21"/>
                <w:lang w:eastAsia="zh-CN"/>
              </w:rPr>
            </w:pPr>
            <w:r>
              <w:rPr>
                <w:rFonts w:hint="eastAsia" w:eastAsia="宋体"/>
                <w:sz w:val="21"/>
                <w:szCs w:val="21"/>
                <w:lang w:eastAsia="zh-CN"/>
              </w:rPr>
              <w:t>护理2</w:t>
            </w:r>
            <w:r>
              <w:rPr>
                <w:rFonts w:hint="eastAsia" w:eastAsia="宋体"/>
                <w:sz w:val="21"/>
                <w:szCs w:val="21"/>
                <w:lang w:val="en-US" w:eastAsia="zh-CN"/>
              </w:rPr>
              <w:t>4</w:t>
            </w:r>
            <w:r>
              <w:rPr>
                <w:rFonts w:hint="eastAsia" w:eastAsia="宋体"/>
                <w:sz w:val="21"/>
                <w:szCs w:val="21"/>
                <w:lang w:eastAsia="zh-CN"/>
              </w:rPr>
              <w:t>-1、2、3班</w:t>
            </w:r>
          </w:p>
        </w:tc>
        <w:tc>
          <w:tcPr>
            <w:tcW w:w="1314" w:type="dxa"/>
            <w:vAlign w:val="center"/>
          </w:tcPr>
          <w:p>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pPr>
              <w:tabs>
                <w:tab w:val="left" w:pos="532"/>
              </w:tabs>
              <w:jc w:val="center"/>
              <w:rPr>
                <w:rFonts w:hint="default" w:eastAsia="宋体"/>
                <w:sz w:val="21"/>
                <w:szCs w:val="21"/>
                <w:lang w:val="en-US" w:eastAsia="zh-CN"/>
              </w:rPr>
            </w:pPr>
            <w:r>
              <w:rPr>
                <w:rFonts w:hint="eastAsia" w:eastAsia="宋体"/>
                <w:sz w:val="21"/>
                <w:szCs w:val="21"/>
                <w:lang w:val="en-US" w:eastAsia="zh-CN"/>
              </w:rPr>
              <w:t>151</w:t>
            </w:r>
          </w:p>
        </w:tc>
        <w:tc>
          <w:tcPr>
            <w:tcW w:w="1753" w:type="dxa"/>
            <w:vAlign w:val="center"/>
          </w:tcPr>
          <w:p>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pPr>
              <w:tabs>
                <w:tab w:val="left" w:pos="532"/>
              </w:tabs>
              <w:jc w:val="both"/>
              <w:rPr>
                <w:rFonts w:hint="default" w:eastAsia="宋体"/>
                <w:sz w:val="21"/>
                <w:szCs w:val="21"/>
                <w:lang w:val="en-US" w:eastAsia="zh-CN"/>
              </w:rPr>
            </w:pPr>
            <w:r>
              <w:rPr>
                <w:rFonts w:hint="eastAsia" w:eastAsia="宋体"/>
                <w:sz w:val="21"/>
                <w:szCs w:val="21"/>
                <w:lang w:val="en-US" w:eastAsia="zh-CN"/>
              </w:rPr>
              <w:t>二教102、二教203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bCs/>
                <w:sz w:val="21"/>
                <w:szCs w:val="21"/>
                <w:lang w:eastAsia="zh-CN"/>
              </w:rPr>
              <w:t>时间:每周</w:t>
            </w:r>
            <w:r>
              <w:rPr>
                <w:rFonts w:hint="eastAsia"/>
                <w:bCs/>
                <w:sz w:val="21"/>
                <w:szCs w:val="21"/>
                <w:lang w:eastAsia="zh-CN"/>
              </w:rPr>
              <w:t>四</w:t>
            </w:r>
            <w:r>
              <w:rPr>
                <w:bCs/>
                <w:sz w:val="21"/>
                <w:szCs w:val="21"/>
                <w:lang w:eastAsia="zh-CN"/>
              </w:rPr>
              <w:t>12:00-12:40  地点:</w:t>
            </w:r>
            <w:r>
              <w:rPr>
                <w:rFonts w:hint="eastAsia" w:ascii="宋体" w:hAnsi="宋体" w:eastAsia="宋体" w:cs="宋体"/>
                <w:bCs/>
                <w:sz w:val="21"/>
                <w:szCs w:val="21"/>
                <w:lang w:eastAsia="zh-CN"/>
              </w:rPr>
              <w:t>健康219</w:t>
            </w:r>
            <w:r>
              <w:rPr>
                <w:bCs/>
                <w:sz w:val="21"/>
                <w:szCs w:val="21"/>
                <w:lang w:eastAsia="zh-CN"/>
              </w:rPr>
              <w:t xml:space="preserve"> 电话：</w:t>
            </w:r>
            <w:r>
              <w:rPr>
                <w:rFonts w:hint="eastAsia"/>
                <w:bCs/>
                <w:sz w:val="21"/>
                <w:szCs w:val="21"/>
                <w:lang w:eastAsia="zh-CN"/>
              </w:rPr>
              <w:t>13381666307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14</w:t>
            </w:r>
            <w:r>
              <w:rPr>
                <w:rFonts w:hint="eastAsia" w:ascii="宋体" w:hAnsi="宋体" w:eastAsia="宋体" w:cs="宋体"/>
                <w:color w:val="000000" w:themeColor="text1"/>
                <w:kern w:val="0"/>
                <w:sz w:val="21"/>
                <w:szCs w:val="21"/>
                <w:lang w:val="en-US" w:eastAsia="zh-CN"/>
                <w14:textFill>
                  <w14:solidFill>
                    <w14:schemeClr w14:val="tx1"/>
                  </w14:solidFill>
                </w14:textFill>
              </w:rPr>
              <w:t>13</w:t>
            </w:r>
            <w:r>
              <w:rPr>
                <w:rFonts w:hint="eastAsia" w:ascii="宋体" w:hAnsi="宋体" w:eastAsia="宋体" w:cs="宋体"/>
                <w:color w:val="000000" w:themeColor="text1"/>
                <w:kern w:val="0"/>
                <w:sz w:val="21"/>
                <w:szCs w:val="21"/>
                <w:lang w:eastAsia="zh-CN"/>
                <w14:textFill>
                  <w14:solidFill>
                    <w14:schemeClr w14:val="tx1"/>
                  </w14:solidFill>
                </w14:textFill>
              </w:rPr>
              <w:t>/14</w:t>
            </w:r>
            <w:r>
              <w:rPr>
                <w:rFonts w:hint="eastAsia" w:ascii="宋体" w:hAnsi="宋体" w:eastAsia="宋体" w:cs="宋体"/>
                <w:color w:val="000000" w:themeColor="text1"/>
                <w:kern w:val="0"/>
                <w:sz w:val="21"/>
                <w:szCs w:val="21"/>
                <w:lang w:val="en-US" w:eastAsia="zh-CN"/>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pPr>
              <w:tabs>
                <w:tab w:val="left" w:pos="532"/>
              </w:tabs>
              <w:spacing w:line="340" w:lineRule="exact"/>
              <w:jc w:val="center"/>
              <w:rPr>
                <w:rFonts w:hint="eastAsia"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老年护理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学</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张先庚、ISBN</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9787117368735</w:t>
            </w:r>
            <w:r>
              <w:rPr>
                <w:rFonts w:hint="eastAsia" w:asciiTheme="minorEastAsia" w:hAnsiTheme="minorEastAsia" w:eastAsiaTheme="minorEastAsia" w:cstheme="minorEastAsia"/>
                <w:color w:val="000000" w:themeColor="text1"/>
                <w:sz w:val="21"/>
                <w:szCs w:val="21"/>
                <w14:textFill>
                  <w14:solidFill>
                    <w14:schemeClr w14:val="tx1"/>
                  </w14:solidFill>
                </w14:textFill>
              </w:rPr>
              <w:t>人民卫生出版社 第</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pPr>
              <w:tabs>
                <w:tab w:val="left" w:pos="532"/>
              </w:tabs>
              <w:rPr>
                <w:rFonts w:hint="eastAsia" w:ascii="宋体" w:hAnsi="宋体" w:eastAsia="宋体"/>
                <w:sz w:val="21"/>
                <w:szCs w:val="21"/>
                <w:lang w:eastAsia="zh-CN"/>
              </w:rPr>
            </w:pPr>
            <w:r>
              <w:rPr>
                <w:rFonts w:ascii="宋体" w:hAnsi="宋体" w:eastAsia="宋体"/>
                <w:sz w:val="21"/>
                <w:szCs w:val="21"/>
                <w:lang w:eastAsia="zh-CN"/>
              </w:rPr>
              <w:t>1.</w:t>
            </w:r>
            <w:r>
              <w:rPr>
                <w:rFonts w:hint="eastAsia" w:ascii="宋体" w:hAnsi="宋体" w:eastAsia="宋体"/>
                <w:sz w:val="21"/>
                <w:szCs w:val="21"/>
                <w:lang w:eastAsia="zh-CN"/>
              </w:rPr>
              <w:t>《老年护理学》，主编：孙建萍，人民卫生出版社，第</w:t>
            </w:r>
            <w:r>
              <w:rPr>
                <w:rFonts w:ascii="宋体" w:hAnsi="宋体" w:eastAsia="宋体"/>
                <w:sz w:val="21"/>
                <w:szCs w:val="21"/>
                <w:lang w:eastAsia="zh-CN"/>
              </w:rPr>
              <w:t>3</w:t>
            </w:r>
            <w:r>
              <w:rPr>
                <w:rFonts w:hint="eastAsia" w:ascii="宋体" w:hAnsi="宋体" w:eastAsia="宋体"/>
                <w:sz w:val="21"/>
                <w:szCs w:val="21"/>
                <w:lang w:eastAsia="zh-CN"/>
              </w:rPr>
              <w:t>版，</w:t>
            </w:r>
            <w:r>
              <w:rPr>
                <w:rFonts w:ascii="宋体" w:hAnsi="宋体" w:eastAsia="宋体"/>
                <w:sz w:val="21"/>
                <w:szCs w:val="21"/>
                <w:lang w:eastAsia="zh-CN"/>
              </w:rPr>
              <w:t>2014</w:t>
            </w:r>
            <w:r>
              <w:rPr>
                <w:rFonts w:hint="eastAsia" w:ascii="宋体" w:hAnsi="宋体" w:eastAsia="宋体"/>
                <w:sz w:val="21"/>
                <w:szCs w:val="21"/>
                <w:lang w:eastAsia="zh-CN"/>
              </w:rPr>
              <w:t>年</w:t>
            </w:r>
            <w:r>
              <w:rPr>
                <w:rFonts w:ascii="宋体" w:hAnsi="宋体" w:eastAsia="宋体"/>
                <w:sz w:val="21"/>
                <w:szCs w:val="21"/>
                <w:lang w:eastAsia="zh-CN"/>
              </w:rPr>
              <w:t>1</w:t>
            </w:r>
            <w:r>
              <w:rPr>
                <w:rFonts w:hint="eastAsia" w:ascii="宋体" w:hAnsi="宋体" w:eastAsia="宋体"/>
                <w:sz w:val="21"/>
                <w:szCs w:val="21"/>
                <w:lang w:eastAsia="zh-CN"/>
              </w:rPr>
              <w:t>月</w:t>
            </w:r>
          </w:p>
          <w:p>
            <w:pPr>
              <w:tabs>
                <w:tab w:val="left" w:pos="532"/>
              </w:tabs>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《老年护理学》，主编：罗悦性，人民卫生出版社，第</w:t>
            </w:r>
            <w:r>
              <w:rPr>
                <w:rFonts w:ascii="宋体" w:hAnsi="宋体" w:eastAsia="宋体"/>
                <w:sz w:val="21"/>
                <w:szCs w:val="21"/>
                <w:lang w:eastAsia="zh-CN"/>
              </w:rPr>
              <w:t>2</w:t>
            </w:r>
            <w:r>
              <w:rPr>
                <w:rFonts w:hint="eastAsia" w:ascii="宋体" w:hAnsi="宋体" w:eastAsia="宋体"/>
                <w:sz w:val="21"/>
                <w:szCs w:val="21"/>
                <w:lang w:eastAsia="zh-CN"/>
              </w:rPr>
              <w:t>版，</w:t>
            </w:r>
            <w:r>
              <w:rPr>
                <w:rFonts w:ascii="宋体" w:hAnsi="宋体" w:eastAsia="宋体"/>
                <w:sz w:val="21"/>
                <w:szCs w:val="21"/>
                <w:lang w:eastAsia="zh-CN"/>
              </w:rPr>
              <w:t>2011</w:t>
            </w:r>
            <w:r>
              <w:rPr>
                <w:rFonts w:hint="eastAsia" w:ascii="宋体" w:hAnsi="宋体" w:eastAsia="宋体"/>
                <w:sz w:val="21"/>
                <w:szCs w:val="21"/>
                <w:lang w:eastAsia="zh-CN"/>
              </w:rPr>
              <w:t>年</w:t>
            </w:r>
            <w:r>
              <w:rPr>
                <w:rFonts w:ascii="宋体" w:hAnsi="宋体" w:eastAsia="宋体"/>
                <w:sz w:val="21"/>
                <w:szCs w:val="21"/>
                <w:lang w:eastAsia="zh-CN"/>
              </w:rPr>
              <w:t>7</w:t>
            </w:r>
            <w:r>
              <w:rPr>
                <w:rFonts w:hint="eastAsia" w:ascii="宋体" w:hAnsi="宋体" w:eastAsia="宋体"/>
                <w:sz w:val="21"/>
                <w:szCs w:val="21"/>
                <w:lang w:eastAsia="zh-CN"/>
              </w:rPr>
              <w:t>月</w:t>
            </w:r>
          </w:p>
          <w:p>
            <w:pPr>
              <w:tabs>
                <w:tab w:val="left" w:pos="532"/>
              </w:tabs>
              <w:rPr>
                <w:rFonts w:hint="eastAsia" w:ascii="宋体" w:hAnsi="宋体" w:eastAsia="宋体"/>
                <w:sz w:val="21"/>
                <w:szCs w:val="21"/>
                <w:lang w:eastAsia="zh-CN"/>
              </w:rPr>
            </w:pPr>
            <w:r>
              <w:rPr>
                <w:rFonts w:ascii="宋体" w:hAnsi="宋体" w:eastAsia="宋体"/>
                <w:sz w:val="21"/>
                <w:szCs w:val="21"/>
                <w:lang w:eastAsia="zh-CN"/>
              </w:rPr>
              <w:t>3.</w:t>
            </w:r>
            <w:r>
              <w:rPr>
                <w:rFonts w:hint="eastAsia" w:ascii="宋体" w:hAnsi="宋体" w:eastAsia="宋体"/>
                <w:sz w:val="21"/>
                <w:szCs w:val="21"/>
                <w:lang w:eastAsia="zh-CN"/>
              </w:rPr>
              <w:t>《老年护理学》，李玉明，郝静主编的《老年护理》，人民卫生出版社</w:t>
            </w:r>
            <w:r>
              <w:rPr>
                <w:rFonts w:ascii="宋体" w:hAnsi="宋体" w:eastAsia="宋体"/>
                <w:sz w:val="21"/>
                <w:szCs w:val="21"/>
                <w:lang w:eastAsia="zh-CN"/>
              </w:rPr>
              <w:t>2017</w:t>
            </w:r>
            <w:r>
              <w:rPr>
                <w:rFonts w:hint="eastAsia" w:ascii="宋体" w:hAnsi="宋体" w:eastAsia="宋体"/>
                <w:sz w:val="21"/>
                <w:szCs w:val="21"/>
                <w:lang w:eastAsia="zh-CN"/>
              </w:rPr>
              <w:t>年</w:t>
            </w:r>
            <w:r>
              <w:rPr>
                <w:rFonts w:ascii="宋体" w:hAnsi="宋体" w:eastAsia="宋体"/>
                <w:sz w:val="21"/>
                <w:szCs w:val="21"/>
                <w:lang w:eastAsia="zh-CN"/>
              </w:rPr>
              <w:t>2</w:t>
            </w:r>
            <w:r>
              <w:rPr>
                <w:rFonts w:hint="eastAsia" w:ascii="宋体" w:hAnsi="宋体" w:eastAsia="宋体"/>
                <w:sz w:val="21"/>
                <w:szCs w:val="21"/>
                <w:lang w:eastAsia="zh-CN"/>
              </w:rPr>
              <w:t>月第</w:t>
            </w:r>
            <w:r>
              <w:rPr>
                <w:rFonts w:ascii="宋体" w:hAnsi="宋体" w:eastAsia="宋体"/>
                <w:sz w:val="21"/>
                <w:szCs w:val="21"/>
                <w:lang w:eastAsia="zh-CN"/>
              </w:rPr>
              <w:t>1</w:t>
            </w:r>
            <w:r>
              <w:rPr>
                <w:rFonts w:hint="eastAsia" w:ascii="宋体" w:hAnsi="宋体" w:eastAsia="宋体"/>
                <w:sz w:val="21"/>
                <w:szCs w:val="21"/>
                <w:lang w:eastAsia="zh-CN"/>
              </w:rPr>
              <w:t>版</w:t>
            </w:r>
          </w:p>
          <w:p>
            <w:pPr>
              <w:tabs>
                <w:tab w:val="left" w:pos="532"/>
              </w:tabs>
              <w:rPr>
                <w:rFonts w:hint="eastAsia" w:ascii="宋体" w:hAnsi="宋体" w:eastAsia="宋体"/>
                <w:sz w:val="21"/>
                <w:szCs w:val="21"/>
                <w:lang w:eastAsia="zh-CN"/>
              </w:rPr>
            </w:pPr>
            <w:r>
              <w:rPr>
                <w:rFonts w:ascii="宋体" w:hAnsi="宋体" w:eastAsia="宋体"/>
                <w:sz w:val="21"/>
                <w:szCs w:val="21"/>
                <w:lang w:eastAsia="zh-CN"/>
              </w:rPr>
              <w:t>4.</w:t>
            </w:r>
            <w:r>
              <w:rPr>
                <w:rFonts w:hint="eastAsia" w:ascii="宋体" w:hAnsi="宋体" w:eastAsia="宋体"/>
                <w:sz w:val="21"/>
                <w:szCs w:val="21"/>
                <w:lang w:eastAsia="zh-CN"/>
              </w:rPr>
              <w:t>《老年专业照护》，主编：利平科特（美），主译：程云，上海世界图书出版公司出版，第</w:t>
            </w:r>
            <w:r>
              <w:rPr>
                <w:rFonts w:ascii="宋体" w:hAnsi="宋体" w:eastAsia="宋体"/>
                <w:sz w:val="21"/>
                <w:szCs w:val="21"/>
                <w:lang w:eastAsia="zh-CN"/>
              </w:rPr>
              <w:t>1</w:t>
            </w:r>
            <w:r>
              <w:rPr>
                <w:rFonts w:hint="eastAsia" w:ascii="宋体" w:hAnsi="宋体" w:eastAsia="宋体"/>
                <w:sz w:val="21"/>
                <w:szCs w:val="21"/>
                <w:lang w:eastAsia="zh-CN"/>
              </w:rPr>
              <w:t>版，</w:t>
            </w:r>
            <w:r>
              <w:rPr>
                <w:rFonts w:ascii="宋体" w:hAnsi="宋体" w:eastAsia="宋体"/>
                <w:sz w:val="21"/>
                <w:szCs w:val="21"/>
                <w:lang w:eastAsia="zh-CN"/>
              </w:rPr>
              <w:t>2016</w:t>
            </w:r>
            <w:r>
              <w:rPr>
                <w:rFonts w:hint="eastAsia" w:ascii="宋体" w:hAnsi="宋体" w:eastAsia="宋体"/>
                <w:sz w:val="21"/>
                <w:szCs w:val="21"/>
                <w:lang w:eastAsia="zh-CN"/>
              </w:rPr>
              <w:t>年</w:t>
            </w:r>
            <w:r>
              <w:rPr>
                <w:rFonts w:ascii="宋体" w:hAnsi="宋体" w:eastAsia="宋体"/>
                <w:sz w:val="21"/>
                <w:szCs w:val="21"/>
                <w:lang w:eastAsia="zh-CN"/>
              </w:rPr>
              <w:t>1</w:t>
            </w:r>
            <w:r>
              <w:rPr>
                <w:rFonts w:hint="eastAsia" w:ascii="宋体" w:hAnsi="宋体" w:eastAsia="宋体"/>
                <w:sz w:val="21"/>
                <w:szCs w:val="21"/>
                <w:lang w:eastAsia="zh-CN"/>
              </w:rPr>
              <w:t>月</w:t>
            </w:r>
          </w:p>
        </w:tc>
      </w:tr>
    </w:tbl>
    <w:p>
      <w:pPr>
        <w:tabs>
          <w:tab w:val="left" w:pos="3420"/>
          <w:tab w:val="left" w:pos="7560"/>
        </w:tabs>
        <w:spacing w:before="72" w:beforeLines="20"/>
        <w:jc w:val="both"/>
        <w:outlineLvl w:val="0"/>
        <w:rPr>
          <w:rFonts w:hint="eastAsia" w:ascii="宋体" w:hAnsi="宋体" w:eastAsia="宋体"/>
          <w:color w:val="000000"/>
          <w:position w:val="-20"/>
          <w:lang w:eastAsia="zh-CN"/>
        </w:rPr>
      </w:pPr>
    </w:p>
    <w:p>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37"/>
        <w:gridCol w:w="737"/>
        <w:gridCol w:w="4980"/>
        <w:gridCol w:w="1320"/>
        <w:gridCol w:w="1233"/>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37" w:type="dxa"/>
            <w:tcMar>
              <w:top w:w="15" w:type="dxa"/>
              <w:left w:w="108" w:type="dxa"/>
              <w:bottom w:w="0" w:type="dxa"/>
              <w:right w:w="108" w:type="dxa"/>
            </w:tcMar>
            <w:vAlign w:val="center"/>
          </w:tcPr>
          <w:p>
            <w:pPr>
              <w:widowControl/>
              <w:spacing w:before="120" w:after="120"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37" w:type="dxa"/>
            <w:vAlign w:val="center"/>
          </w:tcPr>
          <w:p>
            <w:pPr>
              <w:widowControl/>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980" w:type="dxa"/>
            <w:tcMar>
              <w:top w:w="15" w:type="dxa"/>
              <w:left w:w="108" w:type="dxa"/>
              <w:bottom w:w="0" w:type="dxa"/>
              <w:right w:w="108" w:type="dxa"/>
            </w:tcMar>
            <w:vAlign w:val="center"/>
          </w:tcPr>
          <w:p>
            <w:pPr>
              <w:widowControl/>
              <w:spacing w:line="240" w:lineRule="exact"/>
              <w:ind w:firstLine="357"/>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320" w:type="dxa"/>
            <w:tcMar>
              <w:top w:w="15" w:type="dxa"/>
              <w:left w:w="108" w:type="dxa"/>
              <w:bottom w:w="0" w:type="dxa"/>
              <w:right w:w="108" w:type="dxa"/>
            </w:tcMar>
            <w:vAlign w:val="center"/>
          </w:tcPr>
          <w:p>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33" w:type="dxa"/>
            <w:tcMar>
              <w:top w:w="15" w:type="dxa"/>
              <w:left w:w="108" w:type="dxa"/>
              <w:bottom w:w="0" w:type="dxa"/>
              <w:right w:w="108" w:type="dxa"/>
            </w:tcMar>
            <w:vAlign w:val="center"/>
          </w:tcPr>
          <w:p>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作业</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1</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人口老龄化的现状与发展趋势、国内外老年护理学发展；WHO对老年期的年龄划分标准、老年护理的范畴及特点；老年护理学及其相关概念、老年人、人口老龄化、老龄化社会、健康老龄化等概念。患病老年人的护理特点。老年护理的工作目标及老年护理人员素质要求。</w:t>
            </w: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启发式理论讲授，配合多媒体教学</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2</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tcPr>
          <w:p>
            <w:pPr>
              <w:rPr>
                <w:rFonts w:hint="eastAsia" w:asciiTheme="minorEastAsia" w:hAnsiTheme="minorEastAsia" w:eastAsiaTheme="minorEastAsia"/>
                <w:bCs/>
                <w:szCs w:val="20"/>
              </w:rPr>
            </w:pPr>
            <w:r>
              <w:rPr>
                <w:rFonts w:hint="eastAsia" w:asciiTheme="minorEastAsia" w:hAnsiTheme="minorEastAsia" w:eastAsiaTheme="minorEastAsia"/>
                <w:bCs/>
                <w:szCs w:val="20"/>
              </w:rPr>
              <w:t>老年人躯体健康评估，生理功能评估，心理和社会健康评估内容。老年人健康评估应遵循的原则；护理人员在老年人健康评估过程中结合其身心变化特点，应该注意的相关事项；老年综合征概念；老年人日常生活能力、功能性日常生活能力和高级日常生活能力的评估。ADL评估量表使用。</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健康促进与健康保健概念。健康促进与健康教育关系。掌握老年保健概念和目标、老年保健重点人群、健康保健的基本原则。</w:t>
            </w:r>
          </w:p>
        </w:tc>
        <w:tc>
          <w:tcPr>
            <w:tcW w:w="1320" w:type="dxa"/>
            <w:tcMar>
              <w:top w:w="15" w:type="dxa"/>
              <w:left w:w="108" w:type="dxa"/>
              <w:bottom w:w="0" w:type="dxa"/>
              <w:right w:w="108" w:type="dxa"/>
            </w:tcMar>
          </w:tcPr>
          <w:p>
            <w:pPr>
              <w:widowControl/>
              <w:rPr>
                <w:rFonts w:hint="eastAsia" w:asciiTheme="minorEastAsia" w:hAnsiTheme="minorEastAsia" w:eastAsiaTheme="minorEastAsia"/>
                <w:bCs/>
                <w:szCs w:val="20"/>
              </w:rPr>
            </w:pPr>
            <w:r>
              <w:rPr>
                <w:rFonts w:hint="eastAsia" w:asciiTheme="minorEastAsia" w:hAnsiTheme="minorEastAsia" w:eastAsiaTheme="minorEastAsia"/>
                <w:bCs/>
                <w:szCs w:val="20"/>
              </w:rPr>
              <w:t>情景导入、启发式理论讲授，配合多媒体教学；运用ADL量表评定老年人。</w:t>
            </w:r>
          </w:p>
          <w:p>
            <w:pPr>
              <w:widowControl/>
              <w:jc w:val="center"/>
              <w:rPr>
                <w:rFonts w:hint="eastAsia" w:asciiTheme="minorEastAsia" w:hAnsiTheme="minorEastAsia" w:eastAsiaTheme="minorEastAsia"/>
                <w:bCs/>
                <w:szCs w:val="20"/>
              </w:rPr>
            </w:pP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3</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tcPr>
          <w:p>
            <w:pPr>
              <w:widowControl/>
              <w:rPr>
                <w:rFonts w:hint="eastAsia" w:asciiTheme="minorEastAsia" w:hAnsiTheme="minorEastAsia" w:eastAsiaTheme="minorEastAsia"/>
                <w:bCs/>
                <w:szCs w:val="20"/>
              </w:rPr>
            </w:pPr>
            <w:r>
              <w:rPr>
                <w:rFonts w:hint="eastAsia" w:asciiTheme="minorEastAsia" w:hAnsiTheme="minorEastAsia" w:eastAsiaTheme="minorEastAsia"/>
                <w:bCs/>
                <w:szCs w:val="20"/>
              </w:rPr>
              <w:t>老年人药代动力学、药效动力学的特点。老年人用药特点。老年人用药原则及老年人常用药物的不良反应。用药依从性概念及评价。老年人安全用药护理，老年人用药知识教育及指导。药物不良反应定义及临床监测、防治。</w:t>
            </w:r>
          </w:p>
          <w:p>
            <w:pPr>
              <w:widowControl/>
              <w:rPr>
                <w:rFonts w:hint="eastAsia" w:asciiTheme="minorEastAsia" w:hAnsiTheme="minorEastAsia" w:eastAsiaTheme="minorEastAsia"/>
                <w:bCs/>
                <w:szCs w:val="20"/>
              </w:rPr>
            </w:pPr>
            <w:r>
              <w:rPr>
                <w:rFonts w:hint="eastAsia" w:asciiTheme="minorEastAsia" w:hAnsiTheme="minorEastAsia" w:eastAsiaTheme="minorEastAsia"/>
                <w:bCs/>
                <w:szCs w:val="20"/>
              </w:rPr>
              <w:t>老年痴呆的概述及相关护理评估。老年痴呆的护理诊断和护理措施。</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单元测试1</w:t>
            </w: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启发式理论讲授，配合多媒体教学</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p>
            <w:pPr>
              <w:widowControl/>
              <w:jc w:val="center"/>
              <w:rPr>
                <w:rFonts w:hint="eastAsia" w:asciiTheme="minorEastAsia" w:hAnsiTheme="minorEastAsia" w:eastAsiaTheme="minorEastAsia"/>
                <w:bCs/>
                <w:szCs w:val="20"/>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4</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老年高血压病和老年糖尿病的病因、诊断标准和治疗措施，老年高血压病和老年糖尿病等的概念、护理评估要点和临床特征。体位性低血压、低血糖的应急处理；胰岛素的使用方法等，培养学生具有关爱老年人及指导老年人预防和处理老年期特殊问题的能力。</w:t>
            </w: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启发式情景教学模式，以临床的问题为导向理论讲授，配合多媒体教学</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widowControl/>
              <w:jc w:val="both"/>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3.指导学生运用互联网检索最新的高血压指南和糖尿病指南。</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5</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jc w:val="both"/>
              <w:rPr>
                <w:rFonts w:hint="eastAsia" w:asciiTheme="minorEastAsia" w:hAnsiTheme="minorEastAsia" w:eastAsiaTheme="minorEastAsia"/>
                <w:bCs/>
                <w:szCs w:val="20"/>
              </w:rPr>
            </w:pPr>
            <w:r>
              <w:rPr>
                <w:rFonts w:hint="eastAsia" w:asciiTheme="minorEastAsia" w:hAnsiTheme="minorEastAsia" w:eastAsiaTheme="minorEastAsia"/>
                <w:bCs/>
                <w:szCs w:val="20"/>
              </w:rPr>
              <w:t>老年人的代谢特点和营养需求；老年人常见营养问题。骨质疏松症、慢性阻塞性肺疾病的概念；老年骨质疏松症、慢性阻塞性疾病的病因、临床表现、治疗原则及护理诊断、护理措施、健康指导。老年骨质疏松症病人可能的骨折问题等，能及时发现、及时处理、及时抢救。慢性阻塞性疾病病人的护理。</w:t>
            </w:r>
          </w:p>
          <w:p>
            <w:pPr>
              <w:widowControl/>
              <w:jc w:val="center"/>
              <w:rPr>
                <w:rFonts w:hint="eastAsia" w:asciiTheme="minorEastAsia" w:hAnsiTheme="minorEastAsia" w:eastAsiaTheme="minorEastAsia"/>
                <w:bCs/>
                <w:szCs w:val="20"/>
              </w:rPr>
            </w:pP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启发式理论讲授，配合多媒体教学，培养学生能提供有针对性护理的能力。</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6</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rPr>
                <w:rFonts w:hint="eastAsia" w:asciiTheme="minorEastAsia" w:hAnsiTheme="minorEastAsia" w:eastAsiaTheme="minorEastAsia"/>
                <w:bCs/>
                <w:szCs w:val="20"/>
              </w:rPr>
            </w:pPr>
            <w:r>
              <w:rPr>
                <w:rFonts w:hint="eastAsia" w:asciiTheme="minorEastAsia" w:hAnsiTheme="minorEastAsia" w:eastAsiaTheme="minorEastAsia"/>
                <w:bCs/>
                <w:szCs w:val="20"/>
              </w:rPr>
              <w:t>针对老年特殊问题如跌倒、疼痛问题等，能及时发现、及时处理、及时抢救。跌倒、疼痛的常见原因及相关基础知识。跌倒的危险性评估。</w:t>
            </w:r>
          </w:p>
          <w:p>
            <w:pPr>
              <w:snapToGrid w:val="0"/>
              <w:spacing w:line="288"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老年人跌倒的预防与护理。</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单元测试2</w:t>
            </w: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启发式理论讲授，配合多媒体教学，通过图片、影像、典型案例等让学生实时了解目前老年医院痴呆病人现状及防跌倒、防压疮的护理。培养学生能提供有针对性护理的能力。</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1.复习本次课教学内容并完成课后作业。</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2.预习下次课内容。</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7</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widowControl/>
              <w:rPr>
                <w:rFonts w:hint="eastAsia" w:asciiTheme="minorEastAsia" w:hAnsiTheme="minorEastAsia" w:eastAsiaTheme="minorEastAsia"/>
                <w:bCs/>
                <w:szCs w:val="20"/>
              </w:rPr>
            </w:pPr>
            <w:r>
              <w:rPr>
                <w:rFonts w:hint="eastAsia" w:asciiTheme="minorEastAsia" w:hAnsiTheme="minorEastAsia" w:eastAsiaTheme="minorEastAsia"/>
                <w:bCs/>
                <w:szCs w:val="20"/>
              </w:rPr>
              <w:t>实训课1：分组病案讨论---低血糖反应的急救</w:t>
            </w:r>
          </w:p>
          <w:p>
            <w:pPr>
              <w:rPr>
                <w:rFonts w:hint="eastAsia" w:asciiTheme="minorEastAsia" w:hAnsiTheme="minorEastAsia" w:eastAsiaTheme="minorEastAsia"/>
                <w:bCs/>
                <w:szCs w:val="20"/>
              </w:rPr>
            </w:pPr>
            <w:r>
              <w:rPr>
                <w:rFonts w:hint="eastAsia" w:asciiTheme="minorEastAsia" w:hAnsiTheme="minorEastAsia" w:eastAsiaTheme="minorEastAsia"/>
                <w:bCs/>
                <w:szCs w:val="20"/>
              </w:rPr>
              <w:t>实训课2：老年人日常生活护理</w:t>
            </w:r>
          </w:p>
          <w:p>
            <w:pPr>
              <w:widowControl/>
              <w:jc w:val="center"/>
              <w:rPr>
                <w:rFonts w:hint="eastAsia" w:asciiTheme="minorEastAsia" w:hAnsiTheme="minorEastAsia" w:eastAsiaTheme="minorEastAsia"/>
                <w:bCs/>
                <w:szCs w:val="20"/>
              </w:rPr>
            </w:pPr>
          </w:p>
        </w:tc>
        <w:tc>
          <w:tcPr>
            <w:tcW w:w="1320" w:type="dxa"/>
            <w:tcMar>
              <w:top w:w="15" w:type="dxa"/>
              <w:left w:w="108" w:type="dxa"/>
              <w:bottom w:w="0" w:type="dxa"/>
              <w:right w:w="108" w:type="dxa"/>
            </w:tcMar>
          </w:tcPr>
          <w:p>
            <w:pPr>
              <w:widowControl/>
              <w:rPr>
                <w:rFonts w:hint="eastAsia" w:asciiTheme="minorEastAsia" w:hAnsiTheme="minorEastAsia" w:eastAsiaTheme="minorEastAsia"/>
                <w:bCs/>
                <w:szCs w:val="20"/>
              </w:rPr>
            </w:pPr>
            <w:r>
              <w:rPr>
                <w:rFonts w:hint="eastAsia" w:asciiTheme="minorEastAsia" w:hAnsiTheme="minorEastAsia" w:eastAsiaTheme="minorEastAsia"/>
                <w:bCs/>
                <w:szCs w:val="20"/>
              </w:rPr>
              <w:t>以《老年人常见疾病护理---老年糖尿病》为题，分小组组织进行案例分析、课堂讨论，情景演示-护士应对患者突发低血糖反应的急救及健康宣教。</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通过图片、影像、医院见习等让学生实时了解目前老年医院病房的结构、老人的生活环境、人文环境及治疗环境，了解两便失禁的护理及防跌倒的护理。</w:t>
            </w:r>
          </w:p>
        </w:tc>
        <w:tc>
          <w:tcPr>
            <w:tcW w:w="1233" w:type="dxa"/>
            <w:tcMar>
              <w:top w:w="15" w:type="dxa"/>
              <w:left w:w="108" w:type="dxa"/>
              <w:bottom w:w="0" w:type="dxa"/>
              <w:right w:w="108" w:type="dxa"/>
            </w:tcMar>
          </w:tcPr>
          <w:p>
            <w:pPr>
              <w:widowControl/>
              <w:adjustRightInd w:val="0"/>
              <w:snapToGrid w:val="0"/>
              <w:spacing w:line="360" w:lineRule="auto"/>
              <w:rPr>
                <w:rFonts w:hint="eastAsia" w:asciiTheme="minorEastAsia" w:hAnsiTheme="minorEastAsia" w:eastAsiaTheme="minorEastAsia"/>
                <w:bCs/>
                <w:szCs w:val="20"/>
              </w:rPr>
            </w:pPr>
            <w:r>
              <w:rPr>
                <w:rFonts w:hint="eastAsia" w:asciiTheme="minorEastAsia" w:hAnsiTheme="minorEastAsia" w:eastAsiaTheme="minorEastAsia"/>
                <w:bCs/>
                <w:szCs w:val="20"/>
              </w:rPr>
              <w:t>1.完成案例分析报告。</w:t>
            </w:r>
          </w:p>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2.阶段复习。</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pPr>
              <w:widowControl/>
              <w:jc w:val="center"/>
              <w:rPr>
                <w:rFonts w:eastAsia="宋体"/>
                <w:kern w:val="0"/>
                <w:sz w:val="21"/>
                <w:szCs w:val="21"/>
                <w:lang w:eastAsia="zh-CN"/>
              </w:rPr>
            </w:pPr>
            <w:r>
              <w:rPr>
                <w:rFonts w:hint="eastAsia" w:eastAsia="宋体"/>
                <w:kern w:val="0"/>
                <w:sz w:val="21"/>
                <w:szCs w:val="21"/>
                <w:lang w:eastAsia="zh-CN"/>
              </w:rPr>
              <w:t>8</w:t>
            </w:r>
          </w:p>
        </w:tc>
        <w:tc>
          <w:tcPr>
            <w:tcW w:w="737" w:type="dxa"/>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lang w:eastAsia="zh-CN"/>
              </w:rPr>
              <w:t>2</w:t>
            </w:r>
          </w:p>
        </w:tc>
        <w:tc>
          <w:tcPr>
            <w:tcW w:w="4980" w:type="dxa"/>
            <w:tcMar>
              <w:top w:w="15" w:type="dxa"/>
              <w:left w:w="108" w:type="dxa"/>
              <w:bottom w:w="0" w:type="dxa"/>
              <w:right w:w="108" w:type="dxa"/>
            </w:tcMar>
            <w:vAlign w:val="cente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期末考查课考试（闭卷）</w:t>
            </w:r>
          </w:p>
        </w:tc>
        <w:tc>
          <w:tcPr>
            <w:tcW w:w="1320"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考试</w:t>
            </w:r>
          </w:p>
        </w:tc>
        <w:tc>
          <w:tcPr>
            <w:tcW w:w="1233" w:type="dxa"/>
            <w:tcMar>
              <w:top w:w="15" w:type="dxa"/>
              <w:left w:w="108" w:type="dxa"/>
              <w:bottom w:w="0" w:type="dxa"/>
              <w:right w:w="108" w:type="dxa"/>
            </w:tcMar>
          </w:tcPr>
          <w:p>
            <w:pPr>
              <w:widowControl/>
              <w:jc w:val="center"/>
              <w:rPr>
                <w:rFonts w:hint="eastAsia" w:asciiTheme="minorEastAsia" w:hAnsiTheme="minorEastAsia" w:eastAsiaTheme="minorEastAsia"/>
                <w:bCs/>
                <w:szCs w:val="20"/>
              </w:rPr>
            </w:pPr>
          </w:p>
        </w:tc>
      </w:tr>
    </w:tbl>
    <w:p>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tblPrEx>
          <w:tblCellMar>
            <w:top w:w="57" w:type="dxa"/>
            <w:left w:w="108" w:type="dxa"/>
            <w:bottom w:w="57" w:type="dxa"/>
            <w:right w:w="108" w:type="dxa"/>
          </w:tblCellMar>
        </w:tblPrEx>
        <w:trPr>
          <w:trHeight w:val="454" w:hRule="atLeast"/>
        </w:trPr>
        <w:tc>
          <w:tcPr>
            <w:tcW w:w="1809" w:type="dxa"/>
            <w:shd w:val="clear" w:color="auto" w:fill="auto"/>
            <w:vAlign w:val="center"/>
          </w:tcPr>
          <w:p>
            <w:pPr>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pPr>
              <w:snapToGrid w:val="0"/>
              <w:jc w:val="center"/>
              <w:rPr>
                <w:rFonts w:hint="eastAsia"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pPr>
              <w:snapToGrid w:val="0"/>
              <w:jc w:val="center"/>
              <w:rPr>
                <w:rFonts w:hint="eastAsia" w:ascii="黑体" w:hAnsi="黑体" w:eastAsia="黑体"/>
                <w:bCs/>
                <w:sz w:val="21"/>
                <w:szCs w:val="21"/>
                <w:lang w:eastAsia="zh-CN"/>
              </w:rPr>
            </w:pPr>
            <w:r>
              <w:rPr>
                <w:rFonts w:hint="eastAsia" w:ascii="黑体" w:hAnsi="黑体" w:eastAsia="黑体"/>
                <w:bCs/>
                <w:sz w:val="21"/>
                <w:szCs w:val="21"/>
                <w:lang w:eastAsia="zh-CN"/>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4</w:t>
            </w:r>
            <w:r>
              <w:rPr>
                <w:rFonts w:asciiTheme="minorEastAsia" w:hAnsiTheme="minorEastAsia" w:eastAsiaTheme="minorEastAsia"/>
                <w:bCs/>
                <w:szCs w:val="20"/>
              </w:rPr>
              <w:t>0%</w:t>
            </w:r>
          </w:p>
        </w:tc>
        <w:tc>
          <w:tcPr>
            <w:tcW w:w="5387"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随堂测试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20</w:t>
            </w:r>
            <w:r>
              <w:rPr>
                <w:rFonts w:asciiTheme="minorEastAsia" w:hAnsiTheme="minorEastAsia" w:eastAsiaTheme="minorEastAsia"/>
                <w:bCs/>
                <w:szCs w:val="20"/>
              </w:rPr>
              <w:t>%</w:t>
            </w:r>
          </w:p>
        </w:tc>
        <w:tc>
          <w:tcPr>
            <w:tcW w:w="5387"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单元测试1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20</w:t>
            </w:r>
            <w:r>
              <w:rPr>
                <w:rFonts w:asciiTheme="minorEastAsia" w:hAnsiTheme="minorEastAsia" w:eastAsiaTheme="minorEastAsia"/>
                <w:bCs/>
                <w:szCs w:val="20"/>
              </w:rPr>
              <w:t>%</w:t>
            </w:r>
          </w:p>
        </w:tc>
        <w:tc>
          <w:tcPr>
            <w:tcW w:w="5387"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单元测试2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shd w:val="clear" w:color="auto" w:fill="auto"/>
          </w:tcPr>
          <w:p>
            <w:pPr>
              <w:snapToGrid w:val="0"/>
              <w:jc w:val="center"/>
              <w:rPr>
                <w:rFonts w:hint="eastAsia" w:asciiTheme="minorEastAsia" w:hAnsiTheme="minorEastAsia" w:eastAsiaTheme="minorEastAsia"/>
                <w:bCs/>
                <w:szCs w:val="20"/>
              </w:rPr>
            </w:pPr>
            <w:r>
              <w:rPr>
                <w:rFonts w:hint="eastAsia" w:asciiTheme="minorEastAsia" w:hAnsiTheme="minorEastAsia" w:eastAsiaTheme="minorEastAsia"/>
                <w:bCs/>
                <w:szCs w:val="20"/>
              </w:rPr>
              <w:t>20</w:t>
            </w:r>
            <w:r>
              <w:rPr>
                <w:rFonts w:asciiTheme="minorEastAsia" w:hAnsiTheme="minorEastAsia" w:eastAsiaTheme="minorEastAsia"/>
                <w:bCs/>
                <w:szCs w:val="20"/>
              </w:rPr>
              <w:t>%</w:t>
            </w:r>
          </w:p>
        </w:tc>
        <w:tc>
          <w:tcPr>
            <w:tcW w:w="5387" w:type="dxa"/>
            <w:shd w:val="clear" w:color="auto" w:fill="auto"/>
          </w:tcPr>
          <w:p>
            <w:pPr>
              <w:snapToGrid w:val="0"/>
              <w:jc w:val="center"/>
              <w:rPr>
                <w:rFonts w:hint="default" w:asciiTheme="minorEastAsia" w:hAnsiTheme="minorEastAsia" w:eastAsiaTheme="minorEastAsia"/>
                <w:bCs/>
                <w:szCs w:val="20"/>
                <w:lang w:val="en-US" w:eastAsia="zh-CN"/>
              </w:rPr>
            </w:pPr>
            <w:r>
              <w:rPr>
                <w:rFonts w:hint="eastAsia" w:asciiTheme="minorEastAsia" w:hAnsiTheme="minorEastAsia" w:eastAsiaTheme="minorEastAsia"/>
                <w:bCs/>
                <w:szCs w:val="20"/>
                <w:lang w:val="en-US" w:eastAsia="zh-CN"/>
              </w:rPr>
              <w:t>实训报告</w:t>
            </w:r>
          </w:p>
        </w:tc>
      </w:tr>
    </w:tbl>
    <w:p>
      <w:pPr>
        <w:tabs>
          <w:tab w:val="left" w:pos="3210"/>
          <w:tab w:val="left" w:pos="7560"/>
        </w:tabs>
        <w:spacing w:before="72" w:beforeLines="20" w:line="480" w:lineRule="auto"/>
        <w:ind w:firstLine="840" w:firstLineChars="400"/>
        <w:jc w:val="both"/>
        <w:outlineLvl w:val="0"/>
        <w:rPr>
          <w:rFonts w:hint="eastAsia"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drawing>
          <wp:inline distT="0" distB="0" distL="114300" distR="114300">
            <wp:extent cx="727710" cy="447675"/>
            <wp:effectExtent l="0" t="0" r="8890" b="9525"/>
            <wp:docPr id="4" name="图片 4" descr="莫敏玲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莫敏玲电子签名"/>
                    <pic:cNvPicPr>
                      <a:picLocks noChangeAspect="1"/>
                    </pic:cNvPicPr>
                  </pic:nvPicPr>
                  <pic:blipFill>
                    <a:blip r:embed="rId10"/>
                    <a:stretch>
                      <a:fillRect/>
                    </a:stretch>
                  </pic:blipFill>
                  <pic:spPr>
                    <a:xfrm>
                      <a:off x="0" y="0"/>
                      <a:ext cx="727710" cy="447675"/>
                    </a:xfrm>
                    <a:prstGeom prst="rect">
                      <a:avLst/>
                    </a:prstGeom>
                  </pic:spPr>
                </pic:pic>
              </a:graphicData>
            </a:graphic>
          </wp:inline>
        </w:drawing>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67995" cy="412750"/>
            <wp:effectExtent l="0" t="0" r="1905" b="6350"/>
            <wp:docPr id="5" name="图片 5" descr="f7c8aba96f25c53abf4430a787f20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c8aba96f25c53abf4430a787f20e6"/>
                    <pic:cNvPicPr>
                      <a:picLocks noChangeAspect="1"/>
                    </pic:cNvPicPr>
                  </pic:nvPicPr>
                  <pic:blipFill>
                    <a:blip r:embed="rId11"/>
                    <a:stretch>
                      <a:fillRect/>
                    </a:stretch>
                  </pic:blipFill>
                  <pic:spPr>
                    <a:xfrm>
                      <a:off x="0" y="0"/>
                      <a:ext cx="467995" cy="412750"/>
                    </a:xfrm>
                    <a:prstGeom prst="rect">
                      <a:avLst/>
                    </a:prstGeom>
                  </pic:spPr>
                </pic:pic>
              </a:graphicData>
            </a:graphic>
          </wp:inline>
        </w:drawing>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5</w:t>
      </w:r>
      <w:r>
        <w:rPr>
          <w:rFonts w:hint="eastAsia" w:ascii="黑体" w:hAnsi="黑体" w:eastAsia="黑体"/>
          <w:color w:val="000000"/>
          <w:position w:val="-20"/>
          <w:sz w:val="21"/>
          <w:szCs w:val="21"/>
        </w:rPr>
        <w:t>年</w:t>
      </w:r>
      <w:r>
        <w:rPr>
          <w:rFonts w:hint="eastAsia" w:ascii="黑体" w:hAnsi="黑体" w:eastAsia="黑体"/>
          <w:color w:val="000000"/>
          <w:position w:val="-20"/>
          <w:sz w:val="21"/>
          <w:szCs w:val="21"/>
          <w:lang w:eastAsia="zh-CN"/>
        </w:rPr>
        <w:t>8</w:t>
      </w:r>
      <w:r>
        <w:rPr>
          <w:rFonts w:hint="eastAsia" w:ascii="黑体" w:hAnsi="黑体" w:eastAsia="黑体"/>
          <w:color w:val="000000"/>
          <w:position w:val="-20"/>
          <w:sz w:val="21"/>
          <w:szCs w:val="21"/>
        </w:rPr>
        <w:t>月</w:t>
      </w:r>
      <w:bookmarkStart w:id="0" w:name="_GoBack"/>
      <w:bookmarkEnd w:id="0"/>
      <w:r>
        <w:rPr>
          <w:rFonts w:hint="eastAsia" w:ascii="黑体" w:hAnsi="黑体" w:eastAsia="黑体"/>
          <w:color w:val="000000"/>
          <w:position w:val="-20"/>
          <w:sz w:val="21"/>
          <w:szCs w:val="21"/>
          <w:lang w:eastAsia="zh-CN"/>
        </w:rPr>
        <w:t>26</w:t>
      </w:r>
      <w:r>
        <w:rPr>
          <w:rFonts w:hint="eastAsia" w:ascii="黑体" w:hAnsi="黑体" w:eastAsia="黑体"/>
          <w:color w:val="000000"/>
          <w:position w:val="-20"/>
          <w:sz w:val="21"/>
          <w:szCs w:val="21"/>
        </w:rPr>
        <w:t>日</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NDgyZjUxMjE1ZTJkOTQ2MWFjZGY2NDBjOGVhODI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273F"/>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E72C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3D4E"/>
    <w:rsid w:val="001C57B1"/>
    <w:rsid w:val="001D1C00"/>
    <w:rsid w:val="001D3C62"/>
    <w:rsid w:val="001D6B75"/>
    <w:rsid w:val="001E3DBD"/>
    <w:rsid w:val="001E76D4"/>
    <w:rsid w:val="001F430C"/>
    <w:rsid w:val="001F48A6"/>
    <w:rsid w:val="001F52A9"/>
    <w:rsid w:val="001F610E"/>
    <w:rsid w:val="002002FC"/>
    <w:rsid w:val="00207629"/>
    <w:rsid w:val="00212E8E"/>
    <w:rsid w:val="002151AF"/>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3"/>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50D6"/>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533"/>
    <w:rsid w:val="00505F1C"/>
    <w:rsid w:val="00507C41"/>
    <w:rsid w:val="00512339"/>
    <w:rsid w:val="0051562E"/>
    <w:rsid w:val="005276C3"/>
    <w:rsid w:val="0052787A"/>
    <w:rsid w:val="005306A4"/>
    <w:rsid w:val="00530738"/>
    <w:rsid w:val="00531494"/>
    <w:rsid w:val="005320E3"/>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4791C"/>
    <w:rsid w:val="006537ED"/>
    <w:rsid w:val="00662291"/>
    <w:rsid w:val="00663B7A"/>
    <w:rsid w:val="00670F19"/>
    <w:rsid w:val="0067285B"/>
    <w:rsid w:val="006777DC"/>
    <w:rsid w:val="00681194"/>
    <w:rsid w:val="00682BD5"/>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1FCA"/>
    <w:rsid w:val="006E5416"/>
    <w:rsid w:val="006F2384"/>
    <w:rsid w:val="006F4482"/>
    <w:rsid w:val="00701C32"/>
    <w:rsid w:val="00704C15"/>
    <w:rsid w:val="0070511C"/>
    <w:rsid w:val="00714CF5"/>
    <w:rsid w:val="00716918"/>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97EE3"/>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35201"/>
    <w:rsid w:val="00840954"/>
    <w:rsid w:val="008429CE"/>
    <w:rsid w:val="008550AF"/>
    <w:rsid w:val="00865C6A"/>
    <w:rsid w:val="008665DF"/>
    <w:rsid w:val="00866AEC"/>
    <w:rsid w:val="00866CD5"/>
    <w:rsid w:val="008702F7"/>
    <w:rsid w:val="00873C4B"/>
    <w:rsid w:val="00882E20"/>
    <w:rsid w:val="00892651"/>
    <w:rsid w:val="008A2553"/>
    <w:rsid w:val="008B1302"/>
    <w:rsid w:val="008B2D2E"/>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0967"/>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4269"/>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45D08"/>
    <w:rsid w:val="00B527EC"/>
    <w:rsid w:val="00B751A9"/>
    <w:rsid w:val="00B7624C"/>
    <w:rsid w:val="00B767B7"/>
    <w:rsid w:val="00BA5396"/>
    <w:rsid w:val="00BB00B3"/>
    <w:rsid w:val="00BB2CDF"/>
    <w:rsid w:val="00BC09B7"/>
    <w:rsid w:val="00BC44BA"/>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4C7286"/>
    <w:rsid w:val="0DB76A4A"/>
    <w:rsid w:val="199D2E85"/>
    <w:rsid w:val="1B9B294B"/>
    <w:rsid w:val="2E59298A"/>
    <w:rsid w:val="37E50B00"/>
    <w:rsid w:val="3D1A37C5"/>
    <w:rsid w:val="49DF08B3"/>
    <w:rsid w:val="575F6536"/>
    <w:rsid w:val="62085096"/>
    <w:rsid w:val="634F1B2D"/>
    <w:rsid w:val="65310993"/>
    <w:rsid w:val="6E256335"/>
    <w:rsid w:val="700912C5"/>
    <w:rsid w:val="74F62C86"/>
    <w:rsid w:val="7FD7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1748</Words>
  <Characters>1878</Characters>
  <Lines>14</Lines>
  <Paragraphs>4</Paragraphs>
  <TotalTime>0</TotalTime>
  <ScaleCrop>false</ScaleCrop>
  <LinksUpToDate>false</LinksUpToDate>
  <CharactersWithSpaces>1913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田</cp:lastModifiedBy>
  <cp:lastPrinted>2015-03-18T03:45:00Z</cp:lastPrinted>
  <dcterms:modified xsi:type="dcterms:W3CDTF">2025-09-06T11:17:03Z</dcterms:modified>
  <dc:title>上海建桥学院教学进度计划表</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eyJoZGlkIjoiM2RkZTY4MTU3ZWE0MzUyMjVjNDAwNmM3MzVjNTYxOTciLCJ1c2VySWQiOiI1NzI5NTExNjEifQ==</vt:lpwstr>
  </property>
  <property fmtid="{D5CDD505-2E9C-101B-9397-08002B2CF9AE}" pid="4" name="ICV">
    <vt:lpwstr>5681C825930E417B9E1033A4ACEC7C05_12</vt:lpwstr>
  </property>
</Properties>
</file>