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ascii="方正小标宋简体" w:hAnsi="宋体" w:eastAsia="方正小标宋简体"/>
          <w:bCs/>
          <w:kern w:val="0"/>
          <w:sz w:val="40"/>
          <w:szCs w:val="40"/>
          <w:lang w:eastAsia="zh-TW"/>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方正小标宋简体" w:hAnsi="宋体" w:eastAsia="方正小标宋简体"/>
          <w:bCs/>
          <w:kern w:val="0"/>
          <w:sz w:val="40"/>
          <w:szCs w:val="40"/>
        </w:rPr>
        <w:t>专业课课程教学大纲</w:t>
      </w:r>
    </w:p>
    <w:p>
      <w:pPr>
        <w:spacing w:line="288" w:lineRule="auto"/>
        <w:jc w:val="center"/>
        <w:rPr>
          <w:b/>
          <w:sz w:val="28"/>
          <w:szCs w:val="30"/>
        </w:rPr>
      </w:pPr>
      <w:r>
        <w:rPr>
          <w:rFonts w:hint="eastAsia"/>
          <w:b/>
          <w:sz w:val="28"/>
          <w:szCs w:val="30"/>
        </w:rPr>
        <w:t>【老年护理学】</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Gerontological nursing</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eastAsia="PMingLiU"/>
          <w:color w:val="000000"/>
          <w:sz w:val="20"/>
          <w:szCs w:val="20"/>
          <w:lang w:eastAsia="zh-TW"/>
        </w:rPr>
        <w:t>2170052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eastAsia="PMingLiU"/>
          <w:color w:val="000000"/>
          <w:sz w:val="20"/>
          <w:szCs w:val="20"/>
          <w:lang w:eastAsia="zh-TW"/>
        </w:rPr>
        <w:t>3</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ascii="宋体" w:hAnsi="宋体" w:cs="仿宋"/>
          <w:sz w:val="20"/>
          <w:szCs w:val="20"/>
        </w:rPr>
        <w:t>养老服务管理</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asciiTheme="majorEastAsia" w:hAnsiTheme="majorEastAsia" w:eastAsiaTheme="majorEastAsia" w:cstheme="majorEastAsia"/>
          <w:color w:val="000000"/>
          <w:sz w:val="20"/>
          <w:szCs w:val="20"/>
          <w:lang w:eastAsia="zh-TW"/>
        </w:rPr>
        <w:t>必</w:t>
      </w:r>
      <w:r>
        <w:rPr>
          <w:rFonts w:hint="eastAsia" w:asciiTheme="majorEastAsia" w:hAnsiTheme="majorEastAsia" w:eastAsiaTheme="majorEastAsia" w:cstheme="majorEastAsia"/>
          <w:color w:val="000000"/>
          <w:sz w:val="20"/>
          <w:szCs w:val="20"/>
        </w:rPr>
        <w:t>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健康管理学院</w:t>
      </w:r>
      <w:r>
        <w:rPr>
          <w:rFonts w:hint="eastAsia" w:ascii="宋体" w:hAnsi="宋体" w:cs="仿宋"/>
          <w:b/>
          <w:bCs/>
          <w:sz w:val="20"/>
          <w:szCs w:val="20"/>
        </w:rPr>
        <w:t>养老服务管理</w:t>
      </w:r>
      <w:r>
        <w:rPr>
          <w:rFonts w:hint="eastAsia"/>
          <w:b/>
          <w:bCs/>
          <w:color w:val="000000"/>
          <w:sz w:val="20"/>
          <w:szCs w:val="20"/>
        </w:rPr>
        <w:t>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rPr>
        <w:t>老年护理学，胡秀英、</w:t>
      </w:r>
      <w:r>
        <w:rPr>
          <w:rFonts w:hint="eastAsia" w:asciiTheme="majorEastAsia" w:hAnsiTheme="majorEastAsia" w:eastAsiaTheme="majorEastAsia" w:cstheme="majorEastAsia"/>
          <w:color w:val="000000"/>
          <w:sz w:val="20"/>
          <w:szCs w:val="20"/>
          <w:lang w:eastAsia="zh-TW"/>
        </w:rPr>
        <w:t>肖惠敏</w:t>
      </w:r>
      <w:r>
        <w:rPr>
          <w:rFonts w:hint="eastAsia"/>
          <w:color w:val="000000"/>
          <w:sz w:val="20"/>
          <w:szCs w:val="20"/>
        </w:rPr>
        <w:t>，人民卫生出版社，第</w:t>
      </w:r>
      <w:r>
        <w:rPr>
          <w:rFonts w:hint="eastAsia" w:eastAsia="PMingLiU"/>
          <w:color w:val="000000"/>
          <w:sz w:val="20"/>
          <w:szCs w:val="20"/>
          <w:lang w:eastAsia="zh-TW"/>
        </w:rPr>
        <w:t>5</w:t>
      </w:r>
      <w:r>
        <w:rPr>
          <w:rFonts w:hint="eastAsia"/>
          <w:color w:val="000000"/>
          <w:sz w:val="20"/>
          <w:szCs w:val="20"/>
        </w:rPr>
        <w:t>版</w:t>
      </w:r>
      <w:r>
        <w:rPr>
          <w:color w:val="000000"/>
          <w:sz w:val="20"/>
          <w:szCs w:val="20"/>
        </w:rPr>
        <w:t>】</w:t>
      </w:r>
    </w:p>
    <w:p>
      <w:pPr>
        <w:snapToGrid w:val="0"/>
        <w:spacing w:line="288" w:lineRule="auto"/>
        <w:ind w:firstLine="792" w:firstLineChars="396"/>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老年医学，张建、范利，人民卫生出版社，第</w:t>
      </w:r>
      <w:r>
        <w:rPr>
          <w:rFonts w:ascii="Times New Roman" w:hAnsi="Times New Roman"/>
          <w:color w:val="000000"/>
          <w:sz w:val="20"/>
          <w:szCs w:val="20"/>
        </w:rPr>
        <w:t>2</w:t>
      </w:r>
      <w:r>
        <w:rPr>
          <w:rFonts w:hint="eastAsia"/>
          <w:color w:val="000000"/>
          <w:sz w:val="20"/>
          <w:szCs w:val="20"/>
        </w:rPr>
        <w:t>版</w:t>
      </w:r>
    </w:p>
    <w:p>
      <w:pPr>
        <w:snapToGrid w:val="0"/>
        <w:spacing w:line="288" w:lineRule="auto"/>
        <w:ind w:left="1308" w:firstLine="372" w:firstLineChars="186"/>
        <w:rPr>
          <w:rFonts w:ascii="宋体" w:hAnsi="宋体"/>
          <w:color w:val="000000"/>
          <w:sz w:val="20"/>
          <w:szCs w:val="20"/>
          <w:lang w:eastAsia="zh-TW"/>
        </w:rPr>
      </w:pPr>
      <w:r>
        <w:rPr>
          <w:rFonts w:hint="eastAsia" w:ascii="宋体" w:hAnsi="宋体"/>
          <w:color w:val="000000"/>
          <w:sz w:val="20"/>
          <w:szCs w:val="20"/>
          <w:lang w:eastAsia="zh-TW"/>
        </w:rPr>
        <w:t>老年護理學，張家琪，華杏出版社，第</w:t>
      </w:r>
      <w:r>
        <w:rPr>
          <w:rFonts w:ascii="Times New Roman" w:hAnsi="Times New Roman"/>
          <w:color w:val="000000"/>
          <w:sz w:val="20"/>
          <w:szCs w:val="20"/>
          <w:lang w:eastAsia="zh-TW"/>
        </w:rPr>
        <w:t>1</w:t>
      </w:r>
      <w:r>
        <w:rPr>
          <w:rFonts w:hint="eastAsia" w:ascii="宋体" w:hAnsi="宋体"/>
          <w:color w:val="000000"/>
          <w:sz w:val="20"/>
          <w:szCs w:val="20"/>
          <w:lang w:eastAsia="zh-TW"/>
        </w:rPr>
        <w:t>版</w:t>
      </w:r>
    </w:p>
    <w:p>
      <w:pPr>
        <w:snapToGrid w:val="0"/>
        <w:spacing w:line="288" w:lineRule="auto"/>
        <w:ind w:left="1308" w:firstLine="372" w:firstLineChars="186"/>
        <w:rPr>
          <w:rFonts w:ascii="宋体" w:hAnsi="宋体"/>
          <w:color w:val="000000"/>
          <w:sz w:val="20"/>
          <w:szCs w:val="20"/>
          <w:lang w:eastAsia="zh-TW"/>
        </w:rPr>
      </w:pPr>
      <w:r>
        <w:rPr>
          <w:rFonts w:hint="eastAsia" w:ascii="宋体" w:hAnsi="宋体"/>
          <w:color w:val="000000"/>
          <w:sz w:val="20"/>
          <w:szCs w:val="20"/>
          <w:lang w:eastAsia="zh-TW"/>
        </w:rPr>
        <w:t>养老护理员-高级，人力资源社会保障部教材办公室组织，中国劳动社会保障</w:t>
      </w:r>
      <w:r>
        <w:rPr>
          <w:rFonts w:hint="eastAsia" w:ascii="宋体" w:hAnsi="宋体"/>
          <w:color w:val="000000"/>
          <w:sz w:val="20"/>
          <w:szCs w:val="20"/>
          <w:lang w:eastAsia="zh-TW"/>
        </w:rPr>
        <w:tab/>
      </w:r>
      <w:r>
        <w:rPr>
          <w:rFonts w:hint="eastAsia" w:ascii="宋体" w:hAnsi="宋体"/>
          <w:color w:val="000000"/>
          <w:sz w:val="20"/>
          <w:szCs w:val="20"/>
          <w:lang w:eastAsia="zh-TW"/>
        </w:rPr>
        <w:t>出版社，第1版</w:t>
      </w:r>
    </w:p>
    <w:p>
      <w:pPr>
        <w:snapToGrid w:val="0"/>
        <w:spacing w:line="288" w:lineRule="auto"/>
        <w:ind w:left="1308" w:firstLine="372" w:firstLineChars="186"/>
        <w:rPr>
          <w:rFonts w:ascii="PMingLiU" w:hAnsi="PMingLiU" w:eastAsia="PMingLiU"/>
          <w:color w:val="000000"/>
          <w:sz w:val="20"/>
          <w:szCs w:val="20"/>
        </w:rPr>
      </w:pPr>
      <w:r>
        <w:rPr>
          <w:rFonts w:ascii="Times New Roman" w:hAnsi="Times New Roman"/>
          <w:color w:val="000000"/>
          <w:sz w:val="20"/>
          <w:szCs w:val="20"/>
        </w:rPr>
        <w:t>Eliopoulos</w:t>
      </w:r>
      <w:r>
        <w:rPr>
          <w:rFonts w:ascii="Times New Roman" w:hAnsi="Times New Roman" w:eastAsia="PMingLiU"/>
          <w:color w:val="000000"/>
          <w:sz w:val="20"/>
          <w:szCs w:val="20"/>
          <w:lang w:eastAsia="zh-TW"/>
        </w:rPr>
        <w:t xml:space="preserve">, C. (2018). Gerontological nursing (9th ed.). </w:t>
      </w:r>
      <w:r>
        <w:rPr>
          <w:rFonts w:ascii="Times New Roman" w:hAnsi="Times New Roman" w:eastAsia="PMingLiU"/>
          <w:color w:val="000000"/>
          <w:sz w:val="20"/>
          <w:szCs w:val="20"/>
        </w:rPr>
        <w:t>Wolters Kluwer.</w:t>
      </w:r>
      <w:r>
        <w:rPr>
          <w:color w:val="000000"/>
          <w:sz w:val="20"/>
          <w:szCs w:val="20"/>
        </w:rPr>
        <w:t>】</w:t>
      </w:r>
    </w:p>
    <w:p>
      <w:pPr>
        <w:snapToGrid w:val="0"/>
        <w:spacing w:line="288" w:lineRule="auto"/>
        <w:ind w:firstLine="394" w:firstLineChars="196"/>
        <w:rPr>
          <w:color w:val="000000"/>
          <w:sz w:val="20"/>
          <w:szCs w:val="20"/>
          <w:highlight w:val="yellow"/>
        </w:rPr>
      </w:pPr>
      <w:r>
        <w:rPr>
          <w:rFonts w:hint="eastAsia"/>
          <w:b/>
          <w:bCs/>
          <w:color w:val="000000"/>
          <w:sz w:val="20"/>
          <w:szCs w:val="20"/>
        </w:rPr>
        <w:t>课程网站网址：暂无</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ascii="Arial" w:hAnsi="Arial" w:cs="Arial"/>
          <w:sz w:val="20"/>
          <w:szCs w:val="20"/>
        </w:rPr>
        <w:t>老年人体结构和功能</w:t>
      </w:r>
      <w:r>
        <w:rPr>
          <w:rFonts w:hint="eastAsia" w:ascii="Arial" w:hAnsi="Arial" w:eastAsia="PMingLiU" w:cs="Arial"/>
          <w:sz w:val="20"/>
          <w:szCs w:val="20"/>
          <w:lang w:eastAsia="zh-TW"/>
        </w:rPr>
        <w:t>、</w:t>
      </w:r>
      <w:r>
        <w:rPr>
          <w:rFonts w:hint="eastAsia" w:ascii="Arial" w:hAnsi="Arial" w:cs="Arial"/>
          <w:sz w:val="20"/>
          <w:szCs w:val="20"/>
        </w:rPr>
        <w:t>疾病学基础</w:t>
      </w:r>
      <w:r>
        <w:rPr>
          <w:rFonts w:hint="eastAsia" w:ascii="Arial" w:hAnsi="Arial" w:eastAsia="PMingLiU" w:cs="Arial"/>
          <w:sz w:val="20"/>
          <w:szCs w:val="20"/>
          <w:lang w:eastAsia="zh-TW"/>
        </w:rPr>
        <w:t>、</w:t>
      </w:r>
      <w:r>
        <w:rPr>
          <w:rFonts w:hint="eastAsia" w:ascii="Arial" w:hAnsi="Arial" w:cs="Arial"/>
          <w:sz w:val="20"/>
          <w:szCs w:val="20"/>
        </w:rPr>
        <w:t>药理学</w:t>
      </w:r>
      <w:r>
        <w:rPr>
          <w:rFonts w:hint="eastAsia" w:ascii="Arial" w:hAnsi="Arial" w:eastAsia="PMingLiU" w:cs="Arial"/>
          <w:sz w:val="20"/>
          <w:szCs w:val="20"/>
          <w:lang w:eastAsia="zh-TW"/>
        </w:rPr>
        <w:t>、</w:t>
      </w:r>
      <w:r>
        <w:rPr>
          <w:rFonts w:hint="eastAsia" w:ascii="Arial" w:hAnsi="Arial" w:cs="Arial"/>
          <w:sz w:val="20"/>
          <w:szCs w:val="20"/>
        </w:rPr>
        <w:t>老年人健康评估</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widowControl/>
        <w:spacing w:line="288" w:lineRule="auto"/>
        <w:ind w:firstLine="400" w:firstLineChars="200"/>
        <w:jc w:val="left"/>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人口老化已经是全球趋势，于2020年国家统计局显示，我国65岁以上的人口，占总人口13%，已进入老龄化社会，这情形将冲击经济、教育、劳动力、社会保障等多方面问题，由此得知长者照护为我国不可忽视的重要议题，因此，加强老年护理学教育、培养养老服务专业人具有十分重要的意义。</w:t>
      </w:r>
    </w:p>
    <w:p>
      <w:pPr>
        <w:widowControl/>
        <w:spacing w:line="288" w:lineRule="auto"/>
        <w:ind w:firstLine="400" w:firstLineChars="200"/>
        <w:jc w:val="left"/>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《老年护理学》为</w:t>
      </w:r>
      <w:r>
        <w:rPr>
          <w:rFonts w:hint="eastAsia" w:asciiTheme="majorEastAsia" w:hAnsiTheme="majorEastAsia" w:eastAsiaTheme="majorEastAsia" w:cstheme="majorEastAsia"/>
          <w:sz w:val="20"/>
          <w:szCs w:val="20"/>
        </w:rPr>
        <w:t>养老服务管理</w:t>
      </w:r>
      <w:r>
        <w:rPr>
          <w:rFonts w:hint="eastAsia" w:asciiTheme="majorEastAsia" w:hAnsiTheme="majorEastAsia" w:eastAsiaTheme="majorEastAsia" w:cstheme="majorEastAsia"/>
          <w:color w:val="000000"/>
          <w:sz w:val="20"/>
          <w:szCs w:val="20"/>
        </w:rPr>
        <w:t>专业开设的一门专业</w:t>
      </w:r>
      <w:r>
        <w:rPr>
          <w:rFonts w:hint="eastAsia" w:asciiTheme="majorEastAsia" w:hAnsiTheme="majorEastAsia" w:eastAsiaTheme="majorEastAsia" w:cstheme="majorEastAsia"/>
          <w:color w:val="000000"/>
          <w:sz w:val="20"/>
          <w:szCs w:val="20"/>
          <w:lang w:eastAsia="zh-TW"/>
        </w:rPr>
        <w:t>必修</w:t>
      </w:r>
      <w:r>
        <w:rPr>
          <w:rFonts w:hint="eastAsia" w:asciiTheme="majorEastAsia" w:hAnsiTheme="majorEastAsia" w:eastAsiaTheme="majorEastAsia" w:cstheme="majorEastAsia"/>
          <w:color w:val="000000"/>
          <w:sz w:val="20"/>
          <w:szCs w:val="20"/>
        </w:rPr>
        <w:t>课程。 《老年护理学》的范畴含括老年人的全人健康、功能评估、照护计划与执行、照护技巧等。本课程以养老服务人员的角度，说明常见情况的案例分享与照护技巧。透过老化理论、老年生理与心理变化、与老人沟通、老年人的健康评估、常见健康问题与护理、认知症照护、</w:t>
      </w:r>
      <w:r>
        <w:rPr>
          <w:rFonts w:hint="eastAsia" w:asciiTheme="majorEastAsia" w:hAnsiTheme="majorEastAsia" w:eastAsiaTheme="majorEastAsia" w:cstheme="majorEastAsia"/>
          <w:color w:val="000000"/>
          <w:sz w:val="20"/>
          <w:szCs w:val="20"/>
          <w:lang w:eastAsia="zh-TW"/>
        </w:rPr>
        <w:t>安宁疗护</w:t>
      </w:r>
      <w:r>
        <w:rPr>
          <w:rFonts w:hint="eastAsia" w:asciiTheme="majorEastAsia" w:hAnsiTheme="majorEastAsia" w:eastAsiaTheme="majorEastAsia" w:cstheme="majorEastAsia"/>
          <w:color w:val="000000"/>
          <w:sz w:val="20"/>
          <w:szCs w:val="20"/>
        </w:rPr>
        <w:t>及伦理议题等，研究老年人的健康问题，满足老年人的健康需求，进而提高老年人的生活质量，维护和促进老年人的身、心、灵、社会的健康。</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widowControl/>
        <w:spacing w:before="156" w:beforeLines="50" w:after="156" w:afterLines="50" w:line="288" w:lineRule="auto"/>
        <w:ind w:firstLine="300" w:firstLineChars="150"/>
        <w:jc w:val="left"/>
        <w:rPr>
          <w:color w:val="000000"/>
          <w:sz w:val="20"/>
          <w:szCs w:val="20"/>
        </w:rPr>
      </w:pPr>
      <w:r>
        <w:rPr>
          <w:rFonts w:hint="eastAsia"/>
          <w:color w:val="000000"/>
          <w:sz w:val="20"/>
          <w:szCs w:val="20"/>
        </w:rPr>
        <w:t>本课程适合</w:t>
      </w:r>
      <w:r>
        <w:rPr>
          <w:rFonts w:hint="eastAsia" w:ascii="宋体" w:hAnsi="宋体" w:cs="仿宋"/>
          <w:sz w:val="20"/>
          <w:szCs w:val="20"/>
        </w:rPr>
        <w:t>养老服务管理</w:t>
      </w:r>
      <w:r>
        <w:rPr>
          <w:rFonts w:hint="eastAsia"/>
          <w:color w:val="000000"/>
          <w:sz w:val="20"/>
          <w:szCs w:val="20"/>
        </w:rPr>
        <w:t>专业大学三年级学生</w:t>
      </w:r>
      <w:r>
        <w:rPr>
          <w:rFonts w:hint="eastAsia" w:ascii="宋体" w:hAnsi="宋体" w:cs="宋体"/>
          <w:color w:val="000000"/>
          <w:sz w:val="20"/>
          <w:szCs w:val="20"/>
          <w:lang w:eastAsia="zh-TW"/>
        </w:rPr>
        <w:t>必</w:t>
      </w:r>
      <w:r>
        <w:rPr>
          <w:rFonts w:hint="eastAsia"/>
          <w:color w:val="000000"/>
          <w:sz w:val="20"/>
          <w:szCs w:val="20"/>
        </w:rPr>
        <w:t>修，需要具备基本的专业知识等</w:t>
      </w:r>
    </w:p>
    <w:p>
      <w:pPr>
        <w:widowControl/>
        <w:spacing w:before="156" w:beforeLines="50" w:after="156" w:afterLines="50" w:line="288" w:lineRule="auto"/>
        <w:ind w:firstLine="300" w:firstLineChars="150"/>
        <w:jc w:val="left"/>
        <w:rPr>
          <w:color w:val="000000"/>
          <w:sz w:val="20"/>
          <w:szCs w:val="20"/>
        </w:rPr>
      </w:pPr>
    </w:p>
    <w:p>
      <w:pPr>
        <w:widowControl/>
        <w:spacing w:before="156" w:beforeLines="50" w:after="156" w:afterLines="50" w:line="288" w:lineRule="auto"/>
        <w:ind w:firstLine="300" w:firstLineChars="150"/>
        <w:jc w:val="left"/>
        <w:rPr>
          <w:color w:val="000000"/>
          <w:sz w:val="20"/>
          <w:szCs w:val="20"/>
        </w:rPr>
      </w:pPr>
    </w:p>
    <w:p>
      <w:pPr>
        <w:widowControl/>
        <w:spacing w:before="156" w:beforeLines="50" w:after="156" w:afterLines="50" w:line="288" w:lineRule="auto"/>
        <w:ind w:firstLine="300" w:firstLineChars="150"/>
        <w:jc w:val="left"/>
        <w:rPr>
          <w:color w:val="000000"/>
          <w:sz w:val="20"/>
          <w:szCs w:val="20"/>
        </w:rPr>
      </w:pPr>
    </w:p>
    <w:p>
      <w:pPr>
        <w:widowControl/>
        <w:numPr>
          <w:ilvl w:val="0"/>
          <w:numId w:val="1"/>
        </w:numPr>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4"/>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6650"/>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7763" w:type="dxa"/>
            <w:gridSpan w:val="2"/>
            <w:vAlign w:val="center"/>
          </w:tcPr>
          <w:p>
            <w:pPr>
              <w:jc w:val="center"/>
              <w:rPr>
                <w:rFonts w:ascii="宋体" w:hAnsi="宋体" w:cs="宋体"/>
                <w:color w:val="000000"/>
                <w:sz w:val="20"/>
                <w:szCs w:val="20"/>
              </w:rPr>
            </w:pPr>
            <w:r>
              <w:rPr>
                <w:rFonts w:hint="eastAsia" w:ascii="黑体" w:hAnsi="黑体" w:eastAsia="黑体" w:cs="黑体"/>
                <w:kern w:val="0"/>
                <w:sz w:val="20"/>
                <w:szCs w:val="20"/>
              </w:rPr>
              <w:t>专业毕业要求</w:t>
            </w:r>
          </w:p>
        </w:tc>
        <w:tc>
          <w:tcPr>
            <w:tcW w:w="666" w:type="dxa"/>
            <w:vAlign w:val="center"/>
          </w:tcPr>
          <w:p>
            <w:pPr>
              <w:jc w:val="center"/>
              <w:rPr>
                <w:rFonts w:ascii="宋体" w:hAnsi="宋体" w:cs="宋体"/>
                <w:color w:val="00000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113" w:type="dxa"/>
            <w:vMerge w:val="restart"/>
            <w:vAlign w:val="center"/>
          </w:tcPr>
          <w:p>
            <w:pPr>
              <w:tabs>
                <w:tab w:val="left" w:pos="4200"/>
              </w:tabs>
              <w:adjustRightInd w:val="0"/>
              <w:snapToGrid w:val="0"/>
              <w:spacing w:line="264" w:lineRule="auto"/>
              <w:outlineLvl w:val="1"/>
              <w:rPr>
                <w:rFonts w:ascii="仿宋" w:hAnsi="仿宋" w:eastAsia="仿宋" w:cs="宋体"/>
                <w:color w:val="000000"/>
                <w:kern w:val="0"/>
                <w:szCs w:val="21"/>
              </w:rPr>
            </w:pPr>
            <w:r>
              <w:rPr>
                <w:rFonts w:hint="eastAsia" w:ascii="仿宋" w:hAnsi="仿宋" w:eastAsia="仿宋" w:cs="宋体"/>
                <w:color w:val="000000"/>
                <w:kern w:val="0"/>
                <w:szCs w:val="21"/>
              </w:rPr>
              <w:t>L01</w:t>
            </w:r>
          </w:p>
          <w:p>
            <w:pPr>
              <w:tabs>
                <w:tab w:val="left" w:pos="4200"/>
              </w:tabs>
              <w:adjustRightInd w:val="0"/>
              <w:snapToGrid w:val="0"/>
              <w:spacing w:line="264" w:lineRule="auto"/>
              <w:outlineLvl w:val="1"/>
              <w:rPr>
                <w:rFonts w:ascii="宋体" w:hAnsi="宋体" w:cs="宋体"/>
                <w:color w:val="000000"/>
                <w:szCs w:val="21"/>
              </w:rPr>
            </w:pPr>
            <w:r>
              <w:rPr>
                <w:rFonts w:hint="eastAsia" w:ascii="仿宋" w:hAnsi="仿宋" w:eastAsia="仿宋" w:cs="宋体"/>
                <w:color w:val="000000"/>
                <w:kern w:val="0"/>
                <w:szCs w:val="21"/>
              </w:rPr>
              <w:t>品德修养</w:t>
            </w:r>
          </w:p>
        </w:tc>
        <w:tc>
          <w:tcPr>
            <w:tcW w:w="6650" w:type="dxa"/>
            <w:vAlign w:val="center"/>
          </w:tcPr>
          <w:p>
            <w:pPr>
              <w:tabs>
                <w:tab w:val="left" w:pos="4200"/>
              </w:tabs>
              <w:adjustRightInd w:val="0"/>
              <w:snapToGrid w:val="0"/>
              <w:spacing w:line="264" w:lineRule="auto"/>
              <w:outlineLvl w:val="1"/>
              <w:rPr>
                <w:rFonts w:ascii="宋体" w:hAnsi="宋体" w:cs="宋体"/>
                <w:color w:val="000000"/>
                <w:szCs w:val="21"/>
              </w:rPr>
            </w:pPr>
            <w:r>
              <w:rPr>
                <w:rFonts w:hint="eastAsia" w:ascii="仿宋" w:hAnsi="仿宋" w:eastAsia="仿宋" w:cs="仿宋"/>
                <w:color w:val="000000"/>
                <w:szCs w:val="21"/>
              </w:rPr>
              <w:t>LO11 爱党爱国，坚决拥护党的领导，热爱祖国的大好河山、悠久历史、灿烂文化，自觉维护民族利益和国家尊严。</w:t>
            </w:r>
          </w:p>
        </w:tc>
        <w:tc>
          <w:tcPr>
            <w:tcW w:w="666"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113" w:type="dxa"/>
            <w:vMerge w:val="continue"/>
            <w:vAlign w:val="center"/>
          </w:tcPr>
          <w:p>
            <w:pPr>
              <w:tabs>
                <w:tab w:val="left" w:pos="4200"/>
              </w:tabs>
              <w:adjustRightInd w:val="0"/>
              <w:snapToGrid w:val="0"/>
              <w:spacing w:line="264" w:lineRule="auto"/>
              <w:outlineLvl w:val="1"/>
              <w:rPr>
                <w:rFonts w:ascii="宋体" w:hAnsi="宋体" w:cs="宋体"/>
                <w:color w:val="000000"/>
                <w:szCs w:val="21"/>
              </w:rPr>
            </w:pPr>
          </w:p>
        </w:tc>
        <w:tc>
          <w:tcPr>
            <w:tcW w:w="6650" w:type="dxa"/>
            <w:vAlign w:val="center"/>
          </w:tcPr>
          <w:p>
            <w:pPr>
              <w:tabs>
                <w:tab w:val="left" w:pos="4200"/>
              </w:tabs>
              <w:adjustRightInd w:val="0"/>
              <w:snapToGrid w:val="0"/>
              <w:spacing w:line="264" w:lineRule="auto"/>
              <w:outlineLvl w:val="1"/>
              <w:rPr>
                <w:rFonts w:ascii="仿宋" w:hAnsi="仿宋" w:eastAsia="仿宋" w:cs="仿宋"/>
                <w:color w:val="000000"/>
                <w:szCs w:val="21"/>
              </w:rPr>
            </w:pPr>
            <w:r>
              <w:rPr>
                <w:rFonts w:hint="eastAsia" w:ascii="仿宋" w:hAnsi="仿宋" w:eastAsia="仿宋" w:cs="仿宋"/>
                <w:color w:val="000000"/>
                <w:szCs w:val="21"/>
              </w:rPr>
              <w:t>LO12 遵纪守法，增强法律意识，培养法律思维，自觉遵守法律法规、校纪校规。</w:t>
            </w:r>
          </w:p>
        </w:tc>
        <w:tc>
          <w:tcPr>
            <w:tcW w:w="666"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113" w:type="dxa"/>
            <w:vMerge w:val="continue"/>
            <w:vAlign w:val="center"/>
          </w:tcPr>
          <w:p>
            <w:pPr>
              <w:tabs>
                <w:tab w:val="left" w:pos="4200"/>
              </w:tabs>
              <w:adjustRightInd w:val="0"/>
              <w:snapToGrid w:val="0"/>
              <w:spacing w:line="264" w:lineRule="auto"/>
              <w:outlineLvl w:val="1"/>
              <w:rPr>
                <w:rFonts w:ascii="宋体" w:hAnsi="宋体" w:cs="宋体"/>
                <w:color w:val="000000"/>
                <w:szCs w:val="21"/>
              </w:rPr>
            </w:pPr>
          </w:p>
        </w:tc>
        <w:tc>
          <w:tcPr>
            <w:tcW w:w="6650" w:type="dxa"/>
            <w:vAlign w:val="center"/>
          </w:tcPr>
          <w:p>
            <w:pPr>
              <w:tabs>
                <w:tab w:val="left" w:pos="4200"/>
              </w:tabs>
              <w:adjustRightInd w:val="0"/>
              <w:snapToGrid w:val="0"/>
              <w:spacing w:line="264" w:lineRule="auto"/>
              <w:outlineLvl w:val="1"/>
              <w:rPr>
                <w:rFonts w:ascii="仿宋" w:hAnsi="仿宋" w:eastAsia="仿宋" w:cs="仿宋"/>
                <w:color w:val="000000"/>
                <w:szCs w:val="21"/>
              </w:rPr>
            </w:pPr>
            <w:r>
              <w:rPr>
                <w:rFonts w:hint="eastAsia" w:ascii="仿宋" w:hAnsi="仿宋" w:eastAsia="仿宋" w:cs="仿宋"/>
                <w:color w:val="000000"/>
                <w:szCs w:val="21"/>
              </w:rPr>
              <w:t>LO13 奉献社会，富有爱心，懂得感恩，自觉传承和弘扬雷锋精神，具有服务社会的意愿和行动，积极参加志愿者服务。</w:t>
            </w:r>
          </w:p>
        </w:tc>
        <w:tc>
          <w:tcPr>
            <w:tcW w:w="666" w:type="dxa"/>
            <w:vAlign w:val="center"/>
          </w:tcPr>
          <w:p>
            <w:pPr>
              <w:tabs>
                <w:tab w:val="left" w:pos="4200"/>
              </w:tabs>
              <w:adjustRightInd w:val="0"/>
              <w:snapToGrid w:val="0"/>
              <w:spacing w:line="264" w:lineRule="auto"/>
              <w:outlineLvl w:val="1"/>
              <w:rPr>
                <w:rFonts w:ascii="宋体" w:hAnsi="宋体" w:cs="宋体"/>
                <w:color w:val="000000"/>
                <w:sz w:val="20"/>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continue"/>
            <w:vAlign w:val="center"/>
          </w:tcPr>
          <w:p>
            <w:pPr>
              <w:tabs>
                <w:tab w:val="left" w:pos="4200"/>
              </w:tabs>
              <w:adjustRightInd w:val="0"/>
              <w:snapToGrid w:val="0"/>
              <w:spacing w:line="264" w:lineRule="auto"/>
              <w:outlineLvl w:val="1"/>
              <w:rPr>
                <w:rFonts w:ascii="宋体" w:hAnsi="宋体" w:cs="宋体"/>
                <w:color w:val="000000"/>
                <w:szCs w:val="21"/>
              </w:rPr>
            </w:pPr>
          </w:p>
        </w:tc>
        <w:tc>
          <w:tcPr>
            <w:tcW w:w="6650" w:type="dxa"/>
            <w:vAlign w:val="center"/>
          </w:tcPr>
          <w:p>
            <w:pPr>
              <w:tabs>
                <w:tab w:val="left" w:pos="4200"/>
              </w:tabs>
              <w:adjustRightInd w:val="0"/>
              <w:snapToGrid w:val="0"/>
              <w:spacing w:line="264" w:lineRule="auto"/>
              <w:outlineLvl w:val="1"/>
              <w:rPr>
                <w:rFonts w:ascii="宋体" w:hAnsi="宋体" w:cs="宋体"/>
                <w:color w:val="000000"/>
                <w:szCs w:val="21"/>
              </w:rPr>
            </w:pPr>
            <w:r>
              <w:rPr>
                <w:rFonts w:hint="eastAsia" w:ascii="仿宋" w:hAnsi="仿宋" w:eastAsia="仿宋" w:cs="仿宋"/>
                <w:color w:val="000000"/>
                <w:szCs w:val="21"/>
              </w:rPr>
              <w:t>LO14 诚信尽责，为人诚实，信守承诺，勤奋努力，精益求精，勇于担责。</w:t>
            </w:r>
          </w:p>
        </w:tc>
        <w:tc>
          <w:tcPr>
            <w:tcW w:w="666" w:type="dxa"/>
            <w:vAlign w:val="center"/>
          </w:tcPr>
          <w:p>
            <w:pPr>
              <w:tabs>
                <w:tab w:val="left" w:pos="4200"/>
              </w:tabs>
              <w:adjustRightInd w:val="0"/>
              <w:snapToGrid w:val="0"/>
              <w:spacing w:line="264" w:lineRule="auto"/>
              <w:outlineLvl w:val="1"/>
              <w:rPr>
                <w:rFonts w:ascii="宋体" w:hAnsi="宋体" w:cs="宋体"/>
                <w:color w:val="000000"/>
                <w:sz w:val="20"/>
                <w:szCs w:val="20"/>
              </w:rPr>
            </w:pPr>
          </w:p>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continue"/>
            <w:vAlign w:val="center"/>
          </w:tcPr>
          <w:p>
            <w:pPr>
              <w:tabs>
                <w:tab w:val="left" w:pos="4200"/>
              </w:tabs>
              <w:adjustRightInd w:val="0"/>
              <w:snapToGrid w:val="0"/>
              <w:spacing w:line="264" w:lineRule="auto"/>
              <w:outlineLvl w:val="1"/>
              <w:rPr>
                <w:rFonts w:ascii="宋体" w:hAnsi="宋体" w:cs="宋体"/>
                <w:color w:val="000000"/>
                <w:szCs w:val="21"/>
              </w:rPr>
            </w:pPr>
          </w:p>
        </w:tc>
        <w:tc>
          <w:tcPr>
            <w:tcW w:w="6650" w:type="dxa"/>
            <w:vAlign w:val="center"/>
          </w:tcPr>
          <w:p>
            <w:pPr>
              <w:tabs>
                <w:tab w:val="left" w:pos="4200"/>
              </w:tabs>
              <w:adjustRightInd w:val="0"/>
              <w:snapToGrid w:val="0"/>
              <w:spacing w:line="264" w:lineRule="auto"/>
              <w:outlineLvl w:val="1"/>
              <w:rPr>
                <w:rFonts w:ascii="宋体" w:hAnsi="宋体" w:cs="宋体"/>
                <w:color w:val="000000"/>
                <w:szCs w:val="21"/>
              </w:rPr>
            </w:pPr>
            <w:r>
              <w:rPr>
                <w:rFonts w:hint="eastAsia" w:ascii="仿宋" w:hAnsi="仿宋" w:eastAsia="仿宋" w:cs="仿宋"/>
                <w:color w:val="000000"/>
                <w:szCs w:val="21"/>
              </w:rPr>
              <w:t>LO15 爱岗敬业，热爱所学专业，勤学多练，锤炼技能。熟悉本专业相关的法律法规，在实习实践中自觉遵守职业规范，具备职业道德操守。</w:t>
            </w:r>
          </w:p>
        </w:tc>
        <w:tc>
          <w:tcPr>
            <w:tcW w:w="666"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restart"/>
            <w:vAlign w:val="center"/>
          </w:tcPr>
          <w:p>
            <w:pPr>
              <w:tabs>
                <w:tab w:val="left" w:pos="4200"/>
              </w:tabs>
              <w:adjustRightInd w:val="0"/>
              <w:snapToGrid w:val="0"/>
              <w:spacing w:line="264" w:lineRule="auto"/>
              <w:outlineLvl w:val="1"/>
              <w:rPr>
                <w:rFonts w:ascii="仿宋" w:hAnsi="仿宋" w:eastAsia="仿宋" w:cs="宋体"/>
                <w:color w:val="000000"/>
                <w:kern w:val="0"/>
                <w:szCs w:val="21"/>
              </w:rPr>
            </w:pPr>
            <w:r>
              <w:rPr>
                <w:rFonts w:hint="eastAsia" w:ascii="仿宋" w:hAnsi="仿宋" w:eastAsia="仿宋" w:cs="宋体"/>
                <w:color w:val="000000"/>
                <w:kern w:val="0"/>
                <w:szCs w:val="21"/>
              </w:rPr>
              <w:t>LO2</w:t>
            </w:r>
          </w:p>
          <w:p>
            <w:pPr>
              <w:tabs>
                <w:tab w:val="left" w:pos="4200"/>
              </w:tabs>
              <w:adjustRightInd w:val="0"/>
              <w:snapToGrid w:val="0"/>
              <w:spacing w:line="264" w:lineRule="auto"/>
              <w:outlineLvl w:val="1"/>
              <w:rPr>
                <w:rFonts w:ascii="宋体" w:hAnsi="宋体" w:cs="宋体"/>
                <w:color w:val="000000"/>
                <w:szCs w:val="21"/>
              </w:rPr>
            </w:pPr>
            <w:r>
              <w:rPr>
                <w:rFonts w:hint="eastAsia" w:ascii="仿宋" w:hAnsi="仿宋" w:eastAsia="仿宋" w:cs="宋体"/>
                <w:color w:val="000000"/>
                <w:kern w:val="0"/>
                <w:szCs w:val="21"/>
              </w:rPr>
              <w:t>专业能力</w:t>
            </w:r>
          </w:p>
        </w:tc>
        <w:tc>
          <w:tcPr>
            <w:tcW w:w="6650" w:type="dxa"/>
            <w:vAlign w:val="center"/>
          </w:tcPr>
          <w:p>
            <w:pPr>
              <w:tabs>
                <w:tab w:val="left" w:pos="4200"/>
              </w:tabs>
              <w:adjustRightInd w:val="0"/>
              <w:snapToGrid w:val="0"/>
              <w:spacing w:line="264" w:lineRule="auto"/>
              <w:outlineLvl w:val="1"/>
              <w:rPr>
                <w:rFonts w:ascii="宋体" w:hAnsi="宋体" w:cs="宋体"/>
                <w:color w:val="000000"/>
                <w:szCs w:val="21"/>
              </w:rPr>
            </w:pPr>
            <w:r>
              <w:rPr>
                <w:rFonts w:hint="eastAsia" w:ascii="仿宋" w:hAnsi="仿宋" w:eastAsia="仿宋" w:cs="仿宋"/>
                <w:color w:val="000000"/>
                <w:szCs w:val="21"/>
              </w:rPr>
              <w:t>LO21 具有专业所需的人文科学素养。</w:t>
            </w:r>
          </w:p>
        </w:tc>
        <w:tc>
          <w:tcPr>
            <w:tcW w:w="666"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continue"/>
            <w:vAlign w:val="center"/>
          </w:tcPr>
          <w:p>
            <w:pPr>
              <w:tabs>
                <w:tab w:val="left" w:pos="4200"/>
              </w:tabs>
              <w:adjustRightInd w:val="0"/>
              <w:snapToGrid w:val="0"/>
              <w:spacing w:line="264" w:lineRule="auto"/>
              <w:outlineLvl w:val="1"/>
              <w:rPr>
                <w:rFonts w:ascii="宋体" w:hAnsi="宋体" w:cs="宋体"/>
                <w:color w:val="000000"/>
                <w:szCs w:val="21"/>
              </w:rPr>
            </w:pPr>
          </w:p>
        </w:tc>
        <w:tc>
          <w:tcPr>
            <w:tcW w:w="6650" w:type="dxa"/>
            <w:vAlign w:val="center"/>
          </w:tcPr>
          <w:p>
            <w:pPr>
              <w:tabs>
                <w:tab w:val="left" w:pos="4200"/>
              </w:tabs>
              <w:adjustRightInd w:val="0"/>
              <w:snapToGrid w:val="0"/>
              <w:spacing w:line="264" w:lineRule="auto"/>
              <w:outlineLvl w:val="1"/>
              <w:rPr>
                <w:rFonts w:ascii="宋体" w:hAnsi="宋体" w:cs="宋体"/>
                <w:color w:val="000000"/>
                <w:szCs w:val="21"/>
              </w:rPr>
            </w:pPr>
            <w:r>
              <w:rPr>
                <w:rFonts w:hint="eastAsia" w:ascii="仿宋" w:hAnsi="仿宋" w:eastAsia="仿宋" w:cs="仿宋"/>
                <w:color w:val="000000"/>
                <w:szCs w:val="21"/>
              </w:rPr>
              <w:t>LO22 健康评估能力：能全面评估老年人的身心、社会及精神方面的健康状态，具有健康监测、健康风险评估能力。</w:t>
            </w:r>
          </w:p>
        </w:tc>
        <w:tc>
          <w:tcPr>
            <w:tcW w:w="666" w:type="dxa"/>
            <w:vAlign w:val="center"/>
          </w:tcPr>
          <w:p>
            <w:pPr>
              <w:tabs>
                <w:tab w:val="left" w:pos="4200"/>
              </w:tabs>
              <w:adjustRightInd w:val="0"/>
              <w:snapToGrid w:val="0"/>
              <w:spacing w:line="264" w:lineRule="auto"/>
              <w:outlineLvl w:val="1"/>
              <w:rPr>
                <w:rFonts w:ascii="宋体" w:hAnsi="宋体" w:cs="宋体"/>
                <w:color w:val="000000"/>
                <w:sz w:val="20"/>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continue"/>
            <w:vAlign w:val="center"/>
          </w:tcPr>
          <w:p>
            <w:pPr>
              <w:tabs>
                <w:tab w:val="left" w:pos="4200"/>
              </w:tabs>
              <w:adjustRightInd w:val="0"/>
              <w:snapToGrid w:val="0"/>
              <w:spacing w:line="264" w:lineRule="auto"/>
              <w:outlineLvl w:val="1"/>
              <w:rPr>
                <w:rFonts w:ascii="宋体" w:hAnsi="宋体" w:cs="宋体"/>
                <w:color w:val="000000"/>
                <w:szCs w:val="21"/>
              </w:rPr>
            </w:pPr>
          </w:p>
        </w:tc>
        <w:tc>
          <w:tcPr>
            <w:tcW w:w="6650" w:type="dxa"/>
            <w:vAlign w:val="center"/>
          </w:tcPr>
          <w:p>
            <w:pPr>
              <w:tabs>
                <w:tab w:val="left" w:pos="4200"/>
              </w:tabs>
              <w:adjustRightInd w:val="0"/>
              <w:snapToGrid w:val="0"/>
              <w:spacing w:line="264" w:lineRule="auto"/>
              <w:outlineLvl w:val="1"/>
              <w:rPr>
                <w:rFonts w:ascii="宋体" w:hAnsi="宋体" w:cs="宋体"/>
                <w:color w:val="000000"/>
                <w:szCs w:val="21"/>
              </w:rPr>
            </w:pPr>
            <w:r>
              <w:rPr>
                <w:rFonts w:hint="eastAsia" w:ascii="仿宋" w:hAnsi="仿宋" w:eastAsia="仿宋" w:cs="仿宋"/>
                <w:color w:val="000000"/>
                <w:szCs w:val="21"/>
              </w:rPr>
              <w:t>LO23 养老服务能力：能应用政策法规管理老年事务，以社会工作专业视角及运用专业知识为老年人服务。</w:t>
            </w:r>
          </w:p>
        </w:tc>
        <w:tc>
          <w:tcPr>
            <w:tcW w:w="666"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continue"/>
            <w:vAlign w:val="center"/>
          </w:tcPr>
          <w:p>
            <w:pPr>
              <w:tabs>
                <w:tab w:val="left" w:pos="4200"/>
              </w:tabs>
              <w:adjustRightInd w:val="0"/>
              <w:snapToGrid w:val="0"/>
              <w:spacing w:line="264" w:lineRule="auto"/>
              <w:outlineLvl w:val="1"/>
              <w:rPr>
                <w:rFonts w:ascii="宋体" w:hAnsi="宋体" w:cs="宋体"/>
                <w:color w:val="000000"/>
                <w:szCs w:val="21"/>
              </w:rPr>
            </w:pPr>
          </w:p>
        </w:tc>
        <w:tc>
          <w:tcPr>
            <w:tcW w:w="6650" w:type="dxa"/>
            <w:vAlign w:val="center"/>
          </w:tcPr>
          <w:p>
            <w:pPr>
              <w:tabs>
                <w:tab w:val="left" w:pos="4200"/>
              </w:tabs>
              <w:adjustRightInd w:val="0"/>
              <w:snapToGrid w:val="0"/>
              <w:spacing w:line="264" w:lineRule="auto"/>
              <w:outlineLvl w:val="1"/>
              <w:rPr>
                <w:rFonts w:ascii="宋体" w:hAnsi="宋体" w:cs="宋体"/>
                <w:color w:val="000000"/>
                <w:szCs w:val="21"/>
              </w:rPr>
            </w:pPr>
            <w:r>
              <w:rPr>
                <w:rFonts w:hint="eastAsia" w:ascii="仿宋" w:hAnsi="仿宋" w:eastAsia="仿宋" w:cs="仿宋"/>
                <w:color w:val="000000"/>
                <w:szCs w:val="21"/>
              </w:rPr>
              <w:t>LO24 批判性思维能力：有质疑精神，具有初步运用辩证思维和决策的能力，能进行逻辑的分析与批判，以保证安全有效的专业实践。</w:t>
            </w:r>
          </w:p>
        </w:tc>
        <w:tc>
          <w:tcPr>
            <w:tcW w:w="666"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continue"/>
            <w:vAlign w:val="center"/>
          </w:tcPr>
          <w:p>
            <w:pPr>
              <w:tabs>
                <w:tab w:val="left" w:pos="4200"/>
              </w:tabs>
              <w:adjustRightInd w:val="0"/>
              <w:snapToGrid w:val="0"/>
              <w:spacing w:line="264" w:lineRule="auto"/>
              <w:outlineLvl w:val="1"/>
              <w:rPr>
                <w:rFonts w:ascii="宋体" w:hAnsi="宋体" w:cs="宋体"/>
                <w:color w:val="000000"/>
                <w:szCs w:val="21"/>
              </w:rPr>
            </w:pPr>
          </w:p>
        </w:tc>
        <w:tc>
          <w:tcPr>
            <w:tcW w:w="6650" w:type="dxa"/>
            <w:vAlign w:val="center"/>
          </w:tcPr>
          <w:p>
            <w:pPr>
              <w:tabs>
                <w:tab w:val="left" w:pos="4200"/>
              </w:tabs>
              <w:adjustRightInd w:val="0"/>
              <w:snapToGrid w:val="0"/>
              <w:spacing w:line="264" w:lineRule="auto"/>
              <w:outlineLvl w:val="1"/>
              <w:rPr>
                <w:rFonts w:ascii="宋体" w:hAnsi="宋体" w:cs="宋体"/>
                <w:color w:val="000000"/>
                <w:szCs w:val="21"/>
              </w:rPr>
            </w:pPr>
            <w:r>
              <w:rPr>
                <w:rFonts w:hint="eastAsia" w:ascii="仿宋" w:hAnsi="仿宋" w:eastAsia="仿宋" w:cs="仿宋"/>
                <w:color w:val="000000"/>
                <w:szCs w:val="21"/>
              </w:rPr>
              <w:t>LO25 健康教育能力：能确定老年人的健康需求，并采用合适的健康教育策略。</w:t>
            </w:r>
          </w:p>
        </w:tc>
        <w:tc>
          <w:tcPr>
            <w:tcW w:w="666" w:type="dxa"/>
            <w:vAlign w:val="center"/>
          </w:tcPr>
          <w:p>
            <w:pPr>
              <w:tabs>
                <w:tab w:val="left" w:pos="4200"/>
              </w:tabs>
              <w:adjustRightInd w:val="0"/>
              <w:snapToGrid w:val="0"/>
              <w:spacing w:line="264" w:lineRule="auto"/>
              <w:outlineLvl w:val="1"/>
              <w:rPr>
                <w:rFonts w:ascii="宋体" w:hAnsi="宋体" w:cs="宋体"/>
                <w:color w:val="000000"/>
                <w:sz w:val="20"/>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113" w:type="dxa"/>
            <w:vMerge w:val="continue"/>
            <w:vAlign w:val="center"/>
          </w:tcPr>
          <w:p>
            <w:pPr>
              <w:tabs>
                <w:tab w:val="left" w:pos="4200"/>
              </w:tabs>
              <w:adjustRightInd w:val="0"/>
              <w:snapToGrid w:val="0"/>
              <w:spacing w:line="264" w:lineRule="auto"/>
              <w:outlineLvl w:val="1"/>
              <w:rPr>
                <w:rFonts w:ascii="宋体" w:hAnsi="宋体" w:cs="宋体"/>
                <w:color w:val="000000"/>
                <w:szCs w:val="21"/>
              </w:rPr>
            </w:pPr>
          </w:p>
        </w:tc>
        <w:tc>
          <w:tcPr>
            <w:tcW w:w="6650" w:type="dxa"/>
            <w:vAlign w:val="center"/>
          </w:tcPr>
          <w:p>
            <w:pPr>
              <w:tabs>
                <w:tab w:val="left" w:pos="4200"/>
              </w:tabs>
              <w:adjustRightInd w:val="0"/>
              <w:snapToGrid w:val="0"/>
              <w:spacing w:line="264" w:lineRule="auto"/>
              <w:outlineLvl w:val="1"/>
              <w:rPr>
                <w:rFonts w:ascii="宋体" w:hAnsi="宋体" w:cs="宋体"/>
                <w:color w:val="000000"/>
                <w:szCs w:val="21"/>
              </w:rPr>
            </w:pPr>
            <w:r>
              <w:rPr>
                <w:rFonts w:hint="eastAsia" w:ascii="仿宋" w:hAnsi="仿宋" w:eastAsia="仿宋" w:cs="仿宋"/>
                <w:color w:val="000000"/>
                <w:szCs w:val="21"/>
              </w:rPr>
              <w:t xml:space="preserve">LO26 </w:t>
            </w:r>
            <w:r>
              <w:rPr>
                <w:rFonts w:hint="eastAsia" w:ascii="仿宋" w:hAnsi="仿宋" w:eastAsia="仿宋" w:cs="仿宋"/>
                <w:color w:val="000000"/>
                <w:szCs w:val="21"/>
                <w:lang w:val="en-US" w:eastAsia="zh-CN"/>
              </w:rPr>
              <w:t>协</w:t>
            </w:r>
            <w:bookmarkStart w:id="1" w:name="_GoBack"/>
            <w:bookmarkEnd w:id="1"/>
            <w:r>
              <w:rPr>
                <w:rFonts w:hint="eastAsia" w:ascii="仿宋" w:hAnsi="仿宋" w:eastAsia="仿宋" w:cs="仿宋"/>
                <w:color w:val="000000"/>
                <w:szCs w:val="21"/>
              </w:rPr>
              <w:t>调管理能力：能协调工作中的各种人际关系,进行老年活动策划、组织老年事务管理。</w:t>
            </w:r>
          </w:p>
        </w:tc>
        <w:tc>
          <w:tcPr>
            <w:tcW w:w="666"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13" w:type="dxa"/>
            <w:vMerge w:val="restart"/>
            <w:vAlign w:val="center"/>
          </w:tcPr>
          <w:p>
            <w:pPr>
              <w:tabs>
                <w:tab w:val="left" w:pos="4200"/>
              </w:tabs>
              <w:adjustRightInd w:val="0"/>
              <w:snapToGrid w:val="0"/>
              <w:spacing w:line="264" w:lineRule="auto"/>
              <w:outlineLvl w:val="1"/>
              <w:rPr>
                <w:rFonts w:ascii="仿宋" w:hAnsi="仿宋" w:eastAsia="仿宋" w:cs="宋体"/>
                <w:color w:val="000000"/>
                <w:kern w:val="0"/>
                <w:szCs w:val="21"/>
              </w:rPr>
            </w:pPr>
            <w:r>
              <w:rPr>
                <w:rFonts w:hint="eastAsia" w:ascii="仿宋" w:hAnsi="仿宋" w:eastAsia="仿宋" w:cs="宋体"/>
                <w:color w:val="000000"/>
                <w:kern w:val="0"/>
                <w:szCs w:val="21"/>
              </w:rPr>
              <w:t>LO3</w:t>
            </w:r>
          </w:p>
          <w:p>
            <w:pPr>
              <w:tabs>
                <w:tab w:val="left" w:pos="4200"/>
              </w:tabs>
              <w:adjustRightInd w:val="0"/>
              <w:snapToGrid w:val="0"/>
              <w:spacing w:line="264" w:lineRule="auto"/>
              <w:outlineLvl w:val="1"/>
              <w:rPr>
                <w:rFonts w:ascii="宋体" w:hAnsi="宋体" w:cs="宋体"/>
                <w:color w:val="000000"/>
                <w:szCs w:val="21"/>
              </w:rPr>
            </w:pPr>
            <w:r>
              <w:rPr>
                <w:rFonts w:hint="eastAsia" w:ascii="仿宋" w:hAnsi="仿宋" w:eastAsia="仿宋" w:cs="宋体"/>
                <w:color w:val="000000"/>
                <w:kern w:val="0"/>
                <w:szCs w:val="21"/>
              </w:rPr>
              <w:t>表达沟通</w:t>
            </w:r>
          </w:p>
        </w:tc>
        <w:tc>
          <w:tcPr>
            <w:tcW w:w="6650" w:type="dxa"/>
            <w:vAlign w:val="center"/>
          </w:tcPr>
          <w:p>
            <w:pPr>
              <w:tabs>
                <w:tab w:val="left" w:pos="4200"/>
              </w:tabs>
              <w:adjustRightInd w:val="0"/>
              <w:snapToGrid w:val="0"/>
              <w:spacing w:line="264" w:lineRule="auto"/>
              <w:outlineLvl w:val="1"/>
              <w:rPr>
                <w:rFonts w:ascii="仿宋" w:hAnsi="仿宋" w:eastAsia="仿宋" w:cs="仿宋"/>
                <w:color w:val="000000"/>
                <w:szCs w:val="21"/>
              </w:rPr>
            </w:pPr>
            <w:r>
              <w:rPr>
                <w:rFonts w:hint="eastAsia" w:ascii="仿宋" w:hAnsi="仿宋" w:eastAsia="仿宋" w:cs="仿宋"/>
                <w:color w:val="000000"/>
                <w:szCs w:val="21"/>
              </w:rPr>
              <w:t>LO31倾听他人意见、尊重他人观点、分析他人需求。</w:t>
            </w:r>
          </w:p>
        </w:tc>
        <w:tc>
          <w:tcPr>
            <w:tcW w:w="666" w:type="dxa"/>
            <w:vAlign w:val="center"/>
          </w:tcPr>
          <w:p>
            <w:pPr>
              <w:tabs>
                <w:tab w:val="left" w:pos="4200"/>
              </w:tabs>
              <w:adjustRightInd w:val="0"/>
              <w:snapToGrid w:val="0"/>
              <w:spacing w:line="264" w:lineRule="auto"/>
              <w:outlineLvl w:val="1"/>
              <w:rPr>
                <w:rFonts w:ascii="宋体" w:hAnsi="宋体" w:cs="宋体"/>
                <w:color w:val="000000"/>
                <w:sz w:val="20"/>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113" w:type="dxa"/>
            <w:vMerge w:val="continue"/>
            <w:vAlign w:val="center"/>
          </w:tcPr>
          <w:p>
            <w:pPr>
              <w:tabs>
                <w:tab w:val="left" w:pos="4200"/>
              </w:tabs>
              <w:adjustRightInd w:val="0"/>
              <w:snapToGrid w:val="0"/>
              <w:spacing w:line="264" w:lineRule="auto"/>
              <w:outlineLvl w:val="1"/>
              <w:rPr>
                <w:rFonts w:ascii="宋体" w:hAnsi="宋体" w:cs="宋体"/>
                <w:color w:val="000000"/>
                <w:szCs w:val="21"/>
              </w:rPr>
            </w:pPr>
          </w:p>
        </w:tc>
        <w:tc>
          <w:tcPr>
            <w:tcW w:w="6650" w:type="dxa"/>
            <w:vAlign w:val="center"/>
          </w:tcPr>
          <w:p>
            <w:pPr>
              <w:tabs>
                <w:tab w:val="left" w:pos="4200"/>
              </w:tabs>
              <w:adjustRightInd w:val="0"/>
              <w:snapToGrid w:val="0"/>
              <w:spacing w:line="264" w:lineRule="auto"/>
              <w:outlineLvl w:val="1"/>
              <w:rPr>
                <w:rFonts w:ascii="仿宋" w:hAnsi="仿宋" w:eastAsia="仿宋" w:cs="仿宋"/>
                <w:color w:val="000000"/>
                <w:szCs w:val="21"/>
              </w:rPr>
            </w:pPr>
            <w:r>
              <w:rPr>
                <w:rFonts w:hint="eastAsia" w:ascii="仿宋" w:hAnsi="仿宋" w:eastAsia="仿宋" w:cs="仿宋"/>
                <w:color w:val="000000"/>
                <w:szCs w:val="21"/>
              </w:rPr>
              <w:t>LO32应用书面或口头形式，阐释自己的观点，有效沟通。</w:t>
            </w:r>
          </w:p>
        </w:tc>
        <w:tc>
          <w:tcPr>
            <w:tcW w:w="666"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13" w:type="dxa"/>
            <w:vMerge w:val="restart"/>
            <w:vAlign w:val="center"/>
          </w:tcPr>
          <w:p>
            <w:pPr>
              <w:tabs>
                <w:tab w:val="left" w:pos="4200"/>
              </w:tabs>
              <w:adjustRightInd w:val="0"/>
              <w:snapToGrid w:val="0"/>
              <w:spacing w:line="264" w:lineRule="auto"/>
              <w:outlineLvl w:val="1"/>
              <w:rPr>
                <w:rFonts w:ascii="仿宋" w:hAnsi="仿宋" w:eastAsia="仿宋" w:cs="宋体"/>
                <w:color w:val="000000"/>
                <w:kern w:val="0"/>
                <w:szCs w:val="21"/>
              </w:rPr>
            </w:pPr>
            <w:r>
              <w:rPr>
                <w:rFonts w:hint="eastAsia" w:ascii="仿宋" w:hAnsi="仿宋" w:eastAsia="仿宋" w:cs="宋体"/>
                <w:color w:val="000000"/>
                <w:kern w:val="0"/>
                <w:szCs w:val="21"/>
              </w:rPr>
              <w:t>LO4</w:t>
            </w:r>
          </w:p>
          <w:p>
            <w:pPr>
              <w:tabs>
                <w:tab w:val="left" w:pos="4200"/>
              </w:tabs>
              <w:adjustRightInd w:val="0"/>
              <w:snapToGrid w:val="0"/>
              <w:spacing w:line="264" w:lineRule="auto"/>
              <w:outlineLvl w:val="1"/>
              <w:rPr>
                <w:rFonts w:ascii="宋体" w:hAnsi="宋体" w:cs="宋体"/>
                <w:color w:val="000000"/>
                <w:szCs w:val="21"/>
              </w:rPr>
            </w:pPr>
            <w:r>
              <w:rPr>
                <w:rFonts w:hint="eastAsia" w:ascii="仿宋" w:hAnsi="仿宋" w:eastAsia="仿宋" w:cs="宋体"/>
                <w:color w:val="000000"/>
                <w:kern w:val="0"/>
                <w:szCs w:val="21"/>
              </w:rPr>
              <w:t xml:space="preserve">自主学习 </w:t>
            </w:r>
            <w:r>
              <w:rPr>
                <w:rFonts w:hint="eastAsia" w:ascii="宋体" w:hAnsi="宋体" w:cs="宋体"/>
                <w:color w:val="000000"/>
                <w:szCs w:val="21"/>
              </w:rPr>
              <w:t xml:space="preserve"> </w:t>
            </w:r>
          </w:p>
        </w:tc>
        <w:tc>
          <w:tcPr>
            <w:tcW w:w="6650" w:type="dxa"/>
            <w:vAlign w:val="center"/>
          </w:tcPr>
          <w:p>
            <w:pPr>
              <w:tabs>
                <w:tab w:val="left" w:pos="4200"/>
              </w:tabs>
              <w:adjustRightInd w:val="0"/>
              <w:snapToGrid w:val="0"/>
              <w:spacing w:line="264" w:lineRule="auto"/>
              <w:outlineLvl w:val="1"/>
              <w:rPr>
                <w:rFonts w:ascii="仿宋" w:hAnsi="仿宋" w:eastAsia="仿宋" w:cs="仿宋"/>
                <w:color w:val="000000"/>
                <w:szCs w:val="21"/>
              </w:rPr>
            </w:pPr>
            <w:r>
              <w:rPr>
                <w:rFonts w:hint="eastAsia" w:ascii="仿宋" w:hAnsi="仿宋" w:eastAsia="仿宋" w:cs="仿宋"/>
                <w:color w:val="000000"/>
                <w:szCs w:val="21"/>
              </w:rPr>
              <w:t>L041 能根据需要确定学习目标，并设计学习计划。</w:t>
            </w:r>
          </w:p>
        </w:tc>
        <w:tc>
          <w:tcPr>
            <w:tcW w:w="666"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113" w:type="dxa"/>
            <w:vMerge w:val="continue"/>
            <w:vAlign w:val="center"/>
          </w:tcPr>
          <w:p>
            <w:pPr>
              <w:tabs>
                <w:tab w:val="left" w:pos="4200"/>
              </w:tabs>
              <w:adjustRightInd w:val="0"/>
              <w:snapToGrid w:val="0"/>
              <w:spacing w:line="264" w:lineRule="auto"/>
              <w:outlineLvl w:val="1"/>
              <w:rPr>
                <w:rFonts w:ascii="宋体" w:hAnsi="宋体" w:cs="宋体"/>
                <w:color w:val="000000"/>
                <w:szCs w:val="21"/>
              </w:rPr>
            </w:pPr>
          </w:p>
        </w:tc>
        <w:tc>
          <w:tcPr>
            <w:tcW w:w="6650" w:type="dxa"/>
            <w:vAlign w:val="center"/>
          </w:tcPr>
          <w:p>
            <w:pPr>
              <w:tabs>
                <w:tab w:val="left" w:pos="4200"/>
              </w:tabs>
              <w:adjustRightInd w:val="0"/>
              <w:snapToGrid w:val="0"/>
              <w:spacing w:line="264" w:lineRule="auto"/>
              <w:outlineLvl w:val="1"/>
              <w:rPr>
                <w:rFonts w:ascii="仿宋" w:hAnsi="仿宋" w:eastAsia="仿宋" w:cs="仿宋"/>
                <w:color w:val="000000"/>
                <w:szCs w:val="21"/>
              </w:rPr>
            </w:pPr>
            <w:r>
              <w:rPr>
                <w:rFonts w:hint="eastAsia" w:ascii="仿宋" w:hAnsi="仿宋" w:eastAsia="仿宋" w:cs="仿宋"/>
                <w:color w:val="000000"/>
                <w:szCs w:val="21"/>
              </w:rPr>
              <w:t>L042 能搜集、获取达到目标所需要的学习资源，实施学习计划、反思学习计划、持续改进，达到学习目标。</w:t>
            </w:r>
          </w:p>
        </w:tc>
        <w:tc>
          <w:tcPr>
            <w:tcW w:w="666"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113" w:type="dxa"/>
            <w:vMerge w:val="restart"/>
            <w:vAlign w:val="center"/>
          </w:tcPr>
          <w:p>
            <w:pPr>
              <w:tabs>
                <w:tab w:val="left" w:pos="4200"/>
              </w:tabs>
              <w:adjustRightInd w:val="0"/>
              <w:snapToGrid w:val="0"/>
              <w:spacing w:line="264" w:lineRule="auto"/>
              <w:outlineLvl w:val="1"/>
              <w:rPr>
                <w:rFonts w:ascii="仿宋" w:hAnsi="仿宋" w:eastAsia="仿宋" w:cs="宋体"/>
                <w:color w:val="000000"/>
                <w:kern w:val="0"/>
                <w:szCs w:val="21"/>
              </w:rPr>
            </w:pPr>
            <w:r>
              <w:rPr>
                <w:rFonts w:hint="eastAsia" w:ascii="仿宋" w:hAnsi="仿宋" w:eastAsia="仿宋" w:cs="宋体"/>
                <w:color w:val="000000"/>
                <w:kern w:val="0"/>
                <w:szCs w:val="21"/>
              </w:rPr>
              <w:t>LO5</w:t>
            </w:r>
          </w:p>
          <w:p>
            <w:pPr>
              <w:tabs>
                <w:tab w:val="left" w:pos="4200"/>
              </w:tabs>
              <w:adjustRightInd w:val="0"/>
              <w:snapToGrid w:val="0"/>
              <w:spacing w:line="264" w:lineRule="auto"/>
              <w:outlineLvl w:val="1"/>
              <w:rPr>
                <w:rFonts w:ascii="宋体" w:hAnsi="宋体" w:cs="宋体"/>
                <w:color w:val="000000"/>
                <w:szCs w:val="21"/>
              </w:rPr>
            </w:pPr>
            <w:r>
              <w:rPr>
                <w:rFonts w:hint="eastAsia" w:ascii="宋体" w:hAnsi="宋体" w:cs="宋体"/>
                <w:color w:val="000000"/>
                <w:szCs w:val="21"/>
              </w:rPr>
              <w:t>健康发展</w:t>
            </w:r>
          </w:p>
        </w:tc>
        <w:tc>
          <w:tcPr>
            <w:tcW w:w="6650" w:type="dxa"/>
            <w:vAlign w:val="center"/>
          </w:tcPr>
          <w:p>
            <w:pPr>
              <w:tabs>
                <w:tab w:val="left" w:pos="4200"/>
              </w:tabs>
              <w:adjustRightInd w:val="0"/>
              <w:snapToGrid w:val="0"/>
              <w:spacing w:line="264" w:lineRule="auto"/>
              <w:outlineLvl w:val="1"/>
              <w:rPr>
                <w:rFonts w:ascii="仿宋" w:hAnsi="仿宋" w:eastAsia="仿宋" w:cs="仿宋"/>
                <w:color w:val="000000"/>
                <w:szCs w:val="21"/>
              </w:rPr>
            </w:pPr>
            <w:r>
              <w:rPr>
                <w:rFonts w:hint="eastAsia" w:ascii="仿宋" w:hAnsi="仿宋" w:eastAsia="仿宋" w:cs="仿宋"/>
                <w:color w:val="000000"/>
                <w:szCs w:val="21"/>
              </w:rPr>
              <w:t>LO51身体健康，具有良好的卫生习惯，积极参加体育活动。</w:t>
            </w:r>
          </w:p>
        </w:tc>
        <w:tc>
          <w:tcPr>
            <w:tcW w:w="666" w:type="dxa"/>
            <w:vAlign w:val="center"/>
          </w:tcPr>
          <w:p>
            <w:pPr>
              <w:tabs>
                <w:tab w:val="left" w:pos="4200"/>
              </w:tabs>
              <w:adjustRightInd w:val="0"/>
              <w:snapToGrid w:val="0"/>
              <w:spacing w:line="264" w:lineRule="auto"/>
              <w:outlineLvl w:val="1"/>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continue"/>
            <w:vAlign w:val="center"/>
          </w:tcPr>
          <w:p>
            <w:pPr>
              <w:tabs>
                <w:tab w:val="left" w:pos="4200"/>
              </w:tabs>
              <w:adjustRightInd w:val="0"/>
              <w:snapToGrid w:val="0"/>
              <w:spacing w:line="264" w:lineRule="auto"/>
              <w:outlineLvl w:val="1"/>
              <w:rPr>
                <w:rFonts w:ascii="宋体" w:hAnsi="宋体" w:cs="宋体"/>
                <w:color w:val="000000"/>
                <w:szCs w:val="21"/>
              </w:rPr>
            </w:pPr>
          </w:p>
        </w:tc>
        <w:tc>
          <w:tcPr>
            <w:tcW w:w="6650" w:type="dxa"/>
            <w:vAlign w:val="center"/>
          </w:tcPr>
          <w:p>
            <w:pPr>
              <w:tabs>
                <w:tab w:val="left" w:pos="4200"/>
              </w:tabs>
              <w:adjustRightInd w:val="0"/>
              <w:snapToGrid w:val="0"/>
              <w:spacing w:line="264" w:lineRule="auto"/>
              <w:outlineLvl w:val="1"/>
              <w:rPr>
                <w:rFonts w:ascii="宋体" w:hAnsi="宋体" w:cs="宋体"/>
                <w:color w:val="000000"/>
                <w:szCs w:val="21"/>
              </w:rPr>
            </w:pPr>
            <w:r>
              <w:rPr>
                <w:rFonts w:hint="eastAsia" w:ascii="仿宋" w:hAnsi="仿宋" w:eastAsia="仿宋" w:cs="仿宋"/>
                <w:color w:val="000000"/>
                <w:szCs w:val="21"/>
              </w:rPr>
              <w:t>LO52心理健康，学习和参与心理调适各项活动，耐挫折，能承受学习和生活中的压力。</w:t>
            </w:r>
          </w:p>
        </w:tc>
        <w:tc>
          <w:tcPr>
            <w:tcW w:w="666"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continue"/>
            <w:vAlign w:val="center"/>
          </w:tcPr>
          <w:p>
            <w:pPr>
              <w:tabs>
                <w:tab w:val="left" w:pos="4200"/>
              </w:tabs>
              <w:adjustRightInd w:val="0"/>
              <w:snapToGrid w:val="0"/>
              <w:spacing w:line="264" w:lineRule="auto"/>
              <w:outlineLvl w:val="1"/>
              <w:rPr>
                <w:rFonts w:ascii="宋体" w:hAnsi="宋体" w:cs="宋体"/>
                <w:color w:val="000000"/>
                <w:szCs w:val="21"/>
              </w:rPr>
            </w:pPr>
          </w:p>
        </w:tc>
        <w:tc>
          <w:tcPr>
            <w:tcW w:w="6650" w:type="dxa"/>
            <w:vAlign w:val="center"/>
          </w:tcPr>
          <w:p>
            <w:pPr>
              <w:tabs>
                <w:tab w:val="left" w:pos="4200"/>
              </w:tabs>
              <w:adjustRightInd w:val="0"/>
              <w:snapToGrid w:val="0"/>
              <w:spacing w:line="264" w:lineRule="auto"/>
              <w:outlineLvl w:val="1"/>
              <w:rPr>
                <w:rFonts w:ascii="宋体" w:hAnsi="宋体" w:cs="宋体"/>
                <w:color w:val="000000"/>
                <w:szCs w:val="21"/>
              </w:rPr>
            </w:pPr>
            <w:r>
              <w:rPr>
                <w:rFonts w:hint="eastAsia" w:ascii="仿宋" w:hAnsi="仿宋" w:eastAsia="仿宋" w:cs="仿宋"/>
                <w:color w:val="000000"/>
                <w:szCs w:val="21"/>
              </w:rPr>
              <w:t>LO53 懂得审美，有发现美、感受美、鉴赏美、评价美、创造美的能力。</w:t>
            </w:r>
          </w:p>
        </w:tc>
        <w:tc>
          <w:tcPr>
            <w:tcW w:w="666"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continue"/>
            <w:vAlign w:val="center"/>
          </w:tcPr>
          <w:p>
            <w:pPr>
              <w:tabs>
                <w:tab w:val="left" w:pos="4200"/>
              </w:tabs>
              <w:adjustRightInd w:val="0"/>
              <w:snapToGrid w:val="0"/>
              <w:spacing w:line="264" w:lineRule="auto"/>
              <w:outlineLvl w:val="1"/>
              <w:rPr>
                <w:rFonts w:ascii="宋体" w:hAnsi="宋体" w:cs="宋体"/>
                <w:color w:val="000000"/>
                <w:szCs w:val="21"/>
              </w:rPr>
            </w:pPr>
          </w:p>
        </w:tc>
        <w:tc>
          <w:tcPr>
            <w:tcW w:w="6650" w:type="dxa"/>
            <w:vAlign w:val="center"/>
          </w:tcPr>
          <w:p>
            <w:pPr>
              <w:tabs>
                <w:tab w:val="left" w:pos="4200"/>
              </w:tabs>
              <w:adjustRightInd w:val="0"/>
              <w:snapToGrid w:val="0"/>
              <w:spacing w:line="264" w:lineRule="auto"/>
              <w:outlineLvl w:val="1"/>
              <w:rPr>
                <w:rFonts w:ascii="宋体" w:hAnsi="宋体" w:cs="宋体"/>
                <w:color w:val="000000"/>
                <w:szCs w:val="21"/>
              </w:rPr>
            </w:pPr>
            <w:r>
              <w:rPr>
                <w:rFonts w:hint="eastAsia" w:ascii="仿宋" w:hAnsi="仿宋" w:eastAsia="仿宋" w:cs="仿宋"/>
                <w:color w:val="000000"/>
                <w:szCs w:val="21"/>
              </w:rPr>
              <w:t>LO54 热爱劳动，具有正确的劳动观念和态度，热爱劳动和劳动人民，养成劳动习惯。</w:t>
            </w:r>
          </w:p>
        </w:tc>
        <w:tc>
          <w:tcPr>
            <w:tcW w:w="666"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continue"/>
            <w:vAlign w:val="center"/>
          </w:tcPr>
          <w:p>
            <w:pPr>
              <w:tabs>
                <w:tab w:val="left" w:pos="4200"/>
              </w:tabs>
              <w:adjustRightInd w:val="0"/>
              <w:snapToGrid w:val="0"/>
              <w:spacing w:line="264" w:lineRule="auto"/>
              <w:outlineLvl w:val="1"/>
              <w:rPr>
                <w:rFonts w:ascii="宋体" w:hAnsi="宋体" w:cs="宋体"/>
                <w:color w:val="000000"/>
                <w:szCs w:val="21"/>
              </w:rPr>
            </w:pPr>
          </w:p>
        </w:tc>
        <w:tc>
          <w:tcPr>
            <w:tcW w:w="6650" w:type="dxa"/>
            <w:vAlign w:val="center"/>
          </w:tcPr>
          <w:p>
            <w:pPr>
              <w:tabs>
                <w:tab w:val="left" w:pos="4200"/>
              </w:tabs>
              <w:adjustRightInd w:val="0"/>
              <w:snapToGrid w:val="0"/>
              <w:spacing w:line="264" w:lineRule="auto"/>
              <w:outlineLvl w:val="1"/>
              <w:rPr>
                <w:rFonts w:ascii="宋体" w:hAnsi="宋体" w:cs="宋体"/>
                <w:color w:val="000000"/>
                <w:szCs w:val="21"/>
              </w:rPr>
            </w:pPr>
            <w:r>
              <w:rPr>
                <w:rFonts w:hint="eastAsia" w:ascii="仿宋" w:hAnsi="仿宋" w:eastAsia="仿宋" w:cs="仿宋"/>
                <w:color w:val="000000"/>
                <w:szCs w:val="21"/>
              </w:rPr>
              <w:t>LO55 持续发展，具有爱护环境的意识，与自然和谐相处的环保理念与行动；具备终生学习的意识和能力。</w:t>
            </w:r>
          </w:p>
        </w:tc>
        <w:tc>
          <w:tcPr>
            <w:tcW w:w="666"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restart"/>
            <w:vAlign w:val="center"/>
          </w:tcPr>
          <w:p>
            <w:pPr>
              <w:tabs>
                <w:tab w:val="left" w:pos="4200"/>
              </w:tabs>
              <w:adjustRightInd w:val="0"/>
              <w:snapToGrid w:val="0"/>
              <w:spacing w:line="264" w:lineRule="auto"/>
              <w:outlineLvl w:val="1"/>
              <w:rPr>
                <w:rFonts w:ascii="仿宋" w:hAnsi="仿宋" w:eastAsia="仿宋" w:cs="宋体"/>
                <w:color w:val="000000"/>
                <w:kern w:val="0"/>
                <w:szCs w:val="21"/>
              </w:rPr>
            </w:pPr>
            <w:r>
              <w:rPr>
                <w:rFonts w:hint="eastAsia" w:ascii="仿宋" w:hAnsi="仿宋" w:eastAsia="仿宋" w:cs="宋体"/>
                <w:color w:val="000000"/>
                <w:kern w:val="0"/>
                <w:szCs w:val="21"/>
              </w:rPr>
              <w:t>LO6</w:t>
            </w:r>
          </w:p>
          <w:p>
            <w:pPr>
              <w:tabs>
                <w:tab w:val="left" w:pos="4200"/>
              </w:tabs>
              <w:adjustRightInd w:val="0"/>
              <w:snapToGrid w:val="0"/>
              <w:spacing w:line="264" w:lineRule="auto"/>
              <w:outlineLvl w:val="1"/>
              <w:rPr>
                <w:rFonts w:ascii="宋体" w:hAnsi="宋体" w:cs="宋体"/>
                <w:color w:val="000000"/>
                <w:szCs w:val="21"/>
              </w:rPr>
            </w:pPr>
            <w:r>
              <w:rPr>
                <w:rFonts w:hint="eastAsia" w:ascii="宋体" w:hAnsi="宋体" w:cs="宋体"/>
                <w:color w:val="000000"/>
                <w:szCs w:val="21"/>
              </w:rPr>
              <w:t>协同创新</w:t>
            </w:r>
          </w:p>
        </w:tc>
        <w:tc>
          <w:tcPr>
            <w:tcW w:w="6650" w:type="dxa"/>
            <w:vAlign w:val="center"/>
          </w:tcPr>
          <w:p>
            <w:pPr>
              <w:tabs>
                <w:tab w:val="left" w:pos="4200"/>
              </w:tabs>
              <w:adjustRightInd w:val="0"/>
              <w:snapToGrid w:val="0"/>
              <w:spacing w:line="264" w:lineRule="auto"/>
              <w:outlineLvl w:val="1"/>
              <w:rPr>
                <w:rFonts w:ascii="宋体" w:hAnsi="宋体" w:cs="宋体"/>
                <w:color w:val="000000"/>
                <w:szCs w:val="21"/>
              </w:rPr>
            </w:pPr>
            <w:r>
              <w:rPr>
                <w:rFonts w:hint="eastAsia" w:ascii="仿宋" w:hAnsi="仿宋" w:eastAsia="仿宋" w:cs="仿宋"/>
                <w:color w:val="000000"/>
                <w:szCs w:val="21"/>
              </w:rPr>
              <w:t>LO61在集体活动中能主动担任自己的角色，与其他成员密切合作，善于自我管理和团队管理，共同完成任务。</w:t>
            </w:r>
          </w:p>
        </w:tc>
        <w:tc>
          <w:tcPr>
            <w:tcW w:w="666" w:type="dxa"/>
            <w:vAlign w:val="center"/>
          </w:tcPr>
          <w:p>
            <w:pPr>
              <w:tabs>
                <w:tab w:val="left" w:pos="4200"/>
              </w:tabs>
              <w:adjustRightInd w:val="0"/>
              <w:snapToGrid w:val="0"/>
              <w:spacing w:line="264" w:lineRule="auto"/>
              <w:outlineLvl w:val="1"/>
              <w:rPr>
                <w:rFonts w:ascii="宋体" w:hAnsi="宋体" w:cs="宋体"/>
                <w:color w:val="000000"/>
                <w:sz w:val="20"/>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continue"/>
            <w:vAlign w:val="center"/>
          </w:tcPr>
          <w:p>
            <w:pPr>
              <w:tabs>
                <w:tab w:val="left" w:pos="4200"/>
              </w:tabs>
              <w:adjustRightInd w:val="0"/>
              <w:snapToGrid w:val="0"/>
              <w:spacing w:line="264" w:lineRule="auto"/>
              <w:outlineLvl w:val="1"/>
              <w:rPr>
                <w:rFonts w:ascii="宋体" w:hAnsi="宋体" w:cs="宋体"/>
                <w:color w:val="000000"/>
                <w:szCs w:val="21"/>
              </w:rPr>
            </w:pPr>
          </w:p>
        </w:tc>
        <w:tc>
          <w:tcPr>
            <w:tcW w:w="6650" w:type="dxa"/>
            <w:vAlign w:val="center"/>
          </w:tcPr>
          <w:p>
            <w:pPr>
              <w:tabs>
                <w:tab w:val="left" w:pos="4200"/>
              </w:tabs>
              <w:adjustRightInd w:val="0"/>
              <w:snapToGrid w:val="0"/>
              <w:spacing w:line="264" w:lineRule="auto"/>
              <w:outlineLvl w:val="1"/>
              <w:rPr>
                <w:rFonts w:ascii="宋体" w:hAnsi="宋体" w:cs="宋体"/>
                <w:color w:val="000000"/>
                <w:szCs w:val="21"/>
              </w:rPr>
            </w:pPr>
            <w:r>
              <w:rPr>
                <w:rFonts w:hint="eastAsia" w:ascii="仿宋" w:hAnsi="仿宋" w:eastAsia="仿宋" w:cs="仿宋"/>
                <w:color w:val="000000"/>
                <w:szCs w:val="21"/>
              </w:rPr>
              <w:t>LO62有质疑精神，能有逻辑的分析与批判。</w:t>
            </w:r>
          </w:p>
        </w:tc>
        <w:tc>
          <w:tcPr>
            <w:tcW w:w="666"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continue"/>
            <w:vAlign w:val="center"/>
          </w:tcPr>
          <w:p>
            <w:pPr>
              <w:tabs>
                <w:tab w:val="left" w:pos="4200"/>
              </w:tabs>
              <w:adjustRightInd w:val="0"/>
              <w:snapToGrid w:val="0"/>
              <w:spacing w:line="264" w:lineRule="auto"/>
              <w:outlineLvl w:val="1"/>
              <w:rPr>
                <w:rFonts w:ascii="宋体" w:hAnsi="宋体" w:cs="宋体"/>
                <w:color w:val="000000"/>
                <w:szCs w:val="21"/>
              </w:rPr>
            </w:pPr>
          </w:p>
        </w:tc>
        <w:tc>
          <w:tcPr>
            <w:tcW w:w="6650" w:type="dxa"/>
            <w:vAlign w:val="center"/>
          </w:tcPr>
          <w:p>
            <w:pPr>
              <w:tabs>
                <w:tab w:val="left" w:pos="4200"/>
              </w:tabs>
              <w:adjustRightInd w:val="0"/>
              <w:snapToGrid w:val="0"/>
              <w:spacing w:line="264" w:lineRule="auto"/>
              <w:outlineLvl w:val="1"/>
              <w:rPr>
                <w:rFonts w:ascii="宋体" w:hAnsi="宋体" w:cs="宋体"/>
                <w:color w:val="000000"/>
                <w:szCs w:val="21"/>
              </w:rPr>
            </w:pPr>
            <w:r>
              <w:rPr>
                <w:rFonts w:hint="eastAsia" w:ascii="仿宋" w:hAnsi="仿宋" w:eastAsia="仿宋" w:cs="仿宋"/>
                <w:color w:val="000000"/>
                <w:szCs w:val="21"/>
              </w:rPr>
              <w:t>LO63 能用创新的方法或者多种方法解决复杂问题或真实问题。</w:t>
            </w:r>
          </w:p>
        </w:tc>
        <w:tc>
          <w:tcPr>
            <w:tcW w:w="666"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continue"/>
            <w:vAlign w:val="center"/>
          </w:tcPr>
          <w:p>
            <w:pPr>
              <w:tabs>
                <w:tab w:val="left" w:pos="4200"/>
              </w:tabs>
              <w:adjustRightInd w:val="0"/>
              <w:snapToGrid w:val="0"/>
              <w:spacing w:line="264" w:lineRule="auto"/>
              <w:outlineLvl w:val="1"/>
              <w:rPr>
                <w:rFonts w:ascii="宋体" w:hAnsi="宋体" w:cs="宋体"/>
                <w:color w:val="000000"/>
                <w:szCs w:val="21"/>
              </w:rPr>
            </w:pPr>
          </w:p>
        </w:tc>
        <w:tc>
          <w:tcPr>
            <w:tcW w:w="6650" w:type="dxa"/>
            <w:vAlign w:val="center"/>
          </w:tcPr>
          <w:p>
            <w:pPr>
              <w:tabs>
                <w:tab w:val="left" w:pos="4200"/>
              </w:tabs>
              <w:adjustRightInd w:val="0"/>
              <w:snapToGrid w:val="0"/>
              <w:spacing w:line="264" w:lineRule="auto"/>
              <w:outlineLvl w:val="1"/>
              <w:rPr>
                <w:rFonts w:ascii="宋体" w:hAnsi="宋体" w:cs="宋体"/>
                <w:color w:val="000000"/>
                <w:szCs w:val="21"/>
              </w:rPr>
            </w:pPr>
            <w:r>
              <w:rPr>
                <w:rFonts w:hint="eastAsia" w:ascii="仿宋" w:hAnsi="仿宋" w:eastAsia="仿宋" w:cs="仿宋"/>
                <w:color w:val="000000"/>
                <w:szCs w:val="21"/>
              </w:rPr>
              <w:t>LO64 了解行业前沿知识技术。</w:t>
            </w:r>
          </w:p>
        </w:tc>
        <w:tc>
          <w:tcPr>
            <w:tcW w:w="666"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13" w:type="dxa"/>
            <w:vMerge w:val="restart"/>
            <w:vAlign w:val="center"/>
          </w:tcPr>
          <w:p>
            <w:pPr>
              <w:tabs>
                <w:tab w:val="left" w:pos="4200"/>
              </w:tabs>
              <w:adjustRightInd w:val="0"/>
              <w:snapToGrid w:val="0"/>
              <w:spacing w:line="264" w:lineRule="auto"/>
              <w:outlineLvl w:val="1"/>
              <w:rPr>
                <w:rFonts w:ascii="仿宋" w:hAnsi="仿宋" w:eastAsia="仿宋" w:cs="宋体"/>
                <w:color w:val="000000"/>
                <w:kern w:val="0"/>
                <w:szCs w:val="21"/>
              </w:rPr>
            </w:pPr>
            <w:r>
              <w:rPr>
                <w:rFonts w:hint="eastAsia" w:ascii="仿宋" w:hAnsi="仿宋" w:eastAsia="仿宋" w:cs="宋体"/>
                <w:color w:val="000000"/>
                <w:kern w:val="0"/>
                <w:szCs w:val="21"/>
              </w:rPr>
              <w:t>LO7</w:t>
            </w:r>
          </w:p>
          <w:p>
            <w:pPr>
              <w:tabs>
                <w:tab w:val="left" w:pos="4200"/>
              </w:tabs>
              <w:adjustRightInd w:val="0"/>
              <w:snapToGrid w:val="0"/>
              <w:spacing w:line="264" w:lineRule="auto"/>
              <w:outlineLvl w:val="1"/>
              <w:rPr>
                <w:rFonts w:ascii="宋体" w:hAnsi="宋体" w:cs="宋体"/>
                <w:color w:val="000000"/>
                <w:szCs w:val="21"/>
              </w:rPr>
            </w:pPr>
            <w:r>
              <w:rPr>
                <w:rFonts w:hint="eastAsia" w:ascii="宋体" w:hAnsi="宋体" w:cs="宋体"/>
                <w:color w:val="000000"/>
                <w:szCs w:val="21"/>
              </w:rPr>
              <w:t>信息应用</w:t>
            </w:r>
          </w:p>
        </w:tc>
        <w:tc>
          <w:tcPr>
            <w:tcW w:w="6650" w:type="dxa"/>
            <w:vAlign w:val="center"/>
          </w:tcPr>
          <w:p>
            <w:pPr>
              <w:tabs>
                <w:tab w:val="left" w:pos="4200"/>
              </w:tabs>
              <w:adjustRightInd w:val="0"/>
              <w:snapToGrid w:val="0"/>
              <w:spacing w:line="264" w:lineRule="auto"/>
              <w:outlineLvl w:val="1"/>
              <w:rPr>
                <w:rFonts w:ascii="宋体" w:hAnsi="宋体" w:cs="宋体"/>
                <w:color w:val="000000"/>
                <w:szCs w:val="21"/>
              </w:rPr>
            </w:pPr>
            <w:r>
              <w:rPr>
                <w:rFonts w:hint="eastAsia" w:ascii="仿宋" w:hAnsi="仿宋" w:eastAsia="仿宋" w:cs="仿宋"/>
                <w:color w:val="000000"/>
                <w:szCs w:val="21"/>
              </w:rPr>
              <w:t>LO71 能够根据需要进行专业文献检索。</w:t>
            </w:r>
          </w:p>
        </w:tc>
        <w:tc>
          <w:tcPr>
            <w:tcW w:w="666"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113" w:type="dxa"/>
            <w:vMerge w:val="continue"/>
            <w:vAlign w:val="center"/>
          </w:tcPr>
          <w:p>
            <w:pPr>
              <w:tabs>
                <w:tab w:val="left" w:pos="4200"/>
              </w:tabs>
              <w:adjustRightInd w:val="0"/>
              <w:snapToGrid w:val="0"/>
              <w:spacing w:line="264" w:lineRule="auto"/>
              <w:outlineLvl w:val="1"/>
              <w:rPr>
                <w:rFonts w:ascii="宋体" w:hAnsi="宋体" w:cs="宋体"/>
                <w:color w:val="000000"/>
                <w:szCs w:val="21"/>
              </w:rPr>
            </w:pPr>
          </w:p>
        </w:tc>
        <w:tc>
          <w:tcPr>
            <w:tcW w:w="6650" w:type="dxa"/>
            <w:vAlign w:val="center"/>
          </w:tcPr>
          <w:p>
            <w:pPr>
              <w:tabs>
                <w:tab w:val="left" w:pos="4200"/>
              </w:tabs>
              <w:adjustRightInd w:val="0"/>
              <w:snapToGrid w:val="0"/>
              <w:spacing w:line="264" w:lineRule="auto"/>
              <w:outlineLvl w:val="1"/>
              <w:rPr>
                <w:rFonts w:ascii="仿宋" w:hAnsi="仿宋" w:eastAsia="仿宋" w:cs="仿宋"/>
                <w:color w:val="000000"/>
                <w:szCs w:val="21"/>
              </w:rPr>
            </w:pPr>
            <w:r>
              <w:rPr>
                <w:rFonts w:hint="eastAsia" w:ascii="仿宋" w:hAnsi="仿宋" w:eastAsia="仿宋" w:cs="仿宋"/>
                <w:color w:val="000000"/>
                <w:szCs w:val="21"/>
              </w:rPr>
              <w:t>LO72 能够使用适合的工具来搜集信息，并对信息加以分析、鉴别、判断与整合。</w:t>
            </w:r>
          </w:p>
        </w:tc>
        <w:tc>
          <w:tcPr>
            <w:tcW w:w="666"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113" w:type="dxa"/>
            <w:vMerge w:val="continue"/>
            <w:vAlign w:val="center"/>
          </w:tcPr>
          <w:p>
            <w:pPr>
              <w:tabs>
                <w:tab w:val="left" w:pos="4200"/>
              </w:tabs>
              <w:adjustRightInd w:val="0"/>
              <w:snapToGrid w:val="0"/>
              <w:spacing w:line="264" w:lineRule="auto"/>
              <w:outlineLvl w:val="1"/>
              <w:rPr>
                <w:rFonts w:ascii="宋体" w:hAnsi="宋体" w:cs="宋体"/>
                <w:color w:val="000000"/>
                <w:szCs w:val="21"/>
              </w:rPr>
            </w:pPr>
          </w:p>
        </w:tc>
        <w:tc>
          <w:tcPr>
            <w:tcW w:w="6650" w:type="dxa"/>
            <w:vAlign w:val="center"/>
          </w:tcPr>
          <w:p>
            <w:pPr>
              <w:tabs>
                <w:tab w:val="left" w:pos="4200"/>
              </w:tabs>
              <w:adjustRightInd w:val="0"/>
              <w:snapToGrid w:val="0"/>
              <w:spacing w:line="264" w:lineRule="auto"/>
              <w:outlineLvl w:val="1"/>
              <w:rPr>
                <w:rFonts w:ascii="宋体" w:hAnsi="宋体" w:cs="宋体"/>
                <w:color w:val="000000"/>
                <w:szCs w:val="21"/>
              </w:rPr>
            </w:pPr>
            <w:r>
              <w:rPr>
                <w:rFonts w:hint="eastAsia" w:ascii="仿宋" w:hAnsi="仿宋" w:eastAsia="仿宋" w:cs="仿宋"/>
                <w:color w:val="000000"/>
                <w:szCs w:val="21"/>
              </w:rPr>
              <w:t>LO73 熟练使用计算机，掌握常用办公软件。</w:t>
            </w:r>
          </w:p>
        </w:tc>
        <w:tc>
          <w:tcPr>
            <w:tcW w:w="666"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13" w:type="dxa"/>
            <w:vMerge w:val="restart"/>
            <w:vAlign w:val="center"/>
          </w:tcPr>
          <w:p>
            <w:pPr>
              <w:tabs>
                <w:tab w:val="left" w:pos="4200"/>
              </w:tabs>
              <w:adjustRightInd w:val="0"/>
              <w:snapToGrid w:val="0"/>
              <w:spacing w:line="264" w:lineRule="auto"/>
              <w:outlineLvl w:val="1"/>
              <w:rPr>
                <w:rFonts w:ascii="仿宋" w:hAnsi="仿宋" w:eastAsia="仿宋" w:cs="宋体"/>
                <w:color w:val="000000"/>
                <w:kern w:val="0"/>
                <w:szCs w:val="21"/>
              </w:rPr>
            </w:pPr>
            <w:r>
              <w:rPr>
                <w:rFonts w:hint="eastAsia" w:ascii="仿宋" w:hAnsi="仿宋" w:eastAsia="仿宋" w:cs="宋体"/>
                <w:color w:val="000000"/>
                <w:kern w:val="0"/>
                <w:szCs w:val="21"/>
              </w:rPr>
              <w:t>LO8</w:t>
            </w:r>
          </w:p>
          <w:p>
            <w:pPr>
              <w:tabs>
                <w:tab w:val="left" w:pos="4200"/>
              </w:tabs>
              <w:adjustRightInd w:val="0"/>
              <w:snapToGrid w:val="0"/>
              <w:spacing w:line="264" w:lineRule="auto"/>
              <w:outlineLvl w:val="1"/>
              <w:rPr>
                <w:rFonts w:ascii="宋体" w:hAnsi="宋体" w:cs="宋体"/>
                <w:color w:val="000000"/>
                <w:szCs w:val="21"/>
              </w:rPr>
            </w:pPr>
            <w:r>
              <w:rPr>
                <w:rFonts w:hint="eastAsia" w:ascii="仿宋" w:hAnsi="仿宋" w:eastAsia="仿宋" w:cs="宋体"/>
                <w:color w:val="000000"/>
                <w:kern w:val="0"/>
                <w:szCs w:val="21"/>
              </w:rPr>
              <w:t>国际视野</w:t>
            </w:r>
          </w:p>
        </w:tc>
        <w:tc>
          <w:tcPr>
            <w:tcW w:w="6650" w:type="dxa"/>
            <w:vAlign w:val="center"/>
          </w:tcPr>
          <w:p>
            <w:pPr>
              <w:tabs>
                <w:tab w:val="left" w:pos="4200"/>
              </w:tabs>
              <w:adjustRightInd w:val="0"/>
              <w:snapToGrid w:val="0"/>
              <w:spacing w:line="264" w:lineRule="auto"/>
              <w:outlineLvl w:val="1"/>
              <w:rPr>
                <w:rFonts w:ascii="仿宋" w:hAnsi="仿宋" w:eastAsia="仿宋" w:cs="仿宋"/>
                <w:color w:val="000000"/>
                <w:szCs w:val="21"/>
              </w:rPr>
            </w:pPr>
            <w:r>
              <w:rPr>
                <w:rFonts w:hint="eastAsia" w:ascii="仿宋" w:hAnsi="仿宋" w:eastAsia="仿宋" w:cs="仿宋"/>
                <w:color w:val="000000"/>
                <w:szCs w:val="21"/>
              </w:rPr>
              <w:t>LO81 具备外语表达沟通能力，达到本专业的要求。</w:t>
            </w:r>
          </w:p>
        </w:tc>
        <w:tc>
          <w:tcPr>
            <w:tcW w:w="666"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13" w:type="dxa"/>
            <w:vMerge w:val="continue"/>
            <w:vAlign w:val="center"/>
          </w:tcPr>
          <w:p>
            <w:pPr>
              <w:tabs>
                <w:tab w:val="left" w:pos="4200"/>
              </w:tabs>
              <w:adjustRightInd w:val="0"/>
              <w:snapToGrid w:val="0"/>
              <w:spacing w:line="264" w:lineRule="auto"/>
              <w:outlineLvl w:val="1"/>
              <w:rPr>
                <w:rFonts w:ascii="宋体" w:hAnsi="宋体" w:cs="宋体"/>
                <w:color w:val="000000"/>
                <w:szCs w:val="21"/>
              </w:rPr>
            </w:pPr>
          </w:p>
        </w:tc>
        <w:tc>
          <w:tcPr>
            <w:tcW w:w="6650" w:type="dxa"/>
            <w:vAlign w:val="center"/>
          </w:tcPr>
          <w:p>
            <w:pPr>
              <w:tabs>
                <w:tab w:val="left" w:pos="4200"/>
              </w:tabs>
              <w:adjustRightInd w:val="0"/>
              <w:snapToGrid w:val="0"/>
              <w:spacing w:line="264" w:lineRule="auto"/>
              <w:outlineLvl w:val="1"/>
              <w:rPr>
                <w:rFonts w:ascii="仿宋" w:hAnsi="仿宋" w:eastAsia="仿宋" w:cs="仿宋"/>
                <w:color w:val="000000"/>
                <w:szCs w:val="21"/>
              </w:rPr>
            </w:pPr>
            <w:r>
              <w:rPr>
                <w:rFonts w:hint="eastAsia" w:ascii="仿宋" w:hAnsi="仿宋" w:eastAsia="仿宋" w:cs="仿宋"/>
                <w:color w:val="000000"/>
                <w:szCs w:val="21"/>
              </w:rPr>
              <w:t>LO82 理解其他国家历史文化，有跨文化交流能力。</w:t>
            </w:r>
          </w:p>
        </w:tc>
        <w:tc>
          <w:tcPr>
            <w:tcW w:w="666"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13" w:type="dxa"/>
            <w:vMerge w:val="continue"/>
            <w:vAlign w:val="center"/>
          </w:tcPr>
          <w:p>
            <w:pPr>
              <w:tabs>
                <w:tab w:val="left" w:pos="4200"/>
              </w:tabs>
              <w:adjustRightInd w:val="0"/>
              <w:snapToGrid w:val="0"/>
              <w:spacing w:line="264" w:lineRule="auto"/>
              <w:outlineLvl w:val="1"/>
              <w:rPr>
                <w:rFonts w:ascii="宋体" w:hAnsi="宋体" w:cs="宋体"/>
                <w:color w:val="000000"/>
                <w:szCs w:val="21"/>
              </w:rPr>
            </w:pPr>
          </w:p>
        </w:tc>
        <w:tc>
          <w:tcPr>
            <w:tcW w:w="6650" w:type="dxa"/>
            <w:vAlign w:val="center"/>
          </w:tcPr>
          <w:p>
            <w:pPr>
              <w:tabs>
                <w:tab w:val="left" w:pos="4200"/>
              </w:tabs>
              <w:adjustRightInd w:val="0"/>
              <w:snapToGrid w:val="0"/>
              <w:spacing w:line="264" w:lineRule="auto"/>
              <w:outlineLvl w:val="1"/>
              <w:rPr>
                <w:rFonts w:ascii="仿宋" w:hAnsi="仿宋" w:eastAsia="仿宋" w:cs="仿宋"/>
                <w:color w:val="000000"/>
                <w:szCs w:val="21"/>
              </w:rPr>
            </w:pPr>
            <w:r>
              <w:rPr>
                <w:rFonts w:hint="eastAsia" w:ascii="仿宋" w:hAnsi="仿宋" w:eastAsia="仿宋" w:cs="仿宋"/>
                <w:color w:val="000000"/>
                <w:szCs w:val="21"/>
              </w:rPr>
              <w:t>LO83 有国际竞争与合作意识。</w:t>
            </w:r>
          </w:p>
        </w:tc>
        <w:tc>
          <w:tcPr>
            <w:tcW w:w="666"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bl>
    <w:p>
      <w:pPr>
        <w:ind w:firstLine="42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7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3645"/>
        <w:gridCol w:w="1321"/>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序号</w:t>
            </w:r>
          </w:p>
        </w:tc>
        <w:tc>
          <w:tcPr>
            <w:tcW w:w="1175" w:type="dxa"/>
            <w:shd w:val="clear" w:color="auto" w:fill="auto"/>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课程预期</w:t>
            </w:r>
          </w:p>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学习成果</w:t>
            </w:r>
          </w:p>
        </w:tc>
        <w:tc>
          <w:tcPr>
            <w:tcW w:w="3645" w:type="dxa"/>
            <w:shd w:val="clear" w:color="auto" w:fill="auto"/>
            <w:vAlign w:val="center"/>
          </w:tcPr>
          <w:p>
            <w:pPr>
              <w:snapToGrid w:val="0"/>
              <w:spacing w:line="288" w:lineRule="auto"/>
              <w:jc w:val="center"/>
              <w:rPr>
                <w:rFonts w:ascii="宋体" w:hAnsi="宋体" w:cs="宋体"/>
                <w:b/>
                <w:color w:val="000000"/>
                <w:sz w:val="20"/>
                <w:szCs w:val="20"/>
                <w:highlight w:val="yellow"/>
              </w:rPr>
            </w:pPr>
            <w:r>
              <w:rPr>
                <w:rFonts w:hint="eastAsia" w:ascii="宋体" w:hAnsi="宋体" w:cs="宋体"/>
                <w:b/>
                <w:color w:val="000000"/>
                <w:sz w:val="20"/>
                <w:szCs w:val="20"/>
              </w:rPr>
              <w:t>课程目标</w:t>
            </w:r>
          </w:p>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（细化的预期学习成果）</w:t>
            </w:r>
          </w:p>
        </w:tc>
        <w:tc>
          <w:tcPr>
            <w:tcW w:w="1321" w:type="dxa"/>
            <w:shd w:val="clear" w:color="auto" w:fill="auto"/>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教与学方式</w:t>
            </w:r>
          </w:p>
        </w:tc>
        <w:tc>
          <w:tcPr>
            <w:tcW w:w="1250" w:type="dxa"/>
            <w:shd w:val="clear" w:color="auto" w:fill="auto"/>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535" w:type="dxa"/>
            <w:shd w:val="clear" w:color="auto" w:fill="auto"/>
            <w:vAlign w:val="center"/>
          </w:tcPr>
          <w:p>
            <w:pPr>
              <w:jc w:val="center"/>
              <w:rPr>
                <w:rFonts w:ascii="Times New Roman" w:hAnsi="Times New Roman" w:eastAsia="PMingLiU"/>
                <w:color w:val="000000"/>
                <w:kern w:val="0"/>
                <w:sz w:val="20"/>
                <w:szCs w:val="20"/>
                <w:lang w:eastAsia="zh-TW"/>
              </w:rPr>
            </w:pPr>
            <w:r>
              <w:rPr>
                <w:rFonts w:hint="eastAsia" w:ascii="Times New Roman" w:hAnsi="Times New Roman" w:eastAsia="PMingLiU"/>
                <w:color w:val="000000"/>
                <w:kern w:val="0"/>
                <w:sz w:val="20"/>
                <w:szCs w:val="20"/>
                <w:lang w:eastAsia="zh-TW"/>
              </w:rPr>
              <w:t>1</w:t>
            </w:r>
          </w:p>
        </w:tc>
        <w:tc>
          <w:tcPr>
            <w:tcW w:w="1175" w:type="dxa"/>
            <w:shd w:val="clear" w:color="auto" w:fill="auto"/>
            <w:vAlign w:val="center"/>
          </w:tcPr>
          <w:p>
            <w:pPr>
              <w:jc w:val="center"/>
              <w:rPr>
                <w:rFonts w:ascii="Times New Roman" w:hAnsi="Times New Roman" w:eastAsia="PMingLiU"/>
                <w:color w:val="000000"/>
                <w:kern w:val="0"/>
                <w:sz w:val="20"/>
                <w:szCs w:val="20"/>
                <w:lang w:eastAsia="zh-TW"/>
              </w:rPr>
            </w:pPr>
            <w:r>
              <w:rPr>
                <w:rFonts w:hint="eastAsia" w:ascii="Times New Roman" w:hAnsi="Times New Roman" w:eastAsia="PMingLiU"/>
                <w:color w:val="000000"/>
                <w:kern w:val="0"/>
                <w:sz w:val="20"/>
                <w:szCs w:val="20"/>
                <w:lang w:eastAsia="zh-TW"/>
              </w:rPr>
              <w:t>LO13</w:t>
            </w:r>
          </w:p>
        </w:tc>
        <w:tc>
          <w:tcPr>
            <w:tcW w:w="3645" w:type="dxa"/>
            <w:shd w:val="clear" w:color="auto" w:fill="auto"/>
          </w:tcPr>
          <w:p>
            <w:pPr>
              <w:rPr>
                <w:rFonts w:ascii="PMingLiU" w:hAnsi="PMingLiU" w:eastAsia="PMingLiU" w:cs="宋体"/>
                <w:bCs/>
                <w:color w:val="262626"/>
                <w:sz w:val="20"/>
                <w:szCs w:val="20"/>
              </w:rPr>
            </w:pPr>
            <w:r>
              <w:rPr>
                <w:rFonts w:ascii="宋体" w:hAnsi="宋体" w:cs="宋体"/>
                <w:color w:val="000000"/>
                <w:kern w:val="0"/>
                <w:sz w:val="20"/>
                <w:szCs w:val="20"/>
              </w:rPr>
              <w:t>关爱生命，平等、博爱，</w:t>
            </w:r>
            <w:r>
              <w:rPr>
                <w:rFonts w:hint="eastAsia" w:ascii="PMingLiU" w:hAnsi="PMingLiU" w:cs="宋体"/>
                <w:color w:val="000000"/>
                <w:kern w:val="0"/>
                <w:sz w:val="20"/>
                <w:szCs w:val="20"/>
              </w:rPr>
              <w:t>提供</w:t>
            </w:r>
            <w:r>
              <w:rPr>
                <w:rFonts w:hint="cs" w:ascii="PMingLiU" w:hAnsi="PMingLiU" w:cs="宋体"/>
                <w:color w:val="000000"/>
                <w:kern w:val="0"/>
                <w:sz w:val="20"/>
                <w:szCs w:val="20"/>
              </w:rPr>
              <w:t>个别</w:t>
            </w:r>
            <w:r>
              <w:rPr>
                <w:rFonts w:hint="eastAsia" w:ascii="PMingLiU" w:hAnsi="PMingLiU" w:cs="宋体"/>
                <w:color w:val="000000"/>
                <w:kern w:val="0"/>
                <w:sz w:val="20"/>
                <w:szCs w:val="20"/>
              </w:rPr>
              <w:t>性</w:t>
            </w:r>
            <w:r>
              <w:rPr>
                <w:rFonts w:hint="eastAsia" w:ascii="宋体" w:hAnsi="宋体" w:cs="宋体"/>
                <w:color w:val="000000"/>
                <w:kern w:val="0"/>
                <w:sz w:val="20"/>
                <w:szCs w:val="20"/>
              </w:rPr>
              <w:t>和</w:t>
            </w:r>
            <w:r>
              <w:rPr>
                <w:rFonts w:ascii="宋体" w:hAnsi="宋体" w:cs="宋体"/>
                <w:color w:val="000000"/>
                <w:kern w:val="0"/>
                <w:sz w:val="20"/>
                <w:szCs w:val="20"/>
              </w:rPr>
              <w:t>全心全意为护理对象服务</w:t>
            </w:r>
            <w:r>
              <w:rPr>
                <w:rFonts w:hint="eastAsia" w:ascii="PMingLiU" w:hAnsi="PMingLiU" w:eastAsia="PMingLiU" w:cs="宋体"/>
                <w:color w:val="000000"/>
                <w:kern w:val="0"/>
                <w:sz w:val="20"/>
                <w:szCs w:val="20"/>
              </w:rPr>
              <w:t>的</w:t>
            </w:r>
            <w:r>
              <w:rPr>
                <w:rFonts w:ascii="宋体" w:hAnsi="宋体" w:cs="宋体"/>
                <w:color w:val="000000"/>
                <w:kern w:val="0"/>
                <w:sz w:val="20"/>
                <w:szCs w:val="20"/>
              </w:rPr>
              <w:t>专业精神。</w:t>
            </w:r>
          </w:p>
        </w:tc>
        <w:tc>
          <w:tcPr>
            <w:tcW w:w="1321" w:type="dxa"/>
            <w:shd w:val="clear" w:color="auto" w:fill="auto"/>
            <w:vAlign w:val="center"/>
          </w:tcPr>
          <w:p>
            <w:pPr>
              <w:snapToGrid w:val="0"/>
              <w:rPr>
                <w:rFonts w:ascii="宋体" w:hAnsi="宋体" w:cs="宋体"/>
                <w:bCs/>
                <w:color w:val="000000"/>
                <w:sz w:val="20"/>
                <w:szCs w:val="20"/>
              </w:rPr>
            </w:pPr>
            <w:r>
              <w:rPr>
                <w:rFonts w:hint="eastAsia" w:ascii="宋体" w:hAnsi="宋体" w:cs="宋体"/>
                <w:bCs/>
                <w:color w:val="000000"/>
                <w:sz w:val="20"/>
                <w:szCs w:val="20"/>
              </w:rPr>
              <w:t>理论讲授</w:t>
            </w:r>
          </w:p>
          <w:p>
            <w:pPr>
              <w:snapToGrid w:val="0"/>
              <w:rPr>
                <w:rFonts w:ascii="宋体" w:hAnsi="宋体" w:cs="宋体"/>
                <w:bCs/>
                <w:color w:val="000000"/>
                <w:sz w:val="20"/>
                <w:szCs w:val="20"/>
              </w:rPr>
            </w:pPr>
            <w:r>
              <w:rPr>
                <w:rFonts w:hint="eastAsia" w:ascii="宋体" w:hAnsi="宋体" w:cs="宋体"/>
                <w:bCs/>
                <w:color w:val="000000"/>
                <w:sz w:val="20"/>
                <w:szCs w:val="20"/>
              </w:rPr>
              <w:t>案例分析</w:t>
            </w:r>
          </w:p>
        </w:tc>
        <w:tc>
          <w:tcPr>
            <w:tcW w:w="1250" w:type="dxa"/>
            <w:shd w:val="clear" w:color="auto" w:fill="auto"/>
            <w:vAlign w:val="center"/>
          </w:tcPr>
          <w:p>
            <w:pPr>
              <w:snapToGrid w:val="0"/>
              <w:rPr>
                <w:rFonts w:ascii="宋体" w:hAnsi="宋体" w:cs="宋体"/>
                <w:bCs/>
                <w:color w:val="000000"/>
                <w:sz w:val="20"/>
                <w:szCs w:val="20"/>
              </w:rPr>
            </w:pPr>
            <w:r>
              <w:rPr>
                <w:rFonts w:hint="eastAsia" w:ascii="宋体" w:hAnsi="宋体" w:cs="宋体"/>
                <w:bCs/>
                <w:color w:val="000000"/>
                <w:sz w:val="20"/>
                <w:szCs w:val="20"/>
              </w:rPr>
              <w:t>课堂表现</w:t>
            </w:r>
          </w:p>
          <w:p>
            <w:pPr>
              <w:snapToGrid w:val="0"/>
              <w:rPr>
                <w:rFonts w:ascii="宋体" w:hAnsi="宋体" w:cs="宋体"/>
                <w:color w:val="000000"/>
                <w:kern w:val="0"/>
                <w:sz w:val="20"/>
                <w:szCs w:val="20"/>
              </w:rPr>
            </w:pPr>
            <w:r>
              <w:rPr>
                <w:rFonts w:hint="eastAsia" w:ascii="宋体" w:hAnsi="宋体" w:cs="宋体"/>
                <w:bCs/>
                <w:color w:val="000000"/>
                <w:sz w:val="20"/>
                <w:szCs w:val="20"/>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535" w:type="dxa"/>
            <w:shd w:val="clear" w:color="auto" w:fill="auto"/>
            <w:vAlign w:val="center"/>
          </w:tcPr>
          <w:p>
            <w:pPr>
              <w:jc w:val="center"/>
              <w:rPr>
                <w:rFonts w:ascii="Times New Roman" w:hAnsi="Times New Roman" w:eastAsia="PMingLiU"/>
                <w:color w:val="000000"/>
                <w:kern w:val="0"/>
                <w:sz w:val="20"/>
                <w:szCs w:val="20"/>
                <w:lang w:eastAsia="zh-TW"/>
              </w:rPr>
            </w:pPr>
            <w:r>
              <w:rPr>
                <w:rFonts w:hint="eastAsia" w:ascii="Times New Roman" w:hAnsi="Times New Roman" w:eastAsia="PMingLiU"/>
                <w:color w:val="000000"/>
                <w:kern w:val="0"/>
                <w:sz w:val="20"/>
                <w:szCs w:val="20"/>
                <w:lang w:eastAsia="zh-TW"/>
              </w:rPr>
              <w:t>2</w:t>
            </w:r>
          </w:p>
        </w:tc>
        <w:tc>
          <w:tcPr>
            <w:tcW w:w="1175" w:type="dxa"/>
            <w:shd w:val="clear" w:color="auto" w:fill="auto"/>
            <w:vAlign w:val="center"/>
          </w:tcPr>
          <w:p>
            <w:pPr>
              <w:jc w:val="center"/>
              <w:rPr>
                <w:rFonts w:ascii="Times New Roman" w:hAnsi="Times New Roman"/>
                <w:color w:val="000000"/>
                <w:kern w:val="0"/>
                <w:sz w:val="20"/>
                <w:szCs w:val="20"/>
              </w:rPr>
            </w:pPr>
            <w:r>
              <w:rPr>
                <w:rFonts w:ascii="Times New Roman" w:hAnsi="Times New Roman" w:eastAsia="PMingLiU"/>
                <w:color w:val="000000"/>
                <w:kern w:val="0"/>
                <w:sz w:val="20"/>
                <w:szCs w:val="20"/>
                <w:lang w:eastAsia="zh-TW"/>
              </w:rPr>
              <w:t>LO2</w:t>
            </w:r>
            <w:r>
              <w:rPr>
                <w:rFonts w:hint="eastAsia" w:ascii="Times New Roman" w:hAnsi="Times New Roman" w:eastAsia="PMingLiU"/>
                <w:color w:val="000000"/>
                <w:kern w:val="0"/>
                <w:sz w:val="20"/>
                <w:szCs w:val="20"/>
                <w:lang w:eastAsia="zh-TW"/>
              </w:rPr>
              <w:t>2</w:t>
            </w: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Theme="minorEastAsia" w:hAnsiTheme="minorEastAsia" w:eastAsiaTheme="minorEastAsia" w:cstheme="minorEastAsia"/>
                <w:color w:val="000000"/>
                <w:kern w:val="0"/>
                <w:sz w:val="20"/>
                <w:szCs w:val="20"/>
                <w:lang w:eastAsia="zh-TW"/>
              </w:rPr>
              <w:t>透过角色扮演法，</w:t>
            </w:r>
            <w:r>
              <w:rPr>
                <w:rFonts w:hint="eastAsia" w:asciiTheme="minorEastAsia" w:hAnsiTheme="minorEastAsia" w:eastAsiaTheme="minorEastAsia" w:cstheme="minorEastAsia"/>
                <w:color w:val="000000"/>
                <w:kern w:val="0"/>
                <w:sz w:val="20"/>
                <w:szCs w:val="20"/>
              </w:rPr>
              <w:t>学习老年人的健康评估相关量表</w:t>
            </w:r>
            <w:r>
              <w:rPr>
                <w:rFonts w:hint="eastAsia" w:asciiTheme="minorEastAsia" w:hAnsiTheme="minorEastAsia" w:eastAsiaTheme="minorEastAsia" w:cstheme="minorEastAsia"/>
                <w:color w:val="000000"/>
                <w:kern w:val="0"/>
                <w:sz w:val="20"/>
                <w:szCs w:val="20"/>
                <w:lang w:eastAsia="zh-TW"/>
              </w:rPr>
              <w:t>，掌握健康评估原则、评估方法，熟悉评估内容包含生理、心理、社会、环境等层面。</w:t>
            </w:r>
          </w:p>
        </w:tc>
        <w:tc>
          <w:tcPr>
            <w:tcW w:w="1321" w:type="dxa"/>
            <w:shd w:val="clear" w:color="auto" w:fill="auto"/>
          </w:tcPr>
          <w:p>
            <w:pPr>
              <w:snapToGrid w:val="0"/>
              <w:rPr>
                <w:rFonts w:ascii="宋体" w:hAnsi="宋体" w:cs="宋体"/>
                <w:bCs/>
                <w:color w:val="000000"/>
                <w:sz w:val="20"/>
                <w:szCs w:val="20"/>
              </w:rPr>
            </w:pPr>
            <w:r>
              <w:rPr>
                <w:rFonts w:hint="eastAsia" w:ascii="宋体" w:hAnsi="宋体" w:cs="宋体"/>
                <w:bCs/>
                <w:color w:val="000000"/>
                <w:sz w:val="20"/>
                <w:szCs w:val="20"/>
              </w:rPr>
              <w:t>理论讲授</w:t>
            </w:r>
          </w:p>
          <w:p>
            <w:pPr>
              <w:snapToGrid w:val="0"/>
              <w:rPr>
                <w:rFonts w:ascii="宋体" w:hAnsi="宋体" w:cs="宋体"/>
                <w:bCs/>
                <w:color w:val="000000"/>
                <w:sz w:val="20"/>
                <w:szCs w:val="20"/>
              </w:rPr>
            </w:pPr>
            <w:r>
              <w:rPr>
                <w:rFonts w:hint="eastAsia" w:ascii="宋体" w:hAnsi="宋体" w:cs="宋体"/>
                <w:bCs/>
                <w:color w:val="000000"/>
                <w:sz w:val="20"/>
                <w:szCs w:val="20"/>
              </w:rPr>
              <w:t>案例分析</w:t>
            </w:r>
          </w:p>
          <w:p>
            <w:pPr>
              <w:snapToGrid w:val="0"/>
              <w:spacing w:line="288" w:lineRule="auto"/>
              <w:rPr>
                <w:rFonts w:ascii="宋体" w:hAnsi="宋体" w:cs="宋体"/>
                <w:color w:val="000000"/>
                <w:kern w:val="0"/>
                <w:sz w:val="20"/>
                <w:szCs w:val="20"/>
              </w:rPr>
            </w:pPr>
            <w:r>
              <w:rPr>
                <w:rFonts w:hint="eastAsia" w:ascii="宋体" w:hAnsi="宋体" w:cs="宋体"/>
                <w:bCs/>
                <w:color w:val="000000"/>
                <w:sz w:val="20"/>
                <w:szCs w:val="20"/>
              </w:rPr>
              <w:t>小组讨论</w:t>
            </w:r>
          </w:p>
        </w:tc>
        <w:tc>
          <w:tcPr>
            <w:tcW w:w="1250" w:type="dxa"/>
            <w:shd w:val="clear" w:color="auto" w:fill="auto"/>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口头评价</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535" w:type="dxa"/>
            <w:shd w:val="clear" w:color="auto" w:fill="auto"/>
            <w:vAlign w:val="center"/>
          </w:tcPr>
          <w:p>
            <w:pPr>
              <w:jc w:val="center"/>
              <w:rPr>
                <w:rFonts w:ascii="Times New Roman" w:hAnsi="Times New Roman" w:eastAsia="PMingLiU"/>
                <w:color w:val="000000"/>
                <w:kern w:val="0"/>
                <w:sz w:val="20"/>
                <w:szCs w:val="20"/>
                <w:lang w:eastAsia="zh-TW"/>
              </w:rPr>
            </w:pPr>
            <w:r>
              <w:rPr>
                <w:rFonts w:hint="eastAsia" w:ascii="Times New Roman" w:hAnsi="Times New Roman" w:eastAsia="PMingLiU"/>
                <w:color w:val="000000"/>
                <w:kern w:val="0"/>
                <w:sz w:val="20"/>
                <w:szCs w:val="20"/>
                <w:lang w:eastAsia="zh-TW"/>
              </w:rPr>
              <w:t>3</w:t>
            </w:r>
          </w:p>
        </w:tc>
        <w:tc>
          <w:tcPr>
            <w:tcW w:w="1175" w:type="dxa"/>
            <w:shd w:val="clear" w:color="auto" w:fill="auto"/>
            <w:vAlign w:val="center"/>
          </w:tcPr>
          <w:p>
            <w:pPr>
              <w:jc w:val="center"/>
              <w:rPr>
                <w:rFonts w:ascii="宋体" w:hAnsi="宋体" w:eastAsia="PMingLiU" w:cs="宋体"/>
                <w:color w:val="000000"/>
                <w:kern w:val="0"/>
                <w:sz w:val="20"/>
                <w:szCs w:val="20"/>
                <w:lang w:eastAsia="zh-TW"/>
              </w:rPr>
            </w:pPr>
            <w:r>
              <w:rPr>
                <w:rFonts w:ascii="Times New Roman" w:hAnsi="Times New Roman" w:eastAsia="PMingLiU"/>
                <w:color w:val="000000"/>
                <w:kern w:val="0"/>
                <w:sz w:val="20"/>
                <w:szCs w:val="20"/>
                <w:lang w:eastAsia="zh-TW"/>
              </w:rPr>
              <w:t>LO25</w:t>
            </w:r>
          </w:p>
        </w:tc>
        <w:tc>
          <w:tcPr>
            <w:tcW w:w="3645" w:type="dxa"/>
            <w:shd w:val="clear" w:color="auto" w:fill="auto"/>
          </w:tcPr>
          <w:p>
            <w:pPr>
              <w:snapToGrid w:val="0"/>
              <w:spacing w:line="288" w:lineRule="auto"/>
              <w:jc w:val="left"/>
              <w:rPr>
                <w:rFonts w:ascii="PMingLiU" w:hAnsi="PMingLiU" w:eastAsia="PMingLiU" w:cs="宋体"/>
                <w:bCs/>
                <w:color w:val="262626"/>
                <w:sz w:val="20"/>
                <w:szCs w:val="20"/>
              </w:rPr>
            </w:pPr>
            <w:r>
              <w:rPr>
                <w:rFonts w:hint="eastAsia" w:ascii="PMingLiU" w:hAnsi="PMingLiU" w:cs="宋体"/>
                <w:color w:val="000000"/>
                <w:kern w:val="0"/>
                <w:sz w:val="20"/>
                <w:szCs w:val="20"/>
              </w:rPr>
              <w:t>通</w:t>
            </w:r>
            <w:r>
              <w:rPr>
                <w:rFonts w:hint="cs" w:ascii="PMingLiU" w:hAnsi="PMingLiU" w:cs="宋体"/>
                <w:color w:val="000000"/>
                <w:kern w:val="0"/>
                <w:sz w:val="20"/>
                <w:szCs w:val="20"/>
              </w:rPr>
              <w:t>过</w:t>
            </w:r>
            <w:r>
              <w:rPr>
                <w:rFonts w:hint="eastAsia" w:ascii="PMingLiU" w:hAnsi="PMingLiU" w:cs="宋体"/>
                <w:color w:val="000000"/>
                <w:kern w:val="0"/>
                <w:sz w:val="20"/>
                <w:szCs w:val="20"/>
              </w:rPr>
              <w:t>老年</w:t>
            </w:r>
            <w:r>
              <w:rPr>
                <w:rFonts w:hint="cs" w:ascii="PMingLiU" w:hAnsi="PMingLiU" w:cs="宋体"/>
                <w:color w:val="000000"/>
                <w:kern w:val="0"/>
                <w:sz w:val="20"/>
                <w:szCs w:val="20"/>
              </w:rPr>
              <w:t>护</w:t>
            </w:r>
            <w:r>
              <w:rPr>
                <w:rFonts w:hint="eastAsia" w:ascii="PMingLiU" w:hAnsi="PMingLiU" w:cs="宋体"/>
                <w:color w:val="000000"/>
                <w:kern w:val="0"/>
                <w:sz w:val="20"/>
                <w:szCs w:val="20"/>
              </w:rPr>
              <w:t>理</w:t>
            </w:r>
            <w:r>
              <w:rPr>
                <w:rFonts w:hint="cs" w:ascii="PMingLiU" w:hAnsi="PMingLiU" w:cs="宋体"/>
                <w:color w:val="000000"/>
                <w:kern w:val="0"/>
                <w:sz w:val="20"/>
                <w:szCs w:val="20"/>
              </w:rPr>
              <w:t>学</w:t>
            </w:r>
            <w:r>
              <w:rPr>
                <w:rFonts w:hint="eastAsia" w:ascii="PMingLiU" w:hAnsi="PMingLiU" w:cs="宋体"/>
                <w:color w:val="000000"/>
                <w:kern w:val="0"/>
                <w:sz w:val="20"/>
                <w:szCs w:val="20"/>
              </w:rPr>
              <w:t>相</w:t>
            </w:r>
            <w:r>
              <w:rPr>
                <w:rFonts w:hint="cs" w:ascii="PMingLiU" w:hAnsi="PMingLiU" w:cs="宋体"/>
                <w:color w:val="000000"/>
                <w:kern w:val="0"/>
                <w:sz w:val="20"/>
                <w:szCs w:val="20"/>
              </w:rPr>
              <w:t>关</w:t>
            </w:r>
            <w:r>
              <w:rPr>
                <w:rFonts w:hint="eastAsia" w:ascii="PMingLiU" w:hAnsi="PMingLiU" w:cs="宋体"/>
                <w:color w:val="000000"/>
                <w:kern w:val="0"/>
                <w:sz w:val="20"/>
                <w:szCs w:val="20"/>
              </w:rPr>
              <w:t>理</w:t>
            </w:r>
            <w:r>
              <w:rPr>
                <w:rFonts w:hint="cs" w:ascii="PMingLiU" w:hAnsi="PMingLiU" w:cs="宋体"/>
                <w:color w:val="000000"/>
                <w:kern w:val="0"/>
                <w:sz w:val="20"/>
                <w:szCs w:val="20"/>
              </w:rPr>
              <w:t>论</w:t>
            </w:r>
            <w:r>
              <w:rPr>
                <w:rFonts w:hint="eastAsia" w:ascii="PMingLiU" w:hAnsi="PMingLiU" w:cs="宋体"/>
                <w:color w:val="000000"/>
                <w:kern w:val="0"/>
                <w:sz w:val="20"/>
                <w:szCs w:val="20"/>
              </w:rPr>
              <w:t>、知</w:t>
            </w:r>
            <w:r>
              <w:rPr>
                <w:rFonts w:hint="cs" w:ascii="PMingLiU" w:hAnsi="PMingLiU" w:cs="宋体"/>
                <w:color w:val="000000"/>
                <w:kern w:val="0"/>
                <w:sz w:val="20"/>
                <w:szCs w:val="20"/>
              </w:rPr>
              <w:t>识学习</w:t>
            </w:r>
            <w:r>
              <w:rPr>
                <w:rFonts w:hint="eastAsia" w:ascii="PMingLiU" w:hAnsi="PMingLiU" w:cs="宋体"/>
                <w:color w:val="000000"/>
                <w:kern w:val="0"/>
                <w:sz w:val="20"/>
                <w:szCs w:val="20"/>
              </w:rPr>
              <w:t>，掌握老年人生、心理</w:t>
            </w:r>
            <w:r>
              <w:rPr>
                <w:rFonts w:hint="cs" w:ascii="PMingLiU" w:hAnsi="PMingLiU" w:cs="宋体"/>
                <w:color w:val="000000"/>
                <w:kern w:val="0"/>
                <w:sz w:val="20"/>
                <w:szCs w:val="20"/>
              </w:rPr>
              <w:t>变</w:t>
            </w:r>
            <w:r>
              <w:rPr>
                <w:rFonts w:hint="eastAsia" w:ascii="PMingLiU" w:hAnsi="PMingLiU" w:cs="宋体"/>
                <w:color w:val="000000"/>
                <w:kern w:val="0"/>
                <w:sz w:val="20"/>
                <w:szCs w:val="20"/>
              </w:rPr>
              <w:t>化</w:t>
            </w:r>
            <w:r>
              <w:rPr>
                <w:rFonts w:hint="cs" w:ascii="PMingLiU" w:hAnsi="PMingLiU" w:cs="宋体"/>
                <w:color w:val="000000"/>
                <w:kern w:val="0"/>
                <w:sz w:val="20"/>
                <w:szCs w:val="20"/>
              </w:rPr>
              <w:t>导</w:t>
            </w:r>
            <w:r>
              <w:rPr>
                <w:rFonts w:hint="eastAsia" w:ascii="PMingLiU" w:hAnsi="PMingLiU" w:cs="宋体"/>
                <w:color w:val="000000"/>
                <w:kern w:val="0"/>
                <w:sz w:val="20"/>
                <w:szCs w:val="20"/>
              </w:rPr>
              <w:t>致的健康</w:t>
            </w:r>
            <w:r>
              <w:rPr>
                <w:rFonts w:hint="cs" w:ascii="PMingLiU" w:hAnsi="PMingLiU" w:cs="宋体"/>
                <w:color w:val="000000"/>
                <w:kern w:val="0"/>
                <w:sz w:val="20"/>
                <w:szCs w:val="20"/>
              </w:rPr>
              <w:t>问题</w:t>
            </w:r>
            <w:r>
              <w:rPr>
                <w:rFonts w:hint="eastAsia" w:ascii="PMingLiU" w:hAnsi="PMingLiU" w:cs="宋体"/>
                <w:color w:val="000000"/>
                <w:kern w:val="0"/>
                <w:sz w:val="20"/>
                <w:szCs w:val="20"/>
              </w:rPr>
              <w:t>、疾病</w:t>
            </w:r>
            <w:r>
              <w:rPr>
                <w:rFonts w:hint="cs" w:ascii="PMingLiU" w:hAnsi="PMingLiU" w:cs="宋体"/>
                <w:color w:val="000000"/>
                <w:kern w:val="0"/>
                <w:sz w:val="20"/>
                <w:szCs w:val="20"/>
              </w:rPr>
              <w:t>问题</w:t>
            </w:r>
            <w:r>
              <w:rPr>
                <w:rFonts w:hint="eastAsia" w:ascii="PMingLiU" w:hAnsi="PMingLiU" w:cs="宋体"/>
                <w:color w:val="000000"/>
                <w:kern w:val="0"/>
                <w:sz w:val="20"/>
                <w:szCs w:val="20"/>
              </w:rPr>
              <w:t>，能透</w:t>
            </w:r>
            <w:r>
              <w:rPr>
                <w:rFonts w:hint="cs" w:ascii="PMingLiU" w:hAnsi="PMingLiU" w:cs="宋体"/>
                <w:color w:val="000000"/>
                <w:kern w:val="0"/>
                <w:sz w:val="20"/>
                <w:szCs w:val="20"/>
              </w:rPr>
              <w:t>过</w:t>
            </w:r>
            <w:r>
              <w:rPr>
                <w:rFonts w:hint="eastAsia" w:ascii="PMingLiU" w:hAnsi="PMingLiU" w:cs="宋体"/>
                <w:color w:val="000000"/>
                <w:kern w:val="0"/>
                <w:sz w:val="20"/>
                <w:szCs w:val="20"/>
              </w:rPr>
              <w:t>功能性</w:t>
            </w:r>
            <w:r>
              <w:rPr>
                <w:rFonts w:hint="cs" w:ascii="PMingLiU" w:hAnsi="PMingLiU" w:cs="宋体"/>
                <w:color w:val="000000"/>
                <w:kern w:val="0"/>
                <w:sz w:val="20"/>
                <w:szCs w:val="20"/>
              </w:rPr>
              <w:t>评</w:t>
            </w:r>
            <w:r>
              <w:rPr>
                <w:rFonts w:hint="eastAsia" w:ascii="PMingLiU" w:hAnsi="PMingLiU" w:cs="宋体"/>
                <w:color w:val="000000"/>
                <w:kern w:val="0"/>
                <w:sz w:val="20"/>
                <w:szCs w:val="20"/>
              </w:rPr>
              <w:t>估、</w:t>
            </w:r>
            <w:r>
              <w:rPr>
                <w:rFonts w:hint="cs" w:ascii="PMingLiU" w:hAnsi="PMingLiU" w:cs="宋体"/>
                <w:color w:val="000000"/>
                <w:kern w:val="0"/>
                <w:sz w:val="20"/>
                <w:szCs w:val="20"/>
              </w:rPr>
              <w:t>拟</w:t>
            </w:r>
            <w:r>
              <w:rPr>
                <w:rFonts w:hint="eastAsia" w:ascii="PMingLiU" w:hAnsi="PMingLiU" w:cs="宋体"/>
                <w:color w:val="000000"/>
                <w:kern w:val="0"/>
                <w:sz w:val="20"/>
                <w:szCs w:val="20"/>
              </w:rPr>
              <w:t>定具</w:t>
            </w:r>
            <w:r>
              <w:rPr>
                <w:rFonts w:hint="cs" w:ascii="PMingLiU" w:hAnsi="PMingLiU" w:cs="宋体"/>
                <w:color w:val="000000"/>
                <w:kern w:val="0"/>
                <w:sz w:val="20"/>
                <w:szCs w:val="20"/>
              </w:rPr>
              <w:t>个别</w:t>
            </w:r>
            <w:r>
              <w:rPr>
                <w:rFonts w:hint="eastAsia" w:ascii="PMingLiU" w:hAnsi="PMingLiU" w:cs="宋体"/>
                <w:color w:val="000000"/>
                <w:kern w:val="0"/>
                <w:sz w:val="20"/>
                <w:szCs w:val="20"/>
              </w:rPr>
              <w:t>性照</w:t>
            </w:r>
            <w:r>
              <w:rPr>
                <w:rFonts w:hint="cs" w:ascii="PMingLiU" w:hAnsi="PMingLiU" w:cs="宋体"/>
                <w:color w:val="000000"/>
                <w:kern w:val="0"/>
                <w:sz w:val="20"/>
                <w:szCs w:val="20"/>
              </w:rPr>
              <w:t>护计</w:t>
            </w:r>
            <w:r>
              <w:rPr>
                <w:rFonts w:hint="eastAsia" w:ascii="PMingLiU" w:hAnsi="PMingLiU" w:cs="宋体"/>
                <w:color w:val="000000"/>
                <w:kern w:val="0"/>
                <w:sz w:val="20"/>
                <w:szCs w:val="20"/>
              </w:rPr>
              <w:t>划、照</w:t>
            </w:r>
            <w:r>
              <w:rPr>
                <w:rFonts w:hint="cs" w:ascii="PMingLiU" w:hAnsi="PMingLiU" w:cs="宋体"/>
                <w:color w:val="000000"/>
                <w:kern w:val="0"/>
                <w:sz w:val="20"/>
                <w:szCs w:val="20"/>
              </w:rPr>
              <w:t>护</w:t>
            </w:r>
            <w:r>
              <w:rPr>
                <w:rFonts w:hint="eastAsia" w:ascii="PMingLiU" w:hAnsi="PMingLiU" w:cs="宋体"/>
                <w:color w:val="000000"/>
                <w:kern w:val="0"/>
                <w:sz w:val="20"/>
                <w:szCs w:val="20"/>
              </w:rPr>
              <w:t>措施、</w:t>
            </w:r>
            <w:r>
              <w:rPr>
                <w:rFonts w:hint="cs" w:ascii="PMingLiU" w:hAnsi="PMingLiU" w:cs="宋体"/>
                <w:color w:val="000000"/>
                <w:kern w:val="0"/>
                <w:sz w:val="20"/>
                <w:szCs w:val="20"/>
              </w:rPr>
              <w:t>评</w:t>
            </w:r>
            <w:r>
              <w:rPr>
                <w:rFonts w:hint="eastAsia" w:ascii="PMingLiU" w:hAnsi="PMingLiU" w:cs="宋体"/>
                <w:color w:val="000000"/>
                <w:kern w:val="0"/>
                <w:sz w:val="20"/>
                <w:szCs w:val="20"/>
              </w:rPr>
              <w:t>值。</w:t>
            </w:r>
          </w:p>
        </w:tc>
        <w:tc>
          <w:tcPr>
            <w:tcW w:w="1321" w:type="dxa"/>
            <w:shd w:val="clear" w:color="auto" w:fill="auto"/>
          </w:tcPr>
          <w:p>
            <w:pPr>
              <w:snapToGrid w:val="0"/>
              <w:rPr>
                <w:rFonts w:ascii="宋体" w:hAnsi="宋体" w:cs="宋体"/>
                <w:bCs/>
                <w:color w:val="000000"/>
                <w:sz w:val="20"/>
                <w:szCs w:val="20"/>
              </w:rPr>
            </w:pPr>
            <w:r>
              <w:rPr>
                <w:rFonts w:hint="eastAsia" w:ascii="宋体" w:hAnsi="宋体" w:cs="宋体"/>
                <w:bCs/>
                <w:color w:val="000000"/>
                <w:sz w:val="20"/>
                <w:szCs w:val="20"/>
              </w:rPr>
              <w:t>理论讲授</w:t>
            </w:r>
          </w:p>
          <w:p>
            <w:pPr>
              <w:snapToGrid w:val="0"/>
              <w:rPr>
                <w:rFonts w:ascii="宋体" w:hAnsi="宋体" w:cs="宋体"/>
                <w:bCs/>
                <w:color w:val="000000"/>
                <w:sz w:val="20"/>
                <w:szCs w:val="20"/>
              </w:rPr>
            </w:pPr>
            <w:r>
              <w:rPr>
                <w:rFonts w:hint="eastAsia" w:ascii="宋体" w:hAnsi="宋体" w:cs="宋体"/>
                <w:bCs/>
                <w:color w:val="000000"/>
                <w:sz w:val="20"/>
                <w:szCs w:val="20"/>
              </w:rPr>
              <w:t>案例分析</w:t>
            </w:r>
          </w:p>
          <w:p>
            <w:pPr>
              <w:snapToGrid w:val="0"/>
              <w:spacing w:line="288" w:lineRule="auto"/>
              <w:rPr>
                <w:rFonts w:ascii="PMingLiU" w:hAnsi="PMingLiU" w:cs="宋体"/>
                <w:color w:val="000000"/>
                <w:kern w:val="0"/>
                <w:sz w:val="20"/>
                <w:szCs w:val="20"/>
              </w:rPr>
            </w:pPr>
            <w:r>
              <w:rPr>
                <w:rFonts w:hint="eastAsia" w:ascii="宋体" w:hAnsi="宋体" w:cs="宋体"/>
                <w:bCs/>
                <w:color w:val="000000"/>
                <w:sz w:val="20"/>
                <w:szCs w:val="20"/>
              </w:rPr>
              <w:t>小组讨论</w:t>
            </w:r>
          </w:p>
        </w:tc>
        <w:tc>
          <w:tcPr>
            <w:tcW w:w="1250" w:type="dxa"/>
            <w:shd w:val="clear" w:color="auto" w:fill="auto"/>
          </w:tcPr>
          <w:p>
            <w:pPr>
              <w:snapToGrid w:val="0"/>
              <w:rPr>
                <w:rFonts w:ascii="宋体" w:hAnsi="宋体" w:cs="宋体"/>
                <w:bCs/>
                <w:color w:val="000000"/>
                <w:sz w:val="20"/>
                <w:szCs w:val="20"/>
              </w:rPr>
            </w:pPr>
            <w:r>
              <w:rPr>
                <w:rFonts w:hint="eastAsia" w:ascii="宋体" w:hAnsi="宋体" w:cs="宋体"/>
                <w:bCs/>
                <w:color w:val="000000"/>
                <w:sz w:val="20"/>
                <w:szCs w:val="20"/>
              </w:rPr>
              <w:t>理论考试</w:t>
            </w:r>
          </w:p>
          <w:p>
            <w:pPr>
              <w:snapToGrid w:val="0"/>
              <w:rPr>
                <w:rFonts w:ascii="宋体" w:hAnsi="宋体" w:cs="宋体"/>
                <w:bCs/>
                <w:color w:val="000000"/>
                <w:sz w:val="20"/>
                <w:szCs w:val="20"/>
              </w:rPr>
            </w:pPr>
            <w:r>
              <w:rPr>
                <w:rFonts w:hint="eastAsia" w:ascii="宋体" w:hAnsi="宋体" w:cs="宋体"/>
                <w:bCs/>
                <w:color w:val="000000"/>
                <w:sz w:val="20"/>
                <w:szCs w:val="20"/>
              </w:rPr>
              <w:t>课堂表现</w:t>
            </w:r>
          </w:p>
          <w:p>
            <w:pPr>
              <w:snapToGrid w:val="0"/>
              <w:spacing w:line="288" w:lineRule="auto"/>
              <w:rPr>
                <w:rFonts w:ascii="宋体" w:hAnsi="宋体" w:cs="宋体"/>
                <w:color w:val="000000"/>
                <w:kern w:val="0"/>
                <w:sz w:val="20"/>
                <w:szCs w:val="20"/>
              </w:rPr>
            </w:pPr>
            <w:r>
              <w:rPr>
                <w:rFonts w:hint="eastAsia" w:ascii="宋体" w:hAnsi="宋体" w:cs="宋体"/>
                <w:bCs/>
                <w:color w:val="000000"/>
                <w:sz w:val="20"/>
                <w:szCs w:val="20"/>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jc w:val="center"/>
              <w:rPr>
                <w:rFonts w:ascii="Times New Roman" w:hAnsi="Times New Roman" w:eastAsia="PMingLiU"/>
                <w:color w:val="000000"/>
                <w:kern w:val="0"/>
                <w:sz w:val="20"/>
                <w:szCs w:val="20"/>
                <w:lang w:eastAsia="zh-TW"/>
              </w:rPr>
            </w:pPr>
            <w:r>
              <w:rPr>
                <w:rFonts w:hint="eastAsia" w:ascii="Times New Roman" w:hAnsi="Times New Roman" w:eastAsia="PMingLiU"/>
                <w:color w:val="000000"/>
                <w:kern w:val="0"/>
                <w:sz w:val="20"/>
                <w:szCs w:val="20"/>
                <w:lang w:eastAsia="zh-TW"/>
              </w:rPr>
              <w:t>4</w:t>
            </w:r>
          </w:p>
        </w:tc>
        <w:tc>
          <w:tcPr>
            <w:tcW w:w="1175" w:type="dxa"/>
            <w:shd w:val="clear" w:color="auto" w:fill="auto"/>
            <w:vAlign w:val="center"/>
          </w:tcPr>
          <w:p>
            <w:pPr>
              <w:jc w:val="center"/>
              <w:rPr>
                <w:rFonts w:ascii="Times New Roman" w:hAnsi="Times New Roman" w:eastAsia="PMingLiU"/>
                <w:color w:val="000000"/>
                <w:kern w:val="0"/>
                <w:sz w:val="20"/>
                <w:szCs w:val="20"/>
                <w:lang w:eastAsia="zh-TW"/>
              </w:rPr>
            </w:pPr>
            <w:r>
              <w:rPr>
                <w:rFonts w:hint="eastAsia" w:ascii="Times New Roman" w:hAnsi="Times New Roman" w:eastAsia="PMingLiU"/>
                <w:color w:val="000000"/>
                <w:kern w:val="0"/>
                <w:sz w:val="20"/>
                <w:szCs w:val="20"/>
                <w:lang w:eastAsia="zh-TW"/>
              </w:rPr>
              <w:t>LO31</w:t>
            </w:r>
          </w:p>
        </w:tc>
        <w:tc>
          <w:tcPr>
            <w:tcW w:w="3645" w:type="dxa"/>
            <w:shd w:val="clear" w:color="auto" w:fill="auto"/>
          </w:tcPr>
          <w:p>
            <w:pPr>
              <w:rPr>
                <w:rFonts w:ascii="PMingLiU" w:hAnsi="PMingLiU" w:eastAsia="PMingLiU" w:cs="宋体"/>
                <w:color w:val="000000"/>
                <w:kern w:val="0"/>
                <w:sz w:val="20"/>
                <w:szCs w:val="20"/>
                <w:lang w:eastAsia="zh-TW"/>
              </w:rPr>
            </w:pPr>
            <w:r>
              <w:rPr>
                <w:rFonts w:hint="eastAsia" w:asciiTheme="minorEastAsia" w:hAnsiTheme="minorEastAsia" w:eastAsiaTheme="minorEastAsia" w:cstheme="minorEastAsia"/>
                <w:color w:val="000000"/>
                <w:kern w:val="0"/>
                <w:sz w:val="20"/>
                <w:szCs w:val="20"/>
              </w:rPr>
              <w:t>针对课堂传授的知识点，</w:t>
            </w:r>
            <w:r>
              <w:rPr>
                <w:rFonts w:hint="eastAsia" w:asciiTheme="minorEastAsia" w:hAnsiTheme="minorEastAsia" w:eastAsiaTheme="minorEastAsia" w:cstheme="minorEastAsia"/>
                <w:color w:val="000000"/>
                <w:kern w:val="0"/>
                <w:sz w:val="20"/>
                <w:szCs w:val="20"/>
                <w:lang w:eastAsia="zh-TW"/>
              </w:rPr>
              <w:t>进行</w:t>
            </w:r>
            <w:r>
              <w:rPr>
                <w:rFonts w:hint="eastAsia" w:asciiTheme="minorEastAsia" w:hAnsiTheme="minorEastAsia" w:eastAsiaTheme="minorEastAsia" w:cstheme="minorEastAsia"/>
                <w:color w:val="000000"/>
                <w:kern w:val="0"/>
                <w:sz w:val="20"/>
                <w:szCs w:val="20"/>
              </w:rPr>
              <w:t>小组报告</w:t>
            </w:r>
            <w:r>
              <w:rPr>
                <w:rFonts w:hint="eastAsia" w:asciiTheme="minorEastAsia" w:hAnsiTheme="minorEastAsia" w:eastAsiaTheme="minorEastAsia" w:cstheme="minorEastAsia"/>
                <w:color w:val="000000"/>
                <w:kern w:val="0"/>
                <w:sz w:val="20"/>
                <w:szCs w:val="20"/>
                <w:lang w:eastAsia="zh-TW"/>
              </w:rPr>
              <w:t>时</w:t>
            </w:r>
            <w:r>
              <w:rPr>
                <w:rFonts w:hint="eastAsia" w:asciiTheme="minorEastAsia" w:hAnsiTheme="minorEastAsia" w:eastAsiaTheme="minorEastAsia" w:cstheme="minorEastAsia"/>
                <w:color w:val="000000"/>
                <w:kern w:val="0"/>
                <w:sz w:val="20"/>
                <w:szCs w:val="20"/>
              </w:rPr>
              <w:t>，能</w:t>
            </w:r>
            <w:r>
              <w:rPr>
                <w:rFonts w:hint="eastAsia" w:asciiTheme="minorEastAsia" w:hAnsiTheme="minorEastAsia" w:eastAsiaTheme="minorEastAsia" w:cstheme="minorEastAsia"/>
                <w:color w:val="000000"/>
                <w:kern w:val="0"/>
                <w:sz w:val="20"/>
                <w:szCs w:val="20"/>
                <w:lang w:eastAsia="zh-TW"/>
              </w:rPr>
              <w:t>倾听他人想法、尊重他人。</w:t>
            </w:r>
          </w:p>
        </w:tc>
        <w:tc>
          <w:tcPr>
            <w:tcW w:w="1321" w:type="dxa"/>
            <w:shd w:val="clear" w:color="auto" w:fill="auto"/>
            <w:vAlign w:val="center"/>
          </w:tcPr>
          <w:p>
            <w:pPr>
              <w:snapToGrid w:val="0"/>
              <w:rPr>
                <w:rFonts w:ascii="宋体" w:hAnsi="宋体" w:cs="宋体"/>
                <w:bCs/>
                <w:color w:val="000000"/>
                <w:sz w:val="20"/>
                <w:szCs w:val="20"/>
              </w:rPr>
            </w:pPr>
            <w:r>
              <w:rPr>
                <w:rFonts w:hint="eastAsia" w:ascii="宋体" w:hAnsi="宋体" w:cs="宋体"/>
                <w:bCs/>
                <w:color w:val="000000"/>
                <w:sz w:val="20"/>
                <w:szCs w:val="20"/>
              </w:rPr>
              <w:t>理论讲授</w:t>
            </w:r>
          </w:p>
          <w:p>
            <w:pPr>
              <w:snapToGrid w:val="0"/>
              <w:rPr>
                <w:rFonts w:ascii="宋体" w:hAnsi="宋体" w:cs="宋体"/>
                <w:bCs/>
                <w:color w:val="000000"/>
                <w:sz w:val="20"/>
                <w:szCs w:val="20"/>
              </w:rPr>
            </w:pPr>
            <w:r>
              <w:rPr>
                <w:rFonts w:hint="eastAsia" w:ascii="宋体" w:hAnsi="宋体" w:cs="宋体"/>
                <w:bCs/>
                <w:color w:val="000000"/>
                <w:sz w:val="20"/>
                <w:szCs w:val="20"/>
              </w:rPr>
              <w:t>案例分析</w:t>
            </w:r>
          </w:p>
          <w:p>
            <w:pPr>
              <w:snapToGrid w:val="0"/>
              <w:rPr>
                <w:rFonts w:ascii="宋体" w:hAnsi="宋体" w:cs="宋体"/>
                <w:bCs/>
                <w:color w:val="000000"/>
                <w:sz w:val="20"/>
                <w:szCs w:val="20"/>
              </w:rPr>
            </w:pPr>
            <w:r>
              <w:rPr>
                <w:rFonts w:hint="eastAsia" w:ascii="宋体" w:hAnsi="宋体" w:cs="宋体"/>
                <w:bCs/>
                <w:color w:val="000000"/>
                <w:sz w:val="20"/>
                <w:szCs w:val="20"/>
              </w:rPr>
              <w:t>小组讨论</w:t>
            </w:r>
          </w:p>
        </w:tc>
        <w:tc>
          <w:tcPr>
            <w:tcW w:w="1250" w:type="dxa"/>
            <w:shd w:val="clear" w:color="auto" w:fill="auto"/>
            <w:vAlign w:val="center"/>
          </w:tcPr>
          <w:p>
            <w:pPr>
              <w:snapToGrid w:val="0"/>
              <w:rPr>
                <w:rFonts w:ascii="宋体" w:hAnsi="宋体" w:cs="宋体"/>
                <w:bCs/>
                <w:color w:val="000000"/>
                <w:sz w:val="20"/>
                <w:szCs w:val="20"/>
              </w:rPr>
            </w:pPr>
            <w:r>
              <w:rPr>
                <w:rFonts w:hint="eastAsia" w:ascii="宋体" w:hAnsi="宋体" w:cs="宋体"/>
                <w:bCs/>
                <w:color w:val="000000"/>
                <w:sz w:val="20"/>
                <w:szCs w:val="20"/>
              </w:rPr>
              <w:t>课堂表现</w:t>
            </w:r>
          </w:p>
          <w:p>
            <w:pPr>
              <w:snapToGrid w:val="0"/>
              <w:rPr>
                <w:rFonts w:ascii="宋体" w:hAnsi="宋体" w:cs="宋体"/>
                <w:bCs/>
                <w:color w:val="000000"/>
                <w:sz w:val="20"/>
                <w:szCs w:val="20"/>
                <w:lang w:eastAsia="zh-TW"/>
              </w:rPr>
            </w:pPr>
            <w:r>
              <w:rPr>
                <w:rFonts w:hint="eastAsia" w:ascii="宋体" w:hAnsi="宋体" w:cs="宋体"/>
                <w:bCs/>
                <w:color w:val="000000"/>
                <w:sz w:val="20"/>
                <w:szCs w:val="20"/>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jc w:val="center"/>
              <w:rPr>
                <w:rFonts w:ascii="Times New Roman" w:hAnsi="Times New Roman" w:eastAsia="PMingLiU"/>
                <w:color w:val="000000"/>
                <w:kern w:val="0"/>
                <w:sz w:val="20"/>
                <w:szCs w:val="20"/>
                <w:lang w:eastAsia="zh-TW"/>
              </w:rPr>
            </w:pPr>
            <w:r>
              <w:rPr>
                <w:rFonts w:hint="eastAsia" w:ascii="Times New Roman" w:hAnsi="Times New Roman" w:eastAsia="PMingLiU"/>
                <w:color w:val="000000"/>
                <w:kern w:val="0"/>
                <w:sz w:val="20"/>
                <w:szCs w:val="20"/>
                <w:lang w:eastAsia="zh-TW"/>
              </w:rPr>
              <w:t>5</w:t>
            </w:r>
          </w:p>
        </w:tc>
        <w:tc>
          <w:tcPr>
            <w:tcW w:w="1175" w:type="dxa"/>
            <w:shd w:val="clear" w:color="auto" w:fill="auto"/>
            <w:vAlign w:val="center"/>
          </w:tcPr>
          <w:p>
            <w:pPr>
              <w:jc w:val="center"/>
              <w:rPr>
                <w:rFonts w:ascii="Times New Roman" w:hAnsi="Times New Roman" w:eastAsia="PMingLiU"/>
                <w:color w:val="000000"/>
                <w:kern w:val="0"/>
                <w:sz w:val="20"/>
                <w:szCs w:val="20"/>
                <w:lang w:eastAsia="zh-TW"/>
              </w:rPr>
            </w:pPr>
            <w:r>
              <w:rPr>
                <w:rFonts w:hint="eastAsia" w:ascii="Times New Roman" w:hAnsi="Times New Roman" w:eastAsia="PMingLiU"/>
                <w:color w:val="000000"/>
                <w:kern w:val="0"/>
                <w:sz w:val="20"/>
                <w:szCs w:val="20"/>
                <w:lang w:eastAsia="zh-TW"/>
              </w:rPr>
              <w:t>LO61</w:t>
            </w:r>
          </w:p>
        </w:tc>
        <w:tc>
          <w:tcPr>
            <w:tcW w:w="3645" w:type="dxa"/>
            <w:shd w:val="clear" w:color="auto" w:fill="auto"/>
          </w:tcPr>
          <w:p>
            <w:pPr>
              <w:rPr>
                <w:rFonts w:ascii="PMingLiU" w:hAnsi="PMingLiU" w:eastAsia="PMingLiU" w:cs="宋体"/>
                <w:color w:val="000000"/>
                <w:kern w:val="0"/>
                <w:sz w:val="20"/>
                <w:szCs w:val="20"/>
                <w:lang w:eastAsia="zh-TW"/>
              </w:rPr>
            </w:pPr>
            <w:r>
              <w:rPr>
                <w:rFonts w:hint="eastAsia" w:ascii="宋体" w:hAnsi="宋体" w:cs="宋体"/>
                <w:color w:val="000000"/>
                <w:kern w:val="0"/>
                <w:sz w:val="20"/>
                <w:szCs w:val="20"/>
                <w:lang w:eastAsia="zh-TW"/>
              </w:rPr>
              <w:t>在进行技术演练时，小组间能互相帮忙完成课堂上的任务。</w:t>
            </w:r>
          </w:p>
        </w:tc>
        <w:tc>
          <w:tcPr>
            <w:tcW w:w="1321" w:type="dxa"/>
            <w:shd w:val="clear" w:color="auto" w:fill="auto"/>
            <w:vAlign w:val="center"/>
          </w:tcPr>
          <w:p>
            <w:pPr>
              <w:snapToGrid w:val="0"/>
              <w:rPr>
                <w:rFonts w:ascii="宋体" w:hAnsi="宋体" w:cs="宋体"/>
                <w:bCs/>
                <w:color w:val="000000"/>
                <w:sz w:val="20"/>
                <w:szCs w:val="20"/>
              </w:rPr>
            </w:pPr>
            <w:r>
              <w:rPr>
                <w:rFonts w:hint="eastAsia" w:ascii="宋体" w:hAnsi="宋体" w:cs="宋体"/>
                <w:bCs/>
                <w:color w:val="000000"/>
                <w:sz w:val="20"/>
                <w:szCs w:val="20"/>
              </w:rPr>
              <w:t>理论讲授</w:t>
            </w:r>
          </w:p>
          <w:p>
            <w:pPr>
              <w:snapToGrid w:val="0"/>
              <w:rPr>
                <w:rFonts w:ascii="宋体" w:hAnsi="宋体" w:cs="宋体"/>
                <w:bCs/>
                <w:color w:val="000000"/>
                <w:sz w:val="20"/>
                <w:szCs w:val="20"/>
              </w:rPr>
            </w:pPr>
            <w:r>
              <w:rPr>
                <w:rFonts w:hint="eastAsia" w:ascii="宋体" w:hAnsi="宋体" w:cs="宋体"/>
                <w:bCs/>
                <w:color w:val="000000"/>
                <w:sz w:val="20"/>
                <w:szCs w:val="20"/>
              </w:rPr>
              <w:t>小组讨论</w:t>
            </w:r>
          </w:p>
        </w:tc>
        <w:tc>
          <w:tcPr>
            <w:tcW w:w="1250" w:type="dxa"/>
            <w:shd w:val="clear" w:color="auto" w:fill="auto"/>
            <w:vAlign w:val="center"/>
          </w:tcPr>
          <w:p>
            <w:pPr>
              <w:snapToGrid w:val="0"/>
              <w:rPr>
                <w:rFonts w:ascii="宋体" w:hAnsi="宋体" w:cs="宋体"/>
                <w:bCs/>
                <w:color w:val="000000"/>
                <w:sz w:val="20"/>
                <w:szCs w:val="20"/>
              </w:rPr>
            </w:pPr>
            <w:r>
              <w:rPr>
                <w:rFonts w:hint="eastAsia" w:ascii="宋体" w:hAnsi="宋体" w:cs="宋体"/>
                <w:bCs/>
                <w:color w:val="000000"/>
                <w:sz w:val="20"/>
                <w:szCs w:val="20"/>
              </w:rPr>
              <w:t>课堂表现</w:t>
            </w:r>
          </w:p>
          <w:p>
            <w:pPr>
              <w:snapToGrid w:val="0"/>
              <w:rPr>
                <w:rFonts w:ascii="宋体" w:hAnsi="宋体" w:cs="宋体"/>
                <w:bCs/>
                <w:color w:val="000000"/>
                <w:sz w:val="20"/>
                <w:szCs w:val="20"/>
              </w:rPr>
            </w:pPr>
            <w:r>
              <w:rPr>
                <w:rFonts w:hint="eastAsia" w:ascii="宋体" w:hAnsi="宋体" w:cs="宋体"/>
                <w:bCs/>
                <w:color w:val="000000"/>
                <w:sz w:val="20"/>
                <w:szCs w:val="20"/>
              </w:rPr>
              <w:t>观察评价</w:t>
            </w:r>
          </w:p>
        </w:tc>
      </w:tr>
    </w:tbl>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4"/>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759"/>
        <w:gridCol w:w="1812"/>
        <w:gridCol w:w="1674"/>
        <w:gridCol w:w="1312"/>
        <w:gridCol w:w="1150"/>
        <w:gridCol w:w="430"/>
        <w:gridCol w:w="430"/>
        <w:gridCol w:w="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448"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759"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1812"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知识点</w:t>
            </w:r>
          </w:p>
        </w:tc>
        <w:tc>
          <w:tcPr>
            <w:tcW w:w="1674"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能力要求</w:t>
            </w:r>
          </w:p>
        </w:tc>
        <w:tc>
          <w:tcPr>
            <w:tcW w:w="1312"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情感目标</w:t>
            </w:r>
          </w:p>
        </w:tc>
        <w:tc>
          <w:tcPr>
            <w:tcW w:w="1150"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c>
          <w:tcPr>
            <w:tcW w:w="430"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理论时数</w:t>
            </w:r>
          </w:p>
        </w:tc>
        <w:tc>
          <w:tcPr>
            <w:tcW w:w="430"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实践时数</w:t>
            </w:r>
          </w:p>
        </w:tc>
        <w:tc>
          <w:tcPr>
            <w:tcW w:w="504"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color w:val="000000"/>
                <w:sz w:val="20"/>
                <w:szCs w:val="20"/>
              </w:rPr>
            </w:pPr>
            <w:r>
              <w:rPr>
                <w:rFonts w:ascii="宋体" w:hAnsi="宋体"/>
                <w:color w:val="000000"/>
                <w:sz w:val="20"/>
                <w:szCs w:val="20"/>
              </w:rPr>
              <w:t>1</w:t>
            </w:r>
          </w:p>
        </w:tc>
        <w:tc>
          <w:tcPr>
            <w:tcW w:w="759" w:type="dxa"/>
            <w:vAlign w:val="center"/>
          </w:tcPr>
          <w:p>
            <w:pPr>
              <w:snapToGrid w:val="0"/>
              <w:spacing w:line="288" w:lineRule="auto"/>
              <w:jc w:val="center"/>
              <w:rPr>
                <w:rFonts w:ascii="宋体" w:eastAsia="PMingLiU"/>
                <w:color w:val="000000"/>
                <w:sz w:val="20"/>
                <w:szCs w:val="20"/>
                <w:lang w:eastAsia="zh-TW"/>
              </w:rPr>
            </w:pPr>
            <w:r>
              <w:rPr>
                <w:rFonts w:hint="eastAsia" w:asciiTheme="minorEastAsia" w:hAnsiTheme="minorEastAsia" w:eastAsiaTheme="minorEastAsia" w:cstheme="minorEastAsia"/>
                <w:color w:val="000000"/>
                <w:sz w:val="20"/>
                <w:szCs w:val="20"/>
                <w:lang w:eastAsia="zh-TW"/>
              </w:rPr>
              <w:t>老龄化与老年护理学概论</w:t>
            </w:r>
          </w:p>
        </w:tc>
        <w:tc>
          <w:tcPr>
            <w:tcW w:w="1812" w:type="dxa"/>
          </w:tcPr>
          <w:p>
            <w:pPr>
              <w:numPr>
                <w:ilvl w:val="0"/>
                <w:numId w:val="2"/>
              </w:numPr>
              <w:snapToGrid w:val="0"/>
              <w:spacing w:line="288" w:lineRule="auto"/>
              <w:jc w:val="left"/>
              <w:rPr>
                <w:rFonts w:asciiTheme="minorEastAsia" w:hAnsiTheme="minorEastAsia" w:eastAsiaTheme="minorEastAsia" w:cstheme="minorEastAsia"/>
                <w:color w:val="000000"/>
                <w:sz w:val="20"/>
                <w:szCs w:val="20"/>
                <w:lang w:eastAsia="zh-TW"/>
              </w:rPr>
            </w:pPr>
            <w:r>
              <w:rPr>
                <w:rFonts w:hint="eastAsia" w:asciiTheme="minorEastAsia" w:hAnsiTheme="minorEastAsia" w:eastAsiaTheme="minorEastAsia" w:cstheme="minorEastAsia"/>
                <w:color w:val="000000"/>
                <w:sz w:val="20"/>
                <w:szCs w:val="20"/>
                <w:lang w:eastAsia="zh-TW"/>
              </w:rPr>
              <w:t>概述老年人年龄划分、老龄化社会标准、老龄化特点及老龄化所带来的影响。</w:t>
            </w:r>
          </w:p>
          <w:p>
            <w:pPr>
              <w:numPr>
                <w:ilvl w:val="0"/>
                <w:numId w:val="2"/>
              </w:numPr>
              <w:snapToGrid w:val="0"/>
              <w:spacing w:line="288" w:lineRule="auto"/>
              <w:jc w:val="left"/>
              <w:rPr>
                <w:rFonts w:ascii="宋体" w:hAnsi="宋体" w:eastAsia="PMingLiU"/>
                <w:color w:val="000000"/>
                <w:sz w:val="20"/>
                <w:szCs w:val="20"/>
                <w:lang w:eastAsia="zh-TW"/>
              </w:rPr>
            </w:pPr>
            <w:r>
              <w:rPr>
                <w:rFonts w:hint="eastAsia" w:asciiTheme="minorEastAsia" w:hAnsiTheme="minorEastAsia" w:eastAsiaTheme="minorEastAsia" w:cstheme="minorEastAsia"/>
                <w:color w:val="000000"/>
                <w:sz w:val="20"/>
                <w:szCs w:val="20"/>
                <w:lang w:eastAsia="zh-TW"/>
              </w:rPr>
              <w:t>阐明老年护理的定义、老年护理的目标与原则及各国老年护理发展特点。</w:t>
            </w:r>
          </w:p>
        </w:tc>
        <w:tc>
          <w:tcPr>
            <w:tcW w:w="1674" w:type="dxa"/>
          </w:tcPr>
          <w:p>
            <w:pPr>
              <w:snapToGrid w:val="0"/>
              <w:spacing w:line="288" w:lineRule="auto"/>
              <w:jc w:val="left"/>
              <w:rPr>
                <w:rFonts w:ascii="PMingLiU" w:hAnsi="PMingLiU" w:eastAsia="PMingLiU"/>
                <w:color w:val="000000"/>
                <w:sz w:val="20"/>
                <w:szCs w:val="20"/>
              </w:rPr>
            </w:pPr>
            <w:r>
              <w:rPr>
                <w:rFonts w:ascii="PMingLiU" w:hAnsi="PMingLiU"/>
                <w:color w:val="000000"/>
                <w:sz w:val="20"/>
                <w:szCs w:val="20"/>
              </w:rPr>
              <w:t>1.</w:t>
            </w:r>
            <w:r>
              <w:rPr>
                <w:rFonts w:hint="eastAsia" w:ascii="PMingLiU" w:hAnsi="PMingLiU"/>
                <w:color w:val="000000"/>
                <w:sz w:val="20"/>
                <w:szCs w:val="20"/>
              </w:rPr>
              <w:t>能说出</w:t>
            </w:r>
            <w:r>
              <w:rPr>
                <w:rFonts w:ascii="PMingLiU" w:hAnsi="PMingLiU"/>
                <w:color w:val="000000"/>
                <w:sz w:val="20"/>
                <w:szCs w:val="20"/>
              </w:rPr>
              <w:t>WHO</w:t>
            </w:r>
            <w:r>
              <w:rPr>
                <w:rFonts w:hint="eastAsia" w:ascii="PMingLiU" w:hAnsi="PMingLiU"/>
                <w:color w:val="000000"/>
                <w:sz w:val="20"/>
                <w:szCs w:val="20"/>
              </w:rPr>
              <w:t>对老龄化社会的划分标准至少</w:t>
            </w:r>
            <w:r>
              <w:rPr>
                <w:rFonts w:ascii="PMingLiU" w:hAnsi="PMingLiU"/>
                <w:color w:val="000000"/>
                <w:sz w:val="20"/>
                <w:szCs w:val="20"/>
              </w:rPr>
              <w:t>3</w:t>
            </w:r>
            <w:r>
              <w:rPr>
                <w:rFonts w:hint="eastAsia" w:ascii="PMingLiU" w:hAnsi="PMingLiU"/>
                <w:color w:val="000000"/>
                <w:sz w:val="20"/>
                <w:szCs w:val="20"/>
              </w:rPr>
              <w:t>项。</w:t>
            </w:r>
          </w:p>
          <w:p>
            <w:pPr>
              <w:snapToGrid w:val="0"/>
              <w:spacing w:line="288" w:lineRule="auto"/>
              <w:jc w:val="left"/>
              <w:rPr>
                <w:rFonts w:ascii="PMingLiU" w:hAnsi="PMingLiU" w:eastAsia="PMingLiU"/>
                <w:color w:val="000000"/>
                <w:sz w:val="20"/>
                <w:szCs w:val="20"/>
              </w:rPr>
            </w:pPr>
            <w:r>
              <w:rPr>
                <w:rFonts w:ascii="PMingLiU" w:hAnsi="PMingLiU"/>
                <w:color w:val="000000"/>
                <w:sz w:val="20"/>
                <w:szCs w:val="20"/>
              </w:rPr>
              <w:t>2.</w:t>
            </w:r>
            <w:r>
              <w:rPr>
                <w:rFonts w:hint="eastAsia" w:ascii="PMingLiU" w:hAnsi="PMingLiU"/>
                <w:color w:val="000000"/>
                <w:sz w:val="20"/>
                <w:szCs w:val="20"/>
              </w:rPr>
              <w:t>说出老年护理目标</w:t>
            </w:r>
          </w:p>
          <w:p>
            <w:pPr>
              <w:snapToGrid w:val="0"/>
              <w:spacing w:line="288" w:lineRule="auto"/>
              <w:jc w:val="left"/>
              <w:rPr>
                <w:rFonts w:ascii="宋体" w:hAnsi="Times New Roman"/>
                <w:b/>
                <w:color w:val="000000"/>
                <w:sz w:val="20"/>
                <w:szCs w:val="20"/>
              </w:rPr>
            </w:pPr>
          </w:p>
        </w:tc>
        <w:tc>
          <w:tcPr>
            <w:tcW w:w="1312" w:type="dxa"/>
          </w:tcPr>
          <w:p>
            <w:pPr>
              <w:snapToGrid w:val="0"/>
              <w:spacing w:line="288" w:lineRule="auto"/>
              <w:jc w:val="left"/>
              <w:rPr>
                <w:rFonts w:ascii="宋体" w:hAnsi="宋体" w:eastAsia="PMingLiU"/>
                <w:color w:val="000000"/>
                <w:sz w:val="20"/>
                <w:szCs w:val="20"/>
                <w:lang w:eastAsia="zh-TW"/>
              </w:rPr>
            </w:pPr>
            <w:r>
              <w:rPr>
                <w:rFonts w:hint="eastAsia" w:asciiTheme="minorEastAsia" w:hAnsiTheme="minorEastAsia" w:eastAsiaTheme="minorEastAsia" w:cstheme="minorEastAsia"/>
                <w:color w:val="000000"/>
                <w:sz w:val="20"/>
                <w:szCs w:val="20"/>
                <w:lang w:eastAsia="zh-TW"/>
              </w:rPr>
              <w:t>养成为老服务意识、树立知老敬老专业情怀。</w:t>
            </w:r>
          </w:p>
        </w:tc>
        <w:tc>
          <w:tcPr>
            <w:tcW w:w="1150" w:type="dxa"/>
          </w:tcPr>
          <w:p>
            <w:pPr>
              <w:snapToGrid w:val="0"/>
              <w:spacing w:line="288" w:lineRule="auto"/>
              <w:jc w:val="left"/>
              <w:rPr>
                <w:rFonts w:ascii="宋体" w:hAnsi="宋体" w:eastAsia="PMingLiU"/>
                <w:color w:val="000000"/>
                <w:sz w:val="20"/>
                <w:szCs w:val="20"/>
                <w:lang w:eastAsia="zh-TW"/>
              </w:rPr>
            </w:pPr>
            <w:r>
              <w:rPr>
                <w:rFonts w:hint="eastAsia" w:asciiTheme="minorEastAsia" w:hAnsiTheme="minorEastAsia" w:eastAsiaTheme="minorEastAsia" w:cstheme="minorEastAsia"/>
                <w:color w:val="000000"/>
                <w:sz w:val="20"/>
                <w:szCs w:val="20"/>
                <w:lang w:eastAsia="zh-TW"/>
              </w:rPr>
              <w:t>平均预期寿命、健康预期寿命、人口老龄化、健康老龄化的概念</w:t>
            </w:r>
          </w:p>
        </w:tc>
        <w:tc>
          <w:tcPr>
            <w:tcW w:w="430" w:type="dxa"/>
          </w:tcPr>
          <w:p>
            <w:pPr>
              <w:snapToGrid w:val="0"/>
              <w:spacing w:line="288" w:lineRule="auto"/>
              <w:jc w:val="left"/>
              <w:rPr>
                <w:rFonts w:ascii="Times New Roman" w:hAnsi="Times New Roman"/>
                <w:color w:val="000000"/>
                <w:sz w:val="20"/>
                <w:szCs w:val="20"/>
              </w:rPr>
            </w:pPr>
            <w:r>
              <w:rPr>
                <w:rFonts w:ascii="Times New Roman" w:hAnsi="Times New Roman"/>
                <w:color w:val="000000"/>
                <w:sz w:val="20"/>
                <w:szCs w:val="20"/>
              </w:rPr>
              <w:t>2</w:t>
            </w:r>
          </w:p>
        </w:tc>
        <w:tc>
          <w:tcPr>
            <w:tcW w:w="430" w:type="dxa"/>
          </w:tcPr>
          <w:p>
            <w:pPr>
              <w:snapToGrid w:val="0"/>
              <w:spacing w:line="288" w:lineRule="auto"/>
              <w:jc w:val="left"/>
              <w:rPr>
                <w:rFonts w:ascii="Times New Roman" w:hAnsi="Times New Roman"/>
                <w:color w:val="000000"/>
                <w:sz w:val="20"/>
                <w:szCs w:val="20"/>
              </w:rPr>
            </w:pPr>
            <w:r>
              <w:rPr>
                <w:rFonts w:ascii="Times New Roman" w:hAnsi="Times New Roman"/>
                <w:color w:val="000000"/>
                <w:sz w:val="20"/>
                <w:szCs w:val="20"/>
              </w:rPr>
              <w:t>0</w:t>
            </w:r>
          </w:p>
        </w:tc>
        <w:tc>
          <w:tcPr>
            <w:tcW w:w="504" w:type="dxa"/>
          </w:tcPr>
          <w:p>
            <w:pPr>
              <w:snapToGrid w:val="0"/>
              <w:spacing w:line="288" w:lineRule="auto"/>
              <w:jc w:val="left"/>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759" w:type="dxa"/>
            <w:vAlign w:val="center"/>
          </w:tcPr>
          <w:p>
            <w:pPr>
              <w:snapToGrid w:val="0"/>
              <w:spacing w:line="288" w:lineRule="auto"/>
              <w:jc w:val="center"/>
              <w:rPr>
                <w:rFonts w:ascii="宋体" w:hAnsi="宋体" w:eastAsia="PMingLiU"/>
                <w:color w:val="000000"/>
                <w:sz w:val="20"/>
                <w:szCs w:val="20"/>
                <w:lang w:eastAsia="zh-TW"/>
              </w:rPr>
            </w:pPr>
            <w:r>
              <w:rPr>
                <w:rFonts w:hint="eastAsia" w:asciiTheme="minorEastAsia" w:hAnsiTheme="minorEastAsia" w:eastAsiaTheme="minorEastAsia" w:cstheme="minorEastAsia"/>
                <w:color w:val="000000"/>
                <w:sz w:val="20"/>
                <w:szCs w:val="20"/>
                <w:lang w:eastAsia="zh-TW"/>
              </w:rPr>
              <w:t>老化改变与老年护理相关理论</w:t>
            </w:r>
          </w:p>
        </w:tc>
        <w:tc>
          <w:tcPr>
            <w:tcW w:w="1812" w:type="dxa"/>
          </w:tcPr>
          <w:p>
            <w:pPr>
              <w:numPr>
                <w:ilvl w:val="0"/>
                <w:numId w:val="3"/>
              </w:numPr>
              <w:snapToGrid w:val="0"/>
              <w:spacing w:line="288" w:lineRule="auto"/>
              <w:jc w:val="left"/>
              <w:rPr>
                <w:rFonts w:asciiTheme="minorEastAsia" w:hAnsiTheme="minorEastAsia" w:eastAsiaTheme="minorEastAsia" w:cstheme="minorEastAsia"/>
                <w:color w:val="000000"/>
                <w:sz w:val="20"/>
                <w:szCs w:val="20"/>
                <w:lang w:eastAsia="zh-TW"/>
              </w:rPr>
            </w:pPr>
            <w:r>
              <w:rPr>
                <w:rFonts w:hint="eastAsia" w:asciiTheme="minorEastAsia" w:hAnsiTheme="minorEastAsia" w:eastAsiaTheme="minorEastAsia" w:cstheme="minorEastAsia"/>
                <w:color w:val="000000"/>
                <w:sz w:val="20"/>
                <w:szCs w:val="20"/>
              </w:rPr>
              <w:t>认识</w:t>
            </w:r>
            <w:r>
              <w:rPr>
                <w:rFonts w:hint="eastAsia" w:asciiTheme="minorEastAsia" w:hAnsiTheme="minorEastAsia" w:eastAsiaTheme="minorEastAsia" w:cstheme="minorEastAsia"/>
                <w:color w:val="000000"/>
                <w:sz w:val="20"/>
                <w:szCs w:val="20"/>
                <w:lang w:eastAsia="zh-TW"/>
              </w:rPr>
              <w:t>各层面(生理、心理、社会)的老化改变。</w:t>
            </w:r>
          </w:p>
          <w:p>
            <w:pPr>
              <w:numPr>
                <w:ilvl w:val="0"/>
                <w:numId w:val="3"/>
              </w:numPr>
              <w:snapToGrid w:val="0"/>
              <w:spacing w:line="288" w:lineRule="auto"/>
              <w:jc w:val="left"/>
              <w:rPr>
                <w:rFonts w:asciiTheme="minorEastAsia" w:hAnsiTheme="minorEastAsia" w:eastAsiaTheme="minorEastAsia" w:cstheme="minorEastAsia"/>
                <w:color w:val="000000"/>
                <w:sz w:val="20"/>
                <w:szCs w:val="20"/>
                <w:lang w:eastAsia="zh-TW"/>
              </w:rPr>
            </w:pPr>
            <w:r>
              <w:rPr>
                <w:rFonts w:hint="eastAsia" w:asciiTheme="minorEastAsia" w:hAnsiTheme="minorEastAsia" w:eastAsiaTheme="minorEastAsia" w:cstheme="minorEastAsia"/>
                <w:color w:val="000000"/>
                <w:sz w:val="20"/>
                <w:szCs w:val="20"/>
                <w:lang w:eastAsia="zh-TW"/>
              </w:rPr>
              <w:t>复述慢性病轨迹模式。</w:t>
            </w:r>
          </w:p>
          <w:p>
            <w:pPr>
              <w:numPr>
                <w:ilvl w:val="0"/>
                <w:numId w:val="3"/>
              </w:numPr>
              <w:snapToGrid w:val="0"/>
              <w:spacing w:line="288" w:lineRule="auto"/>
              <w:jc w:val="left"/>
              <w:rPr>
                <w:rFonts w:asciiTheme="minorEastAsia" w:hAnsiTheme="minorEastAsia" w:eastAsiaTheme="minorEastAsia" w:cstheme="minorEastAsia"/>
                <w:color w:val="000000"/>
                <w:sz w:val="20"/>
                <w:szCs w:val="20"/>
                <w:lang w:eastAsia="zh-TW"/>
              </w:rPr>
            </w:pPr>
            <w:r>
              <w:rPr>
                <w:rFonts w:hint="eastAsia" w:asciiTheme="minorEastAsia" w:hAnsiTheme="minorEastAsia" w:eastAsiaTheme="minorEastAsia" w:cstheme="minorEastAsia"/>
                <w:color w:val="000000"/>
                <w:sz w:val="20"/>
                <w:szCs w:val="20"/>
                <w:lang w:eastAsia="zh-TW"/>
              </w:rPr>
              <w:t>简要概括老年相关心理学和社会学代表理论及其主要观点。</w:t>
            </w:r>
          </w:p>
          <w:p>
            <w:pPr>
              <w:numPr>
                <w:ilvl w:val="0"/>
                <w:numId w:val="3"/>
              </w:numPr>
              <w:snapToGrid w:val="0"/>
              <w:spacing w:line="288" w:lineRule="auto"/>
              <w:jc w:val="left"/>
              <w:rPr>
                <w:rFonts w:asciiTheme="minorEastAsia" w:hAnsiTheme="minorEastAsia" w:eastAsiaTheme="minorEastAsia" w:cstheme="minorEastAsia"/>
                <w:color w:val="000000"/>
                <w:sz w:val="20"/>
                <w:szCs w:val="20"/>
                <w:lang w:eastAsia="zh-TW"/>
              </w:rPr>
            </w:pPr>
            <w:r>
              <w:rPr>
                <w:rFonts w:hint="eastAsia" w:asciiTheme="minorEastAsia" w:hAnsiTheme="minorEastAsia" w:eastAsiaTheme="minorEastAsia" w:cstheme="minorEastAsia"/>
                <w:color w:val="000000"/>
                <w:sz w:val="20"/>
                <w:szCs w:val="20"/>
                <w:lang w:eastAsia="zh-TW"/>
              </w:rPr>
              <w:t>理解老化的常用生物学代表理论及主要观点。</w:t>
            </w:r>
          </w:p>
          <w:p>
            <w:pPr>
              <w:snapToGrid w:val="0"/>
              <w:spacing w:line="288" w:lineRule="auto"/>
              <w:jc w:val="left"/>
              <w:rPr>
                <w:rFonts w:ascii="宋体" w:hAnsi="宋体"/>
                <w:color w:val="000000"/>
                <w:sz w:val="20"/>
                <w:szCs w:val="20"/>
              </w:rPr>
            </w:pPr>
          </w:p>
        </w:tc>
        <w:tc>
          <w:tcPr>
            <w:tcW w:w="1674" w:type="dxa"/>
          </w:tcPr>
          <w:p>
            <w:pPr>
              <w:numPr>
                <w:ilvl w:val="0"/>
                <w:numId w:val="4"/>
              </w:numPr>
              <w:snapToGrid w:val="0"/>
              <w:spacing w:line="288" w:lineRule="auto"/>
              <w:jc w:val="left"/>
              <w:rPr>
                <w:rFonts w:asciiTheme="minorEastAsia" w:hAnsiTheme="minorEastAsia" w:eastAsiaTheme="minorEastAsia" w:cstheme="minorEastAsia"/>
                <w:color w:val="000000"/>
                <w:sz w:val="20"/>
                <w:szCs w:val="20"/>
                <w:lang w:eastAsia="zh-TW"/>
              </w:rPr>
            </w:pPr>
            <w:r>
              <w:rPr>
                <w:rFonts w:hint="eastAsia" w:asciiTheme="minorEastAsia" w:hAnsiTheme="minorEastAsia" w:eastAsiaTheme="minorEastAsia" w:cstheme="minorEastAsia"/>
                <w:color w:val="000000"/>
                <w:sz w:val="20"/>
                <w:szCs w:val="20"/>
                <w:lang w:eastAsia="zh-TW"/>
              </w:rPr>
              <w:t>能运用老化相关知识指导护理实践。</w:t>
            </w:r>
          </w:p>
          <w:p>
            <w:pPr>
              <w:numPr>
                <w:ilvl w:val="0"/>
                <w:numId w:val="4"/>
              </w:numPr>
              <w:snapToGrid w:val="0"/>
              <w:spacing w:line="288" w:lineRule="auto"/>
              <w:jc w:val="left"/>
              <w:rPr>
                <w:rFonts w:ascii="宋体" w:hAnsi="宋体" w:eastAsia="PMingLiU"/>
                <w:color w:val="000000"/>
                <w:sz w:val="20"/>
                <w:szCs w:val="20"/>
                <w:lang w:eastAsia="zh-TW"/>
              </w:rPr>
            </w:pPr>
            <w:r>
              <w:rPr>
                <w:rFonts w:hint="eastAsia" w:asciiTheme="minorEastAsia" w:hAnsiTheme="minorEastAsia" w:eastAsiaTheme="minorEastAsia" w:cstheme="minorEastAsia"/>
                <w:color w:val="000000"/>
                <w:sz w:val="20"/>
                <w:szCs w:val="20"/>
                <w:lang w:eastAsia="zh-TW"/>
              </w:rPr>
              <w:t>能运用老年护理相关理论对具体个案进行分析。</w:t>
            </w:r>
          </w:p>
        </w:tc>
        <w:tc>
          <w:tcPr>
            <w:tcW w:w="1312" w:type="dxa"/>
          </w:tcPr>
          <w:p>
            <w:pPr>
              <w:snapToGrid w:val="0"/>
              <w:spacing w:line="288" w:lineRule="auto"/>
              <w:jc w:val="left"/>
              <w:rPr>
                <w:rFonts w:ascii="宋体" w:hAnsi="宋体" w:eastAsia="PMingLiU"/>
                <w:color w:val="000000"/>
                <w:sz w:val="20"/>
                <w:szCs w:val="20"/>
                <w:lang w:eastAsia="zh-TW"/>
              </w:rPr>
            </w:pPr>
            <w:r>
              <w:rPr>
                <w:rFonts w:hint="eastAsia" w:asciiTheme="minorEastAsia" w:hAnsiTheme="minorEastAsia" w:eastAsiaTheme="minorEastAsia" w:cstheme="minorEastAsia"/>
                <w:color w:val="000000"/>
                <w:sz w:val="20"/>
                <w:szCs w:val="20"/>
                <w:lang w:eastAsia="zh-TW"/>
              </w:rPr>
              <w:t>认识护理专业在老化过程中的重要作用，即在理论的学习和实践中具有求真务实的精神</w:t>
            </w:r>
          </w:p>
        </w:tc>
        <w:tc>
          <w:tcPr>
            <w:tcW w:w="1150" w:type="dxa"/>
          </w:tcPr>
          <w:p>
            <w:pPr>
              <w:snapToGrid w:val="0"/>
              <w:spacing w:line="288" w:lineRule="auto"/>
              <w:jc w:val="left"/>
              <w:rPr>
                <w:rFonts w:ascii="宋体" w:hAnsi="宋体"/>
                <w:color w:val="000000"/>
                <w:sz w:val="20"/>
                <w:szCs w:val="20"/>
              </w:rPr>
            </w:pPr>
            <w:r>
              <w:rPr>
                <w:rFonts w:hint="eastAsia" w:asciiTheme="minorEastAsia" w:hAnsiTheme="minorEastAsia" w:eastAsiaTheme="minorEastAsia" w:cstheme="minorEastAsia"/>
                <w:color w:val="000000"/>
                <w:sz w:val="20"/>
                <w:szCs w:val="20"/>
                <w:lang w:eastAsia="zh-TW"/>
              </w:rPr>
              <w:t>各层面(生理、心理、社会)的老化改变。</w:t>
            </w:r>
          </w:p>
        </w:tc>
        <w:tc>
          <w:tcPr>
            <w:tcW w:w="430" w:type="dxa"/>
          </w:tcPr>
          <w:p>
            <w:pPr>
              <w:snapToGrid w:val="0"/>
              <w:spacing w:line="288" w:lineRule="auto"/>
              <w:jc w:val="left"/>
              <w:rPr>
                <w:rFonts w:ascii="Times New Roman" w:hAnsi="Times New Roman" w:eastAsia="PMingLiU"/>
                <w:color w:val="000000"/>
                <w:sz w:val="20"/>
                <w:szCs w:val="20"/>
                <w:lang w:eastAsia="zh-TW"/>
              </w:rPr>
            </w:pPr>
            <w:r>
              <w:rPr>
                <w:rFonts w:hint="eastAsia" w:ascii="Times New Roman" w:hAnsi="Times New Roman" w:eastAsia="PMingLiU"/>
                <w:color w:val="000000"/>
                <w:sz w:val="20"/>
                <w:szCs w:val="20"/>
                <w:lang w:eastAsia="zh-TW"/>
              </w:rPr>
              <w:t>4</w:t>
            </w:r>
          </w:p>
        </w:tc>
        <w:tc>
          <w:tcPr>
            <w:tcW w:w="430" w:type="dxa"/>
          </w:tcPr>
          <w:p>
            <w:pPr>
              <w:snapToGrid w:val="0"/>
              <w:spacing w:line="288" w:lineRule="auto"/>
              <w:jc w:val="left"/>
              <w:rPr>
                <w:rFonts w:ascii="Times New Roman" w:hAnsi="Times New Roman" w:eastAsia="PMingLiU"/>
                <w:color w:val="000000"/>
                <w:sz w:val="20"/>
                <w:szCs w:val="20"/>
                <w:lang w:eastAsia="zh-TW"/>
              </w:rPr>
            </w:pPr>
            <w:r>
              <w:rPr>
                <w:rFonts w:hint="eastAsia" w:ascii="Times New Roman" w:hAnsi="Times New Roman" w:eastAsia="PMingLiU"/>
                <w:color w:val="000000"/>
                <w:sz w:val="20"/>
                <w:szCs w:val="20"/>
                <w:lang w:eastAsia="zh-TW"/>
              </w:rPr>
              <w:t>0</w:t>
            </w:r>
          </w:p>
        </w:tc>
        <w:tc>
          <w:tcPr>
            <w:tcW w:w="504" w:type="dxa"/>
          </w:tcPr>
          <w:p>
            <w:pPr>
              <w:snapToGrid w:val="0"/>
              <w:spacing w:line="288" w:lineRule="auto"/>
              <w:jc w:val="left"/>
              <w:rPr>
                <w:rFonts w:ascii="Times New Roman" w:hAnsi="Times New Roman" w:eastAsia="PMingLiU"/>
                <w:color w:val="000000"/>
                <w:sz w:val="20"/>
                <w:szCs w:val="20"/>
                <w:lang w:eastAsia="zh-TW"/>
              </w:rPr>
            </w:pPr>
            <w:r>
              <w:rPr>
                <w:rFonts w:ascii="Times New Roman" w:hAnsi="Times New Roman" w:eastAsia="PMingLiU"/>
                <w:color w:val="000000"/>
                <w:sz w:val="20"/>
                <w:szCs w:val="20"/>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3</w:t>
            </w:r>
          </w:p>
        </w:tc>
        <w:tc>
          <w:tcPr>
            <w:tcW w:w="759" w:type="dxa"/>
            <w:vAlign w:val="center"/>
          </w:tcPr>
          <w:p>
            <w:pPr>
              <w:snapToGrid w:val="0"/>
              <w:spacing w:line="288" w:lineRule="auto"/>
              <w:jc w:val="center"/>
              <w:rPr>
                <w:rFonts w:ascii="宋体" w:hAnsi="宋体" w:eastAsia="PMingLiU"/>
                <w:color w:val="000000"/>
                <w:sz w:val="20"/>
                <w:szCs w:val="20"/>
                <w:lang w:eastAsia="zh-TW"/>
              </w:rPr>
            </w:pPr>
            <w:r>
              <w:rPr>
                <w:rFonts w:hint="eastAsia" w:asciiTheme="minorEastAsia" w:hAnsiTheme="minorEastAsia" w:eastAsiaTheme="minorEastAsia" w:cstheme="minorEastAsia"/>
                <w:color w:val="000000"/>
                <w:sz w:val="20"/>
                <w:szCs w:val="20"/>
                <w:lang w:eastAsia="zh-TW"/>
              </w:rPr>
              <w:t>老年综合评估</w:t>
            </w:r>
          </w:p>
        </w:tc>
        <w:tc>
          <w:tcPr>
            <w:tcW w:w="1812" w:type="dxa"/>
          </w:tcPr>
          <w:p>
            <w:pPr>
              <w:numPr>
                <w:ilvl w:val="0"/>
                <w:numId w:val="5"/>
              </w:numPr>
              <w:snapToGrid w:val="0"/>
              <w:spacing w:line="288" w:lineRule="auto"/>
              <w:jc w:val="left"/>
              <w:rPr>
                <w:rFonts w:asciiTheme="minorEastAsia" w:hAnsiTheme="minorEastAsia" w:eastAsiaTheme="minorEastAsia" w:cstheme="minorEastAsia"/>
                <w:color w:val="000000"/>
                <w:sz w:val="20"/>
                <w:szCs w:val="20"/>
                <w:lang w:eastAsia="zh-TW"/>
              </w:rPr>
            </w:pPr>
            <w:r>
              <w:rPr>
                <w:rFonts w:hint="eastAsia" w:asciiTheme="minorEastAsia" w:hAnsiTheme="minorEastAsia" w:eastAsiaTheme="minorEastAsia" w:cstheme="minorEastAsia"/>
                <w:color w:val="000000"/>
                <w:sz w:val="20"/>
                <w:szCs w:val="20"/>
                <w:lang w:eastAsia="zh-TW"/>
              </w:rPr>
              <w:t>记忆确认老年综合评估的概念及注意事项。</w:t>
            </w:r>
          </w:p>
          <w:p>
            <w:pPr>
              <w:numPr>
                <w:ilvl w:val="0"/>
                <w:numId w:val="5"/>
              </w:numPr>
              <w:snapToGrid w:val="0"/>
              <w:spacing w:line="288" w:lineRule="auto"/>
              <w:jc w:val="left"/>
              <w:rPr>
                <w:rFonts w:asciiTheme="minorEastAsia" w:hAnsiTheme="minorEastAsia" w:eastAsiaTheme="minorEastAsia" w:cstheme="minorEastAsia"/>
                <w:color w:val="000000"/>
                <w:sz w:val="20"/>
                <w:szCs w:val="20"/>
                <w:lang w:eastAsia="zh-TW"/>
              </w:rPr>
            </w:pPr>
            <w:r>
              <w:rPr>
                <w:rFonts w:hint="eastAsia" w:asciiTheme="minorEastAsia" w:hAnsiTheme="minorEastAsia" w:eastAsiaTheme="minorEastAsia" w:cstheme="minorEastAsia"/>
                <w:color w:val="000000"/>
                <w:sz w:val="20"/>
                <w:szCs w:val="20"/>
                <w:lang w:eastAsia="zh-TW"/>
              </w:rPr>
              <w:t>理解解释老年人躯体健康、精神与心理健康以及社会健康评估的内容。</w:t>
            </w:r>
          </w:p>
          <w:p>
            <w:pPr>
              <w:numPr>
                <w:ilvl w:val="0"/>
                <w:numId w:val="5"/>
              </w:numPr>
              <w:snapToGrid w:val="0"/>
              <w:spacing w:line="288" w:lineRule="auto"/>
              <w:jc w:val="left"/>
              <w:rPr>
                <w:rFonts w:asciiTheme="minorEastAsia" w:hAnsiTheme="minorEastAsia" w:eastAsiaTheme="minorEastAsia" w:cstheme="minorEastAsia"/>
                <w:color w:val="000000"/>
                <w:sz w:val="20"/>
                <w:szCs w:val="20"/>
                <w:lang w:eastAsia="zh-TW"/>
              </w:rPr>
            </w:pPr>
            <w:r>
              <w:rPr>
                <w:rFonts w:hint="eastAsia" w:asciiTheme="minorEastAsia" w:hAnsiTheme="minorEastAsia" w:eastAsiaTheme="minorEastAsia" w:cstheme="minorEastAsia"/>
                <w:color w:val="000000"/>
                <w:sz w:val="20"/>
                <w:szCs w:val="20"/>
                <w:lang w:eastAsia="zh-TW"/>
              </w:rPr>
              <w:t>阐明老年综合评估的原则方法及常见老年综合征的概念和评估方式。</w:t>
            </w:r>
          </w:p>
          <w:p>
            <w:pPr>
              <w:numPr>
                <w:ilvl w:val="0"/>
                <w:numId w:val="5"/>
              </w:numPr>
              <w:snapToGrid w:val="0"/>
              <w:spacing w:line="288" w:lineRule="auto"/>
              <w:jc w:val="left"/>
              <w:rPr>
                <w:rFonts w:ascii="宋体" w:hAnsi="宋体" w:eastAsia="PMingLiU"/>
                <w:color w:val="000000"/>
                <w:sz w:val="20"/>
                <w:szCs w:val="20"/>
                <w:lang w:eastAsia="zh-TW"/>
              </w:rPr>
            </w:pPr>
            <w:r>
              <w:rPr>
                <w:rFonts w:hint="eastAsia" w:asciiTheme="minorEastAsia" w:hAnsiTheme="minorEastAsia" w:eastAsiaTheme="minorEastAsia" w:cstheme="minorEastAsia"/>
                <w:color w:val="000000"/>
                <w:sz w:val="20"/>
                <w:szCs w:val="20"/>
                <w:lang w:eastAsia="zh-TW"/>
              </w:rPr>
              <w:t>列举老年人疾病的非典型性表现。</w:t>
            </w:r>
          </w:p>
        </w:tc>
        <w:tc>
          <w:tcPr>
            <w:tcW w:w="1674" w:type="dxa"/>
          </w:tcPr>
          <w:p>
            <w:pPr>
              <w:snapToGrid w:val="0"/>
              <w:spacing w:line="288" w:lineRule="auto"/>
              <w:jc w:val="left"/>
              <w:rPr>
                <w:rFonts w:ascii="宋体" w:hAnsi="宋体" w:eastAsia="PMingLiU"/>
                <w:color w:val="000000"/>
                <w:sz w:val="20"/>
                <w:szCs w:val="20"/>
                <w:lang w:eastAsia="zh-TW"/>
              </w:rPr>
            </w:pPr>
            <w:r>
              <w:rPr>
                <w:rFonts w:hint="eastAsia" w:asciiTheme="minorEastAsia" w:hAnsiTheme="minorEastAsia" w:eastAsiaTheme="minorEastAsia" w:cstheme="minorEastAsia"/>
                <w:color w:val="000000"/>
                <w:sz w:val="20"/>
                <w:szCs w:val="20"/>
                <w:lang w:eastAsia="zh-TW"/>
              </w:rPr>
              <w:t>能针对存在不同健康问题的老年人进行系统全面的健康评估。</w:t>
            </w:r>
          </w:p>
        </w:tc>
        <w:tc>
          <w:tcPr>
            <w:tcW w:w="1312" w:type="dxa"/>
          </w:tcPr>
          <w:p>
            <w:pPr>
              <w:snapToGrid w:val="0"/>
              <w:spacing w:line="288" w:lineRule="auto"/>
              <w:jc w:val="left"/>
              <w:rPr>
                <w:rFonts w:ascii="宋体" w:hAnsi="宋体" w:eastAsia="PMingLiU"/>
                <w:color w:val="000000"/>
                <w:sz w:val="20"/>
                <w:szCs w:val="20"/>
                <w:lang w:eastAsia="zh-TW"/>
              </w:rPr>
            </w:pPr>
            <w:r>
              <w:rPr>
                <w:rFonts w:hint="eastAsia" w:asciiTheme="minorEastAsia" w:hAnsiTheme="minorEastAsia" w:eastAsiaTheme="minorEastAsia" w:cstheme="minorEastAsia"/>
                <w:color w:val="000000"/>
                <w:sz w:val="20"/>
                <w:szCs w:val="20"/>
                <w:lang w:eastAsia="zh-TW"/>
              </w:rPr>
              <w:t>善于倾听、观察，以全面收集老年人健康信息。</w:t>
            </w:r>
          </w:p>
        </w:tc>
        <w:tc>
          <w:tcPr>
            <w:tcW w:w="1150" w:type="dxa"/>
          </w:tcPr>
          <w:p>
            <w:pPr>
              <w:snapToGrid w:val="0"/>
              <w:spacing w:line="288" w:lineRule="auto"/>
              <w:jc w:val="left"/>
              <w:rPr>
                <w:rFonts w:asciiTheme="minorEastAsia" w:hAnsiTheme="minorEastAsia" w:eastAsiaTheme="minorEastAsia" w:cstheme="minorEastAsia"/>
                <w:color w:val="000000"/>
                <w:sz w:val="20"/>
                <w:szCs w:val="20"/>
                <w:lang w:eastAsia="zh-TW"/>
              </w:rPr>
            </w:pPr>
            <w:r>
              <w:rPr>
                <w:rFonts w:hint="eastAsia" w:asciiTheme="minorEastAsia" w:hAnsiTheme="minorEastAsia" w:eastAsiaTheme="minorEastAsia" w:cstheme="minorEastAsia"/>
                <w:color w:val="000000"/>
                <w:sz w:val="20"/>
                <w:szCs w:val="20"/>
                <w:lang w:eastAsia="zh-TW"/>
              </w:rPr>
              <w:t>老年人躯体健康、精神与心理健康以及社会健康评估的内容。</w:t>
            </w:r>
          </w:p>
          <w:p>
            <w:pPr>
              <w:snapToGrid w:val="0"/>
              <w:spacing w:line="288" w:lineRule="auto"/>
              <w:jc w:val="left"/>
              <w:rPr>
                <w:rFonts w:ascii="宋体" w:hAnsi="宋体"/>
                <w:color w:val="000000"/>
                <w:sz w:val="20"/>
                <w:szCs w:val="20"/>
              </w:rPr>
            </w:pPr>
          </w:p>
        </w:tc>
        <w:tc>
          <w:tcPr>
            <w:tcW w:w="430" w:type="dxa"/>
          </w:tcPr>
          <w:p>
            <w:pPr>
              <w:snapToGrid w:val="0"/>
              <w:spacing w:line="288" w:lineRule="auto"/>
              <w:jc w:val="left"/>
              <w:rPr>
                <w:rFonts w:ascii="Times New Roman" w:hAnsi="Times New Roman" w:eastAsia="PMingLiU"/>
                <w:color w:val="000000"/>
                <w:sz w:val="20"/>
                <w:szCs w:val="20"/>
                <w:lang w:eastAsia="zh-TW"/>
              </w:rPr>
            </w:pPr>
            <w:r>
              <w:rPr>
                <w:rFonts w:hint="eastAsia" w:ascii="Times New Roman" w:hAnsi="Times New Roman" w:eastAsia="PMingLiU"/>
                <w:color w:val="000000"/>
                <w:sz w:val="20"/>
                <w:szCs w:val="20"/>
                <w:lang w:eastAsia="zh-TW"/>
              </w:rPr>
              <w:t>2</w:t>
            </w:r>
          </w:p>
        </w:tc>
        <w:tc>
          <w:tcPr>
            <w:tcW w:w="430" w:type="dxa"/>
          </w:tcPr>
          <w:p>
            <w:pPr>
              <w:snapToGrid w:val="0"/>
              <w:spacing w:line="288" w:lineRule="auto"/>
              <w:jc w:val="left"/>
              <w:rPr>
                <w:rFonts w:ascii="Times New Roman" w:hAnsi="Times New Roman" w:eastAsia="PMingLiU"/>
                <w:color w:val="000000"/>
                <w:sz w:val="20"/>
                <w:szCs w:val="20"/>
                <w:lang w:eastAsia="zh-TW"/>
              </w:rPr>
            </w:pPr>
            <w:r>
              <w:rPr>
                <w:rFonts w:hint="eastAsia" w:ascii="Times New Roman" w:hAnsi="Times New Roman" w:eastAsia="PMingLiU"/>
                <w:color w:val="000000"/>
                <w:sz w:val="20"/>
                <w:szCs w:val="20"/>
                <w:lang w:eastAsia="zh-TW"/>
              </w:rPr>
              <w:t>2</w:t>
            </w:r>
          </w:p>
        </w:tc>
        <w:tc>
          <w:tcPr>
            <w:tcW w:w="504" w:type="dxa"/>
          </w:tcPr>
          <w:p>
            <w:pPr>
              <w:snapToGrid w:val="0"/>
              <w:spacing w:line="288" w:lineRule="auto"/>
              <w:jc w:val="left"/>
              <w:rPr>
                <w:rFonts w:ascii="Times New Roman" w:hAnsi="Times New Roman" w:eastAsia="PMingLiU"/>
                <w:color w:val="000000"/>
                <w:sz w:val="20"/>
                <w:szCs w:val="20"/>
                <w:lang w:eastAsia="zh-TW"/>
              </w:rPr>
            </w:pPr>
            <w:r>
              <w:rPr>
                <w:rFonts w:hint="eastAsia" w:ascii="Times New Roman" w:hAnsi="Times New Roman" w:eastAsia="PMingLiU"/>
                <w:color w:val="000000"/>
                <w:sz w:val="20"/>
                <w:szCs w:val="20"/>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759" w:type="dxa"/>
            <w:vAlign w:val="center"/>
          </w:tcPr>
          <w:p>
            <w:pPr>
              <w:snapToGrid w:val="0"/>
              <w:spacing w:line="288" w:lineRule="auto"/>
              <w:jc w:val="center"/>
              <w:rPr>
                <w:rFonts w:ascii="宋体" w:hAnsi="宋体"/>
                <w:color w:val="000000"/>
                <w:sz w:val="20"/>
                <w:szCs w:val="20"/>
              </w:rPr>
            </w:pPr>
            <w:r>
              <w:rPr>
                <w:rFonts w:hint="eastAsia" w:ascii="PMingLiU" w:hAnsi="PMingLiU"/>
                <w:color w:val="000000"/>
                <w:sz w:val="20"/>
                <w:szCs w:val="20"/>
              </w:rPr>
              <w:t>老年人的日常生活护理</w:t>
            </w:r>
          </w:p>
        </w:tc>
        <w:tc>
          <w:tcPr>
            <w:tcW w:w="1812" w:type="dxa"/>
          </w:tcPr>
          <w:p>
            <w:pPr>
              <w:numPr>
                <w:ilvl w:val="0"/>
                <w:numId w:val="6"/>
              </w:numPr>
              <w:snapToGrid w:val="0"/>
              <w:spacing w:line="288" w:lineRule="auto"/>
              <w:jc w:val="left"/>
              <w:rPr>
                <w:rFonts w:ascii="宋体" w:hAnsi="宋体"/>
                <w:color w:val="000000"/>
                <w:sz w:val="20"/>
                <w:szCs w:val="20"/>
                <w:lang w:eastAsia="zh-TW"/>
              </w:rPr>
            </w:pPr>
            <w:r>
              <w:rPr>
                <w:rFonts w:hint="eastAsia" w:ascii="宋体" w:hAnsi="宋体"/>
                <w:color w:val="000000"/>
                <w:sz w:val="20"/>
                <w:szCs w:val="20"/>
                <w:lang w:eastAsia="zh-TW"/>
              </w:rPr>
              <w:t>阐明对老年人进行语言和非语言的原则、老年人皮肤与衣着的照护原则、老年人的营养需求和饮食原则、老年人活动的注意事项。</w:t>
            </w:r>
          </w:p>
          <w:p>
            <w:pPr>
              <w:numPr>
                <w:ilvl w:val="0"/>
                <w:numId w:val="6"/>
              </w:numPr>
              <w:snapToGrid w:val="0"/>
              <w:spacing w:line="288" w:lineRule="auto"/>
              <w:jc w:val="left"/>
              <w:rPr>
                <w:rFonts w:ascii="宋体" w:hAnsi="宋体"/>
                <w:color w:val="000000"/>
                <w:sz w:val="20"/>
                <w:szCs w:val="20"/>
                <w:lang w:eastAsia="zh-TW"/>
              </w:rPr>
            </w:pPr>
            <w:r>
              <w:rPr>
                <w:rFonts w:hint="eastAsia" w:ascii="宋体" w:hAnsi="宋体"/>
                <w:color w:val="000000"/>
                <w:sz w:val="20"/>
                <w:szCs w:val="20"/>
                <w:lang w:eastAsia="zh-TW"/>
              </w:rPr>
              <w:t>复述老年人的皮肤特点、老龄辅具的概念及分类。</w:t>
            </w:r>
          </w:p>
        </w:tc>
        <w:tc>
          <w:tcPr>
            <w:tcW w:w="1674" w:type="dxa"/>
          </w:tcPr>
          <w:p>
            <w:pPr>
              <w:numPr>
                <w:ilvl w:val="0"/>
                <w:numId w:val="7"/>
              </w:numPr>
              <w:snapToGrid w:val="0"/>
              <w:spacing w:line="288" w:lineRule="auto"/>
              <w:jc w:val="left"/>
              <w:rPr>
                <w:rFonts w:ascii="宋体" w:hAnsi="宋体"/>
                <w:color w:val="000000"/>
                <w:sz w:val="20"/>
                <w:szCs w:val="20"/>
                <w:lang w:eastAsia="zh-TW"/>
              </w:rPr>
            </w:pPr>
            <w:r>
              <w:rPr>
                <w:rFonts w:hint="eastAsia" w:ascii="宋体" w:hAnsi="宋体"/>
                <w:color w:val="000000"/>
                <w:sz w:val="20"/>
                <w:szCs w:val="20"/>
                <w:lang w:eastAsia="zh-TW"/>
              </w:rPr>
              <w:t>能为老年人提供饮食护理、睡眠护理、活动指导。</w:t>
            </w:r>
          </w:p>
          <w:p>
            <w:pPr>
              <w:numPr>
                <w:ilvl w:val="0"/>
                <w:numId w:val="7"/>
              </w:numPr>
              <w:snapToGrid w:val="0"/>
              <w:spacing w:line="288" w:lineRule="auto"/>
              <w:jc w:val="left"/>
              <w:rPr>
                <w:rFonts w:ascii="宋体" w:hAnsi="宋体"/>
                <w:color w:val="000000"/>
                <w:sz w:val="20"/>
                <w:szCs w:val="20"/>
                <w:lang w:eastAsia="zh-TW"/>
              </w:rPr>
            </w:pPr>
            <w:r>
              <w:rPr>
                <w:rFonts w:ascii="宋体" w:hAnsi="宋体"/>
                <w:color w:val="000000"/>
                <w:sz w:val="20"/>
                <w:szCs w:val="20"/>
                <w:lang w:eastAsia="zh-TW"/>
              </w:rPr>
              <w:t>能指导或协助老年人使用安全防护性辅助器具</w:t>
            </w:r>
            <w:r>
              <w:rPr>
                <w:rFonts w:hint="eastAsia" w:ascii="宋体" w:hAnsi="宋体"/>
                <w:color w:val="000000"/>
                <w:sz w:val="20"/>
                <w:szCs w:val="20"/>
                <w:lang w:eastAsia="zh-TW"/>
              </w:rPr>
              <w:t>。</w:t>
            </w:r>
          </w:p>
        </w:tc>
        <w:tc>
          <w:tcPr>
            <w:tcW w:w="1312" w:type="dxa"/>
          </w:tcPr>
          <w:p>
            <w:pPr>
              <w:snapToGrid w:val="0"/>
              <w:spacing w:line="288" w:lineRule="auto"/>
              <w:jc w:val="left"/>
              <w:rPr>
                <w:rFonts w:ascii="宋体" w:hAnsi="宋体" w:eastAsia="PMingLiU"/>
                <w:color w:val="000000"/>
                <w:sz w:val="20"/>
                <w:szCs w:val="20"/>
                <w:lang w:eastAsia="zh-TW"/>
              </w:rPr>
            </w:pPr>
            <w:r>
              <w:rPr>
                <w:rFonts w:hint="eastAsia" w:asciiTheme="minorEastAsia" w:hAnsiTheme="minorEastAsia" w:eastAsiaTheme="minorEastAsia" w:cstheme="minorEastAsia"/>
                <w:color w:val="000000"/>
                <w:sz w:val="20"/>
                <w:szCs w:val="20"/>
                <w:lang w:eastAsia="zh-TW"/>
              </w:rPr>
              <w:t>具有一定的共情能力，能够在日常生活护理中体谅、关怀老年人。</w:t>
            </w:r>
          </w:p>
        </w:tc>
        <w:tc>
          <w:tcPr>
            <w:tcW w:w="1150" w:type="dxa"/>
          </w:tcPr>
          <w:p>
            <w:pPr>
              <w:snapToGrid w:val="0"/>
              <w:spacing w:line="288" w:lineRule="auto"/>
              <w:jc w:val="left"/>
              <w:rPr>
                <w:rFonts w:ascii="宋体" w:hAnsi="宋体" w:eastAsia="PMingLiU"/>
                <w:color w:val="000000"/>
                <w:sz w:val="20"/>
                <w:szCs w:val="20"/>
                <w:lang w:eastAsia="zh-TW"/>
              </w:rPr>
            </w:pPr>
            <w:r>
              <w:rPr>
                <w:rFonts w:hint="eastAsia" w:ascii="宋体" w:hAnsi="宋体"/>
                <w:color w:val="000000"/>
                <w:sz w:val="20"/>
                <w:szCs w:val="20"/>
                <w:lang w:eastAsia="zh-TW"/>
              </w:rPr>
              <w:t>老年人进行语言和非语言的原则、老年人皮肤与衣着的照护原则、老年人的营养需求和饮食原则、老年人活动的注意事项。</w:t>
            </w:r>
          </w:p>
        </w:tc>
        <w:tc>
          <w:tcPr>
            <w:tcW w:w="430" w:type="dxa"/>
          </w:tcPr>
          <w:p>
            <w:pPr>
              <w:snapToGrid w:val="0"/>
              <w:spacing w:line="288" w:lineRule="auto"/>
              <w:jc w:val="left"/>
              <w:rPr>
                <w:rFonts w:ascii="Times New Roman" w:hAnsi="Times New Roman" w:eastAsia="PMingLiU"/>
                <w:color w:val="000000"/>
                <w:sz w:val="20"/>
                <w:szCs w:val="20"/>
                <w:lang w:eastAsia="zh-TW"/>
              </w:rPr>
            </w:pPr>
            <w:r>
              <w:rPr>
                <w:rFonts w:hint="eastAsia" w:ascii="Times New Roman" w:hAnsi="Times New Roman" w:eastAsia="PMingLiU"/>
                <w:color w:val="000000"/>
                <w:sz w:val="20"/>
                <w:szCs w:val="20"/>
                <w:lang w:eastAsia="zh-TW"/>
              </w:rPr>
              <w:t>4</w:t>
            </w:r>
          </w:p>
        </w:tc>
        <w:tc>
          <w:tcPr>
            <w:tcW w:w="430" w:type="dxa"/>
          </w:tcPr>
          <w:p>
            <w:pPr>
              <w:snapToGrid w:val="0"/>
              <w:spacing w:line="288" w:lineRule="auto"/>
              <w:jc w:val="left"/>
              <w:rPr>
                <w:rFonts w:ascii="Times New Roman" w:hAnsi="Times New Roman" w:eastAsia="PMingLiU"/>
                <w:color w:val="000000"/>
                <w:sz w:val="20"/>
                <w:szCs w:val="20"/>
                <w:lang w:eastAsia="zh-TW"/>
              </w:rPr>
            </w:pPr>
            <w:r>
              <w:rPr>
                <w:rFonts w:hint="eastAsia" w:ascii="Times New Roman" w:hAnsi="Times New Roman" w:eastAsia="PMingLiU"/>
                <w:color w:val="000000"/>
                <w:sz w:val="20"/>
                <w:szCs w:val="20"/>
                <w:lang w:eastAsia="zh-TW"/>
              </w:rPr>
              <w:t>2</w:t>
            </w:r>
          </w:p>
        </w:tc>
        <w:tc>
          <w:tcPr>
            <w:tcW w:w="504" w:type="dxa"/>
          </w:tcPr>
          <w:p>
            <w:pPr>
              <w:snapToGrid w:val="0"/>
              <w:spacing w:line="288" w:lineRule="auto"/>
              <w:jc w:val="left"/>
              <w:rPr>
                <w:rFonts w:ascii="Times New Roman" w:hAnsi="Times New Roman" w:eastAsia="PMingLiU"/>
                <w:color w:val="000000"/>
                <w:sz w:val="20"/>
                <w:szCs w:val="20"/>
                <w:lang w:eastAsia="zh-TW"/>
              </w:rPr>
            </w:pPr>
            <w:r>
              <w:rPr>
                <w:rFonts w:hint="eastAsia" w:ascii="Times New Roman" w:hAnsi="Times New Roman" w:eastAsia="PMingLiU"/>
                <w:color w:val="000000"/>
                <w:sz w:val="20"/>
                <w:szCs w:val="20"/>
                <w:lang w:eastAsia="zh-TW"/>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5</w:t>
            </w:r>
          </w:p>
        </w:tc>
        <w:tc>
          <w:tcPr>
            <w:tcW w:w="759" w:type="dxa"/>
            <w:vAlign w:val="center"/>
          </w:tcPr>
          <w:p>
            <w:pPr>
              <w:snapToGrid w:val="0"/>
              <w:spacing w:line="288" w:lineRule="auto"/>
              <w:jc w:val="center"/>
              <w:rPr>
                <w:rFonts w:ascii="宋体" w:hAnsi="宋体" w:eastAsia="PMingLiU"/>
                <w:color w:val="000000"/>
                <w:sz w:val="20"/>
                <w:szCs w:val="20"/>
                <w:lang w:eastAsia="zh-TW"/>
              </w:rPr>
            </w:pPr>
            <w:r>
              <w:rPr>
                <w:rFonts w:hint="eastAsia" w:asciiTheme="minorEastAsia" w:hAnsiTheme="minorEastAsia" w:eastAsiaTheme="minorEastAsia" w:cstheme="minorEastAsia"/>
                <w:color w:val="000000"/>
                <w:sz w:val="20"/>
                <w:szCs w:val="20"/>
                <w:lang w:eastAsia="zh-TW"/>
              </w:rPr>
              <w:t>老年综合征与护理</w:t>
            </w:r>
          </w:p>
        </w:tc>
        <w:tc>
          <w:tcPr>
            <w:tcW w:w="1812" w:type="dxa"/>
          </w:tcPr>
          <w:p>
            <w:pPr>
              <w:numPr>
                <w:ilvl w:val="0"/>
                <w:numId w:val="8"/>
              </w:numPr>
              <w:snapToGrid w:val="0"/>
              <w:spacing w:line="288" w:lineRule="auto"/>
              <w:jc w:val="left"/>
              <w:rPr>
                <w:rFonts w:asciiTheme="minorEastAsia" w:hAnsiTheme="minorEastAsia" w:eastAsiaTheme="minorEastAsia" w:cstheme="minorEastAsia"/>
                <w:color w:val="000000"/>
                <w:sz w:val="20"/>
                <w:szCs w:val="20"/>
                <w:lang w:eastAsia="zh-TW"/>
              </w:rPr>
            </w:pPr>
            <w:r>
              <w:rPr>
                <w:rFonts w:hint="eastAsia" w:asciiTheme="minorEastAsia" w:hAnsiTheme="minorEastAsia" w:eastAsiaTheme="minorEastAsia" w:cstheme="minorEastAsia"/>
                <w:color w:val="000000"/>
                <w:sz w:val="20"/>
                <w:szCs w:val="20"/>
                <w:lang w:eastAsia="zh-TW"/>
              </w:rPr>
              <w:t>陈述11个老年综合征的概念。</w:t>
            </w:r>
          </w:p>
          <w:p>
            <w:pPr>
              <w:numPr>
                <w:ilvl w:val="0"/>
                <w:numId w:val="8"/>
              </w:numPr>
              <w:snapToGrid w:val="0"/>
              <w:spacing w:line="288" w:lineRule="auto"/>
              <w:jc w:val="left"/>
              <w:rPr>
                <w:rFonts w:ascii="宋体" w:hAnsi="宋体" w:eastAsia="PMingLiU"/>
                <w:color w:val="000000"/>
                <w:sz w:val="20"/>
                <w:szCs w:val="20"/>
                <w:lang w:eastAsia="zh-TW"/>
              </w:rPr>
            </w:pPr>
            <w:r>
              <w:rPr>
                <w:rFonts w:hint="eastAsia" w:asciiTheme="minorEastAsia" w:hAnsiTheme="minorEastAsia" w:eastAsiaTheme="minorEastAsia" w:cstheme="minorEastAsia"/>
                <w:color w:val="000000"/>
                <w:sz w:val="20"/>
                <w:szCs w:val="20"/>
                <w:lang w:eastAsia="zh-TW"/>
              </w:rPr>
              <w:t>举例说明老年人的11个老年综合征的常见原因。</w:t>
            </w:r>
          </w:p>
          <w:p>
            <w:pPr>
              <w:numPr>
                <w:ilvl w:val="0"/>
                <w:numId w:val="8"/>
              </w:numPr>
              <w:snapToGrid w:val="0"/>
              <w:spacing w:line="288" w:lineRule="auto"/>
              <w:jc w:val="left"/>
              <w:rPr>
                <w:rFonts w:ascii="宋体" w:hAnsi="宋体" w:eastAsia="PMingLiU"/>
                <w:color w:val="000000"/>
                <w:sz w:val="20"/>
                <w:szCs w:val="20"/>
                <w:lang w:eastAsia="zh-TW"/>
              </w:rPr>
            </w:pPr>
            <w:r>
              <w:rPr>
                <w:rFonts w:hint="eastAsia" w:ascii="宋体" w:hAnsi="宋体" w:cs="宋体"/>
                <w:color w:val="000000"/>
                <w:sz w:val="20"/>
                <w:szCs w:val="20"/>
                <w:lang w:eastAsia="zh-TW"/>
              </w:rPr>
              <w:t>复述老年人的压疮照护。</w:t>
            </w:r>
          </w:p>
        </w:tc>
        <w:tc>
          <w:tcPr>
            <w:tcW w:w="1674" w:type="dxa"/>
          </w:tcPr>
          <w:p>
            <w:pPr>
              <w:numPr>
                <w:ilvl w:val="0"/>
                <w:numId w:val="9"/>
              </w:numPr>
              <w:snapToGrid w:val="0"/>
              <w:spacing w:line="288" w:lineRule="auto"/>
              <w:jc w:val="left"/>
              <w:rPr>
                <w:rFonts w:asciiTheme="minorEastAsia" w:hAnsiTheme="minorEastAsia" w:eastAsiaTheme="minorEastAsia" w:cstheme="minorEastAsia"/>
                <w:color w:val="000000"/>
                <w:sz w:val="20"/>
                <w:szCs w:val="20"/>
                <w:lang w:eastAsia="zh-TW"/>
              </w:rPr>
            </w:pPr>
            <w:r>
              <w:rPr>
                <w:rFonts w:hint="eastAsia" w:asciiTheme="minorEastAsia" w:hAnsiTheme="minorEastAsia" w:eastAsiaTheme="minorEastAsia" w:cstheme="minorEastAsia"/>
                <w:color w:val="000000"/>
                <w:sz w:val="20"/>
                <w:szCs w:val="20"/>
                <w:lang w:eastAsia="zh-TW"/>
              </w:rPr>
              <w:t>能针对11个老年综合征进行评估、找出健康问题，拟定照护计划。</w:t>
            </w:r>
          </w:p>
          <w:p>
            <w:pPr>
              <w:snapToGrid w:val="0"/>
              <w:spacing w:line="288" w:lineRule="auto"/>
              <w:jc w:val="left"/>
              <w:rPr>
                <w:rFonts w:asciiTheme="minorEastAsia" w:hAnsiTheme="minorEastAsia" w:eastAsiaTheme="minorEastAsia" w:cstheme="minorEastAsia"/>
                <w:color w:val="000000"/>
                <w:sz w:val="20"/>
                <w:szCs w:val="20"/>
                <w:lang w:eastAsia="zh-TW"/>
              </w:rPr>
            </w:pPr>
            <w:r>
              <w:rPr>
                <w:rFonts w:hint="eastAsia" w:ascii="宋体" w:hAnsi="宋体"/>
                <w:color w:val="000000"/>
                <w:sz w:val="20"/>
                <w:szCs w:val="20"/>
                <w:lang w:eastAsia="zh-TW"/>
              </w:rPr>
              <w:t>2.</w:t>
            </w:r>
            <w:r>
              <w:rPr>
                <w:rFonts w:ascii="宋体" w:hAnsi="宋体"/>
                <w:color w:val="000000"/>
                <w:sz w:val="20"/>
                <w:szCs w:val="20"/>
                <w:lang w:eastAsia="zh-TW"/>
              </w:rPr>
              <w:t>能协助进行Ⅲ度压疮老年人的照护</w:t>
            </w:r>
            <w:r>
              <w:rPr>
                <w:rFonts w:hint="eastAsia" w:ascii="宋体" w:hAnsi="宋体"/>
                <w:color w:val="000000"/>
                <w:sz w:val="20"/>
                <w:szCs w:val="20"/>
                <w:lang w:eastAsia="zh-TW"/>
              </w:rPr>
              <w:t>。</w:t>
            </w:r>
          </w:p>
        </w:tc>
        <w:tc>
          <w:tcPr>
            <w:tcW w:w="1312" w:type="dxa"/>
          </w:tcPr>
          <w:p>
            <w:pPr>
              <w:snapToGrid w:val="0"/>
              <w:spacing w:line="288" w:lineRule="auto"/>
              <w:jc w:val="left"/>
              <w:rPr>
                <w:rFonts w:ascii="宋体" w:hAnsi="宋体" w:eastAsia="PMingLiU"/>
                <w:color w:val="000000"/>
                <w:sz w:val="20"/>
                <w:szCs w:val="20"/>
                <w:lang w:eastAsia="zh-TW"/>
              </w:rPr>
            </w:pPr>
            <w:r>
              <w:rPr>
                <w:rFonts w:hint="eastAsia" w:asciiTheme="minorEastAsia" w:hAnsiTheme="minorEastAsia" w:eastAsiaTheme="minorEastAsia" w:cstheme="minorEastAsia"/>
                <w:color w:val="000000"/>
                <w:sz w:val="20"/>
                <w:szCs w:val="20"/>
                <w:lang w:eastAsia="zh-TW"/>
              </w:rPr>
              <w:t>重视老年综合征给老年人带来的影响，并给予老年人更多关爱。</w:t>
            </w:r>
          </w:p>
        </w:tc>
        <w:tc>
          <w:tcPr>
            <w:tcW w:w="1150" w:type="dxa"/>
          </w:tcPr>
          <w:p>
            <w:pPr>
              <w:snapToGrid w:val="0"/>
              <w:spacing w:line="288" w:lineRule="auto"/>
              <w:jc w:val="left"/>
              <w:rPr>
                <w:rFonts w:ascii="宋体" w:hAnsi="宋体" w:eastAsia="PMingLiU"/>
                <w:color w:val="000000"/>
                <w:sz w:val="20"/>
                <w:szCs w:val="20"/>
                <w:lang w:eastAsia="zh-TW"/>
              </w:rPr>
            </w:pPr>
            <w:r>
              <w:rPr>
                <w:rFonts w:hint="eastAsia" w:asciiTheme="minorEastAsia" w:hAnsiTheme="minorEastAsia" w:eastAsiaTheme="minorEastAsia" w:cstheme="minorEastAsia"/>
                <w:color w:val="000000"/>
                <w:sz w:val="20"/>
                <w:szCs w:val="20"/>
                <w:lang w:eastAsia="zh-TW"/>
              </w:rPr>
              <w:t>11个老年综合征、</w:t>
            </w:r>
            <w:r>
              <w:rPr>
                <w:rFonts w:hint="eastAsia" w:ascii="宋体" w:hAnsi="宋体"/>
                <w:color w:val="000000"/>
                <w:sz w:val="20"/>
                <w:szCs w:val="20"/>
                <w:lang w:eastAsia="zh-TW"/>
              </w:rPr>
              <w:t>老年人的压疮照护</w:t>
            </w:r>
          </w:p>
        </w:tc>
        <w:tc>
          <w:tcPr>
            <w:tcW w:w="430" w:type="dxa"/>
          </w:tcPr>
          <w:p>
            <w:pPr>
              <w:snapToGrid w:val="0"/>
              <w:spacing w:line="288" w:lineRule="auto"/>
              <w:jc w:val="left"/>
              <w:rPr>
                <w:rFonts w:ascii="Times New Roman" w:hAnsi="Times New Roman" w:eastAsia="PMingLiU"/>
                <w:color w:val="000000"/>
                <w:sz w:val="20"/>
                <w:szCs w:val="20"/>
                <w:lang w:eastAsia="zh-TW"/>
              </w:rPr>
            </w:pPr>
            <w:r>
              <w:rPr>
                <w:rFonts w:hint="eastAsia" w:ascii="Times New Roman" w:hAnsi="Times New Roman" w:eastAsia="PMingLiU"/>
                <w:color w:val="000000"/>
                <w:sz w:val="20"/>
                <w:szCs w:val="20"/>
                <w:lang w:eastAsia="zh-TW"/>
              </w:rPr>
              <w:t>4</w:t>
            </w:r>
          </w:p>
        </w:tc>
        <w:tc>
          <w:tcPr>
            <w:tcW w:w="430" w:type="dxa"/>
          </w:tcPr>
          <w:p>
            <w:pPr>
              <w:snapToGrid w:val="0"/>
              <w:spacing w:line="288" w:lineRule="auto"/>
              <w:jc w:val="left"/>
              <w:rPr>
                <w:rFonts w:ascii="Times New Roman" w:hAnsi="Times New Roman" w:eastAsia="PMingLiU"/>
                <w:color w:val="000000"/>
                <w:sz w:val="20"/>
                <w:szCs w:val="20"/>
                <w:lang w:eastAsia="zh-TW"/>
              </w:rPr>
            </w:pPr>
            <w:r>
              <w:rPr>
                <w:rFonts w:ascii="Times New Roman" w:hAnsi="Times New Roman" w:eastAsia="PMingLiU"/>
                <w:color w:val="000000"/>
                <w:sz w:val="20"/>
                <w:szCs w:val="20"/>
                <w:lang w:eastAsia="zh-TW"/>
              </w:rPr>
              <w:t>2</w:t>
            </w:r>
          </w:p>
        </w:tc>
        <w:tc>
          <w:tcPr>
            <w:tcW w:w="504" w:type="dxa"/>
          </w:tcPr>
          <w:p>
            <w:pPr>
              <w:snapToGrid w:val="0"/>
              <w:spacing w:line="288" w:lineRule="auto"/>
              <w:jc w:val="left"/>
              <w:rPr>
                <w:rFonts w:ascii="Times New Roman" w:hAnsi="Times New Roman" w:eastAsia="PMingLiU"/>
                <w:color w:val="000000"/>
                <w:sz w:val="20"/>
                <w:szCs w:val="20"/>
                <w:lang w:eastAsia="zh-TW"/>
              </w:rPr>
            </w:pPr>
            <w:r>
              <w:rPr>
                <w:rFonts w:hint="eastAsia" w:ascii="Times New Roman" w:hAnsi="Times New Roman" w:eastAsia="PMingLiU"/>
                <w:color w:val="000000"/>
                <w:sz w:val="20"/>
                <w:szCs w:val="20"/>
                <w:lang w:eastAsia="zh-TW"/>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6</w:t>
            </w:r>
          </w:p>
        </w:tc>
        <w:tc>
          <w:tcPr>
            <w:tcW w:w="759" w:type="dxa"/>
            <w:vAlign w:val="center"/>
          </w:tcPr>
          <w:p>
            <w:pPr>
              <w:snapToGrid w:val="0"/>
              <w:spacing w:line="288" w:lineRule="auto"/>
              <w:jc w:val="center"/>
              <w:rPr>
                <w:rFonts w:ascii="宋体" w:hAnsi="宋体" w:eastAsia="PMingLiU"/>
                <w:color w:val="000000"/>
                <w:sz w:val="20"/>
                <w:szCs w:val="20"/>
                <w:lang w:eastAsia="zh-TW"/>
              </w:rPr>
            </w:pPr>
            <w:r>
              <w:rPr>
                <w:rFonts w:hint="eastAsia" w:asciiTheme="minorEastAsia" w:hAnsiTheme="minorEastAsia" w:eastAsiaTheme="minorEastAsia" w:cstheme="minorEastAsia"/>
                <w:color w:val="000000"/>
                <w:sz w:val="20"/>
                <w:szCs w:val="20"/>
                <w:lang w:eastAsia="zh-TW"/>
              </w:rPr>
              <w:t>老年人常见疾病与护理</w:t>
            </w:r>
          </w:p>
        </w:tc>
        <w:tc>
          <w:tcPr>
            <w:tcW w:w="1812" w:type="dxa"/>
          </w:tcPr>
          <w:p>
            <w:pPr>
              <w:numPr>
                <w:ilvl w:val="0"/>
                <w:numId w:val="10"/>
              </w:numPr>
              <w:snapToGrid w:val="0"/>
              <w:spacing w:line="288" w:lineRule="auto"/>
              <w:jc w:val="left"/>
              <w:rPr>
                <w:rFonts w:asciiTheme="minorEastAsia" w:hAnsiTheme="minorEastAsia" w:eastAsiaTheme="minorEastAsia" w:cstheme="minorEastAsia"/>
                <w:color w:val="000000"/>
                <w:sz w:val="20"/>
                <w:szCs w:val="20"/>
                <w:lang w:eastAsia="zh-TW"/>
              </w:rPr>
            </w:pPr>
            <w:r>
              <w:rPr>
                <w:rFonts w:hint="eastAsia" w:asciiTheme="minorEastAsia" w:hAnsiTheme="minorEastAsia" w:eastAsiaTheme="minorEastAsia" w:cstheme="minorEastAsia"/>
                <w:color w:val="000000"/>
                <w:sz w:val="20"/>
                <w:szCs w:val="20"/>
                <w:lang w:eastAsia="zh-TW"/>
              </w:rPr>
              <w:t>陈述老年常见慢性疾病的概念。</w:t>
            </w:r>
          </w:p>
          <w:p>
            <w:pPr>
              <w:numPr>
                <w:ilvl w:val="0"/>
                <w:numId w:val="10"/>
              </w:numPr>
              <w:snapToGrid w:val="0"/>
              <w:spacing w:line="288" w:lineRule="auto"/>
              <w:jc w:val="left"/>
              <w:rPr>
                <w:rFonts w:asciiTheme="minorEastAsia" w:hAnsiTheme="minorEastAsia" w:eastAsiaTheme="minorEastAsia" w:cstheme="minorEastAsia"/>
                <w:color w:val="000000"/>
                <w:sz w:val="20"/>
                <w:szCs w:val="20"/>
                <w:lang w:eastAsia="zh-TW"/>
              </w:rPr>
            </w:pPr>
            <w:r>
              <w:rPr>
                <w:rFonts w:hint="eastAsia" w:asciiTheme="minorEastAsia" w:hAnsiTheme="minorEastAsia" w:eastAsiaTheme="minorEastAsia" w:cstheme="minorEastAsia"/>
                <w:color w:val="000000"/>
                <w:sz w:val="20"/>
                <w:szCs w:val="20"/>
                <w:lang w:eastAsia="zh-TW"/>
              </w:rPr>
              <w:t>归纳老年常见慢性病的典型症状、体征。</w:t>
            </w:r>
          </w:p>
          <w:p>
            <w:pPr>
              <w:numPr>
                <w:ilvl w:val="0"/>
                <w:numId w:val="10"/>
              </w:numPr>
              <w:snapToGrid w:val="0"/>
              <w:spacing w:line="288" w:lineRule="auto"/>
              <w:jc w:val="left"/>
              <w:rPr>
                <w:rFonts w:ascii="宋体" w:hAnsi="宋体" w:eastAsia="PMingLiU"/>
                <w:color w:val="000000"/>
                <w:sz w:val="20"/>
                <w:szCs w:val="20"/>
                <w:lang w:eastAsia="zh-TW"/>
              </w:rPr>
            </w:pPr>
            <w:r>
              <w:rPr>
                <w:rFonts w:hint="eastAsia" w:asciiTheme="minorEastAsia" w:hAnsiTheme="minorEastAsia" w:eastAsiaTheme="minorEastAsia" w:cstheme="minorEastAsia"/>
                <w:color w:val="000000"/>
                <w:sz w:val="20"/>
                <w:szCs w:val="20"/>
                <w:lang w:eastAsia="zh-TW"/>
              </w:rPr>
              <w:t>认识老年常见慢性疾病的护理措施。</w:t>
            </w:r>
          </w:p>
        </w:tc>
        <w:tc>
          <w:tcPr>
            <w:tcW w:w="1674" w:type="dxa"/>
          </w:tcPr>
          <w:p>
            <w:pPr>
              <w:snapToGrid w:val="0"/>
              <w:spacing w:line="288" w:lineRule="auto"/>
              <w:jc w:val="left"/>
              <w:rPr>
                <w:rFonts w:ascii="宋体" w:hAnsi="宋体" w:eastAsia="PMingLiU"/>
                <w:color w:val="000000"/>
                <w:sz w:val="20"/>
                <w:szCs w:val="20"/>
                <w:lang w:eastAsia="zh-TW"/>
              </w:rPr>
            </w:pPr>
            <w:r>
              <w:rPr>
                <w:rFonts w:hint="eastAsia" w:asciiTheme="minorEastAsia" w:hAnsiTheme="minorEastAsia" w:eastAsiaTheme="minorEastAsia" w:cstheme="minorEastAsia"/>
                <w:color w:val="000000"/>
                <w:sz w:val="20"/>
                <w:szCs w:val="20"/>
                <w:lang w:eastAsia="zh-TW"/>
              </w:rPr>
              <w:t>能举例说出老年常见慢性疾病的健康问题</w:t>
            </w:r>
          </w:p>
        </w:tc>
        <w:tc>
          <w:tcPr>
            <w:tcW w:w="1312" w:type="dxa"/>
          </w:tcPr>
          <w:p>
            <w:pPr>
              <w:snapToGrid w:val="0"/>
              <w:spacing w:line="288" w:lineRule="auto"/>
              <w:jc w:val="left"/>
              <w:rPr>
                <w:rFonts w:ascii="宋体" w:hAnsi="宋体" w:eastAsia="PMingLiU"/>
                <w:color w:val="000000"/>
                <w:sz w:val="20"/>
                <w:szCs w:val="20"/>
                <w:lang w:eastAsia="zh-TW"/>
              </w:rPr>
            </w:pPr>
            <w:r>
              <w:rPr>
                <w:rFonts w:hint="eastAsia" w:asciiTheme="minorEastAsia" w:hAnsiTheme="minorEastAsia" w:eastAsiaTheme="minorEastAsia" w:cstheme="minorEastAsia"/>
                <w:color w:val="000000"/>
                <w:sz w:val="20"/>
                <w:szCs w:val="20"/>
                <w:lang w:eastAsia="zh-TW"/>
              </w:rPr>
              <w:t>通过实践和病例讨论，具有慎独的职业精神和爱伤的专业情感。</w:t>
            </w:r>
          </w:p>
        </w:tc>
        <w:tc>
          <w:tcPr>
            <w:tcW w:w="1150" w:type="dxa"/>
          </w:tcPr>
          <w:p>
            <w:pPr>
              <w:snapToGrid w:val="0"/>
              <w:spacing w:line="288" w:lineRule="auto"/>
              <w:jc w:val="left"/>
              <w:rPr>
                <w:rFonts w:ascii="宋体" w:hAnsi="宋体" w:eastAsia="PMingLiU"/>
                <w:color w:val="000000"/>
                <w:sz w:val="20"/>
                <w:szCs w:val="20"/>
                <w:lang w:eastAsia="zh-TW"/>
              </w:rPr>
            </w:pPr>
            <w:r>
              <w:rPr>
                <w:rFonts w:hint="eastAsia" w:asciiTheme="minorEastAsia" w:hAnsiTheme="minorEastAsia" w:eastAsiaTheme="minorEastAsia" w:cstheme="minorEastAsia"/>
                <w:color w:val="000000"/>
                <w:sz w:val="20"/>
                <w:szCs w:val="20"/>
                <w:lang w:eastAsia="zh-TW"/>
              </w:rPr>
              <w:t>老年人常见慢性病的护理措施</w:t>
            </w:r>
          </w:p>
        </w:tc>
        <w:tc>
          <w:tcPr>
            <w:tcW w:w="430" w:type="dxa"/>
          </w:tcPr>
          <w:p>
            <w:pPr>
              <w:snapToGrid w:val="0"/>
              <w:spacing w:line="288" w:lineRule="auto"/>
              <w:jc w:val="left"/>
              <w:rPr>
                <w:rFonts w:ascii="Times New Roman" w:hAnsi="Times New Roman" w:eastAsia="PMingLiU"/>
                <w:color w:val="000000"/>
                <w:sz w:val="20"/>
                <w:szCs w:val="20"/>
                <w:lang w:eastAsia="zh-TW"/>
              </w:rPr>
            </w:pPr>
            <w:r>
              <w:rPr>
                <w:rFonts w:hint="eastAsia" w:ascii="Times New Roman" w:hAnsi="Times New Roman" w:eastAsia="PMingLiU"/>
                <w:color w:val="000000"/>
                <w:sz w:val="20"/>
                <w:szCs w:val="20"/>
                <w:lang w:eastAsia="zh-TW"/>
              </w:rPr>
              <w:t>4</w:t>
            </w:r>
          </w:p>
        </w:tc>
        <w:tc>
          <w:tcPr>
            <w:tcW w:w="430" w:type="dxa"/>
          </w:tcPr>
          <w:p>
            <w:pPr>
              <w:snapToGrid w:val="0"/>
              <w:spacing w:line="288" w:lineRule="auto"/>
              <w:jc w:val="left"/>
              <w:rPr>
                <w:rFonts w:ascii="Times New Roman" w:hAnsi="Times New Roman" w:eastAsia="PMingLiU"/>
                <w:color w:val="000000"/>
                <w:sz w:val="20"/>
                <w:szCs w:val="20"/>
                <w:lang w:eastAsia="zh-TW"/>
              </w:rPr>
            </w:pPr>
            <w:r>
              <w:rPr>
                <w:rFonts w:hint="eastAsia" w:ascii="Times New Roman" w:hAnsi="Times New Roman" w:eastAsia="PMingLiU"/>
                <w:color w:val="000000"/>
                <w:sz w:val="20"/>
                <w:szCs w:val="20"/>
                <w:lang w:eastAsia="zh-TW"/>
              </w:rPr>
              <w:t>2</w:t>
            </w:r>
          </w:p>
        </w:tc>
        <w:tc>
          <w:tcPr>
            <w:tcW w:w="504" w:type="dxa"/>
          </w:tcPr>
          <w:p>
            <w:pPr>
              <w:snapToGrid w:val="0"/>
              <w:spacing w:line="288" w:lineRule="auto"/>
              <w:jc w:val="left"/>
              <w:rPr>
                <w:rFonts w:ascii="Times New Roman" w:hAnsi="Times New Roman" w:eastAsia="PMingLiU"/>
                <w:color w:val="000000"/>
                <w:sz w:val="20"/>
                <w:szCs w:val="20"/>
                <w:lang w:eastAsia="zh-TW"/>
              </w:rPr>
            </w:pPr>
            <w:r>
              <w:rPr>
                <w:rFonts w:hint="eastAsia" w:ascii="Times New Roman" w:hAnsi="Times New Roman" w:eastAsia="PMingLiU"/>
                <w:color w:val="000000"/>
                <w:sz w:val="20"/>
                <w:szCs w:val="20"/>
                <w:lang w:eastAsia="zh-TW"/>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eastAsia="PMingLiU"/>
                <w:color w:val="000000"/>
                <w:sz w:val="20"/>
                <w:szCs w:val="20"/>
                <w:lang w:eastAsia="zh-TW"/>
              </w:rPr>
            </w:pPr>
            <w:r>
              <w:rPr>
                <w:rFonts w:hint="eastAsia" w:ascii="宋体" w:hAnsi="宋体" w:eastAsia="PMingLiU"/>
                <w:color w:val="000000"/>
                <w:sz w:val="20"/>
                <w:szCs w:val="20"/>
                <w:lang w:eastAsia="zh-TW"/>
              </w:rPr>
              <w:t>7</w:t>
            </w:r>
          </w:p>
        </w:tc>
        <w:tc>
          <w:tcPr>
            <w:tcW w:w="759" w:type="dxa"/>
            <w:vAlign w:val="center"/>
          </w:tcPr>
          <w:p>
            <w:pPr>
              <w:snapToGrid w:val="0"/>
              <w:spacing w:line="288" w:lineRule="auto"/>
              <w:jc w:val="center"/>
              <w:rPr>
                <w:rFonts w:ascii="宋体" w:hAnsi="宋体" w:eastAsia="PMingLiU"/>
                <w:color w:val="000000"/>
                <w:sz w:val="20"/>
                <w:szCs w:val="20"/>
                <w:lang w:eastAsia="zh-TW"/>
              </w:rPr>
            </w:pPr>
            <w:r>
              <w:rPr>
                <w:rFonts w:hint="eastAsia" w:asciiTheme="minorEastAsia" w:hAnsiTheme="minorEastAsia" w:eastAsiaTheme="minorEastAsia" w:cstheme="minorEastAsia"/>
                <w:color w:val="000000"/>
                <w:sz w:val="20"/>
                <w:szCs w:val="20"/>
                <w:lang w:eastAsia="zh-TW"/>
              </w:rPr>
              <w:t>老年人的心理卫生与精神护理</w:t>
            </w:r>
          </w:p>
        </w:tc>
        <w:tc>
          <w:tcPr>
            <w:tcW w:w="1812" w:type="dxa"/>
          </w:tcPr>
          <w:p>
            <w:pPr>
              <w:numPr>
                <w:ilvl w:val="0"/>
                <w:numId w:val="11"/>
              </w:numPr>
              <w:snapToGrid w:val="0"/>
              <w:spacing w:line="288" w:lineRule="auto"/>
              <w:jc w:val="left"/>
              <w:rPr>
                <w:rFonts w:asciiTheme="minorEastAsia" w:hAnsiTheme="minorEastAsia" w:eastAsiaTheme="minorEastAsia" w:cstheme="minorEastAsia"/>
                <w:color w:val="000000"/>
                <w:sz w:val="20"/>
                <w:szCs w:val="20"/>
                <w:lang w:eastAsia="zh-TW"/>
              </w:rPr>
            </w:pPr>
            <w:r>
              <w:rPr>
                <w:rFonts w:hint="eastAsia" w:asciiTheme="minorEastAsia" w:hAnsiTheme="minorEastAsia" w:eastAsiaTheme="minorEastAsia" w:cstheme="minorEastAsia"/>
                <w:color w:val="000000"/>
                <w:sz w:val="20"/>
                <w:szCs w:val="20"/>
                <w:lang w:eastAsia="zh-TW"/>
              </w:rPr>
              <w:t>陈述老年人心里变化特点、老年心理健康标准、常见心理问题的主要表现、老年期抑郁症特有临床表现</w:t>
            </w:r>
          </w:p>
          <w:p>
            <w:pPr>
              <w:numPr>
                <w:ilvl w:val="0"/>
                <w:numId w:val="11"/>
              </w:numPr>
              <w:snapToGrid w:val="0"/>
              <w:spacing w:line="288" w:lineRule="auto"/>
              <w:jc w:val="left"/>
              <w:rPr>
                <w:rFonts w:asciiTheme="minorEastAsia" w:hAnsiTheme="minorEastAsia" w:eastAsiaTheme="minorEastAsia" w:cstheme="minorEastAsia"/>
                <w:color w:val="000000"/>
                <w:sz w:val="20"/>
                <w:szCs w:val="20"/>
                <w:lang w:eastAsia="zh-TW"/>
              </w:rPr>
            </w:pPr>
            <w:r>
              <w:rPr>
                <w:rFonts w:hint="eastAsia" w:asciiTheme="minorEastAsia" w:hAnsiTheme="minorEastAsia" w:eastAsiaTheme="minorEastAsia" w:cstheme="minorEastAsia"/>
                <w:color w:val="000000"/>
                <w:sz w:val="20"/>
                <w:szCs w:val="20"/>
                <w:lang w:eastAsia="zh-TW"/>
              </w:rPr>
              <w:t>区别阿兹海默症与血管型认知症、阿兹海默症临床分期及表现、老年谵妄与认知症。</w:t>
            </w:r>
          </w:p>
          <w:p>
            <w:pPr>
              <w:numPr>
                <w:ilvl w:val="0"/>
                <w:numId w:val="11"/>
              </w:numPr>
              <w:snapToGrid w:val="0"/>
              <w:spacing w:line="288" w:lineRule="auto"/>
              <w:jc w:val="left"/>
              <w:rPr>
                <w:rFonts w:ascii="宋体" w:hAnsi="宋体" w:eastAsia="PMingLiU"/>
                <w:color w:val="000000"/>
                <w:sz w:val="20"/>
                <w:szCs w:val="20"/>
                <w:lang w:eastAsia="zh-TW"/>
              </w:rPr>
            </w:pPr>
            <w:r>
              <w:rPr>
                <w:rFonts w:hint="eastAsia" w:asciiTheme="minorEastAsia" w:hAnsiTheme="minorEastAsia" w:eastAsiaTheme="minorEastAsia" w:cstheme="minorEastAsia"/>
                <w:color w:val="000000"/>
                <w:sz w:val="20"/>
                <w:szCs w:val="20"/>
                <w:lang w:eastAsia="zh-TW"/>
              </w:rPr>
              <w:t>解释老年人心理变化的影响因素，导致老年人常见心理问题和精神障碍的原因。</w:t>
            </w:r>
          </w:p>
        </w:tc>
        <w:tc>
          <w:tcPr>
            <w:tcW w:w="1674" w:type="dxa"/>
          </w:tcPr>
          <w:p>
            <w:pPr>
              <w:snapToGrid w:val="0"/>
              <w:spacing w:line="288" w:lineRule="auto"/>
              <w:jc w:val="left"/>
              <w:rPr>
                <w:rFonts w:ascii="宋体" w:hAnsi="宋体" w:eastAsia="PMingLiU"/>
                <w:color w:val="000000"/>
                <w:sz w:val="20"/>
                <w:szCs w:val="20"/>
                <w:lang w:eastAsia="zh-TW"/>
              </w:rPr>
            </w:pPr>
            <w:r>
              <w:rPr>
                <w:rFonts w:hint="eastAsia" w:asciiTheme="minorEastAsia" w:hAnsiTheme="minorEastAsia" w:eastAsiaTheme="minorEastAsia" w:cstheme="minorEastAsia"/>
                <w:color w:val="000000"/>
                <w:sz w:val="20"/>
                <w:szCs w:val="20"/>
                <w:lang w:eastAsia="zh-TW"/>
              </w:rPr>
              <w:t>能完成老年人主要心理问题的综合评估并制定维护与促进老年人心理健康的护理计划</w:t>
            </w:r>
          </w:p>
        </w:tc>
        <w:tc>
          <w:tcPr>
            <w:tcW w:w="1312" w:type="dxa"/>
          </w:tcPr>
          <w:p>
            <w:pPr>
              <w:snapToGrid w:val="0"/>
              <w:spacing w:line="288" w:lineRule="auto"/>
              <w:jc w:val="left"/>
              <w:rPr>
                <w:rFonts w:ascii="宋体" w:hAnsi="宋体" w:eastAsia="PMingLiU"/>
                <w:color w:val="000000"/>
                <w:sz w:val="20"/>
                <w:szCs w:val="20"/>
                <w:lang w:eastAsia="zh-TW"/>
              </w:rPr>
            </w:pPr>
            <w:r>
              <w:rPr>
                <w:rFonts w:hint="eastAsia" w:asciiTheme="minorEastAsia" w:hAnsiTheme="minorEastAsia" w:eastAsiaTheme="minorEastAsia" w:cstheme="minorEastAsia"/>
                <w:color w:val="000000"/>
                <w:sz w:val="20"/>
                <w:szCs w:val="20"/>
                <w:lang w:eastAsia="zh-TW"/>
              </w:rPr>
              <w:t>坚持爱老、敬老、耐心、责任心、恒心。</w:t>
            </w:r>
          </w:p>
        </w:tc>
        <w:tc>
          <w:tcPr>
            <w:tcW w:w="1150" w:type="dxa"/>
          </w:tcPr>
          <w:p>
            <w:pPr>
              <w:snapToGrid w:val="0"/>
              <w:spacing w:line="288" w:lineRule="auto"/>
              <w:jc w:val="left"/>
              <w:rPr>
                <w:rFonts w:ascii="宋体" w:hAnsi="宋体" w:eastAsia="PMingLiU"/>
                <w:color w:val="000000"/>
                <w:sz w:val="20"/>
                <w:szCs w:val="20"/>
                <w:lang w:eastAsia="zh-TW"/>
              </w:rPr>
            </w:pPr>
            <w:r>
              <w:rPr>
                <w:rFonts w:hint="eastAsia" w:asciiTheme="minorEastAsia" w:hAnsiTheme="minorEastAsia" w:eastAsiaTheme="minorEastAsia" w:cstheme="minorEastAsia"/>
                <w:color w:val="000000"/>
                <w:sz w:val="20"/>
                <w:szCs w:val="20"/>
                <w:lang w:eastAsia="zh-TW"/>
              </w:rPr>
              <w:t>老年期抑郁症、认知症、谵妄</w:t>
            </w:r>
          </w:p>
        </w:tc>
        <w:tc>
          <w:tcPr>
            <w:tcW w:w="430" w:type="dxa"/>
          </w:tcPr>
          <w:p>
            <w:pPr>
              <w:snapToGrid w:val="0"/>
              <w:spacing w:line="288" w:lineRule="auto"/>
              <w:jc w:val="left"/>
              <w:rPr>
                <w:rFonts w:ascii="Times New Roman" w:hAnsi="Times New Roman" w:eastAsia="PMingLiU"/>
                <w:color w:val="000000"/>
                <w:sz w:val="20"/>
                <w:szCs w:val="20"/>
                <w:lang w:eastAsia="zh-TW"/>
              </w:rPr>
            </w:pPr>
            <w:r>
              <w:rPr>
                <w:rFonts w:hint="eastAsia" w:ascii="Times New Roman" w:hAnsi="Times New Roman" w:eastAsia="PMingLiU"/>
                <w:color w:val="000000"/>
                <w:sz w:val="20"/>
                <w:szCs w:val="20"/>
                <w:lang w:eastAsia="zh-TW"/>
              </w:rPr>
              <w:t>4</w:t>
            </w:r>
          </w:p>
        </w:tc>
        <w:tc>
          <w:tcPr>
            <w:tcW w:w="430" w:type="dxa"/>
          </w:tcPr>
          <w:p>
            <w:pPr>
              <w:snapToGrid w:val="0"/>
              <w:spacing w:line="288" w:lineRule="auto"/>
              <w:jc w:val="left"/>
              <w:rPr>
                <w:rFonts w:ascii="Times New Roman" w:hAnsi="Times New Roman" w:eastAsia="PMingLiU"/>
                <w:color w:val="000000"/>
                <w:sz w:val="20"/>
                <w:szCs w:val="20"/>
                <w:lang w:eastAsia="zh-TW"/>
              </w:rPr>
            </w:pPr>
            <w:r>
              <w:rPr>
                <w:rFonts w:hint="eastAsia" w:ascii="Times New Roman" w:hAnsi="Times New Roman" w:eastAsia="PMingLiU"/>
                <w:color w:val="000000"/>
                <w:sz w:val="20"/>
                <w:szCs w:val="20"/>
                <w:lang w:eastAsia="zh-TW"/>
              </w:rPr>
              <w:t>0</w:t>
            </w:r>
          </w:p>
        </w:tc>
        <w:tc>
          <w:tcPr>
            <w:tcW w:w="504" w:type="dxa"/>
          </w:tcPr>
          <w:p>
            <w:pPr>
              <w:snapToGrid w:val="0"/>
              <w:spacing w:line="288" w:lineRule="auto"/>
              <w:jc w:val="left"/>
              <w:rPr>
                <w:rFonts w:ascii="Times New Roman" w:hAnsi="Times New Roman" w:eastAsia="PMingLiU"/>
                <w:color w:val="000000"/>
                <w:sz w:val="20"/>
                <w:szCs w:val="20"/>
                <w:lang w:eastAsia="zh-TW"/>
              </w:rPr>
            </w:pPr>
            <w:r>
              <w:rPr>
                <w:rFonts w:hint="eastAsia" w:ascii="Times New Roman" w:hAnsi="Times New Roman" w:eastAsia="PMingLiU"/>
                <w:color w:val="000000"/>
                <w:sz w:val="20"/>
                <w:szCs w:val="20"/>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eastAsia="PMingLiU"/>
                <w:color w:val="000000"/>
                <w:sz w:val="20"/>
                <w:szCs w:val="20"/>
                <w:lang w:eastAsia="zh-TW"/>
              </w:rPr>
            </w:pPr>
            <w:r>
              <w:rPr>
                <w:rFonts w:hint="eastAsia" w:ascii="宋体" w:hAnsi="宋体" w:eastAsia="PMingLiU"/>
                <w:color w:val="000000"/>
                <w:sz w:val="20"/>
                <w:szCs w:val="20"/>
                <w:lang w:eastAsia="zh-TW"/>
              </w:rPr>
              <w:t>8</w:t>
            </w:r>
          </w:p>
        </w:tc>
        <w:tc>
          <w:tcPr>
            <w:tcW w:w="759" w:type="dxa"/>
            <w:vAlign w:val="center"/>
          </w:tcPr>
          <w:p>
            <w:pPr>
              <w:snapToGrid w:val="0"/>
              <w:spacing w:line="288" w:lineRule="auto"/>
              <w:jc w:val="center"/>
              <w:rPr>
                <w:rFonts w:ascii="宋体" w:hAnsi="宋体" w:eastAsia="PMingLiU"/>
                <w:color w:val="000000"/>
                <w:sz w:val="20"/>
                <w:szCs w:val="20"/>
                <w:lang w:eastAsia="zh-TW"/>
              </w:rPr>
            </w:pPr>
            <w:r>
              <w:rPr>
                <w:rFonts w:hint="eastAsia" w:asciiTheme="minorEastAsia" w:hAnsiTheme="minorEastAsia" w:eastAsiaTheme="minorEastAsia" w:cstheme="minorEastAsia"/>
                <w:color w:val="000000"/>
                <w:sz w:val="20"/>
                <w:szCs w:val="20"/>
                <w:lang w:eastAsia="zh-TW"/>
              </w:rPr>
              <w:t>老年人安全与环境护理</w:t>
            </w:r>
          </w:p>
        </w:tc>
        <w:tc>
          <w:tcPr>
            <w:tcW w:w="1812" w:type="dxa"/>
          </w:tcPr>
          <w:p>
            <w:pPr>
              <w:numPr>
                <w:ilvl w:val="0"/>
                <w:numId w:val="12"/>
              </w:numPr>
              <w:snapToGrid w:val="0"/>
              <w:spacing w:line="288" w:lineRule="auto"/>
              <w:jc w:val="left"/>
              <w:rPr>
                <w:rFonts w:asciiTheme="minorEastAsia" w:hAnsiTheme="minorEastAsia" w:eastAsiaTheme="minorEastAsia" w:cstheme="minorEastAsia"/>
                <w:color w:val="000000"/>
                <w:sz w:val="20"/>
                <w:szCs w:val="20"/>
                <w:lang w:eastAsia="zh-TW"/>
              </w:rPr>
            </w:pPr>
            <w:r>
              <w:rPr>
                <w:rFonts w:hint="eastAsia" w:asciiTheme="minorEastAsia" w:hAnsiTheme="minorEastAsia" w:eastAsiaTheme="minorEastAsia" w:cstheme="minorEastAsia"/>
                <w:color w:val="000000"/>
                <w:sz w:val="20"/>
                <w:szCs w:val="20"/>
                <w:lang w:eastAsia="zh-TW"/>
              </w:rPr>
              <w:t>说明适老化环境的创设原则及要点。</w:t>
            </w:r>
          </w:p>
          <w:p>
            <w:pPr>
              <w:numPr>
                <w:ilvl w:val="0"/>
                <w:numId w:val="12"/>
              </w:numPr>
              <w:snapToGrid w:val="0"/>
              <w:spacing w:line="288" w:lineRule="auto"/>
              <w:jc w:val="left"/>
              <w:rPr>
                <w:rFonts w:asciiTheme="minorEastAsia" w:hAnsiTheme="minorEastAsia" w:eastAsiaTheme="minorEastAsia" w:cstheme="minorEastAsia"/>
                <w:color w:val="000000"/>
                <w:sz w:val="20"/>
                <w:szCs w:val="20"/>
                <w:lang w:eastAsia="zh-TW"/>
              </w:rPr>
            </w:pPr>
            <w:r>
              <w:rPr>
                <w:rFonts w:hint="eastAsia" w:asciiTheme="minorEastAsia" w:hAnsiTheme="minorEastAsia" w:eastAsiaTheme="minorEastAsia" w:cstheme="minorEastAsia"/>
                <w:color w:val="000000"/>
                <w:sz w:val="20"/>
                <w:szCs w:val="20"/>
                <w:lang w:eastAsia="zh-TW"/>
              </w:rPr>
              <w:t>复述老年人常见意外伤害的预防及因应措施。</w:t>
            </w:r>
          </w:p>
          <w:p>
            <w:pPr>
              <w:numPr>
                <w:ilvl w:val="0"/>
                <w:numId w:val="12"/>
              </w:numPr>
              <w:snapToGrid w:val="0"/>
              <w:spacing w:line="288" w:lineRule="auto"/>
              <w:jc w:val="left"/>
              <w:rPr>
                <w:rFonts w:asciiTheme="minorEastAsia" w:hAnsiTheme="minorEastAsia" w:eastAsiaTheme="minorEastAsia" w:cstheme="minorEastAsia"/>
                <w:color w:val="000000"/>
                <w:sz w:val="20"/>
                <w:szCs w:val="20"/>
                <w:lang w:eastAsia="zh-TW"/>
              </w:rPr>
            </w:pPr>
            <w:r>
              <w:rPr>
                <w:rFonts w:hint="eastAsia" w:asciiTheme="minorEastAsia" w:hAnsiTheme="minorEastAsia" w:eastAsiaTheme="minorEastAsia" w:cstheme="minorEastAsia"/>
                <w:color w:val="000000"/>
                <w:sz w:val="20"/>
                <w:szCs w:val="20"/>
                <w:lang w:eastAsia="zh-TW"/>
              </w:rPr>
              <w:t>陈述老年人用药原则、常见药物不良反应、用药观察要点、安全用药宣教。</w:t>
            </w:r>
          </w:p>
          <w:p>
            <w:pPr>
              <w:numPr>
                <w:ilvl w:val="0"/>
                <w:numId w:val="12"/>
              </w:numPr>
              <w:snapToGrid w:val="0"/>
              <w:spacing w:line="288" w:lineRule="auto"/>
              <w:jc w:val="left"/>
              <w:rPr>
                <w:rFonts w:ascii="宋体" w:hAnsi="宋体" w:eastAsia="PMingLiU"/>
                <w:color w:val="000000"/>
                <w:sz w:val="20"/>
                <w:szCs w:val="20"/>
                <w:lang w:eastAsia="zh-TW"/>
              </w:rPr>
            </w:pPr>
            <w:r>
              <w:rPr>
                <w:rFonts w:hint="eastAsia" w:asciiTheme="minorEastAsia" w:hAnsiTheme="minorEastAsia" w:eastAsiaTheme="minorEastAsia" w:cstheme="minorEastAsia"/>
                <w:color w:val="000000"/>
                <w:sz w:val="20"/>
                <w:szCs w:val="20"/>
                <w:lang w:eastAsia="zh-TW"/>
              </w:rPr>
              <w:t>运用跌倒、误吸的评估方法判断跌倒、误吸风险。</w:t>
            </w:r>
          </w:p>
        </w:tc>
        <w:tc>
          <w:tcPr>
            <w:tcW w:w="1674" w:type="dxa"/>
          </w:tcPr>
          <w:p>
            <w:pPr>
              <w:numPr>
                <w:ilvl w:val="0"/>
                <w:numId w:val="13"/>
              </w:numPr>
              <w:snapToGrid w:val="0"/>
              <w:spacing w:line="288" w:lineRule="auto"/>
              <w:jc w:val="left"/>
              <w:rPr>
                <w:rFonts w:ascii="宋体" w:hAnsi="宋体" w:eastAsia="PMingLiU" w:cs="宋体"/>
                <w:color w:val="000000"/>
                <w:kern w:val="0"/>
                <w:sz w:val="20"/>
                <w:szCs w:val="20"/>
                <w:lang w:eastAsia="zh-TW"/>
              </w:rPr>
            </w:pPr>
            <w:r>
              <w:rPr>
                <w:rFonts w:hint="eastAsia" w:asciiTheme="minorEastAsia" w:hAnsiTheme="minorEastAsia" w:eastAsiaTheme="minorEastAsia" w:cstheme="minorEastAsia"/>
                <w:color w:val="000000"/>
                <w:kern w:val="0"/>
                <w:sz w:val="20"/>
                <w:szCs w:val="20"/>
                <w:lang w:eastAsia="zh-TW"/>
              </w:rPr>
              <w:t>掌握</w:t>
            </w:r>
            <w:r>
              <w:rPr>
                <w:rFonts w:hint="eastAsia" w:ascii="宋体" w:hAnsi="宋体" w:cs="宋体"/>
                <w:color w:val="000000"/>
                <w:kern w:val="0"/>
                <w:sz w:val="20"/>
                <w:szCs w:val="20"/>
              </w:rPr>
              <w:t>老年人跌倒、走失、噎食、误吸、烫伤、冻伤、中毒、中暑的评估方法及应对措施</w:t>
            </w:r>
            <w:r>
              <w:rPr>
                <w:rFonts w:hint="eastAsia" w:ascii="宋体" w:hAnsi="宋体" w:eastAsia="PMingLiU" w:cs="宋体"/>
                <w:color w:val="000000"/>
                <w:kern w:val="0"/>
                <w:sz w:val="20"/>
                <w:szCs w:val="20"/>
                <w:lang w:eastAsia="zh-TW"/>
              </w:rPr>
              <w:t>。</w:t>
            </w:r>
          </w:p>
          <w:p>
            <w:pPr>
              <w:numPr>
                <w:ilvl w:val="0"/>
                <w:numId w:val="13"/>
              </w:numPr>
              <w:snapToGrid w:val="0"/>
              <w:spacing w:line="288" w:lineRule="auto"/>
              <w:jc w:val="left"/>
              <w:rPr>
                <w:rFonts w:ascii="宋体" w:hAnsi="宋体" w:eastAsia="PMingLiU" w:cs="宋体"/>
                <w:color w:val="000000"/>
                <w:kern w:val="0"/>
                <w:szCs w:val="21"/>
                <w:lang w:eastAsia="zh-TW"/>
              </w:rPr>
            </w:pPr>
            <w:r>
              <w:rPr>
                <w:rFonts w:hint="eastAsia" w:asciiTheme="minorEastAsia" w:hAnsiTheme="minorEastAsia" w:eastAsiaTheme="minorEastAsia" w:cstheme="minorEastAsia"/>
                <w:color w:val="000000"/>
                <w:kern w:val="0"/>
                <w:sz w:val="20"/>
                <w:szCs w:val="20"/>
                <w:lang w:eastAsia="zh-TW"/>
              </w:rPr>
              <w:t>掌握老年人常用药物的不良反应及常见风险防范措施</w:t>
            </w:r>
          </w:p>
        </w:tc>
        <w:tc>
          <w:tcPr>
            <w:tcW w:w="1312" w:type="dxa"/>
          </w:tcPr>
          <w:p>
            <w:pPr>
              <w:snapToGrid w:val="0"/>
              <w:spacing w:line="288" w:lineRule="auto"/>
              <w:jc w:val="left"/>
              <w:rPr>
                <w:rFonts w:ascii="宋体" w:hAnsi="宋体" w:eastAsia="PMingLiU"/>
                <w:color w:val="000000"/>
                <w:sz w:val="20"/>
                <w:szCs w:val="20"/>
                <w:lang w:eastAsia="zh-TW"/>
              </w:rPr>
            </w:pPr>
            <w:r>
              <w:rPr>
                <w:rFonts w:hint="eastAsia" w:asciiTheme="minorEastAsia" w:hAnsiTheme="minorEastAsia" w:eastAsiaTheme="minorEastAsia" w:cstheme="minorEastAsia"/>
                <w:color w:val="000000"/>
                <w:sz w:val="20"/>
                <w:szCs w:val="20"/>
                <w:lang w:eastAsia="zh-TW"/>
              </w:rPr>
              <w:t>能够重视安全对老年人的重要性</w:t>
            </w:r>
          </w:p>
        </w:tc>
        <w:tc>
          <w:tcPr>
            <w:tcW w:w="1150" w:type="dxa"/>
          </w:tcPr>
          <w:p>
            <w:pPr>
              <w:snapToGrid w:val="0"/>
              <w:spacing w:line="288" w:lineRule="auto"/>
              <w:jc w:val="left"/>
              <w:rPr>
                <w:rFonts w:ascii="宋体" w:hAnsi="宋体" w:eastAsia="PMingLiU"/>
                <w:color w:val="000000"/>
                <w:sz w:val="20"/>
                <w:szCs w:val="20"/>
                <w:lang w:eastAsia="zh-TW"/>
              </w:rPr>
            </w:pPr>
            <w:r>
              <w:rPr>
                <w:rFonts w:hint="eastAsia" w:asciiTheme="minorEastAsia" w:hAnsiTheme="minorEastAsia" w:eastAsiaTheme="minorEastAsia" w:cstheme="minorEastAsia"/>
                <w:color w:val="000000"/>
                <w:sz w:val="20"/>
                <w:szCs w:val="20"/>
                <w:lang w:eastAsia="zh-TW"/>
              </w:rPr>
              <w:t>老年人常见意外事件与预防、老年人安全用药</w:t>
            </w:r>
          </w:p>
        </w:tc>
        <w:tc>
          <w:tcPr>
            <w:tcW w:w="430" w:type="dxa"/>
          </w:tcPr>
          <w:p>
            <w:pPr>
              <w:snapToGrid w:val="0"/>
              <w:spacing w:line="288" w:lineRule="auto"/>
              <w:jc w:val="left"/>
              <w:rPr>
                <w:rFonts w:ascii="Times New Roman" w:hAnsi="Times New Roman" w:eastAsia="PMingLiU"/>
                <w:color w:val="000000"/>
                <w:sz w:val="20"/>
                <w:szCs w:val="20"/>
                <w:lang w:eastAsia="zh-TW"/>
              </w:rPr>
            </w:pPr>
            <w:r>
              <w:rPr>
                <w:rFonts w:hint="eastAsia" w:ascii="Times New Roman" w:hAnsi="Times New Roman" w:eastAsia="PMingLiU"/>
                <w:color w:val="000000"/>
                <w:sz w:val="20"/>
                <w:szCs w:val="20"/>
                <w:lang w:eastAsia="zh-TW"/>
              </w:rPr>
              <w:t>4</w:t>
            </w:r>
          </w:p>
        </w:tc>
        <w:tc>
          <w:tcPr>
            <w:tcW w:w="430" w:type="dxa"/>
          </w:tcPr>
          <w:p>
            <w:pPr>
              <w:snapToGrid w:val="0"/>
              <w:spacing w:line="288" w:lineRule="auto"/>
              <w:jc w:val="left"/>
              <w:rPr>
                <w:rFonts w:ascii="Times New Roman" w:hAnsi="Times New Roman" w:eastAsia="PMingLiU"/>
                <w:color w:val="000000"/>
                <w:sz w:val="20"/>
                <w:szCs w:val="20"/>
                <w:lang w:eastAsia="zh-TW"/>
              </w:rPr>
            </w:pPr>
            <w:r>
              <w:rPr>
                <w:rFonts w:hint="eastAsia" w:ascii="Times New Roman" w:hAnsi="Times New Roman" w:eastAsia="PMingLiU"/>
                <w:color w:val="000000"/>
                <w:sz w:val="20"/>
                <w:szCs w:val="20"/>
                <w:lang w:eastAsia="zh-TW"/>
              </w:rPr>
              <w:t>2</w:t>
            </w:r>
          </w:p>
        </w:tc>
        <w:tc>
          <w:tcPr>
            <w:tcW w:w="504" w:type="dxa"/>
          </w:tcPr>
          <w:p>
            <w:pPr>
              <w:snapToGrid w:val="0"/>
              <w:spacing w:line="288" w:lineRule="auto"/>
              <w:jc w:val="left"/>
              <w:rPr>
                <w:rFonts w:ascii="Times New Roman" w:hAnsi="Times New Roman" w:eastAsia="PMingLiU"/>
                <w:color w:val="000000"/>
                <w:sz w:val="20"/>
                <w:szCs w:val="20"/>
                <w:lang w:eastAsia="zh-TW"/>
              </w:rPr>
            </w:pPr>
            <w:r>
              <w:rPr>
                <w:rFonts w:hint="eastAsia" w:ascii="Times New Roman" w:hAnsi="Times New Roman" w:eastAsia="PMingLiU"/>
                <w:color w:val="000000"/>
                <w:sz w:val="20"/>
                <w:szCs w:val="20"/>
                <w:lang w:eastAsia="zh-TW"/>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eastAsia="PMingLiU"/>
                <w:color w:val="000000"/>
                <w:sz w:val="20"/>
                <w:szCs w:val="20"/>
                <w:lang w:eastAsia="zh-TW"/>
              </w:rPr>
            </w:pPr>
            <w:r>
              <w:rPr>
                <w:rFonts w:hint="eastAsia" w:ascii="宋体" w:hAnsi="宋体" w:eastAsia="PMingLiU"/>
                <w:color w:val="000000"/>
                <w:sz w:val="20"/>
                <w:szCs w:val="20"/>
                <w:lang w:eastAsia="zh-TW"/>
              </w:rPr>
              <w:t>9</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s="宋体"/>
                <w:color w:val="000000"/>
                <w:sz w:val="20"/>
                <w:szCs w:val="20"/>
                <w:lang w:eastAsia="zh-TW"/>
              </w:rPr>
              <w:t>老年人的健康保健与健康养老</w:t>
            </w:r>
          </w:p>
        </w:tc>
        <w:tc>
          <w:tcPr>
            <w:tcW w:w="1812" w:type="dxa"/>
          </w:tcPr>
          <w:p>
            <w:pPr>
              <w:numPr>
                <w:ilvl w:val="0"/>
                <w:numId w:val="14"/>
              </w:numPr>
              <w:snapToGrid w:val="0"/>
              <w:spacing w:line="288" w:lineRule="auto"/>
              <w:jc w:val="left"/>
              <w:rPr>
                <w:rFonts w:ascii="宋体" w:hAnsi="宋体" w:cs="宋体"/>
                <w:color w:val="000000"/>
                <w:sz w:val="20"/>
                <w:szCs w:val="20"/>
                <w:lang w:eastAsia="zh-TW"/>
              </w:rPr>
            </w:pPr>
            <w:r>
              <w:rPr>
                <w:rFonts w:hint="eastAsia" w:ascii="宋体" w:hAnsi="宋体" w:cs="宋体"/>
                <w:color w:val="000000"/>
                <w:sz w:val="20"/>
                <w:szCs w:val="20"/>
                <w:lang w:eastAsia="zh-TW"/>
              </w:rPr>
              <w:t>认识老年保健、健康促进的概念。</w:t>
            </w:r>
          </w:p>
          <w:p>
            <w:pPr>
              <w:numPr>
                <w:ilvl w:val="0"/>
                <w:numId w:val="14"/>
              </w:numPr>
              <w:snapToGrid w:val="0"/>
              <w:spacing w:line="288" w:lineRule="auto"/>
              <w:jc w:val="left"/>
              <w:rPr>
                <w:rFonts w:ascii="宋体" w:hAnsi="宋体" w:cs="宋体"/>
                <w:color w:val="000000"/>
                <w:sz w:val="20"/>
                <w:szCs w:val="20"/>
                <w:lang w:eastAsia="zh-TW"/>
              </w:rPr>
            </w:pPr>
            <w:r>
              <w:rPr>
                <w:rFonts w:hint="eastAsia" w:ascii="宋体" w:hAnsi="宋体" w:cs="宋体"/>
                <w:color w:val="000000"/>
                <w:sz w:val="20"/>
                <w:szCs w:val="20"/>
                <w:lang w:eastAsia="zh-TW"/>
              </w:rPr>
              <w:t>掌握老年保健、健康促进的策略与措施</w:t>
            </w:r>
          </w:p>
          <w:p>
            <w:pPr>
              <w:snapToGrid w:val="0"/>
              <w:spacing w:line="288" w:lineRule="auto"/>
              <w:jc w:val="left"/>
              <w:rPr>
                <w:rFonts w:ascii="宋体" w:hAnsi="宋体" w:eastAsia="PMingLiU"/>
                <w:color w:val="000000"/>
                <w:sz w:val="20"/>
                <w:szCs w:val="20"/>
                <w:lang w:eastAsia="zh-TW"/>
              </w:rPr>
            </w:pPr>
            <w:r>
              <w:rPr>
                <w:rFonts w:hint="eastAsia" w:ascii="宋体" w:hAnsi="宋体" w:cs="宋体"/>
                <w:color w:val="000000"/>
                <w:sz w:val="20"/>
                <w:szCs w:val="20"/>
                <w:lang w:eastAsia="zh-TW"/>
              </w:rPr>
              <w:t>3.阐述社区居家养老模式、医养结合养老模式、智慧养老模式。</w:t>
            </w:r>
          </w:p>
        </w:tc>
        <w:tc>
          <w:tcPr>
            <w:tcW w:w="1674" w:type="dxa"/>
          </w:tcPr>
          <w:p>
            <w:pPr>
              <w:snapToGrid w:val="0"/>
              <w:spacing w:line="288" w:lineRule="auto"/>
              <w:jc w:val="left"/>
              <w:rPr>
                <w:rFonts w:asciiTheme="minorEastAsia" w:hAnsiTheme="minorEastAsia" w:eastAsiaTheme="minorEastAsia" w:cstheme="minorEastAsia"/>
                <w:color w:val="000000"/>
                <w:sz w:val="20"/>
                <w:szCs w:val="20"/>
                <w:lang w:eastAsia="zh-TW"/>
              </w:rPr>
            </w:pPr>
            <w:r>
              <w:rPr>
                <w:rFonts w:hint="eastAsia" w:asciiTheme="minorEastAsia" w:hAnsiTheme="minorEastAsia" w:eastAsiaTheme="minorEastAsia" w:cstheme="minorEastAsia"/>
                <w:color w:val="000000"/>
                <w:sz w:val="20"/>
                <w:szCs w:val="20"/>
                <w:lang w:eastAsia="zh-TW"/>
              </w:rPr>
              <w:t>1.能够针对老年保健服务对象的特点，制定老年人群的健康保健计划。</w:t>
            </w:r>
          </w:p>
          <w:p>
            <w:pPr>
              <w:snapToGrid w:val="0"/>
              <w:spacing w:line="288" w:lineRule="auto"/>
              <w:jc w:val="left"/>
              <w:rPr>
                <w:rFonts w:ascii="宋体" w:hAnsi="宋体" w:eastAsia="PMingLiU"/>
                <w:color w:val="000000"/>
                <w:sz w:val="20"/>
                <w:szCs w:val="20"/>
                <w:lang w:eastAsia="zh-TW"/>
              </w:rPr>
            </w:pPr>
            <w:r>
              <w:rPr>
                <w:rFonts w:hint="eastAsia" w:asciiTheme="minorEastAsia" w:hAnsiTheme="minorEastAsia" w:eastAsiaTheme="minorEastAsia" w:cstheme="minorEastAsia"/>
                <w:color w:val="000000"/>
                <w:sz w:val="20"/>
                <w:szCs w:val="20"/>
                <w:lang w:eastAsia="zh-TW"/>
              </w:rPr>
              <w:t>2.针对老年人个体的情况提出适合的养老方式和建议。</w:t>
            </w:r>
          </w:p>
        </w:tc>
        <w:tc>
          <w:tcPr>
            <w:tcW w:w="1312" w:type="dxa"/>
          </w:tcPr>
          <w:p>
            <w:pPr>
              <w:snapToGrid w:val="0"/>
              <w:spacing w:line="288" w:lineRule="auto"/>
              <w:jc w:val="left"/>
              <w:rPr>
                <w:rFonts w:ascii="宋体" w:hAnsi="宋体" w:eastAsia="PMingLiU"/>
                <w:color w:val="000000"/>
                <w:sz w:val="20"/>
                <w:szCs w:val="20"/>
                <w:lang w:eastAsia="zh-TW"/>
              </w:rPr>
            </w:pPr>
            <w:r>
              <w:rPr>
                <w:rFonts w:hint="eastAsia" w:asciiTheme="minorEastAsia" w:hAnsiTheme="minorEastAsia" w:eastAsiaTheme="minorEastAsia" w:cstheme="minorEastAsia"/>
                <w:color w:val="000000"/>
                <w:sz w:val="20"/>
                <w:szCs w:val="20"/>
                <w:lang w:eastAsia="zh-TW"/>
              </w:rPr>
              <w:t>在老年人健康养老问题上有开阔的视野，并以人为中心的理念和勇于创新的职业精神。</w:t>
            </w:r>
          </w:p>
        </w:tc>
        <w:tc>
          <w:tcPr>
            <w:tcW w:w="1150" w:type="dxa"/>
          </w:tcPr>
          <w:p>
            <w:pPr>
              <w:snapToGrid w:val="0"/>
              <w:spacing w:line="288" w:lineRule="auto"/>
              <w:jc w:val="left"/>
              <w:rPr>
                <w:rFonts w:ascii="宋体" w:hAnsi="宋体" w:cs="宋体"/>
                <w:color w:val="000000"/>
                <w:sz w:val="20"/>
                <w:szCs w:val="20"/>
                <w:lang w:eastAsia="zh-TW"/>
              </w:rPr>
            </w:pPr>
            <w:r>
              <w:rPr>
                <w:rFonts w:hint="eastAsia" w:ascii="宋体" w:hAnsi="宋体" w:cs="宋体"/>
                <w:color w:val="000000"/>
                <w:sz w:val="20"/>
                <w:szCs w:val="20"/>
                <w:lang w:eastAsia="zh-TW"/>
              </w:rPr>
              <w:t>老年保健、健康促进的策略与措施</w:t>
            </w:r>
          </w:p>
          <w:p>
            <w:pPr>
              <w:snapToGrid w:val="0"/>
              <w:spacing w:line="288" w:lineRule="auto"/>
              <w:jc w:val="left"/>
              <w:rPr>
                <w:rFonts w:ascii="宋体" w:hAnsi="宋体"/>
                <w:color w:val="000000"/>
                <w:sz w:val="20"/>
                <w:szCs w:val="20"/>
              </w:rPr>
            </w:pPr>
            <w:r>
              <w:rPr>
                <w:rFonts w:hint="eastAsia" w:ascii="宋体" w:hAnsi="宋体" w:cs="宋体"/>
                <w:color w:val="000000"/>
                <w:sz w:val="20"/>
                <w:szCs w:val="20"/>
                <w:lang w:eastAsia="zh-TW"/>
              </w:rPr>
              <w:t>社区居家养老模式、医养结合养老模式、智慧养老模式</w:t>
            </w:r>
          </w:p>
        </w:tc>
        <w:tc>
          <w:tcPr>
            <w:tcW w:w="430" w:type="dxa"/>
          </w:tcPr>
          <w:p>
            <w:pPr>
              <w:snapToGrid w:val="0"/>
              <w:spacing w:line="288" w:lineRule="auto"/>
              <w:jc w:val="left"/>
              <w:rPr>
                <w:rFonts w:ascii="Times New Roman" w:hAnsi="Times New Roman" w:eastAsia="PMingLiU"/>
                <w:color w:val="000000"/>
                <w:sz w:val="20"/>
                <w:szCs w:val="20"/>
                <w:lang w:eastAsia="zh-TW"/>
              </w:rPr>
            </w:pPr>
            <w:r>
              <w:rPr>
                <w:rFonts w:hint="eastAsia" w:ascii="Times New Roman" w:hAnsi="Times New Roman" w:eastAsia="PMingLiU"/>
                <w:color w:val="000000"/>
                <w:sz w:val="20"/>
                <w:szCs w:val="20"/>
                <w:lang w:eastAsia="zh-TW"/>
              </w:rPr>
              <w:t>4</w:t>
            </w:r>
          </w:p>
        </w:tc>
        <w:tc>
          <w:tcPr>
            <w:tcW w:w="430" w:type="dxa"/>
          </w:tcPr>
          <w:p>
            <w:pPr>
              <w:snapToGrid w:val="0"/>
              <w:spacing w:line="288" w:lineRule="auto"/>
              <w:jc w:val="left"/>
              <w:rPr>
                <w:rFonts w:ascii="Times New Roman" w:hAnsi="Times New Roman" w:eastAsia="PMingLiU"/>
                <w:color w:val="000000"/>
                <w:sz w:val="20"/>
                <w:szCs w:val="20"/>
                <w:lang w:eastAsia="zh-TW"/>
              </w:rPr>
            </w:pPr>
            <w:r>
              <w:rPr>
                <w:rFonts w:hint="eastAsia" w:ascii="Times New Roman" w:hAnsi="Times New Roman" w:eastAsia="PMingLiU"/>
                <w:color w:val="000000"/>
                <w:sz w:val="20"/>
                <w:szCs w:val="20"/>
                <w:lang w:eastAsia="zh-TW"/>
              </w:rPr>
              <w:t>0</w:t>
            </w:r>
          </w:p>
        </w:tc>
        <w:tc>
          <w:tcPr>
            <w:tcW w:w="504" w:type="dxa"/>
          </w:tcPr>
          <w:p>
            <w:pPr>
              <w:snapToGrid w:val="0"/>
              <w:spacing w:line="288" w:lineRule="auto"/>
              <w:jc w:val="left"/>
              <w:rPr>
                <w:rFonts w:ascii="Times New Roman" w:hAnsi="Times New Roman" w:eastAsia="PMingLiU"/>
                <w:color w:val="000000"/>
                <w:sz w:val="20"/>
                <w:szCs w:val="20"/>
                <w:lang w:eastAsia="zh-TW"/>
              </w:rPr>
            </w:pPr>
            <w:r>
              <w:rPr>
                <w:rFonts w:hint="eastAsia" w:ascii="Times New Roman" w:hAnsi="Times New Roman" w:eastAsia="PMingLiU"/>
                <w:color w:val="000000"/>
                <w:sz w:val="20"/>
                <w:szCs w:val="20"/>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eastAsia="PMingLiU"/>
                <w:color w:val="000000"/>
                <w:sz w:val="20"/>
                <w:szCs w:val="20"/>
                <w:lang w:eastAsia="zh-TW"/>
              </w:rPr>
            </w:pPr>
            <w:r>
              <w:rPr>
                <w:rFonts w:hint="eastAsia" w:ascii="宋体" w:hAnsi="宋体"/>
                <w:color w:val="000000"/>
                <w:sz w:val="20"/>
                <w:szCs w:val="20"/>
              </w:rPr>
              <w:t>1</w:t>
            </w:r>
            <w:r>
              <w:rPr>
                <w:rFonts w:hint="eastAsia" w:ascii="宋体" w:hAnsi="宋体" w:eastAsia="PMingLiU"/>
                <w:color w:val="000000"/>
                <w:sz w:val="20"/>
                <w:szCs w:val="20"/>
                <w:lang w:eastAsia="zh-TW"/>
              </w:rPr>
              <w:t>0</w:t>
            </w:r>
          </w:p>
        </w:tc>
        <w:tc>
          <w:tcPr>
            <w:tcW w:w="759" w:type="dxa"/>
            <w:vAlign w:val="center"/>
          </w:tcPr>
          <w:p>
            <w:pPr>
              <w:snapToGrid w:val="0"/>
              <w:spacing w:line="288" w:lineRule="auto"/>
              <w:jc w:val="center"/>
              <w:rPr>
                <w:rFonts w:ascii="宋体" w:hAnsi="宋体" w:eastAsia="PMingLiU"/>
                <w:color w:val="000000"/>
                <w:sz w:val="20"/>
                <w:szCs w:val="20"/>
                <w:lang w:eastAsia="zh-TW"/>
              </w:rPr>
            </w:pPr>
            <w:r>
              <w:rPr>
                <w:rFonts w:hint="eastAsia" w:asciiTheme="minorEastAsia" w:hAnsiTheme="minorEastAsia" w:eastAsiaTheme="minorEastAsia" w:cstheme="minorEastAsia"/>
                <w:color w:val="000000"/>
                <w:sz w:val="20"/>
                <w:szCs w:val="20"/>
                <w:lang w:eastAsia="zh-TW"/>
              </w:rPr>
              <w:t>老年人安宁疗护</w:t>
            </w:r>
          </w:p>
        </w:tc>
        <w:tc>
          <w:tcPr>
            <w:tcW w:w="1812" w:type="dxa"/>
          </w:tcPr>
          <w:p>
            <w:pPr>
              <w:numPr>
                <w:ilvl w:val="0"/>
                <w:numId w:val="15"/>
              </w:numPr>
              <w:snapToGrid w:val="0"/>
              <w:spacing w:line="288" w:lineRule="auto"/>
              <w:jc w:val="left"/>
              <w:rPr>
                <w:rFonts w:asciiTheme="minorEastAsia" w:hAnsiTheme="minorEastAsia" w:eastAsiaTheme="minorEastAsia" w:cstheme="minorEastAsia"/>
                <w:color w:val="000000"/>
                <w:sz w:val="20"/>
                <w:szCs w:val="20"/>
                <w:lang w:eastAsia="zh-TW"/>
              </w:rPr>
            </w:pPr>
            <w:r>
              <w:rPr>
                <w:rFonts w:hint="eastAsia" w:asciiTheme="minorEastAsia" w:hAnsiTheme="minorEastAsia" w:eastAsiaTheme="minorEastAsia" w:cstheme="minorEastAsia"/>
                <w:color w:val="000000"/>
                <w:sz w:val="20"/>
                <w:szCs w:val="20"/>
                <w:lang w:eastAsia="zh-TW"/>
              </w:rPr>
              <w:t>认识安宁疗护的概念。</w:t>
            </w:r>
          </w:p>
          <w:p>
            <w:pPr>
              <w:numPr>
                <w:ilvl w:val="0"/>
                <w:numId w:val="15"/>
              </w:numPr>
              <w:snapToGrid w:val="0"/>
              <w:spacing w:line="288" w:lineRule="auto"/>
              <w:jc w:val="left"/>
              <w:rPr>
                <w:rFonts w:asciiTheme="minorEastAsia" w:hAnsiTheme="minorEastAsia" w:eastAsiaTheme="minorEastAsia" w:cstheme="minorEastAsia"/>
                <w:color w:val="000000"/>
                <w:sz w:val="20"/>
                <w:szCs w:val="20"/>
                <w:lang w:eastAsia="zh-TW"/>
              </w:rPr>
            </w:pPr>
            <w:r>
              <w:rPr>
                <w:rFonts w:hint="eastAsia" w:asciiTheme="minorEastAsia" w:hAnsiTheme="minorEastAsia" w:eastAsiaTheme="minorEastAsia" w:cstheme="minorEastAsia"/>
                <w:color w:val="000000"/>
                <w:sz w:val="20"/>
                <w:szCs w:val="20"/>
                <w:lang w:eastAsia="zh-TW"/>
              </w:rPr>
              <w:t>简述老年人死亡教育的作用和内容。</w:t>
            </w:r>
          </w:p>
          <w:p>
            <w:pPr>
              <w:numPr>
                <w:ilvl w:val="0"/>
                <w:numId w:val="15"/>
              </w:numPr>
              <w:snapToGrid w:val="0"/>
              <w:spacing w:line="288" w:lineRule="auto"/>
              <w:jc w:val="left"/>
              <w:rPr>
                <w:rFonts w:ascii="宋体" w:hAnsi="宋体" w:eastAsia="PMingLiU"/>
                <w:color w:val="000000"/>
                <w:sz w:val="20"/>
                <w:szCs w:val="20"/>
                <w:lang w:eastAsia="zh-TW"/>
              </w:rPr>
            </w:pPr>
            <w:r>
              <w:rPr>
                <w:rFonts w:hint="eastAsia" w:asciiTheme="minorEastAsia" w:hAnsiTheme="minorEastAsia" w:eastAsiaTheme="minorEastAsia" w:cstheme="minorEastAsia"/>
                <w:color w:val="000000"/>
                <w:sz w:val="20"/>
                <w:szCs w:val="20"/>
                <w:lang w:eastAsia="zh-TW"/>
              </w:rPr>
              <w:t>理解哀伤辅导的基本原则和内容。</w:t>
            </w:r>
          </w:p>
        </w:tc>
        <w:tc>
          <w:tcPr>
            <w:tcW w:w="1674" w:type="dxa"/>
          </w:tcPr>
          <w:p>
            <w:pPr>
              <w:numPr>
                <w:ilvl w:val="0"/>
                <w:numId w:val="16"/>
              </w:numPr>
              <w:snapToGrid w:val="0"/>
              <w:spacing w:line="288" w:lineRule="auto"/>
              <w:jc w:val="left"/>
              <w:rPr>
                <w:rFonts w:asciiTheme="minorEastAsia" w:hAnsiTheme="minorEastAsia" w:eastAsiaTheme="minorEastAsia" w:cstheme="minorEastAsia"/>
                <w:color w:val="000000"/>
                <w:sz w:val="20"/>
                <w:szCs w:val="20"/>
                <w:lang w:eastAsia="zh-TW"/>
              </w:rPr>
            </w:pPr>
            <w:r>
              <w:rPr>
                <w:rFonts w:hint="eastAsia" w:asciiTheme="minorEastAsia" w:hAnsiTheme="minorEastAsia" w:eastAsiaTheme="minorEastAsia" w:cstheme="minorEastAsia"/>
                <w:color w:val="000000"/>
                <w:sz w:val="20"/>
                <w:szCs w:val="20"/>
                <w:lang w:eastAsia="zh-TW"/>
              </w:rPr>
              <w:t>能掌握安宁疗护心理干预技术至少一个。</w:t>
            </w:r>
          </w:p>
          <w:p>
            <w:pPr>
              <w:numPr>
                <w:ilvl w:val="0"/>
                <w:numId w:val="16"/>
              </w:numPr>
              <w:snapToGrid w:val="0"/>
              <w:spacing w:line="288" w:lineRule="auto"/>
              <w:jc w:val="left"/>
              <w:rPr>
                <w:rFonts w:ascii="宋体" w:hAnsi="宋体" w:eastAsia="PMingLiU"/>
                <w:color w:val="000000"/>
                <w:sz w:val="20"/>
                <w:szCs w:val="20"/>
                <w:lang w:eastAsia="zh-TW"/>
              </w:rPr>
            </w:pPr>
            <w:r>
              <w:rPr>
                <w:rFonts w:hint="eastAsia" w:asciiTheme="minorEastAsia" w:hAnsiTheme="minorEastAsia" w:eastAsiaTheme="minorEastAsia" w:cstheme="minorEastAsia"/>
                <w:color w:val="000000"/>
                <w:sz w:val="20"/>
                <w:szCs w:val="20"/>
                <w:lang w:eastAsia="zh-TW"/>
              </w:rPr>
              <w:t>能初步为老年丧亲者提供哀伤辅导。</w:t>
            </w:r>
          </w:p>
        </w:tc>
        <w:tc>
          <w:tcPr>
            <w:tcW w:w="1312" w:type="dxa"/>
          </w:tcPr>
          <w:p>
            <w:pPr>
              <w:snapToGrid w:val="0"/>
              <w:spacing w:line="288" w:lineRule="auto"/>
              <w:jc w:val="left"/>
              <w:rPr>
                <w:rFonts w:ascii="宋体" w:hAnsi="宋体" w:eastAsia="PMingLiU"/>
                <w:color w:val="000000"/>
                <w:sz w:val="20"/>
                <w:szCs w:val="20"/>
                <w:lang w:eastAsia="zh-TW"/>
              </w:rPr>
            </w:pPr>
            <w:r>
              <w:rPr>
                <w:rFonts w:hint="eastAsia" w:asciiTheme="minorEastAsia" w:hAnsiTheme="minorEastAsia" w:eastAsiaTheme="minorEastAsia" w:cstheme="minorEastAsia"/>
                <w:color w:val="000000"/>
                <w:sz w:val="20"/>
                <w:szCs w:val="20"/>
                <w:lang w:eastAsia="zh-TW"/>
              </w:rPr>
              <w:t>具备服务临终老年人的职业情操。</w:t>
            </w:r>
          </w:p>
        </w:tc>
        <w:tc>
          <w:tcPr>
            <w:tcW w:w="1150" w:type="dxa"/>
          </w:tcPr>
          <w:p>
            <w:pPr>
              <w:snapToGrid w:val="0"/>
              <w:spacing w:line="288" w:lineRule="auto"/>
              <w:jc w:val="left"/>
              <w:rPr>
                <w:rFonts w:ascii="宋体" w:hAnsi="宋体"/>
                <w:color w:val="000000"/>
                <w:sz w:val="20"/>
                <w:szCs w:val="20"/>
              </w:rPr>
            </w:pPr>
            <w:r>
              <w:rPr>
                <w:rFonts w:hint="eastAsia" w:asciiTheme="minorEastAsia" w:hAnsiTheme="minorEastAsia" w:eastAsiaTheme="minorEastAsia" w:cstheme="minorEastAsia"/>
                <w:color w:val="000000"/>
                <w:sz w:val="20"/>
                <w:szCs w:val="20"/>
                <w:lang w:eastAsia="zh-TW"/>
              </w:rPr>
              <w:t>安宁疗护心理干预技术、哀伤辅导内容</w:t>
            </w:r>
          </w:p>
        </w:tc>
        <w:tc>
          <w:tcPr>
            <w:tcW w:w="430" w:type="dxa"/>
          </w:tcPr>
          <w:p>
            <w:pPr>
              <w:snapToGrid w:val="0"/>
              <w:spacing w:line="288" w:lineRule="auto"/>
              <w:jc w:val="left"/>
              <w:rPr>
                <w:rFonts w:ascii="Times New Roman" w:hAnsi="Times New Roman" w:eastAsia="PMingLiU"/>
                <w:color w:val="000000"/>
                <w:sz w:val="20"/>
                <w:szCs w:val="20"/>
                <w:lang w:eastAsia="zh-TW"/>
              </w:rPr>
            </w:pPr>
            <w:r>
              <w:rPr>
                <w:rFonts w:hint="eastAsia" w:ascii="Times New Roman" w:hAnsi="Times New Roman" w:eastAsia="PMingLiU"/>
                <w:color w:val="000000"/>
                <w:sz w:val="20"/>
                <w:szCs w:val="20"/>
                <w:lang w:eastAsia="zh-TW"/>
              </w:rPr>
              <w:t>4</w:t>
            </w:r>
          </w:p>
        </w:tc>
        <w:tc>
          <w:tcPr>
            <w:tcW w:w="430" w:type="dxa"/>
          </w:tcPr>
          <w:p>
            <w:pPr>
              <w:snapToGrid w:val="0"/>
              <w:spacing w:line="288" w:lineRule="auto"/>
              <w:jc w:val="left"/>
              <w:rPr>
                <w:rFonts w:ascii="Times New Roman" w:hAnsi="Times New Roman" w:eastAsia="PMingLiU"/>
                <w:color w:val="000000"/>
                <w:sz w:val="20"/>
                <w:szCs w:val="20"/>
                <w:lang w:eastAsia="zh-TW"/>
              </w:rPr>
            </w:pPr>
            <w:r>
              <w:rPr>
                <w:rFonts w:ascii="Times New Roman" w:hAnsi="Times New Roman" w:eastAsia="PMingLiU"/>
                <w:color w:val="000000"/>
                <w:sz w:val="20"/>
                <w:szCs w:val="20"/>
                <w:lang w:eastAsia="zh-TW"/>
              </w:rPr>
              <w:t>0</w:t>
            </w:r>
          </w:p>
        </w:tc>
        <w:tc>
          <w:tcPr>
            <w:tcW w:w="504" w:type="dxa"/>
          </w:tcPr>
          <w:p>
            <w:pPr>
              <w:snapToGrid w:val="0"/>
              <w:spacing w:line="288" w:lineRule="auto"/>
              <w:jc w:val="left"/>
              <w:rPr>
                <w:rFonts w:ascii="Times New Roman" w:hAnsi="Times New Roman" w:eastAsia="PMingLiU"/>
                <w:color w:val="000000"/>
                <w:sz w:val="20"/>
                <w:szCs w:val="20"/>
                <w:lang w:eastAsia="zh-TW"/>
              </w:rPr>
            </w:pPr>
            <w:r>
              <w:rPr>
                <w:rFonts w:hint="eastAsia" w:ascii="Times New Roman" w:hAnsi="Times New Roman" w:eastAsia="PMingLiU"/>
                <w:color w:val="000000"/>
                <w:sz w:val="20"/>
                <w:szCs w:val="20"/>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eastAsia="PMingLiU"/>
                <w:color w:val="000000"/>
                <w:sz w:val="20"/>
                <w:szCs w:val="20"/>
                <w:lang w:eastAsia="zh-TW"/>
              </w:rPr>
            </w:pPr>
            <w:r>
              <w:rPr>
                <w:rFonts w:hint="eastAsia" w:ascii="宋体" w:hAnsi="宋体" w:eastAsia="PMingLiU"/>
                <w:color w:val="000000"/>
                <w:sz w:val="20"/>
                <w:szCs w:val="20"/>
                <w:lang w:eastAsia="zh-TW"/>
              </w:rPr>
              <w:t>11</w:t>
            </w:r>
          </w:p>
        </w:tc>
        <w:tc>
          <w:tcPr>
            <w:tcW w:w="759" w:type="dxa"/>
            <w:vAlign w:val="center"/>
          </w:tcPr>
          <w:p>
            <w:pPr>
              <w:snapToGrid w:val="0"/>
              <w:spacing w:line="288" w:lineRule="auto"/>
              <w:jc w:val="center"/>
              <w:rPr>
                <w:rFonts w:ascii="宋体" w:hAnsi="宋体" w:eastAsia="PMingLiU"/>
                <w:color w:val="000000"/>
                <w:sz w:val="20"/>
                <w:szCs w:val="20"/>
                <w:lang w:eastAsia="zh-TW"/>
              </w:rPr>
            </w:pPr>
            <w:r>
              <w:rPr>
                <w:rFonts w:hint="eastAsia" w:asciiTheme="minorEastAsia" w:hAnsiTheme="minorEastAsia" w:eastAsiaTheme="minorEastAsia" w:cstheme="minorEastAsia"/>
                <w:color w:val="000000"/>
                <w:sz w:val="20"/>
                <w:szCs w:val="20"/>
                <w:lang w:eastAsia="zh-TW"/>
              </w:rPr>
              <w:t>老年人照顾者支持</w:t>
            </w:r>
          </w:p>
        </w:tc>
        <w:tc>
          <w:tcPr>
            <w:tcW w:w="1812" w:type="dxa"/>
          </w:tcPr>
          <w:p>
            <w:pPr>
              <w:numPr>
                <w:ilvl w:val="0"/>
                <w:numId w:val="17"/>
              </w:numPr>
              <w:snapToGrid w:val="0"/>
              <w:spacing w:line="288" w:lineRule="auto"/>
              <w:jc w:val="left"/>
              <w:rPr>
                <w:rFonts w:asciiTheme="minorEastAsia" w:hAnsiTheme="minorEastAsia" w:eastAsiaTheme="minorEastAsia" w:cstheme="minorEastAsia"/>
                <w:color w:val="000000"/>
                <w:sz w:val="20"/>
                <w:szCs w:val="20"/>
                <w:lang w:eastAsia="zh-TW"/>
              </w:rPr>
            </w:pPr>
            <w:r>
              <w:rPr>
                <w:rFonts w:hint="eastAsia" w:asciiTheme="minorEastAsia" w:hAnsiTheme="minorEastAsia" w:eastAsiaTheme="minorEastAsia" w:cstheme="minorEastAsia"/>
                <w:color w:val="000000"/>
                <w:sz w:val="20"/>
                <w:szCs w:val="20"/>
                <w:lang w:eastAsia="zh-TW"/>
              </w:rPr>
              <w:t>认识老年人照顾者负担的基本概念。</w:t>
            </w:r>
          </w:p>
          <w:p>
            <w:pPr>
              <w:numPr>
                <w:ilvl w:val="0"/>
                <w:numId w:val="17"/>
              </w:numPr>
              <w:snapToGrid w:val="0"/>
              <w:spacing w:line="288" w:lineRule="auto"/>
              <w:jc w:val="left"/>
              <w:rPr>
                <w:rFonts w:asciiTheme="minorEastAsia" w:hAnsiTheme="minorEastAsia" w:eastAsiaTheme="minorEastAsia" w:cstheme="minorEastAsia"/>
                <w:color w:val="000000"/>
                <w:sz w:val="20"/>
                <w:szCs w:val="20"/>
                <w:lang w:eastAsia="zh-TW"/>
              </w:rPr>
            </w:pPr>
            <w:r>
              <w:rPr>
                <w:rFonts w:hint="eastAsia" w:asciiTheme="minorEastAsia" w:hAnsiTheme="minorEastAsia" w:eastAsiaTheme="minorEastAsia" w:cstheme="minorEastAsia"/>
                <w:color w:val="000000"/>
                <w:sz w:val="20"/>
                <w:szCs w:val="20"/>
                <w:lang w:eastAsia="zh-TW"/>
              </w:rPr>
              <w:t>概述老年人照顾者需求的类型、支持的主要内容。</w:t>
            </w:r>
          </w:p>
          <w:p>
            <w:pPr>
              <w:numPr>
                <w:ilvl w:val="0"/>
                <w:numId w:val="17"/>
              </w:numPr>
              <w:snapToGrid w:val="0"/>
              <w:spacing w:line="288" w:lineRule="auto"/>
              <w:jc w:val="left"/>
              <w:rPr>
                <w:rFonts w:ascii="宋体" w:hAnsi="宋体" w:cs="宋体"/>
                <w:color w:val="000000"/>
                <w:sz w:val="20"/>
                <w:szCs w:val="20"/>
                <w:lang w:eastAsia="zh-TW"/>
              </w:rPr>
            </w:pPr>
            <w:r>
              <w:rPr>
                <w:rFonts w:hint="eastAsia" w:asciiTheme="minorEastAsia" w:hAnsiTheme="minorEastAsia" w:eastAsiaTheme="minorEastAsia" w:cstheme="minorEastAsia"/>
                <w:color w:val="000000"/>
                <w:sz w:val="20"/>
                <w:szCs w:val="20"/>
                <w:lang w:eastAsia="zh-TW"/>
              </w:rPr>
              <w:t>理解老年人照顾者负担、积极感受、需求的评估方法。</w:t>
            </w:r>
          </w:p>
        </w:tc>
        <w:tc>
          <w:tcPr>
            <w:tcW w:w="1674" w:type="dxa"/>
          </w:tcPr>
          <w:p>
            <w:pPr>
              <w:snapToGrid w:val="0"/>
              <w:spacing w:line="288" w:lineRule="auto"/>
              <w:jc w:val="left"/>
              <w:rPr>
                <w:rFonts w:ascii="宋体" w:hAnsi="宋体" w:cs="宋体"/>
                <w:color w:val="000000"/>
                <w:sz w:val="20"/>
                <w:szCs w:val="20"/>
                <w:lang w:eastAsia="zh-TW"/>
              </w:rPr>
            </w:pPr>
            <w:r>
              <w:rPr>
                <w:rFonts w:hint="eastAsia" w:ascii="宋体" w:hAnsi="宋体" w:cs="宋体"/>
                <w:color w:val="000000"/>
                <w:sz w:val="20"/>
                <w:szCs w:val="20"/>
                <w:lang w:eastAsia="zh-TW"/>
              </w:rPr>
              <w:t>能根据老年人照顾者的评估状况，制定老年人照顾者的支持措施。</w:t>
            </w:r>
          </w:p>
        </w:tc>
        <w:tc>
          <w:tcPr>
            <w:tcW w:w="1312" w:type="dxa"/>
          </w:tcPr>
          <w:p>
            <w:pPr>
              <w:snapToGrid w:val="0"/>
              <w:spacing w:line="288" w:lineRule="auto"/>
              <w:jc w:val="left"/>
              <w:rPr>
                <w:rFonts w:ascii="宋体" w:hAnsi="宋体" w:eastAsia="PMingLiU"/>
                <w:color w:val="000000"/>
                <w:sz w:val="20"/>
                <w:szCs w:val="20"/>
                <w:lang w:eastAsia="zh-TW"/>
              </w:rPr>
            </w:pPr>
            <w:r>
              <w:rPr>
                <w:rFonts w:hint="eastAsia" w:asciiTheme="minorEastAsia" w:hAnsiTheme="minorEastAsia" w:eastAsiaTheme="minorEastAsia" w:cstheme="minorEastAsia"/>
                <w:color w:val="000000"/>
                <w:sz w:val="20"/>
                <w:szCs w:val="20"/>
                <w:lang w:eastAsia="zh-TW"/>
              </w:rPr>
              <w:t>认可老年人照顾者的照顾感受，树立慎独的专业情感。</w:t>
            </w:r>
          </w:p>
        </w:tc>
        <w:tc>
          <w:tcPr>
            <w:tcW w:w="1150" w:type="dxa"/>
          </w:tcPr>
          <w:p>
            <w:pPr>
              <w:snapToGrid w:val="0"/>
              <w:spacing w:line="288" w:lineRule="auto"/>
              <w:jc w:val="left"/>
              <w:rPr>
                <w:rFonts w:ascii="宋体" w:hAnsi="宋体" w:cs="宋体"/>
                <w:color w:val="000000"/>
                <w:sz w:val="20"/>
                <w:szCs w:val="20"/>
                <w:lang w:eastAsia="zh-TW"/>
              </w:rPr>
            </w:pPr>
            <w:r>
              <w:rPr>
                <w:rFonts w:hint="eastAsia" w:asciiTheme="minorEastAsia" w:hAnsiTheme="minorEastAsia" w:eastAsiaTheme="minorEastAsia" w:cstheme="minorEastAsia"/>
                <w:color w:val="000000"/>
                <w:sz w:val="20"/>
                <w:szCs w:val="20"/>
                <w:lang w:eastAsia="zh-TW"/>
              </w:rPr>
              <w:t>老年人照顾者负担及支持类型</w:t>
            </w:r>
          </w:p>
        </w:tc>
        <w:tc>
          <w:tcPr>
            <w:tcW w:w="430" w:type="dxa"/>
          </w:tcPr>
          <w:p>
            <w:pPr>
              <w:snapToGrid w:val="0"/>
              <w:spacing w:line="288" w:lineRule="auto"/>
              <w:jc w:val="left"/>
              <w:rPr>
                <w:rFonts w:ascii="Times New Roman" w:hAnsi="Times New Roman" w:eastAsia="PMingLiU"/>
                <w:color w:val="000000"/>
                <w:sz w:val="20"/>
                <w:szCs w:val="20"/>
                <w:lang w:eastAsia="zh-TW"/>
              </w:rPr>
            </w:pPr>
            <w:r>
              <w:rPr>
                <w:rFonts w:ascii="Times New Roman" w:hAnsi="Times New Roman" w:eastAsia="PMingLiU"/>
                <w:color w:val="000000"/>
                <w:sz w:val="20"/>
                <w:szCs w:val="20"/>
                <w:lang w:eastAsia="zh-TW"/>
              </w:rPr>
              <w:t>2</w:t>
            </w:r>
          </w:p>
        </w:tc>
        <w:tc>
          <w:tcPr>
            <w:tcW w:w="430" w:type="dxa"/>
          </w:tcPr>
          <w:p>
            <w:pPr>
              <w:snapToGrid w:val="0"/>
              <w:spacing w:line="288" w:lineRule="auto"/>
              <w:jc w:val="left"/>
              <w:rPr>
                <w:rFonts w:ascii="Times New Roman" w:hAnsi="Times New Roman" w:eastAsia="PMingLiU"/>
                <w:color w:val="000000"/>
                <w:sz w:val="20"/>
                <w:szCs w:val="20"/>
                <w:lang w:eastAsia="zh-TW"/>
              </w:rPr>
            </w:pPr>
            <w:r>
              <w:rPr>
                <w:rFonts w:ascii="Times New Roman" w:hAnsi="Times New Roman" w:eastAsia="PMingLiU"/>
                <w:color w:val="000000"/>
                <w:sz w:val="20"/>
                <w:szCs w:val="20"/>
                <w:lang w:eastAsia="zh-TW"/>
              </w:rPr>
              <w:t>0</w:t>
            </w:r>
          </w:p>
        </w:tc>
        <w:tc>
          <w:tcPr>
            <w:tcW w:w="504" w:type="dxa"/>
          </w:tcPr>
          <w:p>
            <w:pPr>
              <w:snapToGrid w:val="0"/>
              <w:spacing w:line="288" w:lineRule="auto"/>
              <w:jc w:val="left"/>
              <w:rPr>
                <w:rFonts w:ascii="Times New Roman" w:hAnsi="Times New Roman" w:eastAsia="PMingLiU"/>
                <w:color w:val="000000"/>
                <w:sz w:val="20"/>
                <w:szCs w:val="20"/>
                <w:lang w:eastAsia="zh-TW"/>
              </w:rPr>
            </w:pPr>
            <w:r>
              <w:rPr>
                <w:rFonts w:ascii="Times New Roman" w:hAnsi="Times New Roman" w:eastAsia="PMingLiU"/>
                <w:color w:val="000000"/>
                <w:sz w:val="20"/>
                <w:szCs w:val="20"/>
                <w:lang w:eastAsia="zh-TW"/>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155" w:type="dxa"/>
            <w:gridSpan w:val="6"/>
            <w:vAlign w:val="center"/>
          </w:tcPr>
          <w:p>
            <w:pPr>
              <w:snapToGrid w:val="0"/>
              <w:spacing w:line="288" w:lineRule="auto"/>
              <w:jc w:val="left"/>
              <w:rPr>
                <w:rFonts w:ascii="宋体" w:hAnsi="宋体" w:cs="宋体"/>
                <w:color w:val="000000"/>
                <w:sz w:val="20"/>
                <w:szCs w:val="20"/>
                <w:lang w:eastAsia="zh-TW"/>
              </w:rPr>
            </w:pPr>
            <w:r>
              <w:rPr>
                <w:rFonts w:hint="eastAsia" w:ascii="宋体" w:hAnsi="宋体" w:cs="宋体"/>
                <w:b/>
                <w:bCs/>
                <w:color w:val="000000"/>
                <w:sz w:val="20"/>
                <w:szCs w:val="20"/>
                <w:lang w:eastAsia="zh-TW"/>
              </w:rPr>
              <w:t>合计</w:t>
            </w:r>
          </w:p>
        </w:tc>
        <w:tc>
          <w:tcPr>
            <w:tcW w:w="430" w:type="dxa"/>
          </w:tcPr>
          <w:p>
            <w:pPr>
              <w:snapToGrid w:val="0"/>
              <w:spacing w:line="288" w:lineRule="auto"/>
              <w:jc w:val="left"/>
              <w:rPr>
                <w:rFonts w:ascii="Times New Roman" w:hAnsi="Times New Roman" w:eastAsia="PMingLiU"/>
                <w:color w:val="000000"/>
                <w:sz w:val="20"/>
                <w:szCs w:val="20"/>
                <w:lang w:eastAsia="zh-TW"/>
              </w:rPr>
            </w:pPr>
            <w:r>
              <w:rPr>
                <w:rFonts w:hint="eastAsia" w:ascii="Times New Roman" w:hAnsi="Times New Roman" w:eastAsia="PMingLiU"/>
                <w:color w:val="000000"/>
                <w:sz w:val="20"/>
                <w:szCs w:val="20"/>
                <w:lang w:eastAsia="zh-TW"/>
              </w:rPr>
              <w:t>38</w:t>
            </w:r>
          </w:p>
        </w:tc>
        <w:tc>
          <w:tcPr>
            <w:tcW w:w="430" w:type="dxa"/>
          </w:tcPr>
          <w:p>
            <w:pPr>
              <w:snapToGrid w:val="0"/>
              <w:spacing w:line="288" w:lineRule="auto"/>
              <w:jc w:val="left"/>
              <w:rPr>
                <w:rFonts w:ascii="Times New Roman" w:hAnsi="Times New Roman" w:eastAsia="PMingLiU"/>
                <w:color w:val="000000"/>
                <w:sz w:val="20"/>
                <w:szCs w:val="20"/>
                <w:lang w:eastAsia="zh-TW"/>
              </w:rPr>
            </w:pPr>
            <w:r>
              <w:rPr>
                <w:rFonts w:hint="eastAsia" w:ascii="Times New Roman" w:hAnsi="Times New Roman" w:eastAsia="PMingLiU"/>
                <w:color w:val="000000"/>
                <w:sz w:val="20"/>
                <w:szCs w:val="20"/>
                <w:lang w:eastAsia="zh-TW"/>
              </w:rPr>
              <w:t>10</w:t>
            </w:r>
          </w:p>
        </w:tc>
        <w:tc>
          <w:tcPr>
            <w:tcW w:w="504" w:type="dxa"/>
          </w:tcPr>
          <w:p>
            <w:pPr>
              <w:snapToGrid w:val="0"/>
              <w:spacing w:line="288" w:lineRule="auto"/>
              <w:jc w:val="left"/>
              <w:rPr>
                <w:rFonts w:ascii="Times New Roman" w:hAnsi="Times New Roman" w:eastAsia="PMingLiU"/>
                <w:color w:val="000000"/>
                <w:sz w:val="20"/>
                <w:szCs w:val="20"/>
                <w:lang w:eastAsia="zh-TW"/>
              </w:rPr>
            </w:pPr>
            <w:r>
              <w:rPr>
                <w:rFonts w:hint="eastAsia" w:ascii="Times New Roman" w:hAnsi="Times New Roman" w:eastAsia="PMingLiU"/>
                <w:color w:val="000000"/>
                <w:sz w:val="20"/>
                <w:szCs w:val="20"/>
                <w:lang w:eastAsia="zh-TW"/>
              </w:rPr>
              <w:t>48</w:t>
            </w:r>
          </w:p>
        </w:tc>
      </w:tr>
    </w:tbl>
    <w:p>
      <w:pPr>
        <w:snapToGrid w:val="0"/>
        <w:spacing w:line="288" w:lineRule="auto"/>
        <w:ind w:right="26"/>
        <w:rPr>
          <w:sz w:val="20"/>
          <w:szCs w:val="20"/>
        </w:rPr>
      </w:pPr>
    </w:p>
    <w:p>
      <w:pPr>
        <w:widowControl/>
        <w:numPr>
          <w:ilvl w:val="0"/>
          <w:numId w:val="18"/>
        </w:numPr>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课内实验名称及基本要求</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616"/>
        <w:gridCol w:w="2929"/>
        <w:gridCol w:w="759"/>
        <w:gridCol w:w="1062"/>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26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292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62"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999"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26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20"/>
                <w:szCs w:val="20"/>
                <w:lang w:eastAsia="zh-TW"/>
              </w:rPr>
            </w:pPr>
            <w:r>
              <w:rPr>
                <w:rFonts w:hint="eastAsia" w:ascii="宋体" w:hAnsi="宋体" w:cs="宋体"/>
                <w:color w:val="000000"/>
                <w:sz w:val="20"/>
                <w:szCs w:val="20"/>
              </w:rPr>
              <w:t>老年人的健康评估</w:t>
            </w:r>
          </w:p>
        </w:tc>
        <w:tc>
          <w:tcPr>
            <w:tcW w:w="292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color w:val="000000"/>
                <w:sz w:val="20"/>
                <w:szCs w:val="20"/>
                <w:lang w:eastAsia="zh-TW"/>
              </w:rPr>
            </w:pPr>
            <w:r>
              <w:rPr>
                <w:rFonts w:hint="eastAsia" w:ascii="宋体" w:hAnsi="宋体" w:cs="宋体"/>
                <w:color w:val="000000"/>
                <w:sz w:val="20"/>
                <w:szCs w:val="20"/>
                <w:lang w:eastAsia="zh-TW"/>
              </w:rPr>
              <w:t>透过案例讨论，运用角色扮演法，进行老年人的健康评估实操</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imes New Roman" w:hAnsi="Times New Roman"/>
                <w:color w:val="000000"/>
                <w:sz w:val="20"/>
                <w:szCs w:val="20"/>
              </w:rPr>
            </w:pPr>
            <w:r>
              <w:rPr>
                <w:rFonts w:ascii="Times New Roman" w:hAnsi="Times New Roman"/>
                <w:color w:val="000000"/>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26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20"/>
                <w:szCs w:val="20"/>
              </w:rPr>
            </w:pPr>
            <w:r>
              <w:rPr>
                <w:rFonts w:hint="eastAsia" w:ascii="PMingLiU" w:hAnsi="PMingLiU"/>
                <w:color w:val="000000"/>
                <w:sz w:val="20"/>
                <w:szCs w:val="20"/>
              </w:rPr>
              <w:t>老年人的日常生活护理</w:t>
            </w:r>
          </w:p>
        </w:tc>
        <w:tc>
          <w:tcPr>
            <w:tcW w:w="292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宋体" w:hAnsi="宋体" w:eastAsia="PMingLiU" w:cs="宋体"/>
                <w:color w:val="000000"/>
                <w:sz w:val="20"/>
                <w:szCs w:val="20"/>
                <w:lang w:eastAsia="zh-TW"/>
              </w:rPr>
            </w:pPr>
            <w:r>
              <w:rPr>
                <w:rFonts w:hint="eastAsia" w:asciiTheme="minorEastAsia" w:hAnsiTheme="minorEastAsia" w:eastAsiaTheme="minorEastAsia" w:cstheme="minorEastAsia"/>
                <w:color w:val="000000"/>
                <w:sz w:val="20"/>
                <w:szCs w:val="20"/>
                <w:lang w:eastAsia="zh-TW"/>
              </w:rPr>
              <w:t>指导或协助老年人进行步行训练(步行前准备、扶持步行、改善步态训练、复杂步态训练、上下楼梯训练)</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imes New Roman" w:hAnsi="Times New Roman"/>
                <w:color w:val="000000"/>
                <w:sz w:val="20"/>
                <w:szCs w:val="20"/>
              </w:rPr>
            </w:pPr>
            <w:r>
              <w:rPr>
                <w:rFonts w:ascii="Times New Roman" w:hAnsi="Times New Roman"/>
                <w:color w:val="000000"/>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eastAsia="PMingLiU"/>
                <w:color w:val="000000"/>
                <w:sz w:val="20"/>
                <w:szCs w:val="20"/>
                <w:lang w:eastAsia="zh-TW"/>
              </w:rPr>
            </w:pPr>
            <w:r>
              <w:rPr>
                <w:rFonts w:hint="eastAsia" w:asciiTheme="minorEastAsia" w:hAnsiTheme="minorEastAsia" w:eastAsiaTheme="minorEastAsia" w:cstheme="minorEastAsia"/>
                <w:color w:val="000000"/>
                <w:sz w:val="20"/>
                <w:szCs w:val="20"/>
                <w:lang w:eastAsia="zh-TW"/>
              </w:rPr>
              <w:t>演示型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3</w:t>
            </w:r>
          </w:p>
        </w:tc>
        <w:tc>
          <w:tcPr>
            <w:tcW w:w="26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20"/>
                <w:szCs w:val="20"/>
              </w:rPr>
            </w:pPr>
            <w:r>
              <w:rPr>
                <w:rFonts w:hint="eastAsia" w:asciiTheme="minorEastAsia" w:hAnsiTheme="minorEastAsia" w:eastAsiaTheme="minorEastAsia" w:cstheme="minorEastAsia"/>
                <w:color w:val="000000"/>
                <w:sz w:val="20"/>
                <w:szCs w:val="20"/>
                <w:lang w:eastAsia="zh-TW"/>
              </w:rPr>
              <w:t>老年综合征与护理</w:t>
            </w:r>
          </w:p>
        </w:tc>
        <w:tc>
          <w:tcPr>
            <w:tcW w:w="292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宋体" w:hAnsi="宋体" w:cs="宋体"/>
                <w:color w:val="000000"/>
                <w:sz w:val="20"/>
                <w:szCs w:val="20"/>
                <w:lang w:eastAsia="zh-TW"/>
              </w:rPr>
            </w:pPr>
            <w:r>
              <w:rPr>
                <w:rFonts w:hint="eastAsia" w:asciiTheme="minorEastAsia" w:hAnsiTheme="minorEastAsia" w:eastAsiaTheme="minorEastAsia" w:cstheme="minorEastAsia"/>
                <w:color w:val="000000"/>
                <w:sz w:val="20"/>
                <w:szCs w:val="20"/>
                <w:lang w:eastAsia="zh-TW"/>
              </w:rPr>
              <w:t>协助进行Ⅲ度压疮老年人的照护</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imes New Roman" w:hAnsi="Times New Roman"/>
                <w:color w:val="000000"/>
                <w:sz w:val="20"/>
                <w:szCs w:val="20"/>
              </w:rPr>
            </w:pPr>
            <w:r>
              <w:rPr>
                <w:rFonts w:ascii="Times New Roman" w:hAnsi="Times New Roman" w:eastAsia="PMingLiU"/>
                <w:color w:val="000000"/>
                <w:sz w:val="20"/>
                <w:szCs w:val="20"/>
                <w:lang w:eastAsia="zh-TW"/>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Theme="minorEastAsia" w:hAnsiTheme="minorEastAsia" w:eastAsiaTheme="minorEastAsia" w:cstheme="minorEastAsia"/>
                <w:color w:val="000000"/>
                <w:sz w:val="20"/>
                <w:szCs w:val="20"/>
                <w:lang w:eastAsia="zh-TW"/>
              </w:rPr>
              <w:t>演示型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PMingLiU" w:hAnsi="PMingLiU" w:eastAsia="PMingLiU"/>
                <w:color w:val="000000"/>
                <w:sz w:val="20"/>
                <w:szCs w:val="20"/>
                <w:lang w:eastAsia="zh-TW"/>
              </w:rPr>
              <w:t>4</w:t>
            </w:r>
          </w:p>
        </w:tc>
        <w:tc>
          <w:tcPr>
            <w:tcW w:w="26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sz w:val="20"/>
                <w:szCs w:val="20"/>
              </w:rPr>
            </w:pPr>
            <w:r>
              <w:rPr>
                <w:rFonts w:hint="eastAsia" w:asciiTheme="minorEastAsia" w:hAnsiTheme="minorEastAsia" w:eastAsiaTheme="minorEastAsia" w:cstheme="minorEastAsia"/>
                <w:color w:val="000000"/>
                <w:sz w:val="20"/>
                <w:szCs w:val="20"/>
                <w:lang w:eastAsia="zh-TW"/>
              </w:rPr>
              <w:t>老年人常见疾病与护理</w:t>
            </w:r>
          </w:p>
        </w:tc>
        <w:tc>
          <w:tcPr>
            <w:tcW w:w="292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宋体" w:hAnsi="宋体" w:cs="宋体"/>
                <w:color w:val="000000"/>
                <w:sz w:val="20"/>
                <w:szCs w:val="20"/>
                <w:lang w:eastAsia="zh-TW"/>
              </w:rPr>
            </w:pPr>
            <w:r>
              <w:rPr>
                <w:rFonts w:hint="eastAsia" w:ascii="宋体" w:hAnsi="宋体" w:cs="宋体"/>
                <w:color w:val="000000"/>
                <w:sz w:val="20"/>
                <w:szCs w:val="20"/>
                <w:lang w:eastAsia="zh-TW"/>
              </w:rPr>
              <w:t>为老年人提供雾化吸入、口腔吸痰、吸氧操作</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imes New Roman" w:hAnsi="Times New Roman"/>
                <w:color w:val="000000"/>
                <w:sz w:val="20"/>
                <w:szCs w:val="20"/>
              </w:rPr>
            </w:pPr>
            <w:r>
              <w:rPr>
                <w:rFonts w:ascii="Times New Roman" w:hAnsi="Times New Roman" w:eastAsia="PMingLiU"/>
                <w:color w:val="000000"/>
                <w:sz w:val="20"/>
                <w:szCs w:val="20"/>
                <w:lang w:eastAsia="zh-TW"/>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Theme="minorEastAsia" w:hAnsiTheme="minorEastAsia" w:eastAsiaTheme="minorEastAsia" w:cstheme="minorEastAsia"/>
                <w:color w:val="000000"/>
                <w:sz w:val="20"/>
                <w:szCs w:val="20"/>
                <w:lang w:eastAsia="zh-TW"/>
              </w:rPr>
              <w:t>演示型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PMingLiU" w:hAnsi="PMingLiU" w:eastAsia="PMingLiU"/>
                <w:color w:val="000000"/>
                <w:sz w:val="20"/>
                <w:szCs w:val="20"/>
                <w:lang w:eastAsia="zh-TW"/>
              </w:rPr>
            </w:pPr>
            <w:r>
              <w:rPr>
                <w:rFonts w:hint="eastAsia" w:ascii="PMingLiU" w:hAnsi="PMingLiU" w:eastAsia="PMingLiU"/>
                <w:color w:val="000000"/>
                <w:sz w:val="20"/>
                <w:szCs w:val="20"/>
                <w:lang w:eastAsia="zh-TW"/>
              </w:rPr>
              <w:t>5</w:t>
            </w:r>
          </w:p>
        </w:tc>
        <w:tc>
          <w:tcPr>
            <w:tcW w:w="26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20"/>
                <w:szCs w:val="20"/>
              </w:rPr>
            </w:pPr>
            <w:r>
              <w:rPr>
                <w:rFonts w:hint="eastAsia" w:asciiTheme="minorEastAsia" w:hAnsiTheme="minorEastAsia" w:eastAsiaTheme="minorEastAsia" w:cstheme="minorEastAsia"/>
                <w:color w:val="000000"/>
                <w:sz w:val="20"/>
                <w:szCs w:val="20"/>
                <w:lang w:eastAsia="zh-TW"/>
              </w:rPr>
              <w:t>老年人安全与环境护理</w:t>
            </w:r>
          </w:p>
        </w:tc>
        <w:tc>
          <w:tcPr>
            <w:tcW w:w="292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宋体" w:hAnsi="宋体" w:cs="宋体"/>
                <w:color w:val="000000"/>
                <w:sz w:val="20"/>
                <w:szCs w:val="20"/>
                <w:lang w:eastAsia="zh-TW"/>
              </w:rPr>
            </w:pPr>
            <w:r>
              <w:rPr>
                <w:rFonts w:hint="eastAsia" w:ascii="宋体" w:hAnsi="宋体" w:cs="宋体"/>
                <w:color w:val="000000"/>
                <w:sz w:val="20"/>
                <w:szCs w:val="20"/>
                <w:lang w:eastAsia="zh-TW"/>
              </w:rPr>
              <w:t>培训老年人和非专业照顾者预防跌倒的健康识能</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imes New Roman" w:hAnsi="Times New Roman" w:eastAsia="PMingLiU"/>
                <w:color w:val="000000"/>
                <w:sz w:val="20"/>
                <w:szCs w:val="20"/>
                <w:lang w:eastAsia="zh-TW"/>
              </w:rPr>
            </w:pPr>
            <w:r>
              <w:rPr>
                <w:rFonts w:hint="eastAsia" w:ascii="Times New Roman" w:hAnsi="Times New Roman" w:eastAsia="PMingLiU"/>
                <w:color w:val="000000"/>
                <w:sz w:val="20"/>
                <w:szCs w:val="20"/>
                <w:lang w:eastAsia="zh-TW"/>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bl>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r>
        <w:rPr>
          <w:rFonts w:hint="eastAsia" w:ascii="黑体" w:hAnsi="宋体" w:eastAsia="黑体"/>
          <w:sz w:val="24"/>
        </w:rPr>
        <w:t>八、评价方式与成绩</w:t>
      </w:r>
    </w:p>
    <w:tbl>
      <w:tblPr>
        <w:tblStyle w:val="4"/>
        <w:tblpPr w:leftFromText="180" w:rightFromText="180" w:vertAnchor="text" w:horzAnchor="page" w:tblpXSpec="center" w:tblpY="187"/>
        <w:tblOverlap w:val="never"/>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1</w:t>
            </w:r>
          </w:p>
        </w:tc>
        <w:tc>
          <w:tcPr>
            <w:tcW w:w="5103" w:type="dxa"/>
            <w:shd w:val="clear" w:color="auto" w:fill="auto"/>
          </w:tcPr>
          <w:p>
            <w:pPr>
              <w:snapToGrid w:val="0"/>
              <w:spacing w:before="156" w:beforeLines="50" w:after="156" w:afterLines="50"/>
              <w:jc w:val="center"/>
              <w:rPr>
                <w:rFonts w:ascii="宋体" w:hAnsi="宋体" w:cs="宋体"/>
                <w:bCs/>
                <w:color w:val="000000"/>
                <w:szCs w:val="21"/>
                <w:lang w:eastAsia="zh-TW"/>
              </w:rPr>
            </w:pPr>
            <w:r>
              <w:rPr>
                <w:rFonts w:hint="eastAsia" w:ascii="宋体" w:hAnsi="宋体" w:cs="宋体"/>
                <w:sz w:val="20"/>
                <w:szCs w:val="20"/>
              </w:rPr>
              <w:t>期</w:t>
            </w:r>
            <w:r>
              <w:rPr>
                <w:rFonts w:hint="eastAsia" w:ascii="宋体" w:hAnsi="宋体" w:cs="宋体"/>
                <w:sz w:val="20"/>
                <w:szCs w:val="20"/>
                <w:lang w:eastAsia="zh-TW"/>
              </w:rPr>
              <w:t>末</w:t>
            </w:r>
            <w:r>
              <w:rPr>
                <w:rFonts w:hint="eastAsia" w:ascii="宋体" w:hAnsi="宋体" w:cs="宋体"/>
                <w:sz w:val="20"/>
                <w:szCs w:val="20"/>
              </w:rPr>
              <w:t>闭卷考</w:t>
            </w:r>
          </w:p>
        </w:tc>
        <w:tc>
          <w:tcPr>
            <w:tcW w:w="1843" w:type="dxa"/>
            <w:shd w:val="clear" w:color="auto" w:fill="auto"/>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eastAsia="PMingLiU"/>
                <w:bCs/>
                <w:color w:val="000000"/>
                <w:sz w:val="20"/>
                <w:szCs w:val="20"/>
                <w:lang w:eastAsia="zh-TW"/>
              </w:rPr>
              <w:t>5</w:t>
            </w:r>
            <w:r>
              <w:rPr>
                <w:rFonts w:ascii="Times New Roman" w:hAnsi="Times New Roman" w:eastAsiaTheme="minorEastAsia"/>
                <w:bCs/>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X1</w:t>
            </w:r>
          </w:p>
        </w:tc>
        <w:tc>
          <w:tcPr>
            <w:tcW w:w="5103" w:type="dxa"/>
            <w:shd w:val="clear" w:color="auto" w:fill="auto"/>
          </w:tcPr>
          <w:p>
            <w:pPr>
              <w:snapToGrid w:val="0"/>
              <w:spacing w:before="156" w:beforeLines="50" w:after="156" w:afterLines="50"/>
              <w:jc w:val="center"/>
              <w:rPr>
                <w:rFonts w:ascii="宋体" w:hAnsi="宋体" w:cs="宋体"/>
                <w:bCs/>
                <w:color w:val="000000"/>
                <w:szCs w:val="21"/>
                <w:lang w:eastAsia="zh-TW"/>
              </w:rPr>
            </w:pPr>
            <w:r>
              <w:rPr>
                <w:rFonts w:hint="eastAsia" w:ascii="宋体" w:hAnsi="宋体" w:cs="宋体"/>
                <w:bCs/>
                <w:color w:val="000000"/>
                <w:szCs w:val="21"/>
                <w:lang w:eastAsia="zh-TW"/>
              </w:rPr>
              <w:t>实训报告</w:t>
            </w:r>
          </w:p>
        </w:tc>
        <w:tc>
          <w:tcPr>
            <w:tcW w:w="1843" w:type="dxa"/>
            <w:shd w:val="clear" w:color="auto" w:fill="auto"/>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eastAsia="PMingLiU"/>
                <w:bCs/>
                <w:color w:val="000000"/>
                <w:sz w:val="20"/>
                <w:szCs w:val="20"/>
                <w:lang w:eastAsia="zh-TW"/>
              </w:rPr>
              <w:t>2</w:t>
            </w:r>
            <w:r>
              <w:rPr>
                <w:rFonts w:ascii="Times New Roman" w:hAnsi="Times New Roman" w:eastAsiaTheme="minorEastAsia"/>
                <w:bCs/>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X2</w:t>
            </w:r>
          </w:p>
        </w:tc>
        <w:tc>
          <w:tcPr>
            <w:tcW w:w="5103" w:type="dxa"/>
            <w:shd w:val="clear" w:color="auto" w:fill="auto"/>
          </w:tcPr>
          <w:p>
            <w:pPr>
              <w:snapToGrid w:val="0"/>
              <w:spacing w:before="156" w:beforeLines="50" w:after="156" w:afterLines="50"/>
              <w:jc w:val="center"/>
              <w:rPr>
                <w:rFonts w:ascii="宋体" w:hAnsi="宋体" w:cs="宋体"/>
                <w:bCs/>
                <w:color w:val="000000"/>
                <w:szCs w:val="21"/>
                <w:lang w:eastAsia="zh-TW"/>
              </w:rPr>
            </w:pPr>
            <w:r>
              <w:rPr>
                <w:rFonts w:hint="eastAsia" w:ascii="宋体" w:hAnsi="宋体" w:cs="宋体"/>
                <w:bCs/>
                <w:color w:val="000000"/>
                <w:szCs w:val="21"/>
                <w:lang w:eastAsia="zh-TW"/>
              </w:rPr>
              <w:t>平时作业</w:t>
            </w:r>
          </w:p>
        </w:tc>
        <w:tc>
          <w:tcPr>
            <w:tcW w:w="1843" w:type="dxa"/>
            <w:shd w:val="clear" w:color="auto" w:fill="auto"/>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eastAsia="PMingLiU"/>
                <w:bCs/>
                <w:color w:val="000000"/>
                <w:sz w:val="20"/>
                <w:szCs w:val="20"/>
                <w:lang w:eastAsia="zh-TW"/>
              </w:rPr>
              <w:t>2</w:t>
            </w:r>
            <w:r>
              <w:rPr>
                <w:rFonts w:ascii="Times New Roman" w:hAnsi="Times New Roman" w:eastAsiaTheme="minorEastAsia"/>
                <w:bCs/>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X3</w:t>
            </w:r>
          </w:p>
        </w:tc>
        <w:tc>
          <w:tcPr>
            <w:tcW w:w="5103" w:type="dxa"/>
            <w:shd w:val="clear" w:color="auto" w:fill="auto"/>
          </w:tcPr>
          <w:p>
            <w:pPr>
              <w:snapToGrid w:val="0"/>
              <w:spacing w:before="156" w:beforeLines="50" w:after="156" w:afterLines="50"/>
              <w:jc w:val="center"/>
              <w:rPr>
                <w:rFonts w:ascii="宋体" w:hAnsi="宋体" w:cs="宋体"/>
                <w:bCs/>
                <w:color w:val="000000"/>
                <w:szCs w:val="21"/>
                <w:lang w:eastAsia="zh-TW"/>
              </w:rPr>
            </w:pPr>
            <w:r>
              <w:rPr>
                <w:rFonts w:hint="eastAsia" w:ascii="宋体" w:hAnsi="宋体" w:cs="宋体"/>
                <w:kern w:val="0"/>
                <w:sz w:val="20"/>
                <w:szCs w:val="20"/>
              </w:rPr>
              <w:t>平时表现（课堂表现5%、</w:t>
            </w:r>
            <w:r>
              <w:rPr>
                <w:rFonts w:hint="eastAsia" w:ascii="宋体" w:hAnsi="宋体" w:cs="宋体"/>
                <w:kern w:val="0"/>
                <w:sz w:val="20"/>
                <w:szCs w:val="20"/>
                <w:lang w:eastAsia="zh-TW"/>
              </w:rPr>
              <w:t>案例分析</w:t>
            </w:r>
            <w:r>
              <w:rPr>
                <w:rFonts w:hint="eastAsia" w:ascii="宋体" w:hAnsi="宋体" w:cs="宋体"/>
                <w:kern w:val="0"/>
                <w:sz w:val="20"/>
                <w:szCs w:val="20"/>
              </w:rPr>
              <w:t>1</w:t>
            </w:r>
            <w:r>
              <w:rPr>
                <w:rFonts w:hint="eastAsia" w:ascii="宋体" w:hAnsi="宋体" w:cs="宋体"/>
                <w:kern w:val="0"/>
                <w:sz w:val="20"/>
                <w:szCs w:val="20"/>
                <w:lang w:eastAsia="zh-TW"/>
              </w:rPr>
              <w:t>5</w:t>
            </w:r>
            <w:r>
              <w:rPr>
                <w:rFonts w:hint="eastAsia" w:ascii="宋体" w:hAnsi="宋体" w:cs="宋体"/>
                <w:kern w:val="0"/>
                <w:sz w:val="20"/>
                <w:szCs w:val="20"/>
              </w:rPr>
              <w:t>%）</w:t>
            </w:r>
          </w:p>
        </w:tc>
        <w:tc>
          <w:tcPr>
            <w:tcW w:w="1843" w:type="dxa"/>
            <w:shd w:val="clear" w:color="auto" w:fill="auto"/>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eastAsia="PMingLiU"/>
                <w:bCs/>
                <w:color w:val="000000"/>
                <w:sz w:val="20"/>
                <w:szCs w:val="20"/>
                <w:lang w:eastAsia="zh-TW"/>
              </w:rPr>
              <w:t>1</w:t>
            </w:r>
            <w:r>
              <w:rPr>
                <w:rFonts w:ascii="Times New Roman" w:hAnsi="Times New Roman" w:eastAsiaTheme="minorEastAsia"/>
                <w:bCs/>
                <w:color w:val="000000"/>
                <w:sz w:val="20"/>
                <w:szCs w:val="20"/>
              </w:rPr>
              <w:t>0%</w:t>
            </w:r>
          </w:p>
        </w:tc>
      </w:tr>
    </w:tbl>
    <w:p>
      <w:pPr>
        <w:snapToGrid w:val="0"/>
        <w:spacing w:before="120" w:after="120" w:line="288" w:lineRule="auto"/>
        <w:ind w:firstLine="560" w:firstLineChars="200"/>
        <w:rPr>
          <w:rFonts w:ascii="宋体" w:hAnsi="宋体"/>
          <w:sz w:val="20"/>
          <w:szCs w:val="20"/>
          <w:highlight w:val="yellow"/>
        </w:rPr>
      </w:pPr>
      <w:r>
        <w:rPr>
          <w:rFonts w:hint="eastAsia"/>
          <w:sz w:val="28"/>
          <w:szCs w:val="28"/>
        </w:rPr>
        <w:drawing>
          <wp:anchor distT="0" distB="0" distL="114300" distR="114300" simplePos="0" relativeHeight="251661312" behindDoc="0" locked="0" layoutInCell="1" allowOverlap="1">
            <wp:simplePos x="0" y="0"/>
            <wp:positionH relativeFrom="column">
              <wp:posOffset>3667125</wp:posOffset>
            </wp:positionH>
            <wp:positionV relativeFrom="paragraph">
              <wp:posOffset>2078990</wp:posOffset>
            </wp:positionV>
            <wp:extent cx="1170305" cy="561340"/>
            <wp:effectExtent l="0" t="0" r="0" b="0"/>
            <wp:wrapNone/>
            <wp:docPr id="224967626" name="图片 1" descr="0bac983d4e1acf3e9c343d7a85104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967626" name="图片 1" descr="0bac983d4e1acf3e9c343d7a85104c9"/>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170305" cy="561340"/>
                    </a:xfrm>
                    <a:prstGeom prst="rect">
                      <a:avLst/>
                    </a:prstGeom>
                  </pic:spPr>
                </pic:pic>
              </a:graphicData>
            </a:graphic>
          </wp:anchor>
        </w:drawing>
      </w:r>
    </w:p>
    <w:p>
      <w:pPr>
        <w:snapToGrid w:val="0"/>
        <w:spacing w:line="288" w:lineRule="auto"/>
        <w:ind w:firstLine="840" w:firstLineChars="300"/>
        <w:rPr>
          <w:sz w:val="28"/>
          <w:szCs w:val="28"/>
        </w:rPr>
      </w:pPr>
      <w:r>
        <w:rPr>
          <w:rFonts w:hint="eastAsia"/>
          <w:sz w:val="28"/>
          <w:szCs w:val="28"/>
        </w:rPr>
        <w:t>撰写人：</w:t>
      </w:r>
      <w:r>
        <w:rPr>
          <w:rFonts w:hint="eastAsia"/>
          <w:sz w:val="28"/>
          <w:szCs w:val="28"/>
          <w:lang w:eastAsia="zh-TW"/>
        </w:rPr>
        <w:drawing>
          <wp:anchor distT="0" distB="0" distL="114300" distR="114300" simplePos="0" relativeHeight="251660288" behindDoc="0" locked="1" layoutInCell="1" allowOverlap="1">
            <wp:simplePos x="0" y="0"/>
            <wp:positionH relativeFrom="column">
              <wp:posOffset>1193800</wp:posOffset>
            </wp:positionH>
            <wp:positionV relativeFrom="paragraph">
              <wp:posOffset>-152400</wp:posOffset>
            </wp:positionV>
            <wp:extent cx="774065" cy="403225"/>
            <wp:effectExtent l="0" t="0" r="635" b="31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74065" cy="403225"/>
                    </a:xfrm>
                    <a:prstGeom prst="rect">
                      <a:avLst/>
                    </a:prstGeom>
                    <a:noFill/>
                  </pic:spPr>
                </pic:pic>
              </a:graphicData>
            </a:graphic>
          </wp:anchor>
        </w:drawing>
      </w:r>
      <w:r>
        <w:rPr>
          <w:rFonts w:hint="eastAsia"/>
          <w:sz w:val="28"/>
          <w:szCs w:val="28"/>
        </w:rPr>
        <w:t xml:space="preserve">          系主任审核签名：</w:t>
      </w:r>
    </w:p>
    <w:p>
      <w:pPr>
        <w:snapToGrid w:val="0"/>
        <w:spacing w:line="288" w:lineRule="auto"/>
        <w:ind w:firstLine="840" w:firstLineChars="300"/>
        <w:rPr>
          <w:sz w:val="28"/>
          <w:szCs w:val="28"/>
        </w:rPr>
      </w:pPr>
      <w:r>
        <w:rPr>
          <w:rFonts w:hint="eastAsia"/>
          <w:sz w:val="28"/>
          <w:szCs w:val="28"/>
        </w:rPr>
        <w:t xml:space="preserve">审核时间： </w:t>
      </w:r>
      <w:r>
        <w:rPr>
          <w:sz w:val="28"/>
          <w:szCs w:val="28"/>
        </w:rPr>
        <w:t>2023</w:t>
      </w:r>
      <w:r>
        <w:rPr>
          <w:rFonts w:hint="eastAsia"/>
          <w:sz w:val="28"/>
          <w:szCs w:val="28"/>
        </w:rPr>
        <w:t>年</w:t>
      </w:r>
      <w:r>
        <w:rPr>
          <w:sz w:val="28"/>
          <w:szCs w:val="28"/>
        </w:rPr>
        <w:t>9</w:t>
      </w:r>
      <w:r>
        <w:rPr>
          <w:rFonts w:hint="eastAsia"/>
          <w:sz w:val="28"/>
          <w:szCs w:val="28"/>
        </w:rPr>
        <w:t xml:space="preserve"> 月1 日                      </w:t>
      </w:r>
    </w:p>
    <w:p/>
    <w:p>
      <w:pPr>
        <w:snapToGrid w:val="0"/>
        <w:spacing w:before="120" w:after="120" w:line="288" w:lineRule="auto"/>
        <w:ind w:firstLine="400" w:firstLineChars="200"/>
        <w:rPr>
          <w:rFonts w:ascii="宋体" w:hAnsi="宋体"/>
          <w:sz w:val="20"/>
          <w:szCs w:val="20"/>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B0604020202020204"/>
    <w:charset w:val="86"/>
    <w:family w:val="script"/>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decorative"/>
    <w:pitch w:val="default"/>
    <w:sig w:usb0="00000000" w:usb1="00000000" w:usb2="00000000" w:usb3="00000000" w:csb0="80000001" w:csb1="00000000"/>
  </w:font>
  <w:font w:name="PMingLiU-ExtB">
    <w:panose1 w:val="02020500000000000000"/>
    <w:charset w:val="88"/>
    <w:family w:val="auto"/>
    <w:pitch w:val="default"/>
    <w:sig w:usb0="8000002F" w:usb1="02000008" w:usb2="00000000" w:usb3="00000000" w:csb0="00100001"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BEF22"/>
    <w:multiLevelType w:val="singleLevel"/>
    <w:tmpl w:val="80EBEF22"/>
    <w:lvl w:ilvl="0" w:tentative="0">
      <w:start w:val="1"/>
      <w:numFmt w:val="decimal"/>
      <w:lvlText w:val="%1."/>
      <w:lvlJc w:val="left"/>
      <w:pPr>
        <w:tabs>
          <w:tab w:val="left" w:pos="312"/>
        </w:tabs>
      </w:pPr>
    </w:lvl>
  </w:abstractNum>
  <w:abstractNum w:abstractNumId="1">
    <w:nsid w:val="9F8F2C82"/>
    <w:multiLevelType w:val="singleLevel"/>
    <w:tmpl w:val="9F8F2C82"/>
    <w:lvl w:ilvl="0" w:tentative="0">
      <w:start w:val="1"/>
      <w:numFmt w:val="decimal"/>
      <w:lvlText w:val="%1."/>
      <w:lvlJc w:val="left"/>
      <w:pPr>
        <w:tabs>
          <w:tab w:val="left" w:pos="312"/>
        </w:tabs>
      </w:pPr>
    </w:lvl>
  </w:abstractNum>
  <w:abstractNum w:abstractNumId="2">
    <w:nsid w:val="B71A972A"/>
    <w:multiLevelType w:val="singleLevel"/>
    <w:tmpl w:val="B71A972A"/>
    <w:lvl w:ilvl="0" w:tentative="0">
      <w:start w:val="1"/>
      <w:numFmt w:val="decimal"/>
      <w:lvlText w:val="%1."/>
      <w:lvlJc w:val="left"/>
      <w:pPr>
        <w:tabs>
          <w:tab w:val="left" w:pos="312"/>
        </w:tabs>
      </w:pPr>
    </w:lvl>
  </w:abstractNum>
  <w:abstractNum w:abstractNumId="3">
    <w:nsid w:val="CE98450C"/>
    <w:multiLevelType w:val="singleLevel"/>
    <w:tmpl w:val="CE98450C"/>
    <w:lvl w:ilvl="0" w:tentative="0">
      <w:start w:val="1"/>
      <w:numFmt w:val="decimal"/>
      <w:lvlText w:val="%1."/>
      <w:lvlJc w:val="left"/>
      <w:pPr>
        <w:tabs>
          <w:tab w:val="left" w:pos="312"/>
        </w:tabs>
      </w:pPr>
    </w:lvl>
  </w:abstractNum>
  <w:abstractNum w:abstractNumId="4">
    <w:nsid w:val="CFC99FEA"/>
    <w:multiLevelType w:val="singleLevel"/>
    <w:tmpl w:val="CFC99FEA"/>
    <w:lvl w:ilvl="0" w:tentative="0">
      <w:start w:val="4"/>
      <w:numFmt w:val="chineseCounting"/>
      <w:suff w:val="nothing"/>
      <w:lvlText w:val="%1、"/>
      <w:lvlJc w:val="left"/>
      <w:rPr>
        <w:rFonts w:hint="eastAsia"/>
      </w:rPr>
    </w:lvl>
  </w:abstractNum>
  <w:abstractNum w:abstractNumId="5">
    <w:nsid w:val="E8DBBD8B"/>
    <w:multiLevelType w:val="singleLevel"/>
    <w:tmpl w:val="E8DBBD8B"/>
    <w:lvl w:ilvl="0" w:tentative="0">
      <w:start w:val="1"/>
      <w:numFmt w:val="decimal"/>
      <w:lvlText w:val="%1."/>
      <w:lvlJc w:val="left"/>
      <w:pPr>
        <w:tabs>
          <w:tab w:val="left" w:pos="312"/>
        </w:tabs>
      </w:pPr>
    </w:lvl>
  </w:abstractNum>
  <w:abstractNum w:abstractNumId="6">
    <w:nsid w:val="E9AB39D4"/>
    <w:multiLevelType w:val="singleLevel"/>
    <w:tmpl w:val="E9AB39D4"/>
    <w:lvl w:ilvl="0" w:tentative="0">
      <w:start w:val="1"/>
      <w:numFmt w:val="decimal"/>
      <w:lvlText w:val="%1."/>
      <w:lvlJc w:val="left"/>
      <w:pPr>
        <w:tabs>
          <w:tab w:val="left" w:pos="312"/>
        </w:tabs>
      </w:pPr>
    </w:lvl>
  </w:abstractNum>
  <w:abstractNum w:abstractNumId="7">
    <w:nsid w:val="EC09A037"/>
    <w:multiLevelType w:val="singleLevel"/>
    <w:tmpl w:val="EC09A037"/>
    <w:lvl w:ilvl="0" w:tentative="0">
      <w:start w:val="1"/>
      <w:numFmt w:val="decimal"/>
      <w:lvlText w:val="%1."/>
      <w:lvlJc w:val="left"/>
      <w:pPr>
        <w:tabs>
          <w:tab w:val="left" w:pos="312"/>
        </w:tabs>
      </w:pPr>
    </w:lvl>
  </w:abstractNum>
  <w:abstractNum w:abstractNumId="8">
    <w:nsid w:val="EC48AC65"/>
    <w:multiLevelType w:val="singleLevel"/>
    <w:tmpl w:val="EC48AC65"/>
    <w:lvl w:ilvl="0" w:tentative="0">
      <w:start w:val="1"/>
      <w:numFmt w:val="decimal"/>
      <w:lvlText w:val="%1."/>
      <w:lvlJc w:val="left"/>
      <w:pPr>
        <w:tabs>
          <w:tab w:val="left" w:pos="312"/>
        </w:tabs>
      </w:pPr>
    </w:lvl>
  </w:abstractNum>
  <w:abstractNum w:abstractNumId="9">
    <w:nsid w:val="EF56960E"/>
    <w:multiLevelType w:val="singleLevel"/>
    <w:tmpl w:val="EF56960E"/>
    <w:lvl w:ilvl="0" w:tentative="0">
      <w:start w:val="1"/>
      <w:numFmt w:val="decimal"/>
      <w:lvlText w:val="%1."/>
      <w:lvlJc w:val="left"/>
      <w:pPr>
        <w:tabs>
          <w:tab w:val="left" w:pos="312"/>
        </w:tabs>
      </w:pPr>
    </w:lvl>
  </w:abstractNum>
  <w:abstractNum w:abstractNumId="10">
    <w:nsid w:val="F379F5BB"/>
    <w:multiLevelType w:val="singleLevel"/>
    <w:tmpl w:val="F379F5BB"/>
    <w:lvl w:ilvl="0" w:tentative="0">
      <w:start w:val="1"/>
      <w:numFmt w:val="decimal"/>
      <w:lvlText w:val="%1."/>
      <w:lvlJc w:val="left"/>
      <w:pPr>
        <w:tabs>
          <w:tab w:val="left" w:pos="312"/>
        </w:tabs>
      </w:pPr>
    </w:lvl>
  </w:abstractNum>
  <w:abstractNum w:abstractNumId="11">
    <w:nsid w:val="0C316332"/>
    <w:multiLevelType w:val="singleLevel"/>
    <w:tmpl w:val="0C316332"/>
    <w:lvl w:ilvl="0" w:tentative="0">
      <w:start w:val="1"/>
      <w:numFmt w:val="decimal"/>
      <w:lvlText w:val="%1."/>
      <w:lvlJc w:val="left"/>
      <w:pPr>
        <w:tabs>
          <w:tab w:val="left" w:pos="312"/>
        </w:tabs>
      </w:pPr>
    </w:lvl>
  </w:abstractNum>
  <w:abstractNum w:abstractNumId="12">
    <w:nsid w:val="19135F87"/>
    <w:multiLevelType w:val="singleLevel"/>
    <w:tmpl w:val="19135F87"/>
    <w:lvl w:ilvl="0" w:tentative="0">
      <w:start w:val="1"/>
      <w:numFmt w:val="decimal"/>
      <w:lvlText w:val="%1."/>
      <w:lvlJc w:val="left"/>
      <w:pPr>
        <w:tabs>
          <w:tab w:val="left" w:pos="312"/>
        </w:tabs>
      </w:pPr>
    </w:lvl>
  </w:abstractNum>
  <w:abstractNum w:abstractNumId="13">
    <w:nsid w:val="20014AED"/>
    <w:multiLevelType w:val="singleLevel"/>
    <w:tmpl w:val="20014AED"/>
    <w:lvl w:ilvl="0" w:tentative="0">
      <w:start w:val="1"/>
      <w:numFmt w:val="decimal"/>
      <w:lvlText w:val="%1."/>
      <w:lvlJc w:val="left"/>
      <w:pPr>
        <w:tabs>
          <w:tab w:val="left" w:pos="312"/>
        </w:tabs>
      </w:pPr>
    </w:lvl>
  </w:abstractNum>
  <w:abstractNum w:abstractNumId="14">
    <w:nsid w:val="360F5B6A"/>
    <w:multiLevelType w:val="singleLevel"/>
    <w:tmpl w:val="360F5B6A"/>
    <w:lvl w:ilvl="0" w:tentative="0">
      <w:start w:val="1"/>
      <w:numFmt w:val="decimal"/>
      <w:lvlText w:val="%1."/>
      <w:lvlJc w:val="left"/>
      <w:pPr>
        <w:tabs>
          <w:tab w:val="left" w:pos="312"/>
        </w:tabs>
      </w:pPr>
    </w:lvl>
  </w:abstractNum>
  <w:abstractNum w:abstractNumId="15">
    <w:nsid w:val="37D23FF1"/>
    <w:multiLevelType w:val="singleLevel"/>
    <w:tmpl w:val="37D23FF1"/>
    <w:lvl w:ilvl="0" w:tentative="0">
      <w:start w:val="1"/>
      <w:numFmt w:val="decimal"/>
      <w:lvlText w:val="%1."/>
      <w:lvlJc w:val="left"/>
      <w:pPr>
        <w:tabs>
          <w:tab w:val="left" w:pos="312"/>
        </w:tabs>
      </w:pPr>
    </w:lvl>
  </w:abstractNum>
  <w:abstractNum w:abstractNumId="16">
    <w:nsid w:val="4A8CB5E2"/>
    <w:multiLevelType w:val="singleLevel"/>
    <w:tmpl w:val="4A8CB5E2"/>
    <w:lvl w:ilvl="0" w:tentative="0">
      <w:start w:val="7"/>
      <w:numFmt w:val="chineseCounting"/>
      <w:suff w:val="nothing"/>
      <w:lvlText w:val="%1、"/>
      <w:lvlJc w:val="left"/>
      <w:rPr>
        <w:rFonts w:hint="eastAsia"/>
      </w:rPr>
    </w:lvl>
  </w:abstractNum>
  <w:abstractNum w:abstractNumId="17">
    <w:nsid w:val="6871FDA1"/>
    <w:multiLevelType w:val="singleLevel"/>
    <w:tmpl w:val="6871FDA1"/>
    <w:lvl w:ilvl="0" w:tentative="0">
      <w:start w:val="1"/>
      <w:numFmt w:val="decimal"/>
      <w:lvlText w:val="%1."/>
      <w:lvlJc w:val="left"/>
      <w:pPr>
        <w:tabs>
          <w:tab w:val="left" w:pos="312"/>
        </w:tabs>
      </w:pPr>
    </w:lvl>
  </w:abstractNum>
  <w:num w:numId="1">
    <w:abstractNumId w:val="4"/>
  </w:num>
  <w:num w:numId="2">
    <w:abstractNumId w:val="17"/>
  </w:num>
  <w:num w:numId="3">
    <w:abstractNumId w:val="0"/>
  </w:num>
  <w:num w:numId="4">
    <w:abstractNumId w:val="5"/>
  </w:num>
  <w:num w:numId="5">
    <w:abstractNumId w:val="15"/>
  </w:num>
  <w:num w:numId="6">
    <w:abstractNumId w:val="12"/>
  </w:num>
  <w:num w:numId="7">
    <w:abstractNumId w:val="10"/>
  </w:num>
  <w:num w:numId="8">
    <w:abstractNumId w:val="14"/>
  </w:num>
  <w:num w:numId="9">
    <w:abstractNumId w:val="2"/>
  </w:num>
  <w:num w:numId="10">
    <w:abstractNumId w:val="1"/>
  </w:num>
  <w:num w:numId="11">
    <w:abstractNumId w:val="9"/>
  </w:num>
  <w:num w:numId="12">
    <w:abstractNumId w:val="7"/>
  </w:num>
  <w:num w:numId="13">
    <w:abstractNumId w:val="13"/>
  </w:num>
  <w:num w:numId="14">
    <w:abstractNumId w:val="6"/>
  </w:num>
  <w:num w:numId="15">
    <w:abstractNumId w:val="8"/>
  </w:num>
  <w:num w:numId="16">
    <w:abstractNumId w:val="11"/>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zMzgxYTJhN2I3ZmNiYmJhYzJjOWFkNjNiYTY5YzcifQ=="/>
  </w:docVars>
  <w:rsids>
    <w:rsidRoot w:val="00B7651F"/>
    <w:rsid w:val="000272C7"/>
    <w:rsid w:val="000537D5"/>
    <w:rsid w:val="00066D0D"/>
    <w:rsid w:val="000A3A6A"/>
    <w:rsid w:val="000B090B"/>
    <w:rsid w:val="000B21A7"/>
    <w:rsid w:val="000D748B"/>
    <w:rsid w:val="001072BC"/>
    <w:rsid w:val="00141F76"/>
    <w:rsid w:val="00151AD6"/>
    <w:rsid w:val="00161ADC"/>
    <w:rsid w:val="00197502"/>
    <w:rsid w:val="001C7923"/>
    <w:rsid w:val="001E0BB2"/>
    <w:rsid w:val="00206852"/>
    <w:rsid w:val="00214068"/>
    <w:rsid w:val="0022108D"/>
    <w:rsid w:val="00256B39"/>
    <w:rsid w:val="0026033C"/>
    <w:rsid w:val="0027667E"/>
    <w:rsid w:val="002A67C7"/>
    <w:rsid w:val="002E3721"/>
    <w:rsid w:val="002F0B1B"/>
    <w:rsid w:val="00313BBA"/>
    <w:rsid w:val="0032282B"/>
    <w:rsid w:val="0032602E"/>
    <w:rsid w:val="003367AE"/>
    <w:rsid w:val="0036372E"/>
    <w:rsid w:val="003B1258"/>
    <w:rsid w:val="003B5222"/>
    <w:rsid w:val="0040416A"/>
    <w:rsid w:val="004100B0"/>
    <w:rsid w:val="00463F2B"/>
    <w:rsid w:val="0049206D"/>
    <w:rsid w:val="004A5F88"/>
    <w:rsid w:val="005467DC"/>
    <w:rsid w:val="00551439"/>
    <w:rsid w:val="00553D03"/>
    <w:rsid w:val="00574D2E"/>
    <w:rsid w:val="005B2B6D"/>
    <w:rsid w:val="005B2C6E"/>
    <w:rsid w:val="005B4B4E"/>
    <w:rsid w:val="006220F0"/>
    <w:rsid w:val="00624FE1"/>
    <w:rsid w:val="006607DB"/>
    <w:rsid w:val="00675E93"/>
    <w:rsid w:val="00680D38"/>
    <w:rsid w:val="006D0AB9"/>
    <w:rsid w:val="006F5292"/>
    <w:rsid w:val="00712B95"/>
    <w:rsid w:val="007208D6"/>
    <w:rsid w:val="00737659"/>
    <w:rsid w:val="007548CE"/>
    <w:rsid w:val="007B23CD"/>
    <w:rsid w:val="008075C7"/>
    <w:rsid w:val="0081022D"/>
    <w:rsid w:val="00854754"/>
    <w:rsid w:val="00856B95"/>
    <w:rsid w:val="00890BD3"/>
    <w:rsid w:val="008A3176"/>
    <w:rsid w:val="008B397C"/>
    <w:rsid w:val="008B47F4"/>
    <w:rsid w:val="008F4E74"/>
    <w:rsid w:val="00900019"/>
    <w:rsid w:val="00907FEE"/>
    <w:rsid w:val="0096307F"/>
    <w:rsid w:val="0099063E"/>
    <w:rsid w:val="009F5A5B"/>
    <w:rsid w:val="00A02EDC"/>
    <w:rsid w:val="00A24E26"/>
    <w:rsid w:val="00A35633"/>
    <w:rsid w:val="00A40462"/>
    <w:rsid w:val="00A46F01"/>
    <w:rsid w:val="00A769B1"/>
    <w:rsid w:val="00A837D5"/>
    <w:rsid w:val="00AC4C45"/>
    <w:rsid w:val="00AD2771"/>
    <w:rsid w:val="00B46F21"/>
    <w:rsid w:val="00B511A5"/>
    <w:rsid w:val="00B736A7"/>
    <w:rsid w:val="00B7651F"/>
    <w:rsid w:val="00BB4B4B"/>
    <w:rsid w:val="00BF69E3"/>
    <w:rsid w:val="00C503F4"/>
    <w:rsid w:val="00C56E09"/>
    <w:rsid w:val="00C5732B"/>
    <w:rsid w:val="00CB4EDD"/>
    <w:rsid w:val="00CF096B"/>
    <w:rsid w:val="00CF390A"/>
    <w:rsid w:val="00D16CEE"/>
    <w:rsid w:val="00D36760"/>
    <w:rsid w:val="00D67704"/>
    <w:rsid w:val="00DA3559"/>
    <w:rsid w:val="00DB3595"/>
    <w:rsid w:val="00E16D30"/>
    <w:rsid w:val="00E33169"/>
    <w:rsid w:val="00E5471E"/>
    <w:rsid w:val="00E70904"/>
    <w:rsid w:val="00EA7740"/>
    <w:rsid w:val="00EF44B1"/>
    <w:rsid w:val="00F35AA0"/>
    <w:rsid w:val="00F70870"/>
    <w:rsid w:val="0104040B"/>
    <w:rsid w:val="01231DAC"/>
    <w:rsid w:val="012514DC"/>
    <w:rsid w:val="01265F49"/>
    <w:rsid w:val="01625047"/>
    <w:rsid w:val="01667474"/>
    <w:rsid w:val="016E63C2"/>
    <w:rsid w:val="01727B94"/>
    <w:rsid w:val="017A0917"/>
    <w:rsid w:val="017C23EE"/>
    <w:rsid w:val="01B9244C"/>
    <w:rsid w:val="01C42224"/>
    <w:rsid w:val="01D15A77"/>
    <w:rsid w:val="01E746B2"/>
    <w:rsid w:val="01F05996"/>
    <w:rsid w:val="020D1098"/>
    <w:rsid w:val="02110665"/>
    <w:rsid w:val="02283E26"/>
    <w:rsid w:val="022F1507"/>
    <w:rsid w:val="023F7E34"/>
    <w:rsid w:val="02472AFA"/>
    <w:rsid w:val="024B0C39"/>
    <w:rsid w:val="0273695E"/>
    <w:rsid w:val="02B12FF3"/>
    <w:rsid w:val="02C90BDB"/>
    <w:rsid w:val="02DE588D"/>
    <w:rsid w:val="02EE5BC0"/>
    <w:rsid w:val="03125AFA"/>
    <w:rsid w:val="031A25E6"/>
    <w:rsid w:val="03293A42"/>
    <w:rsid w:val="03440793"/>
    <w:rsid w:val="03497F22"/>
    <w:rsid w:val="034B1CBD"/>
    <w:rsid w:val="03694906"/>
    <w:rsid w:val="03807341"/>
    <w:rsid w:val="040121AE"/>
    <w:rsid w:val="040A75BF"/>
    <w:rsid w:val="04146CD6"/>
    <w:rsid w:val="0433169F"/>
    <w:rsid w:val="044E685A"/>
    <w:rsid w:val="04707843"/>
    <w:rsid w:val="0475486C"/>
    <w:rsid w:val="04761496"/>
    <w:rsid w:val="047B2CEA"/>
    <w:rsid w:val="04934788"/>
    <w:rsid w:val="04A174C8"/>
    <w:rsid w:val="04AE367F"/>
    <w:rsid w:val="04C2254D"/>
    <w:rsid w:val="04E0453C"/>
    <w:rsid w:val="04E52439"/>
    <w:rsid w:val="04F07784"/>
    <w:rsid w:val="05002E72"/>
    <w:rsid w:val="05194290"/>
    <w:rsid w:val="055A3B03"/>
    <w:rsid w:val="05691E82"/>
    <w:rsid w:val="05C8461C"/>
    <w:rsid w:val="05D12214"/>
    <w:rsid w:val="061545A2"/>
    <w:rsid w:val="061E3484"/>
    <w:rsid w:val="067462BA"/>
    <w:rsid w:val="067936AB"/>
    <w:rsid w:val="06861C92"/>
    <w:rsid w:val="06A71625"/>
    <w:rsid w:val="06B23043"/>
    <w:rsid w:val="06B74A29"/>
    <w:rsid w:val="06BE567E"/>
    <w:rsid w:val="06CB2482"/>
    <w:rsid w:val="06D6307A"/>
    <w:rsid w:val="06E27CD9"/>
    <w:rsid w:val="06E46F6B"/>
    <w:rsid w:val="06EF5702"/>
    <w:rsid w:val="0753027B"/>
    <w:rsid w:val="075C0874"/>
    <w:rsid w:val="077867DE"/>
    <w:rsid w:val="077C67F4"/>
    <w:rsid w:val="07854B6B"/>
    <w:rsid w:val="07A51083"/>
    <w:rsid w:val="07B6221F"/>
    <w:rsid w:val="07C21B82"/>
    <w:rsid w:val="07C4732D"/>
    <w:rsid w:val="07C67109"/>
    <w:rsid w:val="07F324B0"/>
    <w:rsid w:val="07F92E4E"/>
    <w:rsid w:val="07FD7098"/>
    <w:rsid w:val="08114077"/>
    <w:rsid w:val="081D27EC"/>
    <w:rsid w:val="08220A5C"/>
    <w:rsid w:val="08647484"/>
    <w:rsid w:val="08716DC3"/>
    <w:rsid w:val="08846442"/>
    <w:rsid w:val="08866EF7"/>
    <w:rsid w:val="08921038"/>
    <w:rsid w:val="08981AF2"/>
    <w:rsid w:val="089C04E8"/>
    <w:rsid w:val="08B03B91"/>
    <w:rsid w:val="08B6741D"/>
    <w:rsid w:val="08DD4FDC"/>
    <w:rsid w:val="08DF184A"/>
    <w:rsid w:val="08F539CE"/>
    <w:rsid w:val="09055F3A"/>
    <w:rsid w:val="092E4433"/>
    <w:rsid w:val="093F6771"/>
    <w:rsid w:val="094F36A9"/>
    <w:rsid w:val="09580574"/>
    <w:rsid w:val="09594CD8"/>
    <w:rsid w:val="097202B1"/>
    <w:rsid w:val="09750DF0"/>
    <w:rsid w:val="09A67F6A"/>
    <w:rsid w:val="09C006C4"/>
    <w:rsid w:val="09D257E7"/>
    <w:rsid w:val="09DB18EE"/>
    <w:rsid w:val="09DF4F7C"/>
    <w:rsid w:val="09DF732F"/>
    <w:rsid w:val="09E4008D"/>
    <w:rsid w:val="09E86182"/>
    <w:rsid w:val="0A0C3D4E"/>
    <w:rsid w:val="0A156A99"/>
    <w:rsid w:val="0A3E1162"/>
    <w:rsid w:val="0A4849C6"/>
    <w:rsid w:val="0A514AE1"/>
    <w:rsid w:val="0A52306E"/>
    <w:rsid w:val="0A6A3B9C"/>
    <w:rsid w:val="0A7F04BA"/>
    <w:rsid w:val="0A8128A6"/>
    <w:rsid w:val="0A8E2F38"/>
    <w:rsid w:val="0AAF3780"/>
    <w:rsid w:val="0AE90EEC"/>
    <w:rsid w:val="0AF26C16"/>
    <w:rsid w:val="0B091B9C"/>
    <w:rsid w:val="0B1242E8"/>
    <w:rsid w:val="0B834628"/>
    <w:rsid w:val="0BF32A1B"/>
    <w:rsid w:val="0BFB7DC7"/>
    <w:rsid w:val="0BFF3AF7"/>
    <w:rsid w:val="0C0128AF"/>
    <w:rsid w:val="0C0817DC"/>
    <w:rsid w:val="0C14357A"/>
    <w:rsid w:val="0C1E2C21"/>
    <w:rsid w:val="0C2D0D30"/>
    <w:rsid w:val="0C3C573B"/>
    <w:rsid w:val="0C69598C"/>
    <w:rsid w:val="0C6F50C8"/>
    <w:rsid w:val="0CB82BF2"/>
    <w:rsid w:val="0CC30ECD"/>
    <w:rsid w:val="0CD9007C"/>
    <w:rsid w:val="0CEE5687"/>
    <w:rsid w:val="0CEF5A77"/>
    <w:rsid w:val="0CF32CE8"/>
    <w:rsid w:val="0D194F10"/>
    <w:rsid w:val="0D1A23EA"/>
    <w:rsid w:val="0D1C35B3"/>
    <w:rsid w:val="0D286593"/>
    <w:rsid w:val="0D413F10"/>
    <w:rsid w:val="0D747E41"/>
    <w:rsid w:val="0D7F4BEE"/>
    <w:rsid w:val="0D846650"/>
    <w:rsid w:val="0D930BE2"/>
    <w:rsid w:val="0D9F111F"/>
    <w:rsid w:val="0DA74D11"/>
    <w:rsid w:val="0DA81AD9"/>
    <w:rsid w:val="0DA90CDD"/>
    <w:rsid w:val="0DAE3601"/>
    <w:rsid w:val="0DD965C5"/>
    <w:rsid w:val="0DE26FAD"/>
    <w:rsid w:val="0DF50AB4"/>
    <w:rsid w:val="0E1E67E1"/>
    <w:rsid w:val="0E22115B"/>
    <w:rsid w:val="0E3124E9"/>
    <w:rsid w:val="0E3677EF"/>
    <w:rsid w:val="0E3B40D3"/>
    <w:rsid w:val="0E546E89"/>
    <w:rsid w:val="0E605067"/>
    <w:rsid w:val="0E8D130B"/>
    <w:rsid w:val="0E8D2C0F"/>
    <w:rsid w:val="0EA4455B"/>
    <w:rsid w:val="0EC44FC9"/>
    <w:rsid w:val="0ED739A6"/>
    <w:rsid w:val="0EEA5688"/>
    <w:rsid w:val="0EFB2205"/>
    <w:rsid w:val="0F2509DD"/>
    <w:rsid w:val="0F3A39E1"/>
    <w:rsid w:val="0F4059FF"/>
    <w:rsid w:val="0F436FC6"/>
    <w:rsid w:val="0F70727B"/>
    <w:rsid w:val="0F723A11"/>
    <w:rsid w:val="0FE47A80"/>
    <w:rsid w:val="0FF35FCF"/>
    <w:rsid w:val="0FFB3C47"/>
    <w:rsid w:val="0FFB7362"/>
    <w:rsid w:val="102722EE"/>
    <w:rsid w:val="10521951"/>
    <w:rsid w:val="10665D77"/>
    <w:rsid w:val="108A5678"/>
    <w:rsid w:val="10937346"/>
    <w:rsid w:val="10BD2C22"/>
    <w:rsid w:val="10C15AD7"/>
    <w:rsid w:val="10E34313"/>
    <w:rsid w:val="10E97CFC"/>
    <w:rsid w:val="113E2BE3"/>
    <w:rsid w:val="116568DD"/>
    <w:rsid w:val="11712186"/>
    <w:rsid w:val="117443E7"/>
    <w:rsid w:val="11886BA3"/>
    <w:rsid w:val="118C09F2"/>
    <w:rsid w:val="11C26AC2"/>
    <w:rsid w:val="11FA56E8"/>
    <w:rsid w:val="120730A0"/>
    <w:rsid w:val="122837AD"/>
    <w:rsid w:val="122E3583"/>
    <w:rsid w:val="12381FAF"/>
    <w:rsid w:val="12542130"/>
    <w:rsid w:val="12585356"/>
    <w:rsid w:val="125E4B6A"/>
    <w:rsid w:val="126774A8"/>
    <w:rsid w:val="12783EE1"/>
    <w:rsid w:val="129D0A7B"/>
    <w:rsid w:val="12A409A1"/>
    <w:rsid w:val="12DD3146"/>
    <w:rsid w:val="130030B9"/>
    <w:rsid w:val="131D5A64"/>
    <w:rsid w:val="136030AD"/>
    <w:rsid w:val="137E3F56"/>
    <w:rsid w:val="138A2B00"/>
    <w:rsid w:val="13A84021"/>
    <w:rsid w:val="13AA3AA6"/>
    <w:rsid w:val="13CB121F"/>
    <w:rsid w:val="13E81AFF"/>
    <w:rsid w:val="140465FF"/>
    <w:rsid w:val="14111F03"/>
    <w:rsid w:val="143B205D"/>
    <w:rsid w:val="144B6CDC"/>
    <w:rsid w:val="14621E34"/>
    <w:rsid w:val="147237D4"/>
    <w:rsid w:val="147B39B0"/>
    <w:rsid w:val="148A4A2A"/>
    <w:rsid w:val="14945406"/>
    <w:rsid w:val="14CB05D3"/>
    <w:rsid w:val="14E30D69"/>
    <w:rsid w:val="14F309CF"/>
    <w:rsid w:val="14F80B7E"/>
    <w:rsid w:val="15081457"/>
    <w:rsid w:val="150A0AAD"/>
    <w:rsid w:val="1523732A"/>
    <w:rsid w:val="15243028"/>
    <w:rsid w:val="154E2738"/>
    <w:rsid w:val="15640D32"/>
    <w:rsid w:val="156A340A"/>
    <w:rsid w:val="15770C7B"/>
    <w:rsid w:val="1593647F"/>
    <w:rsid w:val="15B71F42"/>
    <w:rsid w:val="15D1656B"/>
    <w:rsid w:val="15F629F9"/>
    <w:rsid w:val="15F74E28"/>
    <w:rsid w:val="161434E0"/>
    <w:rsid w:val="16373138"/>
    <w:rsid w:val="163B02E7"/>
    <w:rsid w:val="164A6E49"/>
    <w:rsid w:val="165D1D43"/>
    <w:rsid w:val="16660632"/>
    <w:rsid w:val="1671031E"/>
    <w:rsid w:val="167804EC"/>
    <w:rsid w:val="169A0512"/>
    <w:rsid w:val="16C6071E"/>
    <w:rsid w:val="16CC58F8"/>
    <w:rsid w:val="16D41286"/>
    <w:rsid w:val="16E01287"/>
    <w:rsid w:val="16ED74A9"/>
    <w:rsid w:val="16F934ED"/>
    <w:rsid w:val="17094D46"/>
    <w:rsid w:val="1737648B"/>
    <w:rsid w:val="173A4E72"/>
    <w:rsid w:val="174263F8"/>
    <w:rsid w:val="17D02788"/>
    <w:rsid w:val="17D575C9"/>
    <w:rsid w:val="17DB5D05"/>
    <w:rsid w:val="17E972BA"/>
    <w:rsid w:val="180E15AF"/>
    <w:rsid w:val="182E4BEB"/>
    <w:rsid w:val="18342C9C"/>
    <w:rsid w:val="184629B2"/>
    <w:rsid w:val="18590DED"/>
    <w:rsid w:val="185E6AE9"/>
    <w:rsid w:val="18726592"/>
    <w:rsid w:val="1887664F"/>
    <w:rsid w:val="18D32B79"/>
    <w:rsid w:val="18DC32DA"/>
    <w:rsid w:val="18F02CE1"/>
    <w:rsid w:val="190F0053"/>
    <w:rsid w:val="19257BBA"/>
    <w:rsid w:val="19394A77"/>
    <w:rsid w:val="19572D69"/>
    <w:rsid w:val="19744012"/>
    <w:rsid w:val="197A5842"/>
    <w:rsid w:val="198249C4"/>
    <w:rsid w:val="19B45356"/>
    <w:rsid w:val="19F12C6A"/>
    <w:rsid w:val="19F24DA3"/>
    <w:rsid w:val="1A19209A"/>
    <w:rsid w:val="1A467091"/>
    <w:rsid w:val="1A591AB9"/>
    <w:rsid w:val="1A7164CC"/>
    <w:rsid w:val="1A7F6F05"/>
    <w:rsid w:val="1A9F4F06"/>
    <w:rsid w:val="1ACA362B"/>
    <w:rsid w:val="1ACB25B9"/>
    <w:rsid w:val="1ACE2BA4"/>
    <w:rsid w:val="1AD233F6"/>
    <w:rsid w:val="1AF5519A"/>
    <w:rsid w:val="1AF55AF8"/>
    <w:rsid w:val="1B0A5E2F"/>
    <w:rsid w:val="1B0E55E0"/>
    <w:rsid w:val="1B142408"/>
    <w:rsid w:val="1B1B7589"/>
    <w:rsid w:val="1B2303F4"/>
    <w:rsid w:val="1B267864"/>
    <w:rsid w:val="1B295482"/>
    <w:rsid w:val="1B3068F5"/>
    <w:rsid w:val="1B3C47C0"/>
    <w:rsid w:val="1B443D24"/>
    <w:rsid w:val="1BC4622C"/>
    <w:rsid w:val="1BC50885"/>
    <w:rsid w:val="1BD85F9F"/>
    <w:rsid w:val="1BDA15E1"/>
    <w:rsid w:val="1C14179F"/>
    <w:rsid w:val="1C366217"/>
    <w:rsid w:val="1C602201"/>
    <w:rsid w:val="1C6F5F5B"/>
    <w:rsid w:val="1C8731E0"/>
    <w:rsid w:val="1C8D08DE"/>
    <w:rsid w:val="1C9F0C55"/>
    <w:rsid w:val="1D000CBA"/>
    <w:rsid w:val="1D246A87"/>
    <w:rsid w:val="1D3973F7"/>
    <w:rsid w:val="1D5351CD"/>
    <w:rsid w:val="1D8C3A3F"/>
    <w:rsid w:val="1DA71037"/>
    <w:rsid w:val="1DAD7300"/>
    <w:rsid w:val="1DB22C2E"/>
    <w:rsid w:val="1DDF037E"/>
    <w:rsid w:val="1DE04BDC"/>
    <w:rsid w:val="1E1A7FA3"/>
    <w:rsid w:val="1E332380"/>
    <w:rsid w:val="1E466B8C"/>
    <w:rsid w:val="1E4A1A5C"/>
    <w:rsid w:val="1E6F68F7"/>
    <w:rsid w:val="1E7206C3"/>
    <w:rsid w:val="1E7F5BD3"/>
    <w:rsid w:val="1E99331B"/>
    <w:rsid w:val="1ED770C9"/>
    <w:rsid w:val="1EE31F52"/>
    <w:rsid w:val="1EE76B2C"/>
    <w:rsid w:val="1EED25FB"/>
    <w:rsid w:val="1EFB7513"/>
    <w:rsid w:val="1F147360"/>
    <w:rsid w:val="1F20274B"/>
    <w:rsid w:val="1F495206"/>
    <w:rsid w:val="1F733318"/>
    <w:rsid w:val="1F7F38B3"/>
    <w:rsid w:val="1F804FE7"/>
    <w:rsid w:val="1FA57657"/>
    <w:rsid w:val="1FC44BDE"/>
    <w:rsid w:val="1FC6346F"/>
    <w:rsid w:val="1FE172F8"/>
    <w:rsid w:val="1FE334B8"/>
    <w:rsid w:val="1FE63AA5"/>
    <w:rsid w:val="202F3061"/>
    <w:rsid w:val="203839F0"/>
    <w:rsid w:val="205B1F0D"/>
    <w:rsid w:val="207063EF"/>
    <w:rsid w:val="209E4344"/>
    <w:rsid w:val="20B37EC2"/>
    <w:rsid w:val="20E45E57"/>
    <w:rsid w:val="210164FF"/>
    <w:rsid w:val="21203039"/>
    <w:rsid w:val="212F0E31"/>
    <w:rsid w:val="214E6EF6"/>
    <w:rsid w:val="21714B2A"/>
    <w:rsid w:val="2171788D"/>
    <w:rsid w:val="21832E58"/>
    <w:rsid w:val="21985429"/>
    <w:rsid w:val="219C0827"/>
    <w:rsid w:val="21C46679"/>
    <w:rsid w:val="21DF2CC7"/>
    <w:rsid w:val="22103241"/>
    <w:rsid w:val="22105472"/>
    <w:rsid w:val="22233A8B"/>
    <w:rsid w:val="22244E4B"/>
    <w:rsid w:val="228B63E3"/>
    <w:rsid w:val="22987C80"/>
    <w:rsid w:val="229C0EE1"/>
    <w:rsid w:val="22B1729F"/>
    <w:rsid w:val="22B72F27"/>
    <w:rsid w:val="22C91058"/>
    <w:rsid w:val="22FD1EA6"/>
    <w:rsid w:val="23084670"/>
    <w:rsid w:val="233F2ED5"/>
    <w:rsid w:val="235146F4"/>
    <w:rsid w:val="23610BF7"/>
    <w:rsid w:val="236415D3"/>
    <w:rsid w:val="23816C55"/>
    <w:rsid w:val="238A21EB"/>
    <w:rsid w:val="23A11008"/>
    <w:rsid w:val="23B24762"/>
    <w:rsid w:val="23B61036"/>
    <w:rsid w:val="23C40B34"/>
    <w:rsid w:val="23E30554"/>
    <w:rsid w:val="240C6A6E"/>
    <w:rsid w:val="24192CCC"/>
    <w:rsid w:val="2435413A"/>
    <w:rsid w:val="247D756E"/>
    <w:rsid w:val="24844578"/>
    <w:rsid w:val="249B76C6"/>
    <w:rsid w:val="249D6475"/>
    <w:rsid w:val="24A27B89"/>
    <w:rsid w:val="24A36C2A"/>
    <w:rsid w:val="24E317DD"/>
    <w:rsid w:val="2505582A"/>
    <w:rsid w:val="25574908"/>
    <w:rsid w:val="255C077F"/>
    <w:rsid w:val="256B6864"/>
    <w:rsid w:val="2588162D"/>
    <w:rsid w:val="259530F6"/>
    <w:rsid w:val="25A036C2"/>
    <w:rsid w:val="25A55951"/>
    <w:rsid w:val="25C275F9"/>
    <w:rsid w:val="2614722B"/>
    <w:rsid w:val="264509D0"/>
    <w:rsid w:val="26490B05"/>
    <w:rsid w:val="2668506B"/>
    <w:rsid w:val="26771561"/>
    <w:rsid w:val="26807C99"/>
    <w:rsid w:val="26844F9B"/>
    <w:rsid w:val="268F6DC3"/>
    <w:rsid w:val="26B010C8"/>
    <w:rsid w:val="26B637C9"/>
    <w:rsid w:val="26BA0F92"/>
    <w:rsid w:val="26D36F55"/>
    <w:rsid w:val="26E24400"/>
    <w:rsid w:val="26F15BDD"/>
    <w:rsid w:val="274D6A46"/>
    <w:rsid w:val="27785CD4"/>
    <w:rsid w:val="2779614F"/>
    <w:rsid w:val="27901A9C"/>
    <w:rsid w:val="27AC20E2"/>
    <w:rsid w:val="28170D78"/>
    <w:rsid w:val="28243546"/>
    <w:rsid w:val="283B519C"/>
    <w:rsid w:val="2846302D"/>
    <w:rsid w:val="2855082E"/>
    <w:rsid w:val="285B63D9"/>
    <w:rsid w:val="28A96B5B"/>
    <w:rsid w:val="29150578"/>
    <w:rsid w:val="293E6618"/>
    <w:rsid w:val="29431576"/>
    <w:rsid w:val="294414C1"/>
    <w:rsid w:val="298455B2"/>
    <w:rsid w:val="2995698F"/>
    <w:rsid w:val="29A44630"/>
    <w:rsid w:val="29AA7A01"/>
    <w:rsid w:val="29C869E1"/>
    <w:rsid w:val="29DA36F3"/>
    <w:rsid w:val="29DE0C77"/>
    <w:rsid w:val="29DE489B"/>
    <w:rsid w:val="29DF7A9D"/>
    <w:rsid w:val="2A1774EF"/>
    <w:rsid w:val="2A1953A4"/>
    <w:rsid w:val="2A3023E7"/>
    <w:rsid w:val="2A392113"/>
    <w:rsid w:val="2A47324B"/>
    <w:rsid w:val="2A843433"/>
    <w:rsid w:val="2A9B7870"/>
    <w:rsid w:val="2A9E7C76"/>
    <w:rsid w:val="2AC90DE1"/>
    <w:rsid w:val="2AE13576"/>
    <w:rsid w:val="2AE97FED"/>
    <w:rsid w:val="2B04781F"/>
    <w:rsid w:val="2B195D8A"/>
    <w:rsid w:val="2B3F2C60"/>
    <w:rsid w:val="2B44691A"/>
    <w:rsid w:val="2B7209CC"/>
    <w:rsid w:val="2B8A0892"/>
    <w:rsid w:val="2BAE7EC7"/>
    <w:rsid w:val="2BC4791E"/>
    <w:rsid w:val="2BC7515F"/>
    <w:rsid w:val="2BDA114F"/>
    <w:rsid w:val="2BDC106F"/>
    <w:rsid w:val="2BF26446"/>
    <w:rsid w:val="2C36549E"/>
    <w:rsid w:val="2C6C5A06"/>
    <w:rsid w:val="2C716382"/>
    <w:rsid w:val="2C871D1D"/>
    <w:rsid w:val="2C9848C0"/>
    <w:rsid w:val="2CA40C82"/>
    <w:rsid w:val="2CB04B70"/>
    <w:rsid w:val="2CD514D4"/>
    <w:rsid w:val="2CD90DC8"/>
    <w:rsid w:val="2CEE484F"/>
    <w:rsid w:val="2CF9023A"/>
    <w:rsid w:val="2D0437C5"/>
    <w:rsid w:val="2D285D9A"/>
    <w:rsid w:val="2D373401"/>
    <w:rsid w:val="2D376C21"/>
    <w:rsid w:val="2D3A3874"/>
    <w:rsid w:val="2D4A68D4"/>
    <w:rsid w:val="2D5357F6"/>
    <w:rsid w:val="2D690B30"/>
    <w:rsid w:val="2D6E2565"/>
    <w:rsid w:val="2D7B5E84"/>
    <w:rsid w:val="2D845740"/>
    <w:rsid w:val="2D855A41"/>
    <w:rsid w:val="2D8901D5"/>
    <w:rsid w:val="2DC6433E"/>
    <w:rsid w:val="2DCA02E4"/>
    <w:rsid w:val="2DDC49D8"/>
    <w:rsid w:val="2DE468E1"/>
    <w:rsid w:val="2E1F21FB"/>
    <w:rsid w:val="2E4B2C14"/>
    <w:rsid w:val="2E5E5C91"/>
    <w:rsid w:val="2E635A35"/>
    <w:rsid w:val="2E780057"/>
    <w:rsid w:val="2EA05E34"/>
    <w:rsid w:val="2EAA4EC7"/>
    <w:rsid w:val="2ED32229"/>
    <w:rsid w:val="2EFC6EA0"/>
    <w:rsid w:val="2F05570A"/>
    <w:rsid w:val="2F15578F"/>
    <w:rsid w:val="2F174AD1"/>
    <w:rsid w:val="2F2C3F7D"/>
    <w:rsid w:val="2F2D7A62"/>
    <w:rsid w:val="2F2F0760"/>
    <w:rsid w:val="2F5727F4"/>
    <w:rsid w:val="2FB75B63"/>
    <w:rsid w:val="2FCF1DBF"/>
    <w:rsid w:val="2FED4B8E"/>
    <w:rsid w:val="30017E07"/>
    <w:rsid w:val="30181086"/>
    <w:rsid w:val="301A1A20"/>
    <w:rsid w:val="301D15E9"/>
    <w:rsid w:val="30241191"/>
    <w:rsid w:val="30444FF2"/>
    <w:rsid w:val="30B15FE4"/>
    <w:rsid w:val="30B25292"/>
    <w:rsid w:val="30E16B2E"/>
    <w:rsid w:val="30FB0743"/>
    <w:rsid w:val="30FC739C"/>
    <w:rsid w:val="3113463B"/>
    <w:rsid w:val="315622E0"/>
    <w:rsid w:val="31913F81"/>
    <w:rsid w:val="31A02413"/>
    <w:rsid w:val="31E247A4"/>
    <w:rsid w:val="31E930E8"/>
    <w:rsid w:val="31EE3AC7"/>
    <w:rsid w:val="31EF4AE2"/>
    <w:rsid w:val="32042D3A"/>
    <w:rsid w:val="32092F28"/>
    <w:rsid w:val="321C2DC1"/>
    <w:rsid w:val="321D13A0"/>
    <w:rsid w:val="32394A0C"/>
    <w:rsid w:val="32397BCE"/>
    <w:rsid w:val="326709FD"/>
    <w:rsid w:val="327632E9"/>
    <w:rsid w:val="32806F50"/>
    <w:rsid w:val="32881B7F"/>
    <w:rsid w:val="32903760"/>
    <w:rsid w:val="32914361"/>
    <w:rsid w:val="32DF56CA"/>
    <w:rsid w:val="32EA7127"/>
    <w:rsid w:val="32F00E4F"/>
    <w:rsid w:val="33023F4C"/>
    <w:rsid w:val="33143437"/>
    <w:rsid w:val="3336088F"/>
    <w:rsid w:val="337B1F13"/>
    <w:rsid w:val="33806E3B"/>
    <w:rsid w:val="33A47D0C"/>
    <w:rsid w:val="33AF618B"/>
    <w:rsid w:val="33C74771"/>
    <w:rsid w:val="33D67A3D"/>
    <w:rsid w:val="33DA557F"/>
    <w:rsid w:val="340E2A37"/>
    <w:rsid w:val="341A6918"/>
    <w:rsid w:val="342333CC"/>
    <w:rsid w:val="34275836"/>
    <w:rsid w:val="34416D1A"/>
    <w:rsid w:val="346E2341"/>
    <w:rsid w:val="34A41240"/>
    <w:rsid w:val="34B40FFE"/>
    <w:rsid w:val="34B96ED4"/>
    <w:rsid w:val="34C36260"/>
    <w:rsid w:val="34D41FCA"/>
    <w:rsid w:val="34D53EBC"/>
    <w:rsid w:val="34D86314"/>
    <w:rsid w:val="34E9585A"/>
    <w:rsid w:val="34EC095D"/>
    <w:rsid w:val="350846D5"/>
    <w:rsid w:val="3509652C"/>
    <w:rsid w:val="350B2285"/>
    <w:rsid w:val="35301430"/>
    <w:rsid w:val="353E5A6D"/>
    <w:rsid w:val="3565798B"/>
    <w:rsid w:val="357E1D70"/>
    <w:rsid w:val="35873E36"/>
    <w:rsid w:val="35895F67"/>
    <w:rsid w:val="35BA7D84"/>
    <w:rsid w:val="35C4234E"/>
    <w:rsid w:val="35CE35E4"/>
    <w:rsid w:val="35CF4D5E"/>
    <w:rsid w:val="35D93923"/>
    <w:rsid w:val="35DD1D63"/>
    <w:rsid w:val="36032070"/>
    <w:rsid w:val="36375C13"/>
    <w:rsid w:val="363D2065"/>
    <w:rsid w:val="363F4291"/>
    <w:rsid w:val="36672E9B"/>
    <w:rsid w:val="366B5545"/>
    <w:rsid w:val="368413EE"/>
    <w:rsid w:val="36867C09"/>
    <w:rsid w:val="369260E1"/>
    <w:rsid w:val="36AB7BBC"/>
    <w:rsid w:val="36AB7C4F"/>
    <w:rsid w:val="36B22BAC"/>
    <w:rsid w:val="36B751BA"/>
    <w:rsid w:val="36EA70B8"/>
    <w:rsid w:val="370D3B14"/>
    <w:rsid w:val="37235F3E"/>
    <w:rsid w:val="37567C01"/>
    <w:rsid w:val="37703540"/>
    <w:rsid w:val="37877610"/>
    <w:rsid w:val="379B2246"/>
    <w:rsid w:val="37B74679"/>
    <w:rsid w:val="37B9152E"/>
    <w:rsid w:val="37CD0323"/>
    <w:rsid w:val="37D72173"/>
    <w:rsid w:val="37E07593"/>
    <w:rsid w:val="37F025EB"/>
    <w:rsid w:val="38180A4E"/>
    <w:rsid w:val="38257115"/>
    <w:rsid w:val="38703AB6"/>
    <w:rsid w:val="38883DF5"/>
    <w:rsid w:val="388C2F20"/>
    <w:rsid w:val="38916622"/>
    <w:rsid w:val="389A5515"/>
    <w:rsid w:val="38BB22DD"/>
    <w:rsid w:val="38C4534A"/>
    <w:rsid w:val="38CC2725"/>
    <w:rsid w:val="38CF63FF"/>
    <w:rsid w:val="38F23352"/>
    <w:rsid w:val="38F75E7F"/>
    <w:rsid w:val="391F2D48"/>
    <w:rsid w:val="3923425B"/>
    <w:rsid w:val="39385EC8"/>
    <w:rsid w:val="39477418"/>
    <w:rsid w:val="394F33C6"/>
    <w:rsid w:val="39537688"/>
    <w:rsid w:val="39711927"/>
    <w:rsid w:val="397C5051"/>
    <w:rsid w:val="397E765A"/>
    <w:rsid w:val="398165BD"/>
    <w:rsid w:val="39833940"/>
    <w:rsid w:val="39A66CD4"/>
    <w:rsid w:val="39DC579F"/>
    <w:rsid w:val="39E30F7C"/>
    <w:rsid w:val="3A1800E6"/>
    <w:rsid w:val="3A2B7AE3"/>
    <w:rsid w:val="3A2D7602"/>
    <w:rsid w:val="3A3737D2"/>
    <w:rsid w:val="3A481DCF"/>
    <w:rsid w:val="3A4C5BB1"/>
    <w:rsid w:val="3A5E5646"/>
    <w:rsid w:val="3A643C22"/>
    <w:rsid w:val="3A737D8B"/>
    <w:rsid w:val="3A755554"/>
    <w:rsid w:val="3A7E75BC"/>
    <w:rsid w:val="3AC44953"/>
    <w:rsid w:val="3ACF10E3"/>
    <w:rsid w:val="3AD53553"/>
    <w:rsid w:val="3B0424E0"/>
    <w:rsid w:val="3B0903D0"/>
    <w:rsid w:val="3B680794"/>
    <w:rsid w:val="3B731E54"/>
    <w:rsid w:val="3BAA478F"/>
    <w:rsid w:val="3BBB64D0"/>
    <w:rsid w:val="3BBD0EB9"/>
    <w:rsid w:val="3BD34589"/>
    <w:rsid w:val="3BE3445E"/>
    <w:rsid w:val="3C0E2AD8"/>
    <w:rsid w:val="3C271F92"/>
    <w:rsid w:val="3C322BB7"/>
    <w:rsid w:val="3C402741"/>
    <w:rsid w:val="3C83378D"/>
    <w:rsid w:val="3C853E5F"/>
    <w:rsid w:val="3C8B4CB8"/>
    <w:rsid w:val="3C97237D"/>
    <w:rsid w:val="3CBA470A"/>
    <w:rsid w:val="3CCE5275"/>
    <w:rsid w:val="3CD52CE1"/>
    <w:rsid w:val="3CF8483E"/>
    <w:rsid w:val="3D0735D2"/>
    <w:rsid w:val="3D244E6D"/>
    <w:rsid w:val="3D2E68A1"/>
    <w:rsid w:val="3D317B97"/>
    <w:rsid w:val="3D4E4DAD"/>
    <w:rsid w:val="3D6362F9"/>
    <w:rsid w:val="3DAB6F09"/>
    <w:rsid w:val="3DEC2877"/>
    <w:rsid w:val="3DFA2D04"/>
    <w:rsid w:val="3E155A6B"/>
    <w:rsid w:val="3E1F60EE"/>
    <w:rsid w:val="3E36696E"/>
    <w:rsid w:val="3E54799D"/>
    <w:rsid w:val="3E642150"/>
    <w:rsid w:val="3E64345F"/>
    <w:rsid w:val="3E7D0F2E"/>
    <w:rsid w:val="3EBA50A8"/>
    <w:rsid w:val="3EFB7DD5"/>
    <w:rsid w:val="3EFF5CF2"/>
    <w:rsid w:val="3F121D8B"/>
    <w:rsid w:val="3F171317"/>
    <w:rsid w:val="3F2A0CC5"/>
    <w:rsid w:val="3F3A3C1D"/>
    <w:rsid w:val="3F4149A8"/>
    <w:rsid w:val="3F6432C4"/>
    <w:rsid w:val="3F967FF1"/>
    <w:rsid w:val="3F973A63"/>
    <w:rsid w:val="3F9E3A95"/>
    <w:rsid w:val="3FCC1D5F"/>
    <w:rsid w:val="3FD221AE"/>
    <w:rsid w:val="3FED574A"/>
    <w:rsid w:val="3FFA0CED"/>
    <w:rsid w:val="40086F94"/>
    <w:rsid w:val="40142058"/>
    <w:rsid w:val="40592D05"/>
    <w:rsid w:val="405C6A14"/>
    <w:rsid w:val="40691C1C"/>
    <w:rsid w:val="408D2573"/>
    <w:rsid w:val="409C3DB1"/>
    <w:rsid w:val="40BE1B89"/>
    <w:rsid w:val="40DE25EE"/>
    <w:rsid w:val="410F2E6A"/>
    <w:rsid w:val="410F7D99"/>
    <w:rsid w:val="411D7250"/>
    <w:rsid w:val="411E54DE"/>
    <w:rsid w:val="4153177F"/>
    <w:rsid w:val="417033A0"/>
    <w:rsid w:val="41972FC5"/>
    <w:rsid w:val="419A077C"/>
    <w:rsid w:val="41A4586C"/>
    <w:rsid w:val="41B36A6E"/>
    <w:rsid w:val="41C5625C"/>
    <w:rsid w:val="41D30DF5"/>
    <w:rsid w:val="41FF1F9A"/>
    <w:rsid w:val="420B3256"/>
    <w:rsid w:val="421E0FA9"/>
    <w:rsid w:val="421F0BD7"/>
    <w:rsid w:val="42310BA1"/>
    <w:rsid w:val="4276742F"/>
    <w:rsid w:val="4280191E"/>
    <w:rsid w:val="428D491F"/>
    <w:rsid w:val="42A278C9"/>
    <w:rsid w:val="42AD5E83"/>
    <w:rsid w:val="42B9722A"/>
    <w:rsid w:val="42BF405B"/>
    <w:rsid w:val="42D12F45"/>
    <w:rsid w:val="42D56A46"/>
    <w:rsid w:val="42DF632E"/>
    <w:rsid w:val="43007D9A"/>
    <w:rsid w:val="430A41A7"/>
    <w:rsid w:val="4310523C"/>
    <w:rsid w:val="431A7008"/>
    <w:rsid w:val="431B040C"/>
    <w:rsid w:val="434E5551"/>
    <w:rsid w:val="436C229B"/>
    <w:rsid w:val="438F7631"/>
    <w:rsid w:val="43972546"/>
    <w:rsid w:val="43AC08BD"/>
    <w:rsid w:val="43B5618F"/>
    <w:rsid w:val="43E77761"/>
    <w:rsid w:val="43FC0F93"/>
    <w:rsid w:val="442D4A38"/>
    <w:rsid w:val="4430136C"/>
    <w:rsid w:val="44437E8F"/>
    <w:rsid w:val="444B2B75"/>
    <w:rsid w:val="44733816"/>
    <w:rsid w:val="44743A58"/>
    <w:rsid w:val="447A3132"/>
    <w:rsid w:val="448510E5"/>
    <w:rsid w:val="448A1134"/>
    <w:rsid w:val="44911CEA"/>
    <w:rsid w:val="44C30742"/>
    <w:rsid w:val="44E33A93"/>
    <w:rsid w:val="45041232"/>
    <w:rsid w:val="4540042F"/>
    <w:rsid w:val="4594110B"/>
    <w:rsid w:val="45B62C82"/>
    <w:rsid w:val="45C70A1D"/>
    <w:rsid w:val="45DC6F1D"/>
    <w:rsid w:val="45EC04E2"/>
    <w:rsid w:val="4603123E"/>
    <w:rsid w:val="46084096"/>
    <w:rsid w:val="46363119"/>
    <w:rsid w:val="464366FC"/>
    <w:rsid w:val="465463B2"/>
    <w:rsid w:val="46553E7C"/>
    <w:rsid w:val="465F3B1D"/>
    <w:rsid w:val="46630424"/>
    <w:rsid w:val="468545C6"/>
    <w:rsid w:val="46D16D7F"/>
    <w:rsid w:val="46E43A20"/>
    <w:rsid w:val="46F21AFC"/>
    <w:rsid w:val="4703773B"/>
    <w:rsid w:val="471C1A0A"/>
    <w:rsid w:val="47280AD2"/>
    <w:rsid w:val="47362DF8"/>
    <w:rsid w:val="47552916"/>
    <w:rsid w:val="4760505D"/>
    <w:rsid w:val="4773572D"/>
    <w:rsid w:val="47807CE1"/>
    <w:rsid w:val="47AF6733"/>
    <w:rsid w:val="47B85339"/>
    <w:rsid w:val="47FF401E"/>
    <w:rsid w:val="481C5DD4"/>
    <w:rsid w:val="48260563"/>
    <w:rsid w:val="48475982"/>
    <w:rsid w:val="486E0DA4"/>
    <w:rsid w:val="489335B7"/>
    <w:rsid w:val="48A02014"/>
    <w:rsid w:val="48AD1802"/>
    <w:rsid w:val="48C17067"/>
    <w:rsid w:val="48C60E8B"/>
    <w:rsid w:val="48DF4792"/>
    <w:rsid w:val="48EB79DC"/>
    <w:rsid w:val="49080E17"/>
    <w:rsid w:val="4927131B"/>
    <w:rsid w:val="49333C64"/>
    <w:rsid w:val="49515BD4"/>
    <w:rsid w:val="49581C7F"/>
    <w:rsid w:val="496A5409"/>
    <w:rsid w:val="499921B5"/>
    <w:rsid w:val="49A218D4"/>
    <w:rsid w:val="49A97993"/>
    <w:rsid w:val="49D272A9"/>
    <w:rsid w:val="49DC143D"/>
    <w:rsid w:val="49EC0E95"/>
    <w:rsid w:val="49F1537F"/>
    <w:rsid w:val="4A005016"/>
    <w:rsid w:val="4A0C3BD4"/>
    <w:rsid w:val="4A174132"/>
    <w:rsid w:val="4A1F0491"/>
    <w:rsid w:val="4A34525F"/>
    <w:rsid w:val="4A3604F6"/>
    <w:rsid w:val="4A7C1AAC"/>
    <w:rsid w:val="4AB0382B"/>
    <w:rsid w:val="4AB51ACD"/>
    <w:rsid w:val="4AC05646"/>
    <w:rsid w:val="4AC15D2C"/>
    <w:rsid w:val="4ACD1211"/>
    <w:rsid w:val="4ADA15A1"/>
    <w:rsid w:val="4AF84842"/>
    <w:rsid w:val="4B00252A"/>
    <w:rsid w:val="4B112C27"/>
    <w:rsid w:val="4B2E7DFE"/>
    <w:rsid w:val="4B4951DD"/>
    <w:rsid w:val="4B7A7A4D"/>
    <w:rsid w:val="4B98061C"/>
    <w:rsid w:val="4B9E2DF2"/>
    <w:rsid w:val="4BB45966"/>
    <w:rsid w:val="4BC629F6"/>
    <w:rsid w:val="4BD93F82"/>
    <w:rsid w:val="4BF64AEA"/>
    <w:rsid w:val="4C3A64B6"/>
    <w:rsid w:val="4CA26A02"/>
    <w:rsid w:val="4CA27482"/>
    <w:rsid w:val="4CA700EB"/>
    <w:rsid w:val="4CCC571F"/>
    <w:rsid w:val="4CEC1CEC"/>
    <w:rsid w:val="4CFF17AD"/>
    <w:rsid w:val="4CFF5A8B"/>
    <w:rsid w:val="4D196851"/>
    <w:rsid w:val="4D2C5A58"/>
    <w:rsid w:val="4D4D5C21"/>
    <w:rsid w:val="4D50083F"/>
    <w:rsid w:val="4D50280A"/>
    <w:rsid w:val="4D51060B"/>
    <w:rsid w:val="4D683643"/>
    <w:rsid w:val="4D774B7E"/>
    <w:rsid w:val="4D880DE1"/>
    <w:rsid w:val="4D9461F8"/>
    <w:rsid w:val="4DA70531"/>
    <w:rsid w:val="4DDC7B15"/>
    <w:rsid w:val="4DF67525"/>
    <w:rsid w:val="4DFE7AA5"/>
    <w:rsid w:val="4E032388"/>
    <w:rsid w:val="4E3A0053"/>
    <w:rsid w:val="4E3E78D7"/>
    <w:rsid w:val="4E426F08"/>
    <w:rsid w:val="4E503938"/>
    <w:rsid w:val="4E6034DC"/>
    <w:rsid w:val="4E65730F"/>
    <w:rsid w:val="4E6750D1"/>
    <w:rsid w:val="4E755B89"/>
    <w:rsid w:val="4E88547F"/>
    <w:rsid w:val="4EB46678"/>
    <w:rsid w:val="4EC1071A"/>
    <w:rsid w:val="4EE77DC3"/>
    <w:rsid w:val="4EF84D5E"/>
    <w:rsid w:val="4F03350A"/>
    <w:rsid w:val="4F1747AC"/>
    <w:rsid w:val="4F650514"/>
    <w:rsid w:val="4F734975"/>
    <w:rsid w:val="4F883027"/>
    <w:rsid w:val="4F8F6465"/>
    <w:rsid w:val="4FA77897"/>
    <w:rsid w:val="4FB60220"/>
    <w:rsid w:val="4FFD396F"/>
    <w:rsid w:val="5005661C"/>
    <w:rsid w:val="502744E6"/>
    <w:rsid w:val="50367A44"/>
    <w:rsid w:val="50480D64"/>
    <w:rsid w:val="50504B24"/>
    <w:rsid w:val="505419AE"/>
    <w:rsid w:val="50653AAC"/>
    <w:rsid w:val="50780A47"/>
    <w:rsid w:val="508A3130"/>
    <w:rsid w:val="50B80FB3"/>
    <w:rsid w:val="511F78B7"/>
    <w:rsid w:val="513A688A"/>
    <w:rsid w:val="513D65EF"/>
    <w:rsid w:val="5147031B"/>
    <w:rsid w:val="51620B0E"/>
    <w:rsid w:val="516B5E1B"/>
    <w:rsid w:val="517E3FA5"/>
    <w:rsid w:val="5182251A"/>
    <w:rsid w:val="519C4EE5"/>
    <w:rsid w:val="51A118EB"/>
    <w:rsid w:val="51A33E35"/>
    <w:rsid w:val="51C2635A"/>
    <w:rsid w:val="51CF46B5"/>
    <w:rsid w:val="51DF470B"/>
    <w:rsid w:val="51E97AF0"/>
    <w:rsid w:val="51EB41DA"/>
    <w:rsid w:val="5203657F"/>
    <w:rsid w:val="52096DE9"/>
    <w:rsid w:val="52337674"/>
    <w:rsid w:val="52353417"/>
    <w:rsid w:val="52646D6D"/>
    <w:rsid w:val="526B62A0"/>
    <w:rsid w:val="5292278C"/>
    <w:rsid w:val="529251AD"/>
    <w:rsid w:val="52CC5E4C"/>
    <w:rsid w:val="52E952FD"/>
    <w:rsid w:val="52F9620C"/>
    <w:rsid w:val="530442A8"/>
    <w:rsid w:val="534242F7"/>
    <w:rsid w:val="53535C81"/>
    <w:rsid w:val="537457EA"/>
    <w:rsid w:val="53773725"/>
    <w:rsid w:val="53993286"/>
    <w:rsid w:val="539C1E69"/>
    <w:rsid w:val="53BA598E"/>
    <w:rsid w:val="53C26256"/>
    <w:rsid w:val="540C3079"/>
    <w:rsid w:val="5410247D"/>
    <w:rsid w:val="542D2801"/>
    <w:rsid w:val="54514E55"/>
    <w:rsid w:val="545275AC"/>
    <w:rsid w:val="546E2F20"/>
    <w:rsid w:val="5483345D"/>
    <w:rsid w:val="54AF369F"/>
    <w:rsid w:val="54B55A5D"/>
    <w:rsid w:val="54C56998"/>
    <w:rsid w:val="54D73C3B"/>
    <w:rsid w:val="54E53E2F"/>
    <w:rsid w:val="54FF061B"/>
    <w:rsid w:val="550963E9"/>
    <w:rsid w:val="554A4F09"/>
    <w:rsid w:val="5558088A"/>
    <w:rsid w:val="556E0923"/>
    <w:rsid w:val="55760812"/>
    <w:rsid w:val="557833BF"/>
    <w:rsid w:val="557C109D"/>
    <w:rsid w:val="55861C4C"/>
    <w:rsid w:val="55A02B8C"/>
    <w:rsid w:val="55A2613C"/>
    <w:rsid w:val="55A62BF2"/>
    <w:rsid w:val="55D946D3"/>
    <w:rsid w:val="55F011E1"/>
    <w:rsid w:val="55F47364"/>
    <w:rsid w:val="56015004"/>
    <w:rsid w:val="562777A0"/>
    <w:rsid w:val="562831D9"/>
    <w:rsid w:val="56347BAE"/>
    <w:rsid w:val="567F2A46"/>
    <w:rsid w:val="56840005"/>
    <w:rsid w:val="569868B5"/>
    <w:rsid w:val="56A42426"/>
    <w:rsid w:val="56BB46C6"/>
    <w:rsid w:val="56DA4DF5"/>
    <w:rsid w:val="56EC13E9"/>
    <w:rsid w:val="572101AE"/>
    <w:rsid w:val="57501873"/>
    <w:rsid w:val="57543B1E"/>
    <w:rsid w:val="57667506"/>
    <w:rsid w:val="57802638"/>
    <w:rsid w:val="578568D1"/>
    <w:rsid w:val="57A6736D"/>
    <w:rsid w:val="57B61502"/>
    <w:rsid w:val="57B839F4"/>
    <w:rsid w:val="57DC5DF1"/>
    <w:rsid w:val="57E06EC7"/>
    <w:rsid w:val="57F21A48"/>
    <w:rsid w:val="57F602EF"/>
    <w:rsid w:val="580A40A5"/>
    <w:rsid w:val="58306171"/>
    <w:rsid w:val="583D1AFC"/>
    <w:rsid w:val="585F10C4"/>
    <w:rsid w:val="5862163C"/>
    <w:rsid w:val="58647F94"/>
    <w:rsid w:val="58A7150F"/>
    <w:rsid w:val="58B05F31"/>
    <w:rsid w:val="58C04846"/>
    <w:rsid w:val="58C54031"/>
    <w:rsid w:val="591B0492"/>
    <w:rsid w:val="59603819"/>
    <w:rsid w:val="596F632E"/>
    <w:rsid w:val="59854791"/>
    <w:rsid w:val="598D3A91"/>
    <w:rsid w:val="59954201"/>
    <w:rsid w:val="59BE653B"/>
    <w:rsid w:val="59C220B9"/>
    <w:rsid w:val="59E554A4"/>
    <w:rsid w:val="5A0125EB"/>
    <w:rsid w:val="5A205AC2"/>
    <w:rsid w:val="5A491E98"/>
    <w:rsid w:val="5A5B7912"/>
    <w:rsid w:val="5A6F0D98"/>
    <w:rsid w:val="5A810FD9"/>
    <w:rsid w:val="5A9664E6"/>
    <w:rsid w:val="5A9C38BA"/>
    <w:rsid w:val="5A9F68F2"/>
    <w:rsid w:val="5AAC54A6"/>
    <w:rsid w:val="5AB356A5"/>
    <w:rsid w:val="5AE7565E"/>
    <w:rsid w:val="5B2B11D2"/>
    <w:rsid w:val="5B2B5407"/>
    <w:rsid w:val="5B2D7EFB"/>
    <w:rsid w:val="5B494682"/>
    <w:rsid w:val="5B635C82"/>
    <w:rsid w:val="5B7D5633"/>
    <w:rsid w:val="5B864901"/>
    <w:rsid w:val="5B9529FF"/>
    <w:rsid w:val="5BBD2A62"/>
    <w:rsid w:val="5BD0664E"/>
    <w:rsid w:val="5BD10247"/>
    <w:rsid w:val="5BDE7431"/>
    <w:rsid w:val="5BE67F37"/>
    <w:rsid w:val="5BF87EB2"/>
    <w:rsid w:val="5BFF156E"/>
    <w:rsid w:val="5C06044D"/>
    <w:rsid w:val="5C086B20"/>
    <w:rsid w:val="5C0A1276"/>
    <w:rsid w:val="5C504EBA"/>
    <w:rsid w:val="5C6A0246"/>
    <w:rsid w:val="5C75167A"/>
    <w:rsid w:val="5C94649F"/>
    <w:rsid w:val="5CAB6356"/>
    <w:rsid w:val="5CF0708A"/>
    <w:rsid w:val="5CFC036E"/>
    <w:rsid w:val="5D3271CE"/>
    <w:rsid w:val="5D3B5D81"/>
    <w:rsid w:val="5D3E7524"/>
    <w:rsid w:val="5D8575DC"/>
    <w:rsid w:val="5D975D7A"/>
    <w:rsid w:val="5D9868A3"/>
    <w:rsid w:val="5DA14253"/>
    <w:rsid w:val="5E3873B6"/>
    <w:rsid w:val="5E48738D"/>
    <w:rsid w:val="5E662913"/>
    <w:rsid w:val="5E6F0850"/>
    <w:rsid w:val="5E7012AA"/>
    <w:rsid w:val="5E81387C"/>
    <w:rsid w:val="5E9778FF"/>
    <w:rsid w:val="5E9A0EE4"/>
    <w:rsid w:val="5EA94960"/>
    <w:rsid w:val="5EBE499A"/>
    <w:rsid w:val="5EE30AF4"/>
    <w:rsid w:val="5EEC4A06"/>
    <w:rsid w:val="5F177884"/>
    <w:rsid w:val="5F3A5724"/>
    <w:rsid w:val="5F3F6F8C"/>
    <w:rsid w:val="5F432B74"/>
    <w:rsid w:val="5F557D2C"/>
    <w:rsid w:val="5F6333F4"/>
    <w:rsid w:val="5F6969CE"/>
    <w:rsid w:val="5F757CEB"/>
    <w:rsid w:val="5F7E11D0"/>
    <w:rsid w:val="5F7F4FE4"/>
    <w:rsid w:val="5F8C2CA8"/>
    <w:rsid w:val="5FA112A8"/>
    <w:rsid w:val="5FAC0D6D"/>
    <w:rsid w:val="5FAC5BA8"/>
    <w:rsid w:val="5FAF1586"/>
    <w:rsid w:val="5FB24DFC"/>
    <w:rsid w:val="5FBB094E"/>
    <w:rsid w:val="5FBF151B"/>
    <w:rsid w:val="5FC45D0D"/>
    <w:rsid w:val="5FDA22F8"/>
    <w:rsid w:val="5FEF1085"/>
    <w:rsid w:val="60116829"/>
    <w:rsid w:val="602519D7"/>
    <w:rsid w:val="602629B6"/>
    <w:rsid w:val="603A3171"/>
    <w:rsid w:val="60491D30"/>
    <w:rsid w:val="608D2E1C"/>
    <w:rsid w:val="60A32CCD"/>
    <w:rsid w:val="60B32CB8"/>
    <w:rsid w:val="60BB6CC2"/>
    <w:rsid w:val="60BE1C31"/>
    <w:rsid w:val="60DB3716"/>
    <w:rsid w:val="60DF0FA6"/>
    <w:rsid w:val="60E40127"/>
    <w:rsid w:val="60EA2718"/>
    <w:rsid w:val="60ED52D7"/>
    <w:rsid w:val="6109119A"/>
    <w:rsid w:val="61102D83"/>
    <w:rsid w:val="611F6817"/>
    <w:rsid w:val="613731AD"/>
    <w:rsid w:val="61375227"/>
    <w:rsid w:val="613F41A8"/>
    <w:rsid w:val="61411A4F"/>
    <w:rsid w:val="61684843"/>
    <w:rsid w:val="618B50A5"/>
    <w:rsid w:val="61950261"/>
    <w:rsid w:val="61B96970"/>
    <w:rsid w:val="61E0741D"/>
    <w:rsid w:val="61F4351A"/>
    <w:rsid w:val="61F609D7"/>
    <w:rsid w:val="62383F10"/>
    <w:rsid w:val="624C0E01"/>
    <w:rsid w:val="625A7DBB"/>
    <w:rsid w:val="627C475A"/>
    <w:rsid w:val="62812FC5"/>
    <w:rsid w:val="62DB61AB"/>
    <w:rsid w:val="62EF74AE"/>
    <w:rsid w:val="62F9426E"/>
    <w:rsid w:val="6318492A"/>
    <w:rsid w:val="63400272"/>
    <w:rsid w:val="6352413C"/>
    <w:rsid w:val="63A36E83"/>
    <w:rsid w:val="63CC4D27"/>
    <w:rsid w:val="63D837DF"/>
    <w:rsid w:val="645E4F7F"/>
    <w:rsid w:val="64610426"/>
    <w:rsid w:val="646F69A6"/>
    <w:rsid w:val="64931A70"/>
    <w:rsid w:val="6493306C"/>
    <w:rsid w:val="649412BD"/>
    <w:rsid w:val="64E22636"/>
    <w:rsid w:val="64E246AA"/>
    <w:rsid w:val="64FD1224"/>
    <w:rsid w:val="652E6566"/>
    <w:rsid w:val="65350FAF"/>
    <w:rsid w:val="654C1D9B"/>
    <w:rsid w:val="655B3561"/>
    <w:rsid w:val="65902FD0"/>
    <w:rsid w:val="65B832C1"/>
    <w:rsid w:val="65C731CE"/>
    <w:rsid w:val="65DD6D0B"/>
    <w:rsid w:val="65E40EB7"/>
    <w:rsid w:val="65E75355"/>
    <w:rsid w:val="660E4759"/>
    <w:rsid w:val="661012D6"/>
    <w:rsid w:val="66243049"/>
    <w:rsid w:val="66302208"/>
    <w:rsid w:val="66520E8A"/>
    <w:rsid w:val="66555C7E"/>
    <w:rsid w:val="666A5022"/>
    <w:rsid w:val="668322E3"/>
    <w:rsid w:val="669A76D6"/>
    <w:rsid w:val="66C130A1"/>
    <w:rsid w:val="66CA1754"/>
    <w:rsid w:val="66CE51DB"/>
    <w:rsid w:val="671762BF"/>
    <w:rsid w:val="67341E6D"/>
    <w:rsid w:val="67366B84"/>
    <w:rsid w:val="677149E3"/>
    <w:rsid w:val="67982831"/>
    <w:rsid w:val="67B61002"/>
    <w:rsid w:val="67B70A5D"/>
    <w:rsid w:val="67D5060E"/>
    <w:rsid w:val="67D776DE"/>
    <w:rsid w:val="67E80C7C"/>
    <w:rsid w:val="67FC36B1"/>
    <w:rsid w:val="68096E71"/>
    <w:rsid w:val="68484678"/>
    <w:rsid w:val="688E79E8"/>
    <w:rsid w:val="68B7628A"/>
    <w:rsid w:val="68D04FEB"/>
    <w:rsid w:val="68D720AA"/>
    <w:rsid w:val="68D81B34"/>
    <w:rsid w:val="68E720A5"/>
    <w:rsid w:val="69034E29"/>
    <w:rsid w:val="695A3ECF"/>
    <w:rsid w:val="696753E2"/>
    <w:rsid w:val="696F3AC9"/>
    <w:rsid w:val="69797527"/>
    <w:rsid w:val="697A7473"/>
    <w:rsid w:val="697D63B9"/>
    <w:rsid w:val="69A41A0A"/>
    <w:rsid w:val="69B20C96"/>
    <w:rsid w:val="69BB6CC3"/>
    <w:rsid w:val="69DF0952"/>
    <w:rsid w:val="6A0122FA"/>
    <w:rsid w:val="6A1108F3"/>
    <w:rsid w:val="6A1473BF"/>
    <w:rsid w:val="6A2D02BC"/>
    <w:rsid w:val="6A3114F3"/>
    <w:rsid w:val="6A37672D"/>
    <w:rsid w:val="6A46170D"/>
    <w:rsid w:val="6A5A72F3"/>
    <w:rsid w:val="6A7454C3"/>
    <w:rsid w:val="6A8056AB"/>
    <w:rsid w:val="6AAF0E18"/>
    <w:rsid w:val="6ACE1F8D"/>
    <w:rsid w:val="6AD67AF9"/>
    <w:rsid w:val="6AE36D75"/>
    <w:rsid w:val="6B080110"/>
    <w:rsid w:val="6B226F65"/>
    <w:rsid w:val="6B252AA1"/>
    <w:rsid w:val="6B2A119A"/>
    <w:rsid w:val="6B2C5E54"/>
    <w:rsid w:val="6B382C68"/>
    <w:rsid w:val="6B4B50D9"/>
    <w:rsid w:val="6B8117D9"/>
    <w:rsid w:val="6B8F0831"/>
    <w:rsid w:val="6BC32EE8"/>
    <w:rsid w:val="6BC65B73"/>
    <w:rsid w:val="6BD12BB7"/>
    <w:rsid w:val="6BE54432"/>
    <w:rsid w:val="6C066194"/>
    <w:rsid w:val="6C0774B4"/>
    <w:rsid w:val="6C286B97"/>
    <w:rsid w:val="6C8D31CC"/>
    <w:rsid w:val="6CC206EE"/>
    <w:rsid w:val="6CC216A8"/>
    <w:rsid w:val="6CE63046"/>
    <w:rsid w:val="6CEC342F"/>
    <w:rsid w:val="6D290AFE"/>
    <w:rsid w:val="6D2D7395"/>
    <w:rsid w:val="6D374FB7"/>
    <w:rsid w:val="6D5A1C5F"/>
    <w:rsid w:val="6D7E26B7"/>
    <w:rsid w:val="6DC85E48"/>
    <w:rsid w:val="6DD464A0"/>
    <w:rsid w:val="6DDB6E3B"/>
    <w:rsid w:val="6DE71817"/>
    <w:rsid w:val="6DEC0A16"/>
    <w:rsid w:val="6E176931"/>
    <w:rsid w:val="6E231C0A"/>
    <w:rsid w:val="6E410C1E"/>
    <w:rsid w:val="6E551418"/>
    <w:rsid w:val="6E7B7FE4"/>
    <w:rsid w:val="6E8C439E"/>
    <w:rsid w:val="6E905E02"/>
    <w:rsid w:val="6E924116"/>
    <w:rsid w:val="6EB80B6A"/>
    <w:rsid w:val="6ECA2060"/>
    <w:rsid w:val="6EE54DBD"/>
    <w:rsid w:val="6EEB10E9"/>
    <w:rsid w:val="6F1E1540"/>
    <w:rsid w:val="6F1E65D4"/>
    <w:rsid w:val="6F266C86"/>
    <w:rsid w:val="6F3D3975"/>
    <w:rsid w:val="6F5042C2"/>
    <w:rsid w:val="6F543F55"/>
    <w:rsid w:val="6F6526C1"/>
    <w:rsid w:val="6F8C015F"/>
    <w:rsid w:val="6F8E53E2"/>
    <w:rsid w:val="6FAC1A83"/>
    <w:rsid w:val="6FB448E1"/>
    <w:rsid w:val="6FC36B2F"/>
    <w:rsid w:val="6FCE6277"/>
    <w:rsid w:val="6FE335C7"/>
    <w:rsid w:val="6FEC1F55"/>
    <w:rsid w:val="700115CD"/>
    <w:rsid w:val="70187A6C"/>
    <w:rsid w:val="703C4D68"/>
    <w:rsid w:val="7075053C"/>
    <w:rsid w:val="707D4D55"/>
    <w:rsid w:val="708609E1"/>
    <w:rsid w:val="708A390D"/>
    <w:rsid w:val="70CC0A12"/>
    <w:rsid w:val="70E95E74"/>
    <w:rsid w:val="70F900D9"/>
    <w:rsid w:val="70FF51E5"/>
    <w:rsid w:val="710869CB"/>
    <w:rsid w:val="710A6D12"/>
    <w:rsid w:val="71101AF5"/>
    <w:rsid w:val="71185D76"/>
    <w:rsid w:val="711F15ED"/>
    <w:rsid w:val="713C6FCC"/>
    <w:rsid w:val="71441488"/>
    <w:rsid w:val="71651DA8"/>
    <w:rsid w:val="71882B9D"/>
    <w:rsid w:val="71987004"/>
    <w:rsid w:val="71A54B89"/>
    <w:rsid w:val="71AB2962"/>
    <w:rsid w:val="71C55074"/>
    <w:rsid w:val="71CD6994"/>
    <w:rsid w:val="71F31126"/>
    <w:rsid w:val="71FA6A8D"/>
    <w:rsid w:val="720141FF"/>
    <w:rsid w:val="72112319"/>
    <w:rsid w:val="724564CB"/>
    <w:rsid w:val="726E3690"/>
    <w:rsid w:val="72776B83"/>
    <w:rsid w:val="729A746D"/>
    <w:rsid w:val="729F6337"/>
    <w:rsid w:val="72B47877"/>
    <w:rsid w:val="72B844D3"/>
    <w:rsid w:val="72CF5BB3"/>
    <w:rsid w:val="72D91039"/>
    <w:rsid w:val="72E56902"/>
    <w:rsid w:val="73117FA8"/>
    <w:rsid w:val="7319583D"/>
    <w:rsid w:val="736142BB"/>
    <w:rsid w:val="73716632"/>
    <w:rsid w:val="73981534"/>
    <w:rsid w:val="73CE1F1D"/>
    <w:rsid w:val="73D11F92"/>
    <w:rsid w:val="73EE7862"/>
    <w:rsid w:val="73F463DF"/>
    <w:rsid w:val="73F75C90"/>
    <w:rsid w:val="73FE6191"/>
    <w:rsid w:val="740623E2"/>
    <w:rsid w:val="74063D7B"/>
    <w:rsid w:val="74111895"/>
    <w:rsid w:val="7427300E"/>
    <w:rsid w:val="74316312"/>
    <w:rsid w:val="7438266E"/>
    <w:rsid w:val="74A83E82"/>
    <w:rsid w:val="75203DF4"/>
    <w:rsid w:val="75223783"/>
    <w:rsid w:val="75314649"/>
    <w:rsid w:val="75396B55"/>
    <w:rsid w:val="759D38F3"/>
    <w:rsid w:val="75A15EFB"/>
    <w:rsid w:val="75A4568E"/>
    <w:rsid w:val="75B86E09"/>
    <w:rsid w:val="75C14178"/>
    <w:rsid w:val="75E258CF"/>
    <w:rsid w:val="7604209F"/>
    <w:rsid w:val="76051E1C"/>
    <w:rsid w:val="760E0B2C"/>
    <w:rsid w:val="762F5542"/>
    <w:rsid w:val="76633F34"/>
    <w:rsid w:val="76670CF9"/>
    <w:rsid w:val="7672092F"/>
    <w:rsid w:val="768B0430"/>
    <w:rsid w:val="7699266A"/>
    <w:rsid w:val="76A92F96"/>
    <w:rsid w:val="76A975CA"/>
    <w:rsid w:val="76A97B76"/>
    <w:rsid w:val="76E9547D"/>
    <w:rsid w:val="76F15AD0"/>
    <w:rsid w:val="76FD408F"/>
    <w:rsid w:val="77042FA1"/>
    <w:rsid w:val="772115C3"/>
    <w:rsid w:val="77316E75"/>
    <w:rsid w:val="77324559"/>
    <w:rsid w:val="77370538"/>
    <w:rsid w:val="77535974"/>
    <w:rsid w:val="77542601"/>
    <w:rsid w:val="775A4920"/>
    <w:rsid w:val="777B3C70"/>
    <w:rsid w:val="777E0D0B"/>
    <w:rsid w:val="778F0DB1"/>
    <w:rsid w:val="77A208B7"/>
    <w:rsid w:val="77A45525"/>
    <w:rsid w:val="77AB7FE5"/>
    <w:rsid w:val="77B03877"/>
    <w:rsid w:val="77CD2343"/>
    <w:rsid w:val="77F0695C"/>
    <w:rsid w:val="77FA1872"/>
    <w:rsid w:val="780F13C8"/>
    <w:rsid w:val="780F1D29"/>
    <w:rsid w:val="783116A8"/>
    <w:rsid w:val="78512979"/>
    <w:rsid w:val="7897453D"/>
    <w:rsid w:val="78A64753"/>
    <w:rsid w:val="78E308E6"/>
    <w:rsid w:val="78E31B71"/>
    <w:rsid w:val="78F9314B"/>
    <w:rsid w:val="78FB7B2D"/>
    <w:rsid w:val="78FE2110"/>
    <w:rsid w:val="79006128"/>
    <w:rsid w:val="79093C4C"/>
    <w:rsid w:val="792267F8"/>
    <w:rsid w:val="79363B9C"/>
    <w:rsid w:val="795D5042"/>
    <w:rsid w:val="795E1CAB"/>
    <w:rsid w:val="796C58DE"/>
    <w:rsid w:val="797B6041"/>
    <w:rsid w:val="79837EFE"/>
    <w:rsid w:val="798706CD"/>
    <w:rsid w:val="79F212F4"/>
    <w:rsid w:val="79FA1B3E"/>
    <w:rsid w:val="7A034423"/>
    <w:rsid w:val="7A046655"/>
    <w:rsid w:val="7A1B2CC1"/>
    <w:rsid w:val="7A6666B0"/>
    <w:rsid w:val="7A830C45"/>
    <w:rsid w:val="7A963DB3"/>
    <w:rsid w:val="7AA00365"/>
    <w:rsid w:val="7AA36868"/>
    <w:rsid w:val="7AA63D37"/>
    <w:rsid w:val="7AAC2199"/>
    <w:rsid w:val="7AB214C9"/>
    <w:rsid w:val="7ABE23C4"/>
    <w:rsid w:val="7AD856F0"/>
    <w:rsid w:val="7AE94F97"/>
    <w:rsid w:val="7B147652"/>
    <w:rsid w:val="7B15568F"/>
    <w:rsid w:val="7B200A29"/>
    <w:rsid w:val="7B305D8F"/>
    <w:rsid w:val="7B982279"/>
    <w:rsid w:val="7BAB2387"/>
    <w:rsid w:val="7C042CA1"/>
    <w:rsid w:val="7C266E26"/>
    <w:rsid w:val="7C276E27"/>
    <w:rsid w:val="7C2838FC"/>
    <w:rsid w:val="7C291D7B"/>
    <w:rsid w:val="7C385448"/>
    <w:rsid w:val="7C5835DA"/>
    <w:rsid w:val="7C635CB1"/>
    <w:rsid w:val="7C685F5C"/>
    <w:rsid w:val="7C777D34"/>
    <w:rsid w:val="7C9A0E6D"/>
    <w:rsid w:val="7CA834D0"/>
    <w:rsid w:val="7CB3663D"/>
    <w:rsid w:val="7CB62F58"/>
    <w:rsid w:val="7D220D5B"/>
    <w:rsid w:val="7D27592E"/>
    <w:rsid w:val="7D4D29F0"/>
    <w:rsid w:val="7D540882"/>
    <w:rsid w:val="7D6B4F20"/>
    <w:rsid w:val="7D7C1880"/>
    <w:rsid w:val="7D835BA3"/>
    <w:rsid w:val="7D987618"/>
    <w:rsid w:val="7DA62549"/>
    <w:rsid w:val="7DA8125A"/>
    <w:rsid w:val="7DCA4D96"/>
    <w:rsid w:val="7DD61A3C"/>
    <w:rsid w:val="7E025F7F"/>
    <w:rsid w:val="7E127BB9"/>
    <w:rsid w:val="7E133488"/>
    <w:rsid w:val="7E177C56"/>
    <w:rsid w:val="7E292DCA"/>
    <w:rsid w:val="7E4A5745"/>
    <w:rsid w:val="7E7E5C9E"/>
    <w:rsid w:val="7E810220"/>
    <w:rsid w:val="7E8E4DD4"/>
    <w:rsid w:val="7E9A2B15"/>
    <w:rsid w:val="7EC60F44"/>
    <w:rsid w:val="7ECE0E29"/>
    <w:rsid w:val="7EDE0F62"/>
    <w:rsid w:val="7F3A16E7"/>
    <w:rsid w:val="7F4A1A7B"/>
    <w:rsid w:val="7F79550B"/>
    <w:rsid w:val="7FBE44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Shanghai Jian Qiao University</Company>
  <Pages>7</Pages>
  <Words>4314</Words>
  <Characters>4574</Characters>
  <Lines>36</Lines>
  <Paragraphs>10</Paragraphs>
  <TotalTime>14</TotalTime>
  <ScaleCrop>false</ScaleCrop>
  <LinksUpToDate>false</LinksUpToDate>
  <CharactersWithSpaces>4647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2022-09-23T04:42:00Z</dcterms:created>
  <dc:creator>juvg</dc:creator>
  <cp:lastModifiedBy>培培</cp:lastModifiedBy>
  <dcterms:modified xsi:type="dcterms:W3CDTF">2023-08-25T09:20:54Z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085F1D4165DE4702A56A509468CFFE97_13</vt:lpwstr>
  </property>
</Properties>
</file>