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C61CA5">
      <w:pPr>
        <w:snapToGrid w:val="0"/>
        <w:jc w:val="center"/>
        <w:rPr>
          <w:sz w:val="6"/>
          <w:szCs w:val="6"/>
        </w:rPr>
      </w:pPr>
    </w:p>
    <w:p w14:paraId="5C34A253">
      <w:pPr>
        <w:snapToGrid w:val="0"/>
        <w:jc w:val="center"/>
        <w:rPr>
          <w:sz w:val="6"/>
          <w:szCs w:val="6"/>
        </w:rPr>
      </w:pPr>
    </w:p>
    <w:p w14:paraId="77D71E54">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0BE25B9D">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1169"/>
        <w:gridCol w:w="1753"/>
        <w:gridCol w:w="1462"/>
      </w:tblGrid>
      <w:tr w14:paraId="147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14:paraId="1E8F56DD">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14:paraId="614B283F">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护理伦理学</w:t>
            </w:r>
            <w:r>
              <w:rPr>
                <w:rFonts w:hint="eastAsia" w:ascii="宋体" w:hAnsi="宋体" w:eastAsia="宋体"/>
                <w:sz w:val="21"/>
                <w:szCs w:val="21"/>
                <w:lang w:eastAsia="zh-CN"/>
              </w:rPr>
              <w:t>》</w:t>
            </w:r>
          </w:p>
        </w:tc>
      </w:tr>
      <w:tr w14:paraId="04E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5D6FA8FE">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691521D3">
            <w:pPr>
              <w:tabs>
                <w:tab w:val="left" w:pos="532"/>
              </w:tabs>
              <w:jc w:val="center"/>
              <w:rPr>
                <w:rFonts w:eastAsia="宋体"/>
                <w:sz w:val="21"/>
                <w:szCs w:val="21"/>
                <w:lang w:eastAsia="zh-CN"/>
              </w:rPr>
            </w:pPr>
            <w:r>
              <w:rPr>
                <w:rFonts w:hint="eastAsia" w:asciiTheme="minorEastAsia" w:hAnsiTheme="minorEastAsia" w:eastAsiaTheme="minorEastAsia" w:cstheme="minorEastAsia"/>
                <w:bCs/>
                <w:kern w:val="0"/>
                <w:sz w:val="21"/>
                <w:szCs w:val="21"/>
                <w:lang w:eastAsia="zh-CN"/>
              </w:rPr>
              <w:t>2170095</w:t>
            </w:r>
          </w:p>
        </w:tc>
        <w:tc>
          <w:tcPr>
            <w:tcW w:w="1314" w:type="dxa"/>
            <w:vAlign w:val="center"/>
          </w:tcPr>
          <w:p w14:paraId="760B7A7F">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536CDD63">
            <w:pPr>
              <w:tabs>
                <w:tab w:val="left" w:pos="532"/>
              </w:tabs>
              <w:jc w:val="center"/>
              <w:rPr>
                <w:rFonts w:hint="default" w:eastAsia="宋体"/>
                <w:sz w:val="21"/>
                <w:szCs w:val="21"/>
                <w:lang w:val="en-US" w:eastAsia="zh-CN"/>
              </w:rPr>
            </w:pPr>
            <w:r>
              <w:rPr>
                <w:rFonts w:hint="eastAsia" w:eastAsia="宋体"/>
                <w:sz w:val="21"/>
                <w:szCs w:val="21"/>
                <w:highlight w:val="none"/>
                <w:lang w:val="en-US" w:eastAsia="zh-CN"/>
              </w:rPr>
              <w:t>2374/2393</w:t>
            </w:r>
          </w:p>
        </w:tc>
        <w:tc>
          <w:tcPr>
            <w:tcW w:w="1753" w:type="dxa"/>
            <w:vAlign w:val="center"/>
          </w:tcPr>
          <w:p w14:paraId="456EE89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14:paraId="372B30CA">
            <w:pPr>
              <w:tabs>
                <w:tab w:val="left" w:pos="532"/>
              </w:tabs>
              <w:jc w:val="center"/>
              <w:rPr>
                <w:rFonts w:hint="default" w:eastAsia="宋体"/>
                <w:sz w:val="21"/>
                <w:szCs w:val="21"/>
                <w:lang w:val="en-US" w:eastAsia="zh-CN"/>
              </w:rPr>
            </w:pPr>
            <w:r>
              <w:rPr>
                <w:rFonts w:hint="eastAsia" w:eastAsia="宋体"/>
                <w:sz w:val="21"/>
                <w:szCs w:val="21"/>
                <w:lang w:val="en-US" w:eastAsia="zh-CN"/>
              </w:rPr>
              <w:t>2/32</w:t>
            </w:r>
          </w:p>
        </w:tc>
      </w:tr>
      <w:tr w14:paraId="1B95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6E6A988E">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044ECCA1">
            <w:pPr>
              <w:tabs>
                <w:tab w:val="left" w:pos="532"/>
              </w:tabs>
              <w:jc w:val="center"/>
              <w:rPr>
                <w:rFonts w:hint="default" w:eastAsia="宋体"/>
                <w:sz w:val="21"/>
                <w:szCs w:val="21"/>
                <w:lang w:val="en-US" w:eastAsia="zh-CN"/>
              </w:rPr>
            </w:pPr>
            <w:r>
              <w:rPr>
                <w:rFonts w:hint="eastAsia" w:eastAsia="宋体"/>
                <w:sz w:val="21"/>
                <w:szCs w:val="21"/>
                <w:lang w:val="en-US" w:eastAsia="zh-CN"/>
              </w:rPr>
              <w:t>韩萍</w:t>
            </w:r>
          </w:p>
        </w:tc>
        <w:tc>
          <w:tcPr>
            <w:tcW w:w="1314" w:type="dxa"/>
            <w:vAlign w:val="center"/>
          </w:tcPr>
          <w:p w14:paraId="63FFB56B">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3F1002D9">
            <w:pPr>
              <w:tabs>
                <w:tab w:val="left" w:pos="532"/>
              </w:tabs>
              <w:jc w:val="center"/>
              <w:rPr>
                <w:rFonts w:hint="default" w:eastAsia="宋体"/>
                <w:sz w:val="21"/>
                <w:szCs w:val="21"/>
                <w:lang w:val="en-US" w:eastAsia="zh-CN"/>
              </w:rPr>
            </w:pPr>
            <w:r>
              <w:rPr>
                <w:rFonts w:hint="eastAsia" w:eastAsia="宋体"/>
                <w:sz w:val="21"/>
                <w:szCs w:val="21"/>
                <w:lang w:val="en-US" w:eastAsia="zh-CN"/>
              </w:rPr>
              <w:t>20604</w:t>
            </w:r>
          </w:p>
        </w:tc>
        <w:tc>
          <w:tcPr>
            <w:tcW w:w="1753" w:type="dxa"/>
            <w:vAlign w:val="center"/>
          </w:tcPr>
          <w:p w14:paraId="189EE11D">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14:paraId="2534F453">
            <w:pPr>
              <w:tabs>
                <w:tab w:val="left" w:pos="532"/>
              </w:tabs>
              <w:jc w:val="center"/>
              <w:rPr>
                <w:rFonts w:hint="default" w:eastAsia="宋体"/>
                <w:sz w:val="21"/>
                <w:szCs w:val="21"/>
                <w:lang w:val="en-US" w:eastAsia="zh-CN"/>
              </w:rPr>
            </w:pPr>
            <w:r>
              <w:rPr>
                <w:rFonts w:hint="eastAsia" w:eastAsia="宋体"/>
                <w:sz w:val="21"/>
                <w:szCs w:val="21"/>
                <w:lang w:val="en-US" w:eastAsia="zh-CN"/>
              </w:rPr>
              <w:t>兼职</w:t>
            </w:r>
          </w:p>
        </w:tc>
      </w:tr>
      <w:tr w14:paraId="2F57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56B6A48A">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5D41FFDB">
            <w:pPr>
              <w:tabs>
                <w:tab w:val="left" w:pos="532"/>
              </w:tabs>
              <w:jc w:val="center"/>
              <w:rPr>
                <w:rFonts w:eastAsia="宋体"/>
                <w:sz w:val="21"/>
                <w:szCs w:val="21"/>
                <w:lang w:eastAsia="zh-CN"/>
              </w:rPr>
            </w:pPr>
            <w:r>
              <w:rPr>
                <w:rFonts w:hint="eastAsia" w:asciiTheme="minorEastAsia" w:hAnsiTheme="minorEastAsia" w:eastAsiaTheme="minorEastAsia" w:cstheme="minorEastAsia"/>
                <w:bCs/>
                <w:kern w:val="0"/>
                <w:sz w:val="21"/>
                <w:szCs w:val="21"/>
                <w:lang w:eastAsia="zh-CN"/>
              </w:rPr>
              <w:t>护理学B</w:t>
            </w:r>
            <w:r>
              <w:rPr>
                <w:rFonts w:hint="eastAsia" w:asciiTheme="minorEastAsia" w:hAnsiTheme="minorEastAsia" w:eastAsiaTheme="minorEastAsia" w:cstheme="minorEastAsia"/>
                <w:bCs/>
                <w:kern w:val="0"/>
                <w:sz w:val="21"/>
                <w:szCs w:val="21"/>
                <w:lang w:val="en-US" w:eastAsia="zh-CN"/>
              </w:rPr>
              <w:t>24</w:t>
            </w:r>
            <w:r>
              <w:rPr>
                <w:rFonts w:hint="eastAsia" w:asciiTheme="minorEastAsia" w:hAnsiTheme="minorEastAsia" w:eastAsiaTheme="minorEastAsia" w:cstheme="minorEastAsia"/>
                <w:bCs/>
                <w:kern w:val="0"/>
                <w:sz w:val="21"/>
                <w:szCs w:val="21"/>
                <w:lang w:eastAsia="zh-CN"/>
              </w:rPr>
              <w:t>-1/2/3</w:t>
            </w:r>
          </w:p>
        </w:tc>
        <w:tc>
          <w:tcPr>
            <w:tcW w:w="1314" w:type="dxa"/>
            <w:vAlign w:val="center"/>
          </w:tcPr>
          <w:p w14:paraId="7A9F5848">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657B04DC">
            <w:pPr>
              <w:tabs>
                <w:tab w:val="left" w:pos="532"/>
              </w:tabs>
              <w:jc w:val="center"/>
              <w:rPr>
                <w:rFonts w:hint="default" w:eastAsia="宋体"/>
                <w:sz w:val="21"/>
                <w:szCs w:val="21"/>
                <w:lang w:val="en-US" w:eastAsia="zh-CN"/>
              </w:rPr>
            </w:pPr>
            <w:r>
              <w:rPr>
                <w:rFonts w:hint="eastAsia" w:eastAsia="宋体"/>
                <w:sz w:val="21"/>
                <w:szCs w:val="21"/>
                <w:lang w:val="en-US" w:eastAsia="zh-CN"/>
              </w:rPr>
              <w:t>139</w:t>
            </w:r>
          </w:p>
        </w:tc>
        <w:tc>
          <w:tcPr>
            <w:tcW w:w="1753" w:type="dxa"/>
            <w:vAlign w:val="center"/>
          </w:tcPr>
          <w:p w14:paraId="64A1BF90">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14:paraId="28634256">
            <w:pPr>
              <w:tabs>
                <w:tab w:val="left" w:pos="532"/>
              </w:tabs>
              <w:jc w:val="center"/>
              <w:rPr>
                <w:rFonts w:hint="default" w:eastAsia="宋体"/>
                <w:sz w:val="21"/>
                <w:szCs w:val="21"/>
                <w:lang w:val="en-US" w:eastAsia="zh-CN"/>
              </w:rPr>
            </w:pPr>
            <w:r>
              <w:rPr>
                <w:rFonts w:hint="eastAsia" w:eastAsia="宋体"/>
                <w:sz w:val="21"/>
                <w:szCs w:val="21"/>
                <w:lang w:val="en-US" w:eastAsia="zh-CN"/>
              </w:rPr>
              <w:t>三教114/103</w:t>
            </w:r>
          </w:p>
        </w:tc>
      </w:tr>
      <w:tr w14:paraId="3717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70ECE9F7">
            <w:pPr>
              <w:tabs>
                <w:tab w:val="left" w:pos="532"/>
              </w:tabs>
              <w:spacing w:line="340" w:lineRule="exact"/>
              <w:jc w:val="center"/>
              <w:rPr>
                <w:rFonts w:ascii="黑体" w:hAnsi="黑体" w:eastAsia="黑体"/>
                <w:kern w:val="0"/>
                <w:sz w:val="21"/>
                <w:szCs w:val="21"/>
                <w:highlight w:val="none"/>
              </w:rPr>
            </w:pPr>
            <w:r>
              <w:rPr>
                <w:rFonts w:hint="eastAsia" w:ascii="黑体" w:hAnsi="黑体" w:eastAsia="黑体"/>
                <w:kern w:val="0"/>
                <w:sz w:val="21"/>
                <w:szCs w:val="21"/>
                <w:highlight w:val="none"/>
              </w:rPr>
              <w:t>答疑</w:t>
            </w:r>
            <w:r>
              <w:rPr>
                <w:rFonts w:hint="eastAsia" w:ascii="黑体" w:hAnsi="黑体" w:eastAsia="黑体"/>
                <w:kern w:val="0"/>
                <w:sz w:val="21"/>
                <w:szCs w:val="21"/>
                <w:highlight w:val="none"/>
                <w:lang w:eastAsia="zh-CN"/>
              </w:rPr>
              <w:t>安排</w:t>
            </w:r>
          </w:p>
        </w:tc>
        <w:tc>
          <w:tcPr>
            <w:tcW w:w="7109" w:type="dxa"/>
            <w:gridSpan w:val="5"/>
            <w:tcBorders>
              <w:right w:val="single" w:color="auto" w:sz="12" w:space="0"/>
            </w:tcBorders>
            <w:vAlign w:val="center"/>
          </w:tcPr>
          <w:p w14:paraId="5284EFAE">
            <w:pP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周五 14:00-15:00     线上 微信：zxw3hp</w:t>
            </w:r>
          </w:p>
        </w:tc>
      </w:tr>
      <w:tr w14:paraId="3433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36111DAC">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14:paraId="08057B6B">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eastAsia="宋体"/>
                <w:sz w:val="21"/>
                <w:szCs w:val="21"/>
                <w:lang w:val="en-US" w:eastAsia="zh-CN"/>
              </w:rPr>
              <w:t>2374/2393</w:t>
            </w:r>
          </w:p>
        </w:tc>
      </w:tr>
      <w:tr w14:paraId="2CBE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7BE8F11F">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14:paraId="2197990F">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cstheme="minorEastAsia"/>
                <w:bCs/>
                <w:kern w:val="0"/>
                <w:sz w:val="21"/>
                <w:szCs w:val="21"/>
                <w:lang w:eastAsia="zh-CN"/>
              </w:rPr>
              <w:t>《护理伦理学》，第3版，主编：刘俊荣，范宇莹.人民卫生出版社.</w:t>
            </w:r>
          </w:p>
        </w:tc>
      </w:tr>
      <w:tr w14:paraId="5E42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14:paraId="0721C233">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14:paraId="4026FE88">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《医学伦理学》，主编：邱祥兴.人民卫生出版社；</w:t>
            </w:r>
          </w:p>
          <w:p w14:paraId="08996211">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《医学伦理学（牛津通识读本）》，主编：Hope.译林出版社；</w:t>
            </w:r>
          </w:p>
          <w:p w14:paraId="43F80CA1">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《护理伦理学》，主编：孙宏玉，唐启群.北京大学医学出版社；</w:t>
            </w:r>
          </w:p>
          <w:p w14:paraId="739C5932">
            <w:pPr>
              <w:tabs>
                <w:tab w:val="left" w:pos="532"/>
              </w:tabs>
              <w:rPr>
                <w:rFonts w:ascii="宋体" w:hAnsi="宋体" w:eastAsia="宋体"/>
                <w:sz w:val="21"/>
                <w:szCs w:val="21"/>
                <w:lang w:eastAsia="zh-CN"/>
              </w:rPr>
            </w:pPr>
            <w:r>
              <w:rPr>
                <w:rFonts w:hint="eastAsia" w:asciiTheme="minorEastAsia" w:hAnsiTheme="minorEastAsia" w:eastAsiaTheme="minorEastAsia" w:cstheme="minorEastAsia"/>
                <w:bCs/>
                <w:kern w:val="0"/>
                <w:sz w:val="21"/>
                <w:szCs w:val="21"/>
                <w:lang w:eastAsia="zh-CN"/>
              </w:rPr>
              <w:t>《护理伦理与法律法规》，主编：王明丽.科学出版社.</w:t>
            </w:r>
          </w:p>
        </w:tc>
      </w:tr>
    </w:tbl>
    <w:p w14:paraId="076679B8">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5112"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37"/>
        <w:gridCol w:w="737"/>
        <w:gridCol w:w="4978"/>
        <w:gridCol w:w="1320"/>
        <w:gridCol w:w="1491"/>
      </w:tblGrid>
      <w:tr w14:paraId="52A70CD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14:paraId="2DE6D55A">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37" w:type="dxa"/>
            <w:vAlign w:val="center"/>
          </w:tcPr>
          <w:p w14:paraId="669B7165">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978" w:type="dxa"/>
            <w:tcMar>
              <w:top w:w="15" w:type="dxa"/>
              <w:left w:w="108" w:type="dxa"/>
              <w:bottom w:w="0" w:type="dxa"/>
              <w:right w:w="108" w:type="dxa"/>
            </w:tcMar>
            <w:vAlign w:val="center"/>
          </w:tcPr>
          <w:p w14:paraId="1BE89EFC">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0" w:type="dxa"/>
            <w:tcMar>
              <w:top w:w="15" w:type="dxa"/>
              <w:left w:w="108" w:type="dxa"/>
              <w:bottom w:w="0" w:type="dxa"/>
              <w:right w:w="108" w:type="dxa"/>
            </w:tcMar>
            <w:vAlign w:val="center"/>
          </w:tcPr>
          <w:p w14:paraId="4B5CEE9D">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491" w:type="dxa"/>
            <w:tcMar>
              <w:top w:w="15" w:type="dxa"/>
              <w:left w:w="108" w:type="dxa"/>
              <w:bottom w:w="0" w:type="dxa"/>
              <w:right w:w="108" w:type="dxa"/>
            </w:tcMar>
            <w:vAlign w:val="center"/>
          </w:tcPr>
          <w:p w14:paraId="782BE78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7FFE78C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AC46084">
            <w:pPr>
              <w:widowControl/>
              <w:jc w:val="center"/>
              <w:rPr>
                <w:rFonts w:eastAsia="宋体"/>
                <w:kern w:val="0"/>
                <w:sz w:val="21"/>
                <w:szCs w:val="21"/>
                <w:lang w:eastAsia="zh-CN"/>
              </w:rPr>
            </w:pPr>
            <w:r>
              <w:rPr>
                <w:rFonts w:hint="eastAsia" w:eastAsia="宋体"/>
                <w:kern w:val="0"/>
                <w:sz w:val="21"/>
                <w:szCs w:val="21"/>
                <w:lang w:eastAsia="zh-CN"/>
              </w:rPr>
              <w:t>1</w:t>
            </w:r>
          </w:p>
        </w:tc>
        <w:tc>
          <w:tcPr>
            <w:tcW w:w="737" w:type="dxa"/>
          </w:tcPr>
          <w:p w14:paraId="2F61FB17">
            <w:pPr>
              <w:widowControl/>
              <w:jc w:val="center"/>
              <w:rPr>
                <w:rFonts w:hint="eastAsia" w:eastAsia="宋体"/>
                <w:kern w:val="0"/>
                <w:sz w:val="21"/>
                <w:szCs w:val="21"/>
                <w:lang w:val="en-US" w:eastAsia="zh-CN"/>
              </w:rPr>
            </w:pPr>
          </w:p>
          <w:p w14:paraId="2E3F43B4">
            <w:pPr>
              <w:widowControl/>
              <w:jc w:val="center"/>
              <w:rPr>
                <w:rFonts w:hint="eastAsia" w:eastAsia="宋体"/>
                <w:kern w:val="0"/>
                <w:sz w:val="21"/>
                <w:szCs w:val="21"/>
                <w:lang w:val="en-US" w:eastAsia="zh-CN"/>
              </w:rPr>
            </w:pPr>
          </w:p>
          <w:p w14:paraId="6EC886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4CA032FB">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绪论</w:t>
            </w:r>
            <w:r>
              <w:rPr>
                <w:rFonts w:hint="eastAsia" w:asciiTheme="minorEastAsia" w:hAnsiTheme="minorEastAsia" w:eastAsiaTheme="minorEastAsia" w:cstheme="minorEastAsia"/>
                <w:kern w:val="0"/>
                <w:sz w:val="21"/>
                <w:szCs w:val="21"/>
                <w:lang w:eastAsia="zh-CN"/>
              </w:rPr>
              <w:t>：道德的概念、特征和功能，职业道德的基本内容。</w:t>
            </w:r>
          </w:p>
        </w:tc>
        <w:tc>
          <w:tcPr>
            <w:tcW w:w="1320" w:type="dxa"/>
            <w:shd w:val="clear" w:color="auto" w:fill="auto"/>
            <w:tcMar>
              <w:top w:w="15" w:type="dxa"/>
              <w:left w:w="108" w:type="dxa"/>
              <w:bottom w:w="0" w:type="dxa"/>
              <w:right w:w="108" w:type="dxa"/>
            </w:tcMar>
            <w:vAlign w:val="top"/>
          </w:tcPr>
          <w:p w14:paraId="3EA9008C">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案例导入、重点知识点讲解、视频辅助教学</w:t>
            </w:r>
          </w:p>
        </w:tc>
        <w:tc>
          <w:tcPr>
            <w:tcW w:w="1491" w:type="dxa"/>
            <w:tcMar>
              <w:top w:w="15" w:type="dxa"/>
              <w:left w:w="108" w:type="dxa"/>
              <w:bottom w:w="0" w:type="dxa"/>
              <w:right w:w="108" w:type="dxa"/>
            </w:tcMar>
            <w:vAlign w:val="top"/>
          </w:tcPr>
          <w:p w14:paraId="33841E8B">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12003B8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3E55F6D">
            <w:pPr>
              <w:widowControl/>
              <w:jc w:val="center"/>
              <w:rPr>
                <w:rFonts w:eastAsia="宋体"/>
                <w:kern w:val="0"/>
                <w:sz w:val="21"/>
                <w:szCs w:val="21"/>
                <w:lang w:eastAsia="zh-CN"/>
              </w:rPr>
            </w:pPr>
            <w:r>
              <w:rPr>
                <w:rFonts w:hint="eastAsia" w:eastAsia="宋体"/>
                <w:kern w:val="0"/>
                <w:sz w:val="21"/>
                <w:szCs w:val="21"/>
                <w:lang w:eastAsia="zh-CN"/>
              </w:rPr>
              <w:t>2</w:t>
            </w:r>
          </w:p>
        </w:tc>
        <w:tc>
          <w:tcPr>
            <w:tcW w:w="737" w:type="dxa"/>
          </w:tcPr>
          <w:p w14:paraId="58167DC1">
            <w:pPr>
              <w:widowControl/>
              <w:jc w:val="center"/>
              <w:rPr>
                <w:rFonts w:hint="eastAsia" w:eastAsia="宋体"/>
                <w:kern w:val="0"/>
                <w:sz w:val="21"/>
                <w:szCs w:val="21"/>
                <w:lang w:val="en-US" w:eastAsia="zh-CN"/>
              </w:rPr>
            </w:pPr>
          </w:p>
          <w:p w14:paraId="14D9018F">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0C0002F5">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绪论：</w:t>
            </w:r>
            <w:r>
              <w:rPr>
                <w:rFonts w:hint="eastAsia" w:asciiTheme="minorEastAsia" w:hAnsiTheme="minorEastAsia" w:eastAsiaTheme="minorEastAsia" w:cstheme="minorEastAsia"/>
                <w:kern w:val="0"/>
                <w:sz w:val="21"/>
                <w:szCs w:val="21"/>
                <w:lang w:eastAsia="zh-CN"/>
              </w:rPr>
              <w:t>伦理学、护理伦理学的概念及其发展；如何进行自我伦理教育、修养与评价。</w:t>
            </w:r>
          </w:p>
        </w:tc>
        <w:tc>
          <w:tcPr>
            <w:tcW w:w="1320" w:type="dxa"/>
            <w:tcMar>
              <w:top w:w="15" w:type="dxa"/>
              <w:left w:w="108" w:type="dxa"/>
              <w:bottom w:w="0" w:type="dxa"/>
              <w:right w:w="108" w:type="dxa"/>
            </w:tcMar>
            <w:vAlign w:val="top"/>
          </w:tcPr>
          <w:p w14:paraId="69B5EF38">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w:t>
            </w:r>
          </w:p>
        </w:tc>
        <w:tc>
          <w:tcPr>
            <w:tcW w:w="1491" w:type="dxa"/>
            <w:tcMar>
              <w:top w:w="15" w:type="dxa"/>
              <w:left w:w="108" w:type="dxa"/>
              <w:bottom w:w="0" w:type="dxa"/>
              <w:right w:w="108" w:type="dxa"/>
            </w:tcMar>
            <w:vAlign w:val="top"/>
          </w:tcPr>
          <w:p w14:paraId="5BBA0A27">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w:t>
            </w:r>
          </w:p>
        </w:tc>
      </w:tr>
      <w:tr w14:paraId="203B5A0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57E93FB">
            <w:pPr>
              <w:widowControl/>
              <w:jc w:val="center"/>
              <w:rPr>
                <w:rFonts w:eastAsia="宋体"/>
                <w:kern w:val="0"/>
                <w:sz w:val="21"/>
                <w:szCs w:val="21"/>
                <w:lang w:eastAsia="zh-CN"/>
              </w:rPr>
            </w:pPr>
            <w:r>
              <w:rPr>
                <w:rFonts w:hint="eastAsia" w:eastAsia="宋体"/>
                <w:kern w:val="0"/>
                <w:sz w:val="21"/>
                <w:szCs w:val="21"/>
                <w:lang w:eastAsia="zh-CN"/>
              </w:rPr>
              <w:t>3</w:t>
            </w:r>
          </w:p>
        </w:tc>
        <w:tc>
          <w:tcPr>
            <w:tcW w:w="737" w:type="dxa"/>
          </w:tcPr>
          <w:p w14:paraId="64637F39">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78CCC414">
            <w:pPr>
              <w:tabs>
                <w:tab w:val="left" w:pos="532"/>
              </w:tabs>
              <w:spacing w:line="34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护理伦理学的</w:t>
            </w:r>
            <w:r>
              <w:rPr>
                <w:rFonts w:hint="eastAsia" w:asciiTheme="minorEastAsia" w:hAnsiTheme="minorEastAsia" w:eastAsiaTheme="minorEastAsia" w:cstheme="minorEastAsia"/>
                <w:kern w:val="0"/>
                <w:sz w:val="21"/>
                <w:szCs w:val="21"/>
                <w:lang w:val="en-US" w:eastAsia="zh-CN"/>
              </w:rPr>
              <w:t>基本理论</w:t>
            </w:r>
            <w:r>
              <w:rPr>
                <w:rFonts w:hint="eastAsia" w:asciiTheme="minorEastAsia" w:hAnsiTheme="minorEastAsia" w:eastAsiaTheme="minorEastAsia" w:cstheme="minorEastAsia"/>
                <w:kern w:val="0"/>
                <w:sz w:val="21"/>
                <w:szCs w:val="21"/>
                <w:lang w:eastAsia="zh-CN"/>
              </w:rPr>
              <w:t>：美德论、义务论及效果论等；基本</w:t>
            </w:r>
            <w:r>
              <w:rPr>
                <w:rFonts w:hint="eastAsia" w:asciiTheme="minorEastAsia" w:hAnsiTheme="minorEastAsia" w:eastAsiaTheme="minorEastAsia" w:cstheme="minorEastAsia"/>
                <w:kern w:val="0"/>
                <w:sz w:val="21"/>
                <w:szCs w:val="21"/>
                <w:lang w:val="en-US" w:eastAsia="zh-CN"/>
              </w:rPr>
              <w:t>观点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健康观、疾病观、死亡观；基本理论与观点的张力。</w:t>
            </w:r>
          </w:p>
        </w:tc>
        <w:tc>
          <w:tcPr>
            <w:tcW w:w="1320" w:type="dxa"/>
            <w:shd w:val="clear" w:color="auto" w:fill="auto"/>
            <w:tcMar>
              <w:top w:w="15" w:type="dxa"/>
              <w:left w:w="108" w:type="dxa"/>
              <w:bottom w:w="0" w:type="dxa"/>
              <w:right w:w="108" w:type="dxa"/>
            </w:tcMar>
            <w:vAlign w:val="top"/>
          </w:tcPr>
          <w:p w14:paraId="3DD98C25">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w:t>
            </w:r>
          </w:p>
        </w:tc>
        <w:tc>
          <w:tcPr>
            <w:tcW w:w="1491" w:type="dxa"/>
            <w:tcMar>
              <w:top w:w="15" w:type="dxa"/>
              <w:left w:w="108" w:type="dxa"/>
              <w:bottom w:w="0" w:type="dxa"/>
              <w:right w:w="108" w:type="dxa"/>
            </w:tcMar>
            <w:vAlign w:val="top"/>
          </w:tcPr>
          <w:p w14:paraId="35774B58">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1BAA8FE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473F7DF">
            <w:pPr>
              <w:widowControl/>
              <w:jc w:val="center"/>
              <w:rPr>
                <w:rFonts w:eastAsia="宋体"/>
                <w:kern w:val="0"/>
                <w:sz w:val="21"/>
                <w:szCs w:val="21"/>
                <w:lang w:eastAsia="zh-CN"/>
              </w:rPr>
            </w:pPr>
            <w:r>
              <w:rPr>
                <w:rFonts w:hint="eastAsia" w:eastAsia="宋体"/>
                <w:kern w:val="0"/>
                <w:sz w:val="21"/>
                <w:szCs w:val="21"/>
                <w:lang w:eastAsia="zh-CN"/>
              </w:rPr>
              <w:t>4</w:t>
            </w:r>
          </w:p>
        </w:tc>
        <w:tc>
          <w:tcPr>
            <w:tcW w:w="737" w:type="dxa"/>
          </w:tcPr>
          <w:p w14:paraId="316B4002">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2CB7CB23">
            <w:pPr>
              <w:tabs>
                <w:tab w:val="left" w:pos="532"/>
              </w:tabs>
              <w:spacing w:line="34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护理伦理学的基本原则：尊重、有利、不伤害、公正原则以及原则之间的冲突与消解；</w:t>
            </w:r>
          </w:p>
          <w:p w14:paraId="632AC7C0">
            <w:pPr>
              <w:tabs>
                <w:tab w:val="left" w:pos="532"/>
              </w:tabs>
              <w:spacing w:line="34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护理伦理学基本规范形式与内容，特点与作用；</w:t>
            </w:r>
          </w:p>
          <w:p w14:paraId="61E45584">
            <w:pPr>
              <w:tabs>
                <w:tab w:val="left" w:pos="532"/>
              </w:tabs>
              <w:spacing w:line="34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护理伦理学的基本范畴：权利与义务、尊严与价值、情感与理智、良性与荣誉、审慎与胆识。</w:t>
            </w:r>
          </w:p>
        </w:tc>
        <w:tc>
          <w:tcPr>
            <w:tcW w:w="1320" w:type="dxa"/>
            <w:tcMar>
              <w:top w:w="15" w:type="dxa"/>
              <w:left w:w="108" w:type="dxa"/>
              <w:bottom w:w="0" w:type="dxa"/>
              <w:right w:w="108" w:type="dxa"/>
            </w:tcMar>
            <w:vAlign w:val="top"/>
          </w:tcPr>
          <w:p w14:paraId="066AD814">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w:t>
            </w:r>
          </w:p>
        </w:tc>
        <w:tc>
          <w:tcPr>
            <w:tcW w:w="1491" w:type="dxa"/>
            <w:tcMar>
              <w:top w:w="15" w:type="dxa"/>
              <w:left w:w="108" w:type="dxa"/>
              <w:bottom w:w="0" w:type="dxa"/>
              <w:right w:w="108" w:type="dxa"/>
            </w:tcMar>
            <w:vAlign w:val="top"/>
          </w:tcPr>
          <w:p w14:paraId="7B19BC93">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课前预习、超星学习通课后作业复习+小论文</w:t>
            </w:r>
          </w:p>
        </w:tc>
      </w:tr>
      <w:tr w14:paraId="323A24A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449D4A6">
            <w:pPr>
              <w:widowControl/>
              <w:jc w:val="center"/>
              <w:rPr>
                <w:rFonts w:eastAsia="宋体"/>
                <w:kern w:val="0"/>
                <w:sz w:val="21"/>
                <w:szCs w:val="21"/>
                <w:lang w:eastAsia="zh-CN"/>
              </w:rPr>
            </w:pPr>
            <w:r>
              <w:rPr>
                <w:rFonts w:hint="eastAsia" w:eastAsia="宋体"/>
                <w:kern w:val="0"/>
                <w:sz w:val="21"/>
                <w:szCs w:val="21"/>
                <w:lang w:eastAsia="zh-CN"/>
              </w:rPr>
              <w:t>5</w:t>
            </w:r>
          </w:p>
        </w:tc>
        <w:tc>
          <w:tcPr>
            <w:tcW w:w="737" w:type="dxa"/>
          </w:tcPr>
          <w:p w14:paraId="366DCD89">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03D18AD7">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护理人际关系之护患关系的特点、模式；患者的权利与义务；护士的权利与义务；护患权利与义务之间的博弈、和谐护患关系的伦理要求。</w:t>
            </w:r>
          </w:p>
        </w:tc>
        <w:tc>
          <w:tcPr>
            <w:tcW w:w="1320" w:type="dxa"/>
            <w:tcMar>
              <w:top w:w="15" w:type="dxa"/>
              <w:left w:w="108" w:type="dxa"/>
              <w:bottom w:w="0" w:type="dxa"/>
              <w:right w:w="108" w:type="dxa"/>
            </w:tcMar>
            <w:vAlign w:val="top"/>
          </w:tcPr>
          <w:p w14:paraId="1164BF49">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w:t>
            </w:r>
          </w:p>
        </w:tc>
        <w:tc>
          <w:tcPr>
            <w:tcW w:w="1491" w:type="dxa"/>
            <w:tcMar>
              <w:top w:w="15" w:type="dxa"/>
              <w:left w:w="108" w:type="dxa"/>
              <w:bottom w:w="0" w:type="dxa"/>
              <w:right w:w="108" w:type="dxa"/>
            </w:tcMar>
            <w:vAlign w:val="top"/>
          </w:tcPr>
          <w:p w14:paraId="690E3B19">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3A8B170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860057F">
            <w:pPr>
              <w:widowControl/>
              <w:jc w:val="center"/>
              <w:rPr>
                <w:rFonts w:eastAsia="宋体"/>
                <w:kern w:val="0"/>
                <w:sz w:val="21"/>
                <w:szCs w:val="21"/>
                <w:lang w:eastAsia="zh-CN"/>
              </w:rPr>
            </w:pPr>
            <w:r>
              <w:rPr>
                <w:rFonts w:hint="eastAsia" w:eastAsia="宋体"/>
                <w:kern w:val="0"/>
                <w:sz w:val="21"/>
                <w:szCs w:val="21"/>
                <w:lang w:eastAsia="zh-CN"/>
              </w:rPr>
              <w:t>6</w:t>
            </w:r>
          </w:p>
        </w:tc>
        <w:tc>
          <w:tcPr>
            <w:tcW w:w="737" w:type="dxa"/>
          </w:tcPr>
          <w:p w14:paraId="085F432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1617DB70">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护理人际关系之护际关系的特点、矛盾及其影响因素；护士与医疗机构其他从业人员的关系伦理。</w:t>
            </w:r>
          </w:p>
        </w:tc>
        <w:tc>
          <w:tcPr>
            <w:tcW w:w="1320" w:type="dxa"/>
            <w:tcMar>
              <w:top w:w="15" w:type="dxa"/>
              <w:left w:w="108" w:type="dxa"/>
              <w:bottom w:w="0" w:type="dxa"/>
              <w:right w:w="108" w:type="dxa"/>
            </w:tcMar>
            <w:vAlign w:val="top"/>
          </w:tcPr>
          <w:p w14:paraId="11D1B33E">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案例导入、重点知识点讲解</w:t>
            </w:r>
          </w:p>
        </w:tc>
        <w:tc>
          <w:tcPr>
            <w:tcW w:w="1491" w:type="dxa"/>
            <w:tcMar>
              <w:top w:w="15" w:type="dxa"/>
              <w:left w:w="108" w:type="dxa"/>
              <w:bottom w:w="0" w:type="dxa"/>
              <w:right w:w="108" w:type="dxa"/>
            </w:tcMar>
            <w:vAlign w:val="top"/>
          </w:tcPr>
          <w:p w14:paraId="78681C09">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61E4265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1E2EB7C6">
            <w:pPr>
              <w:widowControl/>
              <w:jc w:val="center"/>
              <w:rPr>
                <w:rFonts w:eastAsia="宋体"/>
                <w:kern w:val="0"/>
                <w:sz w:val="21"/>
                <w:szCs w:val="21"/>
                <w:lang w:eastAsia="zh-CN"/>
              </w:rPr>
            </w:pPr>
            <w:r>
              <w:rPr>
                <w:rFonts w:hint="eastAsia" w:eastAsia="宋体"/>
                <w:kern w:val="0"/>
                <w:sz w:val="21"/>
                <w:szCs w:val="21"/>
                <w:lang w:eastAsia="zh-CN"/>
              </w:rPr>
              <w:t>7</w:t>
            </w:r>
          </w:p>
        </w:tc>
        <w:tc>
          <w:tcPr>
            <w:tcW w:w="737" w:type="dxa"/>
          </w:tcPr>
          <w:p w14:paraId="79C7FA14">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0A1E8420">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临床护理实践之基础护理、急危重症护理的特点、伦理论要求及伦理难题。</w:t>
            </w:r>
          </w:p>
        </w:tc>
        <w:tc>
          <w:tcPr>
            <w:tcW w:w="1320" w:type="dxa"/>
            <w:tcMar>
              <w:top w:w="15" w:type="dxa"/>
              <w:left w:w="108" w:type="dxa"/>
              <w:bottom w:w="0" w:type="dxa"/>
              <w:right w:w="108" w:type="dxa"/>
            </w:tcMar>
            <w:vAlign w:val="top"/>
          </w:tcPr>
          <w:p w14:paraId="0A939558">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6ECE6128">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1A1BE89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D1255C5">
            <w:pPr>
              <w:widowControl/>
              <w:jc w:val="center"/>
              <w:rPr>
                <w:rFonts w:eastAsia="宋体"/>
                <w:kern w:val="0"/>
                <w:sz w:val="21"/>
                <w:szCs w:val="21"/>
                <w:lang w:eastAsia="zh-CN"/>
              </w:rPr>
            </w:pPr>
            <w:r>
              <w:rPr>
                <w:rFonts w:hint="eastAsia" w:eastAsia="宋体"/>
                <w:kern w:val="0"/>
                <w:sz w:val="21"/>
                <w:szCs w:val="21"/>
                <w:lang w:eastAsia="zh-CN"/>
              </w:rPr>
              <w:t>8</w:t>
            </w:r>
          </w:p>
        </w:tc>
        <w:tc>
          <w:tcPr>
            <w:tcW w:w="737" w:type="dxa"/>
          </w:tcPr>
          <w:p w14:paraId="099A29D8">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359F82E6">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临床护理实践之围术期、精神科护理特点、伦理论要求及伦理难题。</w:t>
            </w:r>
          </w:p>
        </w:tc>
        <w:tc>
          <w:tcPr>
            <w:tcW w:w="1320" w:type="dxa"/>
            <w:tcMar>
              <w:top w:w="15" w:type="dxa"/>
              <w:left w:w="108" w:type="dxa"/>
              <w:bottom w:w="0" w:type="dxa"/>
              <w:right w:w="108" w:type="dxa"/>
            </w:tcMar>
            <w:vAlign w:val="top"/>
          </w:tcPr>
          <w:p w14:paraId="3817DBC3">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254A7F88">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45A3D4B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AA10AD4">
            <w:pPr>
              <w:widowControl/>
              <w:jc w:val="center"/>
              <w:rPr>
                <w:rFonts w:eastAsia="宋体"/>
                <w:color w:val="000000"/>
                <w:sz w:val="21"/>
                <w:szCs w:val="21"/>
                <w:lang w:eastAsia="zh-CN"/>
              </w:rPr>
            </w:pPr>
            <w:r>
              <w:rPr>
                <w:rFonts w:hint="eastAsia" w:eastAsia="宋体"/>
                <w:color w:val="000000"/>
                <w:sz w:val="21"/>
                <w:szCs w:val="21"/>
                <w:lang w:eastAsia="zh-CN"/>
              </w:rPr>
              <w:t>9</w:t>
            </w:r>
          </w:p>
        </w:tc>
        <w:tc>
          <w:tcPr>
            <w:tcW w:w="737" w:type="dxa"/>
          </w:tcPr>
          <w:p w14:paraId="1E13BA74">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78" w:type="dxa"/>
            <w:tcMar>
              <w:top w:w="15" w:type="dxa"/>
              <w:left w:w="108" w:type="dxa"/>
              <w:bottom w:w="0" w:type="dxa"/>
              <w:right w:w="108" w:type="dxa"/>
            </w:tcMar>
            <w:vAlign w:val="center"/>
          </w:tcPr>
          <w:p w14:paraId="6D2074B6">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临床护理实践之儿科护理、老年科护理特点、伦理论要求及伦理难题。</w:t>
            </w:r>
          </w:p>
        </w:tc>
        <w:tc>
          <w:tcPr>
            <w:tcW w:w="1320" w:type="dxa"/>
            <w:tcMar>
              <w:top w:w="15" w:type="dxa"/>
              <w:left w:w="108" w:type="dxa"/>
              <w:bottom w:w="0" w:type="dxa"/>
              <w:right w:w="108" w:type="dxa"/>
            </w:tcMar>
            <w:vAlign w:val="top"/>
          </w:tcPr>
          <w:p w14:paraId="422ECBB9">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4D49AB1B">
            <w:pPr>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1D164CB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F444F65">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0</w:t>
            </w:r>
          </w:p>
        </w:tc>
        <w:tc>
          <w:tcPr>
            <w:tcW w:w="737" w:type="dxa"/>
          </w:tcPr>
          <w:p w14:paraId="05B66AD4">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4D7D86C2">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临床护理实践之传染科、肿瘤科护理特点、伦理论要求及伦理难题。</w:t>
            </w:r>
          </w:p>
        </w:tc>
        <w:tc>
          <w:tcPr>
            <w:tcW w:w="1320" w:type="dxa"/>
            <w:tcMar>
              <w:top w:w="15" w:type="dxa"/>
              <w:left w:w="108" w:type="dxa"/>
              <w:bottom w:w="0" w:type="dxa"/>
              <w:right w:w="108" w:type="dxa"/>
            </w:tcMar>
            <w:vAlign w:val="top"/>
          </w:tcPr>
          <w:p w14:paraId="206AAFFE">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611A41CB">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77AA87D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F61EB9B">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1</w:t>
            </w:r>
          </w:p>
        </w:tc>
        <w:tc>
          <w:tcPr>
            <w:tcW w:w="737" w:type="dxa"/>
          </w:tcPr>
          <w:p w14:paraId="77A34BC1">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47A0399F">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临床护理实践之生殖健康、辅助生殖技术、器官移植的护理特点、伦理论要求及伦理难题。</w:t>
            </w:r>
          </w:p>
        </w:tc>
        <w:tc>
          <w:tcPr>
            <w:tcW w:w="1320" w:type="dxa"/>
            <w:tcMar>
              <w:top w:w="15" w:type="dxa"/>
              <w:left w:w="108" w:type="dxa"/>
              <w:bottom w:w="0" w:type="dxa"/>
              <w:right w:w="108" w:type="dxa"/>
            </w:tcMar>
            <w:vAlign w:val="top"/>
          </w:tcPr>
          <w:p w14:paraId="1FE86043">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4DFA2140">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75C6326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3236999">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2</w:t>
            </w:r>
          </w:p>
        </w:tc>
        <w:tc>
          <w:tcPr>
            <w:tcW w:w="737" w:type="dxa"/>
          </w:tcPr>
          <w:p w14:paraId="1965505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7907A682">
            <w:pPr>
              <w:tabs>
                <w:tab w:val="left" w:pos="532"/>
              </w:tabs>
              <w:spacing w:line="3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公共卫生的含义与特点及伦理原则、预防保健工作的特点与伦理道德要求；</w:t>
            </w:r>
          </w:p>
          <w:p w14:paraId="1D46EA95">
            <w:pPr>
              <w:tabs>
                <w:tab w:val="left" w:pos="532"/>
              </w:tabs>
              <w:spacing w:line="3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健康教育、社区卫生保健及家庭卫生的护理伦理。</w:t>
            </w:r>
          </w:p>
          <w:p w14:paraId="42943D0C">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p>
        </w:tc>
        <w:tc>
          <w:tcPr>
            <w:tcW w:w="1320" w:type="dxa"/>
            <w:tcMar>
              <w:top w:w="15" w:type="dxa"/>
              <w:left w:w="108" w:type="dxa"/>
              <w:bottom w:w="0" w:type="dxa"/>
              <w:right w:w="108" w:type="dxa"/>
            </w:tcMar>
            <w:vAlign w:val="top"/>
          </w:tcPr>
          <w:p w14:paraId="47E59B61">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1B685625">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315F431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A7C2E8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737" w:type="dxa"/>
          </w:tcPr>
          <w:p w14:paraId="6EDC2A9F">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7E31D586">
            <w:pPr>
              <w:tabs>
                <w:tab w:val="left" w:pos="532"/>
              </w:tabs>
              <w:spacing w:line="3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突发公共卫生事件的概念、特点，应急护理责任、伦理原则及伦理要求</w:t>
            </w:r>
          </w:p>
        </w:tc>
        <w:tc>
          <w:tcPr>
            <w:tcW w:w="1320" w:type="dxa"/>
            <w:tcMar>
              <w:top w:w="15" w:type="dxa"/>
              <w:left w:w="108" w:type="dxa"/>
              <w:bottom w:w="0" w:type="dxa"/>
              <w:right w:w="108" w:type="dxa"/>
            </w:tcMar>
            <w:vAlign w:val="top"/>
          </w:tcPr>
          <w:p w14:paraId="27383F90">
            <w:pPr>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356B4777">
            <w:pPr>
              <w:spacing w:line="3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5AC1461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2C1AE61">
            <w:pPr>
              <w:widowControl/>
              <w:jc w:val="center"/>
              <w:rPr>
                <w:rFonts w:hint="default" w:eastAsia="宋体"/>
                <w:color w:val="000000"/>
                <w:sz w:val="21"/>
                <w:szCs w:val="21"/>
                <w:lang w:val="en-US" w:eastAsia="zh-CN"/>
              </w:rPr>
            </w:pPr>
            <w:r>
              <w:rPr>
                <w:rFonts w:hint="eastAsia" w:eastAsia="宋体"/>
                <w:color w:val="000000"/>
                <w:sz w:val="21"/>
                <w:szCs w:val="21"/>
                <w:lang w:eastAsia="zh-CN"/>
              </w:rPr>
              <w:t>1</w:t>
            </w:r>
            <w:r>
              <w:rPr>
                <w:rFonts w:hint="eastAsia" w:eastAsia="宋体"/>
                <w:color w:val="000000"/>
                <w:sz w:val="21"/>
                <w:szCs w:val="21"/>
                <w:lang w:val="en-US" w:eastAsia="zh-CN"/>
              </w:rPr>
              <w:t>4</w:t>
            </w:r>
          </w:p>
        </w:tc>
        <w:tc>
          <w:tcPr>
            <w:tcW w:w="737" w:type="dxa"/>
          </w:tcPr>
          <w:p w14:paraId="1C98FD3A">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63262EE1">
            <w:pPr>
              <w:tabs>
                <w:tab w:val="left" w:pos="532"/>
              </w:tabs>
              <w:spacing w:line="34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安宁疗护的概念和特点，伦理意义，发展现状及伦理要求；</w:t>
            </w:r>
          </w:p>
          <w:p w14:paraId="5A262E87">
            <w:pPr>
              <w:tabs>
                <w:tab w:val="left" w:pos="532"/>
              </w:tabs>
              <w:spacing w:line="34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死亡的标准、安乐死及尸体护理的伦理道德</w:t>
            </w:r>
          </w:p>
        </w:tc>
        <w:tc>
          <w:tcPr>
            <w:tcW w:w="1320" w:type="dxa"/>
            <w:tcMar>
              <w:top w:w="15" w:type="dxa"/>
              <w:left w:w="108" w:type="dxa"/>
              <w:bottom w:w="0" w:type="dxa"/>
              <w:right w:w="108" w:type="dxa"/>
            </w:tcMar>
            <w:vAlign w:val="top"/>
          </w:tcPr>
          <w:p w14:paraId="27FD6DA5">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40256371">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7441F6A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1EDB143">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5</w:t>
            </w:r>
          </w:p>
        </w:tc>
        <w:tc>
          <w:tcPr>
            <w:tcW w:w="737" w:type="dxa"/>
          </w:tcPr>
          <w:p w14:paraId="1851473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1BABDFB1">
            <w:pPr>
              <w:tabs>
                <w:tab w:val="left" w:pos="532"/>
              </w:tabs>
              <w:spacing w:line="34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护理科研的特点、伦理矛盾及伦理规范；</w:t>
            </w:r>
          </w:p>
          <w:p w14:paraId="6B1BA234">
            <w:pPr>
              <w:tabs>
                <w:tab w:val="left" w:pos="532"/>
              </w:tabs>
              <w:spacing w:line="34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“涉及人的”界定；护理伦理科研原则；人体实验科研审查；</w:t>
            </w:r>
          </w:p>
          <w:p w14:paraId="1864141A">
            <w:pPr>
              <w:tabs>
                <w:tab w:val="left" w:pos="532"/>
              </w:tabs>
              <w:spacing w:line="34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科研不端行为的主要表现；科研不端行为的伦理意义及防范机制。</w:t>
            </w:r>
          </w:p>
        </w:tc>
        <w:tc>
          <w:tcPr>
            <w:tcW w:w="1320" w:type="dxa"/>
            <w:tcMar>
              <w:top w:w="15" w:type="dxa"/>
              <w:left w:w="108" w:type="dxa"/>
              <w:bottom w:w="0" w:type="dxa"/>
              <w:right w:w="108" w:type="dxa"/>
            </w:tcMar>
            <w:vAlign w:val="top"/>
          </w:tcPr>
          <w:p w14:paraId="11791FCC">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1124E545">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r w14:paraId="43533D4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1367178E">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737" w:type="dxa"/>
          </w:tcPr>
          <w:p w14:paraId="23A2BA2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78" w:type="dxa"/>
            <w:tcMar>
              <w:top w:w="15" w:type="dxa"/>
              <w:left w:w="108" w:type="dxa"/>
              <w:bottom w:w="0" w:type="dxa"/>
              <w:right w:w="108" w:type="dxa"/>
            </w:tcMar>
            <w:vAlign w:val="center"/>
          </w:tcPr>
          <w:p w14:paraId="54E86C09">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护理管理者的伦理素质；护理管理中的伦理与法律问题；如何让护理决策符合伦理要求。所学护理伦理学相关知识点在护理伦理实践中运用护理管理中的伦理与法律问题、决策选择和评价</w:t>
            </w:r>
          </w:p>
        </w:tc>
        <w:tc>
          <w:tcPr>
            <w:tcW w:w="1320" w:type="dxa"/>
            <w:tcMar>
              <w:top w:w="15" w:type="dxa"/>
              <w:left w:w="108" w:type="dxa"/>
              <w:bottom w:w="0" w:type="dxa"/>
              <w:right w:w="108" w:type="dxa"/>
            </w:tcMar>
            <w:vAlign w:val="top"/>
          </w:tcPr>
          <w:p w14:paraId="15A08022">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491" w:type="dxa"/>
            <w:tcMar>
              <w:top w:w="15" w:type="dxa"/>
              <w:left w:w="108" w:type="dxa"/>
              <w:bottom w:w="0" w:type="dxa"/>
              <w:right w:w="108" w:type="dxa"/>
            </w:tcMar>
            <w:vAlign w:val="top"/>
          </w:tcPr>
          <w:p w14:paraId="33135E55">
            <w:pPr>
              <w:tabs>
                <w:tab w:val="left" w:pos="532"/>
              </w:tabs>
              <w:spacing w:line="34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课前预习、超星学习通课后作业复习</w:t>
            </w:r>
          </w:p>
        </w:tc>
      </w:tr>
    </w:tbl>
    <w:p w14:paraId="3BE2463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302A5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14:paraId="1817EED2">
            <w:pPr>
              <w:snapToGrid w:val="0"/>
              <w:jc w:val="center"/>
              <w:rPr>
                <w:rFonts w:hint="eastAsia" w:ascii="黑体" w:hAnsi="黑体" w:eastAsia="黑体"/>
                <w:bCs/>
                <w:sz w:val="21"/>
                <w:szCs w:val="21"/>
                <w:lang w:eastAsia="zh-CN"/>
              </w:rPr>
            </w:pPr>
            <w:r>
              <w:rPr>
                <w:rFonts w:hint="eastAsia" w:ascii="黑体" w:hAnsi="黑体" w:eastAsia="黑体"/>
                <w:bCs/>
                <w:sz w:val="21"/>
                <w:szCs w:val="21"/>
              </w:rPr>
              <w:t>总评构成</w:t>
            </w:r>
            <w:r>
              <w:rPr>
                <w:rFonts w:hint="eastAsia" w:ascii="黑体" w:hAnsi="黑体" w:eastAsia="黑体"/>
                <w:bCs/>
                <w:sz w:val="21"/>
                <w:szCs w:val="21"/>
                <w:lang w:eastAsia="zh-CN"/>
              </w:rPr>
              <w:t>（</w:t>
            </w:r>
            <w:r>
              <w:rPr>
                <w:rFonts w:hint="eastAsia" w:ascii="黑体" w:hAnsi="黑体" w:eastAsia="黑体"/>
                <w:bCs/>
                <w:sz w:val="21"/>
                <w:szCs w:val="21"/>
                <w:lang w:val="en-US" w:eastAsia="zh-CN"/>
              </w:rPr>
              <w:t>1+X</w:t>
            </w:r>
            <w:r>
              <w:rPr>
                <w:rFonts w:hint="eastAsia" w:ascii="黑体" w:hAnsi="黑体" w:eastAsia="黑体"/>
                <w:bCs/>
                <w:sz w:val="21"/>
                <w:szCs w:val="21"/>
                <w:lang w:eastAsia="zh-CN"/>
              </w:rPr>
              <w:t>）</w:t>
            </w:r>
          </w:p>
        </w:tc>
        <w:tc>
          <w:tcPr>
            <w:tcW w:w="1843" w:type="dxa"/>
            <w:shd w:val="clear" w:color="auto" w:fill="auto"/>
            <w:vAlign w:val="center"/>
          </w:tcPr>
          <w:p w14:paraId="1AC6F30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4AE6F476">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14:paraId="2B47B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1C70B44A">
            <w:pPr>
              <w:snapToGrid w:val="0"/>
              <w:jc w:val="center"/>
              <w:rPr>
                <w:rFonts w:ascii="Arial" w:hAnsi="Arial" w:eastAsia="黑体" w:cs="Arial"/>
                <w:bCs/>
                <w:sz w:val="21"/>
                <w:szCs w:val="21"/>
              </w:rPr>
            </w:pPr>
            <w:r>
              <w:rPr>
                <w:rFonts w:ascii="Arial" w:hAnsi="Arial" w:eastAsia="黑体" w:cs="Arial"/>
                <w:bCs/>
                <w:sz w:val="21"/>
                <w:szCs w:val="21"/>
              </w:rPr>
              <w:t>1</w:t>
            </w:r>
          </w:p>
        </w:tc>
        <w:tc>
          <w:tcPr>
            <w:tcW w:w="1843" w:type="dxa"/>
            <w:shd w:val="clear" w:color="auto" w:fill="auto"/>
            <w:vAlign w:val="center"/>
          </w:tcPr>
          <w:p w14:paraId="78F7C236">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60%</w:t>
            </w:r>
          </w:p>
        </w:tc>
        <w:tc>
          <w:tcPr>
            <w:tcW w:w="5387" w:type="dxa"/>
            <w:shd w:val="clear" w:color="auto" w:fill="auto"/>
            <w:vAlign w:val="center"/>
          </w:tcPr>
          <w:p w14:paraId="08D49384">
            <w:pPr>
              <w:tabs>
                <w:tab w:val="left" w:pos="532"/>
              </w:tabs>
              <w:spacing w:line="3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期</w:t>
            </w:r>
            <w:r>
              <w:rPr>
                <w:rFonts w:hint="eastAsia" w:asciiTheme="minorEastAsia" w:hAnsiTheme="minorEastAsia" w:eastAsiaTheme="minorEastAsia" w:cstheme="minorEastAsia"/>
                <w:kern w:val="0"/>
                <w:sz w:val="21"/>
                <w:szCs w:val="21"/>
                <w:lang w:val="en-US" w:eastAsia="zh-CN"/>
              </w:rPr>
              <w:t>末</w:t>
            </w:r>
            <w:r>
              <w:rPr>
                <w:rFonts w:hint="eastAsia" w:asciiTheme="minorEastAsia" w:hAnsiTheme="minorEastAsia" w:eastAsiaTheme="minorEastAsia" w:cstheme="minorEastAsia"/>
                <w:kern w:val="0"/>
                <w:sz w:val="21"/>
                <w:szCs w:val="21"/>
                <w:lang w:eastAsia="zh-CN"/>
              </w:rPr>
              <w:t>闭卷考</w:t>
            </w:r>
            <w:r>
              <w:rPr>
                <w:rFonts w:hint="eastAsia" w:asciiTheme="minorEastAsia" w:hAnsiTheme="minorEastAsia" w:eastAsiaTheme="minorEastAsia" w:cstheme="minorEastAsia"/>
                <w:kern w:val="0"/>
                <w:sz w:val="21"/>
                <w:szCs w:val="21"/>
                <w:lang w:val="en-US" w:eastAsia="zh-CN"/>
              </w:rPr>
              <w:t>试</w:t>
            </w:r>
          </w:p>
        </w:tc>
      </w:tr>
      <w:tr w14:paraId="73CD0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04385604">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vAlign w:val="center"/>
          </w:tcPr>
          <w:p w14:paraId="2348208B">
            <w:pPr>
              <w:pStyle w:val="11"/>
              <w:rPr>
                <w:rFonts w:asciiTheme="minorEastAsia" w:hAnsiTheme="minorEastAsia" w:eastAsiaTheme="minorEastAsia" w:cstheme="minorEastAsia"/>
                <w:color w:val="000000"/>
                <w:kern w:val="0"/>
                <w:sz w:val="21"/>
                <w:szCs w:val="21"/>
                <w:lang w:val="en-US" w:eastAsia="zh-CN" w:bidi="ar-SA"/>
              </w:rPr>
            </w:pPr>
            <w:r>
              <w:rPr>
                <w:rFonts w:hint="eastAsia"/>
                <w:lang w:val="en-US" w:eastAsia="zh-CN"/>
              </w:rPr>
              <w:t>15</w:t>
            </w:r>
            <w:r>
              <w:rPr>
                <w:rFonts w:hint="eastAsia"/>
                <w:lang w:eastAsia="zh-CN"/>
              </w:rPr>
              <w:t>%</w:t>
            </w:r>
          </w:p>
        </w:tc>
        <w:tc>
          <w:tcPr>
            <w:tcW w:w="5387" w:type="dxa"/>
            <w:shd w:val="clear" w:color="auto" w:fill="auto"/>
            <w:vAlign w:val="center"/>
          </w:tcPr>
          <w:p w14:paraId="2DB09DB8">
            <w:pPr>
              <w:tabs>
                <w:tab w:val="left" w:pos="532"/>
              </w:tabs>
              <w:spacing w:line="3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小论文</w:t>
            </w:r>
          </w:p>
        </w:tc>
      </w:tr>
      <w:tr w14:paraId="4896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4C4820D9">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vAlign w:val="center"/>
          </w:tcPr>
          <w:p w14:paraId="770B3F23">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1</w:t>
            </w:r>
            <w:r>
              <w:rPr>
                <w:rFonts w:hint="eastAsia"/>
                <w:lang w:val="en-US" w:eastAsia="zh-CN"/>
              </w:rPr>
              <w:t>5</w:t>
            </w:r>
            <w:r>
              <w:rPr>
                <w:rFonts w:hint="eastAsia"/>
                <w:lang w:eastAsia="zh-CN"/>
              </w:rPr>
              <w:t>%</w:t>
            </w:r>
          </w:p>
        </w:tc>
        <w:tc>
          <w:tcPr>
            <w:tcW w:w="5387" w:type="dxa"/>
            <w:shd w:val="clear" w:color="auto" w:fill="auto"/>
            <w:vAlign w:val="center"/>
          </w:tcPr>
          <w:p w14:paraId="37570BCB">
            <w:pPr>
              <w:tabs>
                <w:tab w:val="left" w:pos="532"/>
              </w:tabs>
              <w:spacing w:line="340" w:lineRule="exact"/>
              <w:jc w:val="center"/>
              <w:rPr>
                <w:rFonts w:hint="eastAsia" w:asciiTheme="minorEastAsia" w:hAnsiTheme="minorEastAsia" w:eastAsiaTheme="minorEastAsia" w:cstheme="minorEastAsia"/>
                <w:kern w:val="0"/>
                <w:sz w:val="21"/>
                <w:szCs w:val="21"/>
                <w:lang w:val="en-US" w:eastAsia="zh-CN"/>
              </w:rPr>
            </w:pPr>
            <w:r>
              <w:rPr>
                <w:rFonts w:hint="eastAsia" w:cs="宋体" w:asciiTheme="minorEastAsia" w:hAnsiTheme="minorEastAsia" w:eastAsiaTheme="minorEastAsia"/>
                <w:color w:val="000000"/>
                <w:kern w:val="0"/>
                <w:szCs w:val="21"/>
              </w:rPr>
              <w:t>超星</w:t>
            </w:r>
            <w:r>
              <w:rPr>
                <w:rFonts w:hint="eastAsia" w:cs="宋体" w:asciiTheme="minorEastAsia" w:hAnsiTheme="minorEastAsia" w:eastAsiaTheme="minorEastAsia"/>
                <w:color w:val="000000"/>
                <w:kern w:val="0"/>
                <w:szCs w:val="21"/>
                <w:lang w:val="en-US" w:eastAsia="zh-CN"/>
              </w:rPr>
              <w:t>学习通任务完成情况</w:t>
            </w:r>
          </w:p>
        </w:tc>
      </w:tr>
      <w:tr w14:paraId="4FAF8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7AD6A19C">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vAlign w:val="center"/>
          </w:tcPr>
          <w:p w14:paraId="6C758C9B">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10%</w:t>
            </w:r>
          </w:p>
        </w:tc>
        <w:tc>
          <w:tcPr>
            <w:tcW w:w="5387" w:type="dxa"/>
            <w:shd w:val="clear" w:color="auto" w:fill="auto"/>
            <w:vAlign w:val="center"/>
          </w:tcPr>
          <w:p w14:paraId="1828D99C">
            <w:pPr>
              <w:tabs>
                <w:tab w:val="left" w:pos="532"/>
              </w:tabs>
              <w:spacing w:line="3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课堂</w:t>
            </w:r>
            <w:r>
              <w:rPr>
                <w:rFonts w:hint="eastAsia" w:asciiTheme="minorEastAsia" w:hAnsiTheme="minorEastAsia" w:eastAsiaTheme="minorEastAsia" w:cstheme="minorEastAsia"/>
                <w:kern w:val="0"/>
                <w:sz w:val="21"/>
                <w:szCs w:val="21"/>
                <w:lang w:val="en-US" w:eastAsia="zh-CN"/>
              </w:rPr>
              <w:t>表现</w:t>
            </w:r>
          </w:p>
        </w:tc>
      </w:tr>
    </w:tbl>
    <w:p w14:paraId="2AFE9C4D">
      <w:pPr>
        <w:tabs>
          <w:tab w:val="left" w:pos="3420"/>
          <w:tab w:val="left" w:pos="7560"/>
        </w:tabs>
        <w:spacing w:before="72" w:beforeLines="20"/>
        <w:ind w:left="420" w:hanging="420"/>
        <w:jc w:val="both"/>
        <w:outlineLvl w:val="0"/>
        <w:rPr>
          <w:rFonts w:ascii="宋体" w:hAnsi="宋体" w:eastAsia="宋体"/>
          <w:color w:val="000000"/>
          <w:position w:val="-20"/>
          <w:lang w:eastAsia="zh-CN"/>
        </w:rPr>
      </w:pPr>
    </w:p>
    <w:p w14:paraId="2E2BA292">
      <w:pPr>
        <w:tabs>
          <w:tab w:val="left" w:pos="3210"/>
          <w:tab w:val="left" w:pos="7560"/>
        </w:tabs>
        <w:spacing w:before="72" w:beforeLines="20" w:line="480" w:lineRule="auto"/>
        <w:jc w:val="both"/>
        <w:outlineLvl w:val="0"/>
        <w:rPr>
          <w:rFonts w:hint="default" w:ascii="黑体" w:hAnsi="黑体" w:eastAsia="黑体"/>
          <w:sz w:val="21"/>
          <w:szCs w:val="21"/>
          <w:lang w:val="en-US"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w:t>
      </w:r>
      <w:r>
        <w:rPr>
          <w:rFonts w:hint="eastAsia"/>
          <w:sz w:val="21"/>
          <w:szCs w:val="21"/>
        </w:rPr>
        <w:drawing>
          <wp:anchor distT="0" distB="0" distL="114300" distR="114300" simplePos="0" relativeHeight="251659264" behindDoc="1" locked="0" layoutInCell="1" allowOverlap="1">
            <wp:simplePos x="0" y="0"/>
            <wp:positionH relativeFrom="column">
              <wp:posOffset>733425</wp:posOffset>
            </wp:positionH>
            <wp:positionV relativeFrom="paragraph">
              <wp:posOffset>133985</wp:posOffset>
            </wp:positionV>
            <wp:extent cx="968375" cy="325755"/>
            <wp:effectExtent l="0" t="0" r="3175" b="17145"/>
            <wp:wrapTight wrapText="bothSides">
              <wp:wrapPolygon>
                <wp:start x="0" y="0"/>
                <wp:lineTo x="0" y="20211"/>
                <wp:lineTo x="21246" y="20211"/>
                <wp:lineTo x="21246" y="0"/>
                <wp:lineTo x="0" y="0"/>
              </wp:wrapPolygon>
            </wp:wrapTight>
            <wp:docPr id="5" name="图片 5" descr="21dde567e93b27f9f2dee022e636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dde567e93b27f9f2dee022e636f66"/>
                    <pic:cNvPicPr>
                      <a:picLocks noChangeAspect="1"/>
                    </pic:cNvPicPr>
                  </pic:nvPicPr>
                  <pic:blipFill>
                    <a:blip r:embed="rId10"/>
                    <a:stretch>
                      <a:fillRect/>
                    </a:stretch>
                  </pic:blipFill>
                  <pic:spPr>
                    <a:xfrm>
                      <a:off x="0" y="0"/>
                      <a:ext cx="968375" cy="325755"/>
                    </a:xfrm>
                    <a:prstGeom prst="rect">
                      <a:avLst/>
                    </a:prstGeom>
                  </pic:spPr>
                </pic:pic>
              </a:graphicData>
            </a:graphic>
          </wp:anchor>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Cs w:val="21"/>
        </w:rPr>
        <w:drawing>
          <wp:inline distT="0" distB="0" distL="114300" distR="114300">
            <wp:extent cx="558800" cy="253365"/>
            <wp:effectExtent l="0" t="0" r="12700" b="13335"/>
            <wp:docPr id="4" name="图片 4"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94"/>
                    <pic:cNvPicPr>
                      <a:picLocks noChangeAspect="1"/>
                    </pic:cNvPicPr>
                  </pic:nvPicPr>
                  <pic:blipFill>
                    <a:blip r:embed="rId11"/>
                    <a:stretch>
                      <a:fillRect/>
                    </a:stretch>
                  </pic:blipFill>
                  <pic:spPr>
                    <a:xfrm>
                      <a:off x="0" y="0"/>
                      <a:ext cx="558800" cy="253365"/>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val="en-US" w:eastAsia="zh-CN"/>
        </w:rPr>
        <w:t>20</w:t>
      </w:r>
      <w:bookmarkStart w:id="0" w:name="_GoBack"/>
      <w:bookmarkEnd w:id="0"/>
      <w:r>
        <w:rPr>
          <w:rFonts w:hint="eastAsia" w:ascii="黑体" w:hAnsi="黑体" w:eastAsia="黑体"/>
          <w:color w:val="000000"/>
          <w:position w:val="-20"/>
          <w:sz w:val="21"/>
          <w:szCs w:val="21"/>
          <w:lang w:val="en-US" w:eastAsia="zh-CN"/>
        </w:rPr>
        <w:t>25/2/20</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B4F3">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1DE36719">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72E9">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5FF5C069">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FF3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F912">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1312"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C59736D">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1312;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4C59736D">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9A3F">
    <w:pPr>
      <w:pStyle w:val="3"/>
      <w:spacing w:before="72" w:beforeLines="30"/>
      <w:ind w:firstLine="1700" w:firstLineChars="850"/>
      <w:jc w:val="both"/>
    </w:pPr>
    <w:r>
      <w:rPr>
        <w:lang w:eastAsia="zh-CN"/>
      </w:rPr>
      <w:drawing>
        <wp:anchor distT="0" distB="0" distL="114300" distR="114300" simplePos="0" relativeHeight="251660288"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1EE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1420A1F"/>
    <w:rsid w:val="0250298D"/>
    <w:rsid w:val="0B02141F"/>
    <w:rsid w:val="0B9241A4"/>
    <w:rsid w:val="0DB76A4A"/>
    <w:rsid w:val="11FF4739"/>
    <w:rsid w:val="150425BF"/>
    <w:rsid w:val="199D2E85"/>
    <w:rsid w:val="1B9B294B"/>
    <w:rsid w:val="1C2E0623"/>
    <w:rsid w:val="1D540A79"/>
    <w:rsid w:val="2BF555DA"/>
    <w:rsid w:val="2E59298A"/>
    <w:rsid w:val="32511B0E"/>
    <w:rsid w:val="332130EA"/>
    <w:rsid w:val="37E50B00"/>
    <w:rsid w:val="37F0777C"/>
    <w:rsid w:val="3DBA56EE"/>
    <w:rsid w:val="3E807072"/>
    <w:rsid w:val="472B48F4"/>
    <w:rsid w:val="49DF08B3"/>
    <w:rsid w:val="4CF83445"/>
    <w:rsid w:val="4F3230F5"/>
    <w:rsid w:val="560765E5"/>
    <w:rsid w:val="56506EC6"/>
    <w:rsid w:val="57994AAD"/>
    <w:rsid w:val="59654BF9"/>
    <w:rsid w:val="5F0E781C"/>
    <w:rsid w:val="61E71D1F"/>
    <w:rsid w:val="65310993"/>
    <w:rsid w:val="69040CB2"/>
    <w:rsid w:val="6E256335"/>
    <w:rsid w:val="700912C5"/>
    <w:rsid w:val="74F62C86"/>
    <w:rsid w:val="76CD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szCs w:val="20"/>
    </w:rPr>
  </w:style>
  <w:style w:type="paragraph" w:styleId="3">
    <w:name w:val="header"/>
    <w:basedOn w:val="1"/>
    <w:autoRedefine/>
    <w:qFormat/>
    <w:uiPriority w:val="0"/>
    <w:pPr>
      <w:tabs>
        <w:tab w:val="center" w:pos="4153"/>
        <w:tab w:val="right" w:pos="8306"/>
      </w:tabs>
      <w:snapToGrid w:val="0"/>
    </w:pPr>
    <w:rPr>
      <w:sz w:val="20"/>
      <w:szCs w:val="20"/>
    </w:rPr>
  </w:style>
  <w:style w:type="table" w:styleId="5">
    <w:name w:val="Table Grid"/>
    <w:basedOn w:val="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autoRedefine/>
    <w:qFormat/>
    <w:uiPriority w:val="0"/>
    <w:rPr>
      <w:color w:val="0000FF"/>
      <w:u w:val="single"/>
    </w:rPr>
  </w:style>
  <w:style w:type="paragraph" w:customStyle="1" w:styleId="9">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0">
    <w:name w:val="List Paragraph"/>
    <w:basedOn w:val="1"/>
    <w:autoRedefine/>
    <w:unhideWhenUsed/>
    <w:qFormat/>
    <w:uiPriority w:val="99"/>
    <w:pPr>
      <w:ind w:firstLine="420" w:firstLineChars="200"/>
    </w:pPr>
  </w:style>
  <w:style w:type="paragraph" w:customStyle="1" w:styleId="11">
    <w:name w:val="表格正文DG"/>
    <w:basedOn w:val="1"/>
    <w:autoRedefine/>
    <w:qFormat/>
    <w:uiPriority w:val="0"/>
    <w:pPr>
      <w:jc w:val="center"/>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1558</Words>
  <Characters>1650</Characters>
  <Lines>2</Lines>
  <Paragraphs>1</Paragraphs>
  <TotalTime>0</TotalTime>
  <ScaleCrop>false</ScaleCrop>
  <LinksUpToDate>false</LinksUpToDate>
  <CharactersWithSpaces>1682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郭永洪</cp:lastModifiedBy>
  <cp:lastPrinted>2015-03-18T03:45:00Z</cp:lastPrinted>
  <dcterms:modified xsi:type="dcterms:W3CDTF">2025-03-05T01:56:06Z</dcterms:modified>
  <dc:title>上海建桥学院教学进度计划表</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E85E1E82C5CC49769EF0E560A430DD74_13</vt:lpwstr>
  </property>
  <property fmtid="{D5CDD505-2E9C-101B-9397-08002B2CF9AE}" pid="4" name="KSOTemplateDocerSaveRecord">
    <vt:lpwstr>eyJoZGlkIjoiMGNhZTdhZWMxOTE3MWNjMzk4MzAyNWEyNjY2MjU1Y2IiLCJ1c2VySWQiOiIyNzk5NTEzNzUifQ==</vt:lpwstr>
  </property>
</Properties>
</file>