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A6EC5">
      <w:pPr>
        <w:tabs>
          <w:tab w:val="left" w:pos="1890"/>
          <w:tab w:val="center" w:pos="4213"/>
        </w:tabs>
        <w:jc w:val="left"/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ab/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ab/>
      </w:r>
      <w:r>
        <w:rPr>
          <w:rFonts w:hint="eastAsia" w:ascii="黑体" w:hAnsi="黑体" w:eastAsia="黑体"/>
          <w:bCs/>
          <w:sz w:val="32"/>
          <w:szCs w:val="32"/>
        </w:rPr>
        <w:t>本科课程教学大纲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理论课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）</w:t>
      </w:r>
    </w:p>
    <w:p w14:paraId="24BE29AD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ascii="黑体" w:hAnsi="宋体"/>
        </w:rPr>
        <w:t>一</w:t>
      </w:r>
      <w:r>
        <w:rPr>
          <w:rFonts w:hint="eastAsia" w:ascii="黑体" w:hAnsi="宋体"/>
        </w:rPr>
        <w:t>、课程</w:t>
      </w:r>
      <w:r>
        <w:rPr>
          <w:rFonts w:ascii="黑体" w:hAnsi="宋体"/>
        </w:rPr>
        <w:t>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1691"/>
        <w:gridCol w:w="2260"/>
        <w:gridCol w:w="1272"/>
        <w:gridCol w:w="854"/>
        <w:gridCol w:w="571"/>
        <w:gridCol w:w="842"/>
        <w:gridCol w:w="786"/>
      </w:tblGrid>
      <w:tr w14:paraId="1485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vAlign w:val="center"/>
          </w:tcPr>
          <w:p w14:paraId="715E6064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6585" w:type="dxa"/>
            <w:gridSpan w:val="6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10996E">
            <w:pPr>
              <w:widowControl w:val="0"/>
              <w:jc w:val="lef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全科医学概论</w:t>
            </w:r>
          </w:p>
        </w:tc>
      </w:tr>
      <w:tr w14:paraId="70D8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CC17AAB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5" w:type="dxa"/>
            <w:gridSpan w:val="6"/>
            <w:tcBorders>
              <w:right w:val="single" w:color="auto" w:sz="12" w:space="0"/>
            </w:tcBorders>
            <w:vAlign w:val="center"/>
          </w:tcPr>
          <w:p w14:paraId="4B1E7C7E">
            <w:pPr>
              <w:widowControl w:val="0"/>
              <w:jc w:val="lef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ntroduction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to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G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eneral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P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ractice</w:t>
            </w:r>
          </w:p>
        </w:tc>
      </w:tr>
      <w:tr w14:paraId="0874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5BBC610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</w:tc>
        <w:tc>
          <w:tcPr>
            <w:tcW w:w="2260" w:type="dxa"/>
            <w:vAlign w:val="center"/>
          </w:tcPr>
          <w:p w14:paraId="703CCEFF">
            <w:pPr>
              <w:widowControl w:val="0"/>
              <w:jc w:val="center"/>
              <w:rPr>
                <w:rFonts w:hint="default" w:ascii="黑体" w:hAnsi="黑体" w:eastAsia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2170036</w:t>
            </w:r>
          </w:p>
        </w:tc>
        <w:tc>
          <w:tcPr>
            <w:tcW w:w="2126" w:type="dxa"/>
            <w:gridSpan w:val="2"/>
            <w:vAlign w:val="center"/>
          </w:tcPr>
          <w:p w14:paraId="3CA560DC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课程学分</w:t>
            </w:r>
          </w:p>
        </w:tc>
        <w:tc>
          <w:tcPr>
            <w:tcW w:w="2199" w:type="dxa"/>
            <w:gridSpan w:val="3"/>
            <w:tcBorders>
              <w:right w:val="single" w:color="auto" w:sz="12" w:space="0"/>
            </w:tcBorders>
            <w:vAlign w:val="center"/>
          </w:tcPr>
          <w:p w14:paraId="2794AD69">
            <w:pPr>
              <w:widowControl w:val="0"/>
              <w:jc w:val="center"/>
              <w:rPr>
                <w:rFonts w:hint="default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</w:tr>
      <w:tr w14:paraId="459E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5847BAD">
            <w:pPr>
              <w:widowControl w:val="0"/>
              <w:jc w:val="center"/>
              <w:rPr>
                <w:sz w:val="21"/>
                <w:szCs w:val="18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课程学时</w:t>
            </w:r>
            <w:r>
              <w:rPr>
                <w:rFonts w:hint="eastAsia"/>
                <w:sz w:val="21"/>
                <w:szCs w:val="18"/>
              </w:rPr>
              <w:t xml:space="preserve"> </w:t>
            </w:r>
          </w:p>
        </w:tc>
        <w:tc>
          <w:tcPr>
            <w:tcW w:w="2260" w:type="dxa"/>
            <w:vAlign w:val="center"/>
          </w:tcPr>
          <w:p w14:paraId="261E6CE9">
            <w:pPr>
              <w:widowControl w:val="0"/>
              <w:jc w:val="center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272" w:type="dxa"/>
            <w:vAlign w:val="center"/>
          </w:tcPr>
          <w:p w14:paraId="61D6DE88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理论学时</w:t>
            </w:r>
          </w:p>
        </w:tc>
        <w:tc>
          <w:tcPr>
            <w:tcW w:w="854" w:type="dxa"/>
            <w:vAlign w:val="center"/>
          </w:tcPr>
          <w:p w14:paraId="417F99DC">
            <w:pPr>
              <w:widowControl w:val="0"/>
              <w:jc w:val="center"/>
              <w:rPr>
                <w:rFonts w:hint="default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413" w:type="dxa"/>
            <w:gridSpan w:val="2"/>
            <w:vAlign w:val="center"/>
          </w:tcPr>
          <w:p w14:paraId="2F071232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实践学时</w:t>
            </w:r>
          </w:p>
        </w:tc>
        <w:tc>
          <w:tcPr>
            <w:tcW w:w="786" w:type="dxa"/>
            <w:tcBorders>
              <w:right w:val="single" w:color="auto" w:sz="12" w:space="0"/>
            </w:tcBorders>
            <w:vAlign w:val="center"/>
          </w:tcPr>
          <w:p w14:paraId="3F5BE9C3">
            <w:pPr>
              <w:widowControl w:val="0"/>
              <w:jc w:val="center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745F1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E6FF10E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开课</w:t>
            </w: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260" w:type="dxa"/>
            <w:vAlign w:val="center"/>
          </w:tcPr>
          <w:p w14:paraId="03457215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健康管理学院</w:t>
            </w:r>
          </w:p>
        </w:tc>
        <w:tc>
          <w:tcPr>
            <w:tcW w:w="2126" w:type="dxa"/>
            <w:gridSpan w:val="2"/>
            <w:vAlign w:val="center"/>
          </w:tcPr>
          <w:p w14:paraId="4C38B869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适用</w:t>
            </w:r>
            <w:r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与年级</w:t>
            </w:r>
          </w:p>
        </w:tc>
        <w:tc>
          <w:tcPr>
            <w:tcW w:w="2199" w:type="dxa"/>
            <w:gridSpan w:val="3"/>
            <w:tcBorders>
              <w:right w:val="single" w:color="auto" w:sz="12" w:space="0"/>
            </w:tcBorders>
            <w:vAlign w:val="center"/>
          </w:tcPr>
          <w:p w14:paraId="1AA0DE19">
            <w:pPr>
              <w:widowControl w:val="0"/>
              <w:jc w:val="center"/>
              <w:rPr>
                <w:rFonts w:hint="default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健康服务B23级</w:t>
            </w:r>
          </w:p>
        </w:tc>
      </w:tr>
      <w:tr w14:paraId="2B344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DCC6787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课程类别与性质</w:t>
            </w:r>
          </w:p>
        </w:tc>
        <w:tc>
          <w:tcPr>
            <w:tcW w:w="2260" w:type="dxa"/>
            <w:vAlign w:val="center"/>
          </w:tcPr>
          <w:p w14:paraId="0902E6A4">
            <w:pPr>
              <w:widowControl w:val="0"/>
              <w:jc w:val="center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专业选修课</w:t>
            </w:r>
          </w:p>
        </w:tc>
        <w:tc>
          <w:tcPr>
            <w:tcW w:w="2126" w:type="dxa"/>
            <w:gridSpan w:val="2"/>
            <w:vAlign w:val="center"/>
          </w:tcPr>
          <w:p w14:paraId="72F0CE88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考核方式</w:t>
            </w:r>
          </w:p>
        </w:tc>
        <w:tc>
          <w:tcPr>
            <w:tcW w:w="2199" w:type="dxa"/>
            <w:gridSpan w:val="3"/>
            <w:tcBorders>
              <w:right w:val="single" w:color="auto" w:sz="12" w:space="0"/>
            </w:tcBorders>
            <w:vAlign w:val="center"/>
          </w:tcPr>
          <w:p w14:paraId="09A5A701">
            <w:pPr>
              <w:widowControl w:val="0"/>
              <w:jc w:val="center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考查课</w:t>
            </w:r>
          </w:p>
        </w:tc>
      </w:tr>
      <w:tr w14:paraId="6153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E950F7F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选</w:t>
            </w: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用教材</w:t>
            </w:r>
          </w:p>
        </w:tc>
        <w:tc>
          <w:tcPr>
            <w:tcW w:w="4386" w:type="dxa"/>
            <w:gridSpan w:val="3"/>
            <w:vAlign w:val="center"/>
          </w:tcPr>
          <w:p w14:paraId="23BCA2A6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《全科医学概论》 于晓松、路孝秦主编，人民卫生出版社  20</w:t>
            </w:r>
            <w:r>
              <w:rPr>
                <w:rFonts w:asciiTheme="minorEastAsia" w:hAnsiTheme="minorEastAsia" w:eastAsiaTheme="minorEastAsia" w:cstheme="minorEastAsia"/>
                <w:color w:val="000000"/>
                <w:sz w:val="20"/>
                <w:szCs w:val="20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年</w:t>
            </w:r>
            <w:r>
              <w:rPr>
                <w:rFonts w:asciiTheme="minorEastAsia" w:hAnsiTheme="minorEastAsia" w:eastAsiaTheme="minorEastAsia" w:cstheme="minorEastAsia"/>
                <w:color w:val="000000"/>
                <w:sz w:val="20"/>
                <w:szCs w:val="20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月</w:t>
            </w:r>
          </w:p>
        </w:tc>
        <w:tc>
          <w:tcPr>
            <w:tcW w:w="1413" w:type="dxa"/>
            <w:gridSpan w:val="2"/>
            <w:vAlign w:val="center"/>
          </w:tcPr>
          <w:p w14:paraId="131F9001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是否为</w:t>
            </w:r>
          </w:p>
          <w:p w14:paraId="1091C2D5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马工程教材</w:t>
            </w:r>
          </w:p>
        </w:tc>
        <w:tc>
          <w:tcPr>
            <w:tcW w:w="786" w:type="dxa"/>
            <w:tcBorders>
              <w:right w:val="single" w:color="auto" w:sz="12" w:space="0"/>
            </w:tcBorders>
            <w:vAlign w:val="center"/>
          </w:tcPr>
          <w:p w14:paraId="0BEABBA4">
            <w:pPr>
              <w:widowControl w:val="0"/>
              <w:ind w:left="120" w:leftChars="50"/>
              <w:jc w:val="left"/>
              <w:rPr>
                <w:rFonts w:hint="eastAsia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3E291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68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1A4874E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先修课程</w:t>
            </w:r>
          </w:p>
        </w:tc>
        <w:tc>
          <w:tcPr>
            <w:tcW w:w="6585" w:type="dxa"/>
            <w:gridSpan w:val="6"/>
            <w:tcBorders>
              <w:right w:val="single" w:color="auto" w:sz="12" w:space="0"/>
            </w:tcBorders>
            <w:vAlign w:val="center"/>
          </w:tcPr>
          <w:p w14:paraId="3667834A">
            <w:pPr>
              <w:pStyle w:val="14"/>
              <w:widowControl w:val="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  <w:tr w14:paraId="2C87C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912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A8EA906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课程简介</w:t>
            </w:r>
          </w:p>
        </w:tc>
        <w:tc>
          <w:tcPr>
            <w:tcW w:w="6585" w:type="dxa"/>
            <w:gridSpan w:val="6"/>
            <w:tcBorders>
              <w:right w:val="single" w:color="auto" w:sz="12" w:space="0"/>
            </w:tcBorders>
          </w:tcPr>
          <w:p w14:paraId="3340566D">
            <w:pPr>
              <w:widowControl w:val="0"/>
              <w:ind w:firstLine="400" w:firstLineChars="200"/>
              <w:jc w:val="lef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全科医学概论》分十九章，第一、二章全科医学的基本概念、基本理论和基本原则；第三至十章全科医学的主要内容和研究范畴；第十一到十九章全科医学在临床实践中的应用。每章内容前后分别备有本章重点内容提示和复习思考题。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1A986E4">
            <w:pPr>
              <w:widowControl/>
              <w:spacing w:before="156" w:beforeLines="50" w:after="156" w:afterLines="50" w:line="288" w:lineRule="auto"/>
              <w:ind w:firstLine="300" w:firstLineChars="150"/>
              <w:jc w:val="left"/>
            </w:pPr>
            <w:r>
              <w:rPr>
                <w:rFonts w:ascii="Calibri" w:hAnsi="Calibri"/>
                <w:color w:val="000000"/>
                <w:kern w:val="2"/>
                <w:sz w:val="20"/>
                <w:szCs w:val="20"/>
              </w:rPr>
              <w:t>在</w:t>
            </w:r>
            <w:r>
              <w:rPr>
                <w:rFonts w:hint="eastAsia" w:ascii="Calibri" w:hAnsi="Calibri"/>
                <w:color w:val="000000"/>
                <w:kern w:val="2"/>
                <w:sz w:val="20"/>
                <w:szCs w:val="20"/>
              </w:rPr>
              <w:t>健康</w:t>
            </w:r>
            <w:r>
              <w:rPr>
                <w:rFonts w:ascii="Calibri" w:hAnsi="Calibri"/>
                <w:color w:val="000000"/>
                <w:kern w:val="2"/>
                <w:sz w:val="20"/>
                <w:szCs w:val="20"/>
              </w:rPr>
              <w:t>专业领域中，要求</w:t>
            </w:r>
            <w:r>
              <w:rPr>
                <w:rFonts w:hint="eastAsia" w:ascii="Calibri" w:hAnsi="Calibri"/>
                <w:color w:val="000000"/>
                <w:kern w:val="2"/>
                <w:sz w:val="20"/>
                <w:szCs w:val="20"/>
              </w:rPr>
              <w:t>健康</w:t>
            </w:r>
            <w:r>
              <w:rPr>
                <w:rFonts w:ascii="Calibri" w:hAnsi="Calibri"/>
                <w:color w:val="000000"/>
                <w:kern w:val="2"/>
                <w:sz w:val="20"/>
                <w:szCs w:val="20"/>
              </w:rPr>
              <w:t>人员能够依据</w:t>
            </w:r>
            <w:r>
              <w:rPr>
                <w:rFonts w:hint="eastAsia" w:ascii="Calibri" w:hAnsi="Calibri"/>
                <w:color w:val="000000"/>
                <w:kern w:val="2"/>
                <w:sz w:val="20"/>
                <w:szCs w:val="20"/>
              </w:rPr>
              <w:t>养老</w:t>
            </w:r>
            <w:r>
              <w:rPr>
                <w:rFonts w:ascii="Calibri" w:hAnsi="Calibri"/>
                <w:color w:val="000000"/>
                <w:kern w:val="2"/>
                <w:sz w:val="20"/>
                <w:szCs w:val="20"/>
              </w:rPr>
              <w:t>对象的生理特性、心理因素和行为方式等采取积极的护理措施，维护或促进健康，评述</w:t>
            </w:r>
            <w:r>
              <w:rPr>
                <w:rFonts w:hint="eastAsia" w:ascii="Calibri" w:hAnsi="Calibri"/>
                <w:color w:val="000000"/>
                <w:kern w:val="2"/>
                <w:sz w:val="20"/>
                <w:szCs w:val="20"/>
              </w:rPr>
              <w:t>健康</w:t>
            </w:r>
            <w:r>
              <w:rPr>
                <w:rFonts w:ascii="Calibri" w:hAnsi="Calibri"/>
                <w:color w:val="000000"/>
                <w:kern w:val="2"/>
                <w:sz w:val="20"/>
                <w:szCs w:val="20"/>
              </w:rPr>
              <w:t>品质与效果，独立地对对象提供照顾或与医生合作处理对象的健康问题等。这些都要求专业</w:t>
            </w:r>
            <w:r>
              <w:rPr>
                <w:rFonts w:hint="eastAsia" w:ascii="Calibri" w:hAnsi="Calibri"/>
                <w:color w:val="000000"/>
                <w:kern w:val="2"/>
                <w:sz w:val="20"/>
                <w:szCs w:val="20"/>
              </w:rPr>
              <w:t>健康</w:t>
            </w:r>
            <w:r>
              <w:rPr>
                <w:rFonts w:ascii="Calibri" w:hAnsi="Calibri"/>
                <w:color w:val="000000"/>
                <w:kern w:val="2"/>
                <w:sz w:val="20"/>
                <w:szCs w:val="20"/>
              </w:rPr>
              <w:t>人员必须有坚实的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全科医</w:t>
            </w:r>
            <w:r>
              <w:rPr>
                <w:rFonts w:ascii="Calibri" w:hAnsi="Calibri"/>
                <w:color w:val="000000"/>
                <w:kern w:val="2"/>
                <w:sz w:val="20"/>
                <w:szCs w:val="20"/>
              </w:rPr>
              <w:t>学知识。除此之外，在</w:t>
            </w:r>
            <w:r>
              <w:rPr>
                <w:rFonts w:hint="eastAsia" w:ascii="Calibri" w:hAnsi="Calibri"/>
                <w:color w:val="000000"/>
                <w:kern w:val="2"/>
                <w:sz w:val="20"/>
                <w:szCs w:val="20"/>
              </w:rPr>
              <w:t>健康</w:t>
            </w:r>
            <w:r>
              <w:rPr>
                <w:rFonts w:ascii="Calibri" w:hAnsi="Calibri"/>
                <w:color w:val="000000"/>
                <w:kern w:val="2"/>
                <w:sz w:val="20"/>
                <w:szCs w:val="20"/>
              </w:rPr>
              <w:t>科研领域中，通过对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全科医学</w:t>
            </w:r>
            <w:r>
              <w:rPr>
                <w:rFonts w:ascii="Calibri" w:hAnsi="Calibri"/>
                <w:color w:val="000000"/>
                <w:kern w:val="2"/>
                <w:sz w:val="20"/>
                <w:szCs w:val="20"/>
              </w:rPr>
              <w:t>基本理论和方法的学习，不仅可以培养科学的思维方式，对其科学合理地运用则更是发现和解决临床科学问题的重要途径。</w:t>
            </w:r>
          </w:p>
        </w:tc>
      </w:tr>
      <w:tr w14:paraId="30481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701" w:hRule="atLeast"/>
        </w:trPr>
        <w:tc>
          <w:tcPr>
            <w:tcW w:w="1691" w:type="dxa"/>
            <w:tcBorders>
              <w:left w:val="single" w:color="auto" w:sz="12" w:space="0"/>
              <w:bottom w:val="double" w:color="auto" w:sz="4" w:space="0"/>
            </w:tcBorders>
            <w:shd w:val="clear" w:color="auto" w:fill="auto"/>
            <w:vAlign w:val="center"/>
          </w:tcPr>
          <w:p w14:paraId="61409D3B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选课建议</w:t>
            </w: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与学习要求</w:t>
            </w:r>
          </w:p>
        </w:tc>
        <w:tc>
          <w:tcPr>
            <w:tcW w:w="6585" w:type="dxa"/>
            <w:gridSpan w:val="6"/>
            <w:tcBorders>
              <w:bottom w:val="double" w:color="auto" w:sz="4" w:space="0"/>
              <w:right w:val="single" w:color="auto" w:sz="12" w:space="0"/>
            </w:tcBorders>
          </w:tcPr>
          <w:p w14:paraId="308D68ED">
            <w:pPr>
              <w:widowControl w:val="0"/>
              <w:snapToGrid w:val="0"/>
              <w:spacing w:line="288" w:lineRule="auto"/>
              <w:ind w:firstLine="400" w:firstLineChars="20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本课程适合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健康服务管理专业</w:t>
            </w: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02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级学生学习。全科医学概论内容浓缩了全科医学理论精华，便于在较短时间内对全科医学理论建立较为系统的初步认识，能使从事非全科医学专业的医学相关类人员较快理解全科医学思想、内容及全科医学的工作任务和方式，为将来与全科医生的沟通和写作奠定坚实的基础。</w:t>
            </w:r>
          </w:p>
          <w:p w14:paraId="77B47318">
            <w:pPr>
              <w:pStyle w:val="14"/>
              <w:widowControl w:val="0"/>
              <w:jc w:val="both"/>
            </w:pPr>
          </w:p>
        </w:tc>
      </w:tr>
      <w:tr w14:paraId="61D86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510" w:hRule="atLeast"/>
        </w:trPr>
        <w:tc>
          <w:tcPr>
            <w:tcW w:w="1691" w:type="dxa"/>
            <w:tcBorders>
              <w:top w:val="double" w:color="auto" w:sz="4" w:space="0"/>
              <w:left w:val="single" w:color="auto" w:sz="12" w:space="0"/>
            </w:tcBorders>
            <w:shd w:val="clear" w:color="auto" w:fill="auto"/>
            <w:vAlign w:val="center"/>
          </w:tcPr>
          <w:p w14:paraId="292E4010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大纲编写人</w:t>
            </w:r>
          </w:p>
        </w:tc>
        <w:tc>
          <w:tcPr>
            <w:tcW w:w="3532" w:type="dxa"/>
            <w:gridSpan w:val="2"/>
            <w:tcBorders>
              <w:top w:val="double" w:color="auto" w:sz="4" w:space="0"/>
            </w:tcBorders>
            <w:vAlign w:val="center"/>
          </w:tcPr>
          <w:p w14:paraId="2C972CFE">
            <w:pPr>
              <w:widowControl w:val="0"/>
              <w:jc w:val="right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1"/>
                <w:szCs w:val="21"/>
              </w:rPr>
              <w:drawing>
                <wp:inline distT="0" distB="0" distL="0" distR="0">
                  <wp:extent cx="756285" cy="344805"/>
                  <wp:effectExtent l="0" t="0" r="5715" b="17145"/>
                  <wp:docPr id="51255007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55007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458" cy="34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</w:rPr>
              <w:t>（签名）</w:t>
            </w:r>
          </w:p>
        </w:tc>
        <w:tc>
          <w:tcPr>
            <w:tcW w:w="1425" w:type="dxa"/>
            <w:gridSpan w:val="2"/>
            <w:tcBorders>
              <w:top w:val="double" w:color="auto" w:sz="4" w:space="0"/>
            </w:tcBorders>
            <w:vAlign w:val="center"/>
          </w:tcPr>
          <w:p w14:paraId="4FDF1EE2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制/修订时间</w:t>
            </w:r>
          </w:p>
        </w:tc>
        <w:tc>
          <w:tcPr>
            <w:tcW w:w="1628" w:type="dxa"/>
            <w:gridSpan w:val="2"/>
            <w:tcBorders>
              <w:top w:val="double" w:color="auto" w:sz="4" w:space="0"/>
              <w:right w:val="single" w:color="auto" w:sz="12" w:space="0"/>
            </w:tcBorders>
            <w:vAlign w:val="center"/>
          </w:tcPr>
          <w:p w14:paraId="04DEA7DF">
            <w:pPr>
              <w:widowControl w:val="0"/>
              <w:jc w:val="center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2026年3月</w:t>
            </w:r>
          </w:p>
        </w:tc>
      </w:tr>
      <w:tr w14:paraId="5856E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51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1B2F854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专业负责人</w:t>
            </w:r>
          </w:p>
        </w:tc>
        <w:tc>
          <w:tcPr>
            <w:tcW w:w="3532" w:type="dxa"/>
            <w:gridSpan w:val="2"/>
            <w:vAlign w:val="center"/>
          </w:tcPr>
          <w:p w14:paraId="3DE9B47E">
            <w:pPr>
              <w:widowControl w:val="0"/>
              <w:jc w:val="right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1"/>
                <w:szCs w:val="21"/>
              </w:rPr>
              <w:drawing>
                <wp:inline distT="0" distB="0" distL="114300" distR="114300">
                  <wp:extent cx="762635" cy="339725"/>
                  <wp:effectExtent l="0" t="0" r="18415" b="3175"/>
                  <wp:docPr id="1" name="图片 1" descr="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姚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35" cy="33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</w:rPr>
              <w:t>（签名）</w:t>
            </w:r>
          </w:p>
        </w:tc>
        <w:tc>
          <w:tcPr>
            <w:tcW w:w="1425" w:type="dxa"/>
            <w:gridSpan w:val="2"/>
            <w:vAlign w:val="center"/>
          </w:tcPr>
          <w:p w14:paraId="7B392492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审定时间</w:t>
            </w:r>
          </w:p>
        </w:tc>
        <w:tc>
          <w:tcPr>
            <w:tcW w:w="1628" w:type="dxa"/>
            <w:gridSpan w:val="2"/>
            <w:tcBorders>
              <w:right w:val="single" w:color="auto" w:sz="12" w:space="0"/>
            </w:tcBorders>
            <w:vAlign w:val="center"/>
          </w:tcPr>
          <w:p w14:paraId="5DAF8B1E">
            <w:pPr>
              <w:widowControl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2026年3月</w:t>
            </w:r>
          </w:p>
        </w:tc>
      </w:tr>
      <w:tr w14:paraId="4A81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510" w:hRule="atLeast"/>
        </w:trPr>
        <w:tc>
          <w:tcPr>
            <w:tcW w:w="1691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56D97710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学院负责人</w:t>
            </w:r>
          </w:p>
        </w:tc>
        <w:tc>
          <w:tcPr>
            <w:tcW w:w="3532" w:type="dxa"/>
            <w:gridSpan w:val="2"/>
            <w:tcBorders>
              <w:bottom w:val="single" w:color="auto" w:sz="12" w:space="0"/>
            </w:tcBorders>
            <w:vAlign w:val="center"/>
          </w:tcPr>
          <w:p w14:paraId="42B06CDF">
            <w:pPr>
              <w:widowControl w:val="0"/>
              <w:jc w:val="right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1"/>
                <w:szCs w:val="21"/>
              </w:rPr>
              <w:drawing>
                <wp:inline distT="0" distB="0" distL="114300" distR="114300">
                  <wp:extent cx="665480" cy="452755"/>
                  <wp:effectExtent l="0" t="0" r="1270" b="4445"/>
                  <wp:docPr id="2" name="图片 2" descr="微信图片_2024111216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4111216103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8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</w:rPr>
              <w:t>（签名）</w:t>
            </w:r>
          </w:p>
        </w:tc>
        <w:tc>
          <w:tcPr>
            <w:tcW w:w="1425" w:type="dxa"/>
            <w:gridSpan w:val="2"/>
            <w:tcBorders>
              <w:bottom w:val="single" w:color="auto" w:sz="12" w:space="0"/>
            </w:tcBorders>
            <w:vAlign w:val="center"/>
          </w:tcPr>
          <w:p w14:paraId="4EDD86AB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批准时间</w:t>
            </w:r>
          </w:p>
        </w:tc>
        <w:tc>
          <w:tcPr>
            <w:tcW w:w="1628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6F1192">
            <w:pPr>
              <w:widowControl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2026年3</w:t>
            </w:r>
            <w:bookmarkStart w:id="6" w:name="_GoBack"/>
            <w:bookmarkEnd w:id="6"/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月</w:t>
            </w:r>
          </w:p>
        </w:tc>
      </w:tr>
    </w:tbl>
    <w:p w14:paraId="2DBFC47F">
      <w:pPr>
        <w:spacing w:line="100" w:lineRule="exact"/>
        <w:rPr>
          <w:rFonts w:ascii="Arial" w:hAnsi="Arial" w:eastAsia="黑体"/>
        </w:rPr>
      </w:pPr>
      <w:r>
        <w:br w:type="page"/>
      </w:r>
    </w:p>
    <w:p w14:paraId="5C74B12E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hint="eastAsia" w:ascii="黑体" w:hAnsi="宋体"/>
        </w:rPr>
        <w:t>二、课程目标与毕业要求</w:t>
      </w:r>
    </w:p>
    <w:p w14:paraId="0D4AA5BC">
      <w:pPr>
        <w:pStyle w:val="17"/>
        <w:spacing w:before="81" w:after="163"/>
      </w:pPr>
      <w:r>
        <w:rPr>
          <w:rFonts w:hint="eastAsia"/>
        </w:rPr>
        <w:t xml:space="preserve">（一）课程目标 </w:t>
      </w:r>
    </w:p>
    <w:tbl>
      <w:tblPr>
        <w:tblStyle w:val="7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1235"/>
        <w:gridCol w:w="782"/>
        <w:gridCol w:w="6459"/>
      </w:tblGrid>
      <w:tr w14:paraId="546CA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235" w:type="dxa"/>
            <w:vAlign w:val="center"/>
          </w:tcPr>
          <w:p w14:paraId="1989161A"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类型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9A93939"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序号</w:t>
            </w:r>
          </w:p>
        </w:tc>
        <w:tc>
          <w:tcPr>
            <w:tcW w:w="6459" w:type="dxa"/>
            <w:vAlign w:val="center"/>
          </w:tcPr>
          <w:p w14:paraId="46A32FD4"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内容</w:t>
            </w:r>
          </w:p>
        </w:tc>
      </w:tr>
      <w:tr w14:paraId="7B72F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35" w:type="dxa"/>
            <w:vMerge w:val="restart"/>
            <w:vAlign w:val="center"/>
          </w:tcPr>
          <w:p w14:paraId="26027689">
            <w:pPr>
              <w:snapToGrid w:val="0"/>
              <w:jc w:val="center"/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知识目标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B238397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  <w:t>1</w:t>
            </w:r>
          </w:p>
        </w:tc>
        <w:tc>
          <w:tcPr>
            <w:tcW w:w="6459" w:type="dxa"/>
            <w:vAlign w:val="center"/>
          </w:tcPr>
          <w:p w14:paraId="4E28A441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通过学习，利用所获得的相关医学知识，能为服务对象提供健康信息服务，解决服务对象相应难题。</w:t>
            </w:r>
          </w:p>
        </w:tc>
      </w:tr>
      <w:tr w14:paraId="16586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35" w:type="dxa"/>
            <w:vMerge w:val="continue"/>
            <w:vAlign w:val="center"/>
          </w:tcPr>
          <w:p w14:paraId="3AB64A15">
            <w:pPr>
              <w:pStyle w:val="14"/>
              <w:rPr>
                <w:bCs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8641B81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  <w:t>2</w:t>
            </w:r>
          </w:p>
        </w:tc>
        <w:tc>
          <w:tcPr>
            <w:tcW w:w="6459" w:type="dxa"/>
            <w:vAlign w:val="center"/>
          </w:tcPr>
          <w:p w14:paraId="4BD37521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运用所获得知识，可自学以及自主思考面临问题，并通过课本知识能找出解决的相应办法。</w:t>
            </w:r>
          </w:p>
        </w:tc>
      </w:tr>
      <w:tr w14:paraId="5CFA7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35" w:type="dxa"/>
            <w:vAlign w:val="center"/>
          </w:tcPr>
          <w:p w14:paraId="05C2B764">
            <w:pPr>
              <w:snapToGrid w:val="0"/>
              <w:jc w:val="center"/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技能目标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6BFEFAEF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  <w:t>3</w:t>
            </w:r>
          </w:p>
        </w:tc>
        <w:tc>
          <w:tcPr>
            <w:tcW w:w="6459" w:type="dxa"/>
            <w:vAlign w:val="center"/>
          </w:tcPr>
          <w:p w14:paraId="50327AE9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根据全科医学所学知识内容，较为全民分析健康问题，制定相应改善计划，并通过准备表达，使得服务对象接受。</w:t>
            </w:r>
          </w:p>
        </w:tc>
      </w:tr>
      <w:tr w14:paraId="58839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35" w:type="dxa"/>
            <w:vAlign w:val="center"/>
          </w:tcPr>
          <w:p w14:paraId="0D8CC405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Arial" w:hAnsi="Arial" w:eastAsia="黑体" w:cs="Arial"/>
                <w:bCs/>
                <w:color w:val="000000"/>
                <w:sz w:val="21"/>
                <w:szCs w:val="18"/>
              </w:rPr>
              <w:t>素养目标</w:t>
            </w:r>
          </w:p>
          <w:p w14:paraId="27ABCD8A">
            <w:pPr>
              <w:snapToGrid w:val="0"/>
              <w:jc w:val="center"/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(含课程思政目标</w:t>
            </w:r>
            <w:r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  <w:t>)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60CA60E">
            <w:pPr>
              <w:snapToGrid w:val="0"/>
              <w:jc w:val="center"/>
              <w:rPr>
                <w:rFonts w:hint="eastAsia" w:ascii="Arial" w:hAnsi="Arial" w:eastAsia="黑体" w:cs="Arial"/>
                <w:bCs/>
                <w:color w:val="000000"/>
                <w:sz w:val="21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bCs/>
                <w:color w:val="000000"/>
                <w:sz w:val="21"/>
                <w:szCs w:val="18"/>
                <w:lang w:val="en-US" w:eastAsia="zh-CN"/>
              </w:rPr>
              <w:t>4</w:t>
            </w:r>
          </w:p>
        </w:tc>
        <w:tc>
          <w:tcPr>
            <w:tcW w:w="6459" w:type="dxa"/>
            <w:vAlign w:val="center"/>
          </w:tcPr>
          <w:p w14:paraId="07A93AE8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具备职业道德素养。乐观豁达，在学习和社会实践中遵守职业规范，承受学习和生活压力。</w:t>
            </w:r>
          </w:p>
        </w:tc>
      </w:tr>
    </w:tbl>
    <w:p w14:paraId="300BFFA2">
      <w:pPr>
        <w:pStyle w:val="17"/>
        <w:spacing w:before="163" w:beforeLines="50" w:after="163"/>
      </w:pPr>
      <w:r>
        <w:rPr>
          <w:rFonts w:hint="eastAsia"/>
        </w:rPr>
        <w:t>（二）课程支撑的毕业要求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5255C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EC61313">
            <w:pPr>
              <w:widowControl w:val="0"/>
              <w:spacing w:before="0" w:after="0" w:line="440" w:lineRule="exact"/>
              <w:ind w:left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4"/>
              </w:rPr>
              <w:t>LO1 品德修养</w:t>
            </w: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lang w:val="en-US" w:eastAsia="zh-CN"/>
              </w:rPr>
              <w:t>: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②遵纪守法，增强法律意识，培养法律思维，自觉遵守法律法规、校纪校规。</w:t>
            </w:r>
          </w:p>
        </w:tc>
      </w:tr>
      <w:tr w14:paraId="770FB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E845177">
            <w:pPr>
              <w:widowControl w:val="0"/>
              <w:spacing w:before="0" w:after="0" w:line="440" w:lineRule="exact"/>
              <w:ind w:left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4"/>
                <w:szCs w:val="24"/>
                <w:lang w:val="en-US" w:eastAsia="zh-CN" w:bidi="ar-SA"/>
              </w:rPr>
              <w:t>LO2 专业能力</w:t>
            </w: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lang w:val="en-US" w:eastAsia="zh-CN" w:bidi="ar-SA"/>
              </w:rPr>
              <w:t>: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①具有专业所需的人文科学素养。⑥健康管理：掌握对个人或人群的健康风险因素进行全面管理的能力，开展健康管理服务。</w:t>
            </w:r>
          </w:p>
        </w:tc>
      </w:tr>
    </w:tbl>
    <w:p w14:paraId="109E5593">
      <w:pPr>
        <w:pStyle w:val="17"/>
        <w:spacing w:before="163" w:beforeLines="50" w:after="163"/>
      </w:pPr>
      <w:r>
        <w:rPr>
          <w:rFonts w:hint="eastAsia"/>
        </w:rPr>
        <w:t xml:space="preserve">（三）毕业要求与课程目标的关系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777"/>
        <w:gridCol w:w="794"/>
        <w:gridCol w:w="954"/>
        <w:gridCol w:w="4603"/>
        <w:gridCol w:w="1348"/>
      </w:tblGrid>
      <w:tr w14:paraId="5ED4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91" w:hRule="atLeast"/>
          <w:jc w:val="center"/>
        </w:trPr>
        <w:tc>
          <w:tcPr>
            <w:tcW w:w="777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E48084C">
            <w:pPr>
              <w:pStyle w:val="13"/>
              <w:rPr>
                <w:szCs w:val="16"/>
              </w:rPr>
            </w:pPr>
            <w:r>
              <w:rPr>
                <w:rFonts w:hint="eastAsia" w:ascii="黑体" w:hAnsi="黑体"/>
                <w:szCs w:val="18"/>
              </w:rPr>
              <w:t>毕业要求</w:t>
            </w:r>
          </w:p>
        </w:tc>
        <w:tc>
          <w:tcPr>
            <w:tcW w:w="794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6947E6C2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指标点</w:t>
            </w:r>
          </w:p>
        </w:tc>
        <w:tc>
          <w:tcPr>
            <w:tcW w:w="954" w:type="dxa"/>
            <w:tcBorders>
              <w:top w:val="single" w:color="auto" w:sz="12" w:space="0"/>
              <w:right w:val="double" w:color="auto" w:sz="4" w:space="0"/>
            </w:tcBorders>
            <w:shd w:val="clear" w:color="auto" w:fill="auto"/>
            <w:vAlign w:val="center"/>
          </w:tcPr>
          <w:p w14:paraId="71769517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支撑度</w:t>
            </w:r>
          </w:p>
        </w:tc>
        <w:tc>
          <w:tcPr>
            <w:tcW w:w="4603" w:type="dxa"/>
            <w:tcBorders>
              <w:top w:val="single" w:color="auto" w:sz="12" w:space="0"/>
            </w:tcBorders>
            <w:vAlign w:val="center"/>
          </w:tcPr>
          <w:p w14:paraId="345FAF82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课程目标</w:t>
            </w:r>
          </w:p>
        </w:tc>
        <w:tc>
          <w:tcPr>
            <w:tcW w:w="13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979E6C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对指标点的贡献度</w:t>
            </w:r>
          </w:p>
        </w:tc>
      </w:tr>
      <w:tr w14:paraId="5C93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888" w:hRule="atLeast"/>
          <w:jc w:val="center"/>
        </w:trPr>
        <w:tc>
          <w:tcPr>
            <w:tcW w:w="777" w:type="dxa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4E68DA8">
            <w:pPr>
              <w:pStyle w:val="14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L01</w:t>
            </w:r>
          </w:p>
        </w:tc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 w14:paraId="5C4D9A91">
            <w:pPr>
              <w:pStyle w:val="14"/>
              <w:rPr>
                <w:rFonts w:hint="eastAsia" w:eastAsia="宋体" w:cs="Times New Roman"/>
                <w:bCs/>
                <w:lang w:val="en-US" w:eastAsia="zh-CN"/>
              </w:rPr>
            </w:pPr>
            <w:r>
              <w:rPr>
                <w:rFonts w:hint="eastAsia" w:cs="Times New Roman"/>
                <w:bCs/>
                <w:lang w:val="en-US" w:eastAsia="zh-CN"/>
              </w:rPr>
              <w:t>2</w:t>
            </w:r>
          </w:p>
        </w:tc>
        <w:tc>
          <w:tcPr>
            <w:tcW w:w="954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7024591">
            <w:pPr>
              <w:pStyle w:val="14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M</w:t>
            </w:r>
          </w:p>
        </w:tc>
        <w:tc>
          <w:tcPr>
            <w:tcW w:w="4603" w:type="dxa"/>
            <w:vAlign w:val="center"/>
          </w:tcPr>
          <w:p w14:paraId="5D0DD945">
            <w:pPr>
              <w:pStyle w:val="14"/>
              <w:jc w:val="left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具备职业道德素养。乐观豁达，在学习和社会实践中遵守职业规范，承受学习和生活压力。</w:t>
            </w:r>
          </w:p>
        </w:tc>
        <w:tc>
          <w:tcPr>
            <w:tcW w:w="1348" w:type="dxa"/>
            <w:tcBorders>
              <w:right w:val="single" w:color="auto" w:sz="12" w:space="0"/>
            </w:tcBorders>
            <w:vAlign w:val="center"/>
          </w:tcPr>
          <w:p w14:paraId="6C5B7674">
            <w:pPr>
              <w:pStyle w:val="14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100%</w:t>
            </w:r>
          </w:p>
        </w:tc>
      </w:tr>
      <w:tr w14:paraId="1D00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332" w:hRule="atLeast"/>
          <w:jc w:val="center"/>
        </w:trPr>
        <w:tc>
          <w:tcPr>
            <w:tcW w:w="777" w:type="dxa"/>
            <w:vMerge w:val="restart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A611ABC">
            <w:pPr>
              <w:pStyle w:val="14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L02</w:t>
            </w:r>
          </w:p>
        </w:tc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 w14:paraId="0E23B13E">
            <w:pPr>
              <w:pStyle w:val="14"/>
              <w:rPr>
                <w:rFonts w:hint="eastAsia" w:eastAsia="宋体" w:cs="Times New Roman"/>
                <w:bCs/>
                <w:lang w:val="en-US" w:eastAsia="zh-CN"/>
              </w:rPr>
            </w:pPr>
            <w:r>
              <w:rPr>
                <w:rFonts w:hint="eastAsia" w:cs="Times New Roman"/>
                <w:bCs/>
                <w:lang w:val="en-US" w:eastAsia="zh-CN"/>
              </w:rPr>
              <w:t>1</w:t>
            </w:r>
          </w:p>
        </w:tc>
        <w:tc>
          <w:tcPr>
            <w:tcW w:w="954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A19D6B5">
            <w:pPr>
              <w:pStyle w:val="14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H</w:t>
            </w:r>
          </w:p>
        </w:tc>
        <w:tc>
          <w:tcPr>
            <w:tcW w:w="4603" w:type="dxa"/>
            <w:vAlign w:val="center"/>
          </w:tcPr>
          <w:p w14:paraId="684017A0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根据全科医学所学知识内容，较为全民分析健康问题，制定相应改善计划，并通过准备表达，使得服务对象接受。</w:t>
            </w:r>
          </w:p>
        </w:tc>
        <w:tc>
          <w:tcPr>
            <w:tcW w:w="1348" w:type="dxa"/>
            <w:tcBorders>
              <w:right w:val="single" w:color="auto" w:sz="12" w:space="0"/>
            </w:tcBorders>
            <w:vAlign w:val="center"/>
          </w:tcPr>
          <w:p w14:paraId="2213541B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70%</w:t>
            </w:r>
          </w:p>
        </w:tc>
      </w:tr>
      <w:tr w14:paraId="69660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77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</w:tcPr>
          <w:p w14:paraId="25B5C26C">
            <w:pPr>
              <w:pStyle w:val="14"/>
            </w:pPr>
          </w:p>
        </w:tc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 w14:paraId="2A4077CE">
            <w:pPr>
              <w:pStyle w:val="14"/>
              <w:rPr>
                <w:rFonts w:hint="eastAsia" w:eastAsia="宋体" w:cs="Times New Roman"/>
                <w:bCs/>
                <w:lang w:val="en-US" w:eastAsia="zh-CN"/>
              </w:rPr>
            </w:pPr>
            <w:r>
              <w:rPr>
                <w:rFonts w:hint="eastAsia" w:cs="Times New Roman"/>
                <w:bCs/>
                <w:lang w:val="en-US" w:eastAsia="zh-CN"/>
              </w:rPr>
              <w:t>6</w:t>
            </w:r>
          </w:p>
        </w:tc>
        <w:tc>
          <w:tcPr>
            <w:tcW w:w="954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4DE3129">
            <w:pPr>
              <w:pStyle w:val="14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M</w:t>
            </w:r>
          </w:p>
        </w:tc>
        <w:tc>
          <w:tcPr>
            <w:tcW w:w="4603" w:type="dxa"/>
            <w:vAlign w:val="center"/>
          </w:tcPr>
          <w:p w14:paraId="03CF019A">
            <w:pPr>
              <w:pStyle w:val="14"/>
              <w:jc w:val="left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通过学习，利用所获得的相关医学知识，能为服务对象提供健康信息服务，解决服务对象相应难题。</w:t>
            </w:r>
          </w:p>
          <w:p w14:paraId="60FBDA29">
            <w:pPr>
              <w:pStyle w:val="14"/>
              <w:jc w:val="left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运用所获得知识，可自学以及自主思考面临问题，并通过课本知识能找出解决的相应办法。</w:t>
            </w:r>
          </w:p>
        </w:tc>
        <w:tc>
          <w:tcPr>
            <w:tcW w:w="1348" w:type="dxa"/>
            <w:tcBorders>
              <w:right w:val="single" w:color="auto" w:sz="12" w:space="0"/>
            </w:tcBorders>
            <w:vAlign w:val="center"/>
          </w:tcPr>
          <w:p w14:paraId="022EE2D4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30%</w:t>
            </w:r>
          </w:p>
        </w:tc>
      </w:tr>
    </w:tbl>
    <w:p w14:paraId="0CE70260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hint="eastAsia" w:ascii="黑体" w:hAnsi="宋体"/>
        </w:rPr>
        <w:t>三、</w:t>
      </w:r>
      <w:r>
        <w:rPr>
          <w:rFonts w:ascii="黑体" w:hAnsi="宋体"/>
        </w:rPr>
        <w:t>课程内容</w:t>
      </w:r>
      <w:r>
        <w:rPr>
          <w:rFonts w:hint="eastAsia" w:ascii="黑体" w:hAnsi="宋体"/>
        </w:rPr>
        <w:t>与教学设计</w:t>
      </w:r>
    </w:p>
    <w:p w14:paraId="100C737A">
      <w:pPr>
        <w:pStyle w:val="17"/>
        <w:spacing w:before="81" w:after="163"/>
      </w:pPr>
      <w:r>
        <w:rPr>
          <w:rFonts w:hint="eastAsia"/>
        </w:rPr>
        <w:t>（一）各教学单元预期学习成果与教学内容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2DDCB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0092697B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bookmarkStart w:id="0" w:name="OLE_LINK5"/>
            <w:bookmarkStart w:id="1" w:name="OLE_LINK6"/>
            <w:r>
              <w:rPr>
                <w:rFonts w:hint="eastAsia" w:ascii="宋体" w:hAnsi="宋体"/>
                <w:bCs/>
                <w:lang w:val="en-US" w:eastAsia="zh-CN"/>
              </w:rPr>
              <w:t xml:space="preserve">第一单元 </w:t>
            </w:r>
            <w:r>
              <w:rPr>
                <w:rFonts w:hint="eastAsia" w:ascii="宋体" w:hAnsi="宋体"/>
                <w:bCs/>
              </w:rPr>
              <w:t>全科医学概述</w:t>
            </w:r>
          </w:p>
          <w:p w14:paraId="7CE42178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5228B596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知道全科医学科的产生与发展。</w:t>
            </w:r>
          </w:p>
          <w:p w14:paraId="5AFE00DA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知道全科医学的基本概念。</w:t>
            </w:r>
          </w:p>
          <w:p w14:paraId="499D92F4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知道全科医学与相关学科的关系。</w:t>
            </w:r>
          </w:p>
          <w:p w14:paraId="56E4E3F7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4DEAC727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熟悉专科医疗与全科医疗的区别、全科医生的特点及为什么称全科医师为守门人。</w:t>
            </w:r>
          </w:p>
          <w:p w14:paraId="6F0C5C92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掌握全科医学、全科医疗、全科医生、全科医疗与专科医疗的联系。</w:t>
            </w:r>
          </w:p>
          <w:p w14:paraId="7288F2D6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3.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0D9DAA07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具有认真学好全科医学概论的科学态度和为对象服务的基本素质。</w:t>
            </w:r>
          </w:p>
          <w:p w14:paraId="5B841C04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1B3DA70D">
            <w:pPr>
              <w:widowControl w:val="0"/>
              <w:snapToGrid w:val="0"/>
              <w:spacing w:line="288" w:lineRule="auto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全科医学的基本原则与在卫生保健系统中的作用。</w:t>
            </w:r>
          </w:p>
        </w:tc>
      </w:tr>
      <w:tr w14:paraId="2AC8B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2C46FA53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第二单元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全科医学的基本原则与特点</w:t>
            </w:r>
          </w:p>
          <w:p w14:paraId="2C2B5112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33EAB6AF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知道全科医学的基本原则。</w:t>
            </w:r>
          </w:p>
          <w:p w14:paraId="50EB4493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知道全科医学的基本特点。</w:t>
            </w:r>
          </w:p>
          <w:p w14:paraId="32002F68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知道全科医生工作的基本特征。</w:t>
            </w:r>
          </w:p>
          <w:p w14:paraId="6E18BDD8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6492E2A4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掌握全科医学的基本原则、全科医学的基本特点。</w:t>
            </w:r>
          </w:p>
          <w:p w14:paraId="155DAD71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熟悉全科医生工作的基本特征。</w:t>
            </w:r>
          </w:p>
          <w:p w14:paraId="40535B0B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3.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7C379E61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通过对全科医学工作特点的了解，培养医学意识。</w:t>
            </w:r>
          </w:p>
          <w:p w14:paraId="5DD123F1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6B258D4E">
            <w:pPr>
              <w:pStyle w:val="14"/>
              <w:widowControl w:val="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全科医学服务的特点，如何让更好的贯彻全科医学服务的人文精神。</w:t>
            </w:r>
          </w:p>
        </w:tc>
      </w:tr>
      <w:tr w14:paraId="3872A9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63398F4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第三单元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以人为中心的健康照顾</w:t>
            </w:r>
          </w:p>
          <w:p w14:paraId="2D4CFB67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0D94A4D3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知道医疗服务体系及全科医疗目标。</w:t>
            </w:r>
          </w:p>
          <w:p w14:paraId="4355E3ED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知道医疗服务模式。</w:t>
            </w:r>
          </w:p>
          <w:p w14:paraId="0CA90EAE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知道以人为中心的健康照顾。</w:t>
            </w:r>
          </w:p>
          <w:p w14:paraId="5EF1F7FB">
            <w:pPr>
              <w:widowControl w:val="0"/>
              <w:snapToGrid w:val="0"/>
              <w:spacing w:line="288" w:lineRule="auto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知道健康信念与医患交流：健康及健康信念模式；患病感受和医患关系模式；体现以病人为中心的医患交流</w:t>
            </w:r>
          </w:p>
          <w:p w14:paraId="6A61BB3A">
            <w:pPr>
              <w:widowControl w:val="0"/>
              <w:snapToGrid w:val="0"/>
              <w:spacing w:line="288" w:lineRule="auto"/>
              <w:jc w:val="left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2.能力要求：</w:t>
            </w:r>
          </w:p>
          <w:p w14:paraId="67725122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熟悉健康信念模式与医患交流技巧；体现以病人为中心的医患交流。</w:t>
            </w:r>
          </w:p>
          <w:p w14:paraId="0C5E9D0B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掌握以人为中心的健康和以疾病为中心的医疗服务的根本区别，以人为中心的健康照顾诊疗方式。</w:t>
            </w:r>
          </w:p>
          <w:p w14:paraId="0AF01833">
            <w:pPr>
              <w:widowControl w:val="0"/>
              <w:snapToGrid w:val="0"/>
              <w:spacing w:line="288" w:lineRule="auto"/>
              <w:jc w:val="left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了解医疗服务体系及全科医疗目标及医疗服务模式演变。</w:t>
            </w:r>
          </w:p>
          <w:p w14:paraId="5642CED4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15048C72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具有综合运用理论知识的能力，培养工作创新意识。</w:t>
            </w:r>
          </w:p>
          <w:p w14:paraId="11CD5B47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49EE18E7">
            <w:pPr>
              <w:widowControl w:val="0"/>
              <w:snapToGrid w:val="0"/>
              <w:spacing w:line="288" w:lineRule="auto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接待服务对象时，如何体现出以人为本的健康照顾。</w:t>
            </w:r>
          </w:p>
        </w:tc>
      </w:tr>
      <w:tr w14:paraId="1B0EA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8A9B745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第四单元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以家庭为单位的健康照顾</w:t>
            </w:r>
          </w:p>
          <w:p w14:paraId="22307C52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4CE7FC1B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知道基本概念：家庭，家庭生活周期，家庭结构。</w:t>
            </w:r>
          </w:p>
          <w:p w14:paraId="04DCADA2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知道家庭的结构和功能：家庭的外在结构与内在结构：家庭权力结构、家庭角色、家庭沟通类型和价值观；家庭功能：抚养和赡养；满足感情需要；满足生殖和性需要；社会化；经济功能；赋予成员地位</w:t>
            </w:r>
          </w:p>
          <w:p w14:paraId="35BE76A6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357215CB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熟悉家庭生活周期、家庭评估方法和意义。</w:t>
            </w:r>
          </w:p>
          <w:p w14:paraId="0E80A796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掌握家庭的定义、结构和功能，家庭评估方法，以家庭为单位的照顾。</w:t>
            </w:r>
          </w:p>
          <w:p w14:paraId="53BE437F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了解家庭对健康和疾病的影响。</w:t>
            </w:r>
          </w:p>
          <w:p w14:paraId="76752F1C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3A8F9EF0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具有对服务对象相关疾病的医学素养，救死扶伤。</w:t>
            </w:r>
          </w:p>
          <w:p w14:paraId="05A20CD5">
            <w:pPr>
              <w:pStyle w:val="14"/>
              <w:widowControl w:val="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5958FA71">
            <w:pPr>
              <w:widowControl w:val="0"/>
              <w:snapToGrid w:val="0"/>
              <w:spacing w:line="288" w:lineRule="auto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学会利用所学知识应用在学习实践中。</w:t>
            </w:r>
          </w:p>
        </w:tc>
      </w:tr>
      <w:tr w14:paraId="3CBD1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122118C0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第五单元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以社区为范围的健康照顾</w:t>
            </w:r>
          </w:p>
          <w:p w14:paraId="314A6236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00EC1EAE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基本概念：社区、社区医学、社区诊断、以社区为基础的基层照顾。</w:t>
            </w:r>
          </w:p>
          <w:p w14:paraId="02BB2259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社区医学：社区与健康，构成社区的基本要素；社区特征；社区资源；社区与健康。</w:t>
            </w:r>
          </w:p>
          <w:p w14:paraId="22FCF5D1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以社区为基础的基层照顾：COPC的定义；COPC的基本要素；COPC的意义；COPC的实施。</w:t>
            </w:r>
          </w:p>
          <w:p w14:paraId="5ED1133C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社区诊断：基本概念；社区诊断与临床诊断的区别；社区诊断的基本内容及方法。</w:t>
            </w:r>
          </w:p>
          <w:p w14:paraId="5917BBD0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03A5B4B5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熟悉社区医学基本概念及要素，社区诊断基本流程及实施。</w:t>
            </w:r>
          </w:p>
          <w:p w14:paraId="167F3F99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掌握以社区为基础的基层照顾及社区诊断与临床诊断区别。</w:t>
            </w:r>
          </w:p>
          <w:p w14:paraId="07D94D46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了解社区与健康关系，社区健康照顾团队构建及价值。</w:t>
            </w:r>
          </w:p>
          <w:p w14:paraId="38039E19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081B6DFC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熟悉社区医学基本概念及要素，社区诊断基本流程及实施；掌握以社区为基础的基层照顾及社区诊断与临床诊断区别；了解社区特征，资源及与健康关系。</w:t>
            </w:r>
          </w:p>
          <w:p w14:paraId="5E3E8A97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55226C6F">
            <w:pPr>
              <w:pStyle w:val="14"/>
              <w:widowControl w:val="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如何做到以社区为基础的基层照顾及社区诊断与临床诊断区别。</w:t>
            </w:r>
          </w:p>
        </w:tc>
      </w:tr>
      <w:tr w14:paraId="78C81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56439F90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第六单元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以预防为先导的健康照顾</w:t>
            </w:r>
          </w:p>
          <w:p w14:paraId="69B0993F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067EFC56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全科医生的预防医学观念，三级预防原则与策略。</w:t>
            </w:r>
          </w:p>
          <w:p w14:paraId="5D3A724C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临床预防医学服务的意义、一般原则、内容及方法。</w:t>
            </w:r>
          </w:p>
          <w:p w14:paraId="4B0EA97B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以预防为先导的社区居民自我保健。</w:t>
            </w:r>
          </w:p>
          <w:p w14:paraId="18221A7F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临床预防服务指南，咨询的原则和方法，筛检试验的原则及方法，周期性健康检查，免疫预防及化学预防，社区居民自我保健的组织、管理内容及方法。</w:t>
            </w:r>
          </w:p>
          <w:p w14:paraId="68466449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425ACD9B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掌握“以预防为先导的健康照顾”概念，全科医生的预防医学观念，三级预防原则与策略。</w:t>
            </w:r>
          </w:p>
          <w:p w14:paraId="55983387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熟悉临床预防医学服务的意义、一般原则、内容及方法，以预防为先导的社区居民自我保健。</w:t>
            </w:r>
          </w:p>
          <w:p w14:paraId="7C550EA0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了解国内外临床预防服务指南，咨询的原则和方法，筛检试验的原则及方法，周期性健康检查，免疫预防及化学预防，社区居民自我保健的组织、管理内容及方法。</w:t>
            </w:r>
          </w:p>
          <w:p w14:paraId="0ECE2869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147AD65B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学习全科医生的预防医学观念，三级预防原则与策略，临床预防医学服务的意义、一般原则、内容及方法，以预防为先导的社区居民自我保健。</w:t>
            </w:r>
          </w:p>
          <w:p w14:paraId="5930EA2E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464BFC5D">
            <w:pPr>
              <w:widowControl w:val="0"/>
              <w:snapToGrid w:val="0"/>
              <w:spacing w:line="288" w:lineRule="auto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如何理解以预防为先导的健康照顾的概念，全科医生的预防医学观念，三级预防原则与策略。</w:t>
            </w:r>
          </w:p>
        </w:tc>
      </w:tr>
      <w:tr w14:paraId="39892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9B9D340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第七单元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健康评价与健康管理</w:t>
            </w:r>
          </w:p>
          <w:p w14:paraId="2878198F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0D726091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基本概念：健康评价、健康管理。</w:t>
            </w:r>
          </w:p>
          <w:p w14:paraId="540C7922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健康评价与健康管理的基本概念；基本概念；健康评估目的和意义；全科医生在健康管理中的作用。</w:t>
            </w:r>
          </w:p>
          <w:p w14:paraId="069870C4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健康评价与健康管理的内容；健康评价的内容；健康管理的内容。</w:t>
            </w:r>
          </w:p>
          <w:p w14:paraId="081DE1AA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健康评价与健康管理的步骤和形式 健康评价与健康管理的基本步骤：了解基本健康，进行健康及疾病风险评估，进行健康干预；健康评价与健康管理的具体形式：健康教育，健康促进及健康信息管理。</w:t>
            </w:r>
          </w:p>
          <w:p w14:paraId="4AEDBA05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⑤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健康评价与健康管理的应用与发展趋势。</w:t>
            </w:r>
          </w:p>
          <w:p w14:paraId="01BEC0E4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69C12CD7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熟悉健康评价与健康管理的内容，健康评价与健康管理的步骤和形式。</w:t>
            </w:r>
          </w:p>
          <w:p w14:paraId="08232B5B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掌握健康评价与健康管理的基本概念。</w:t>
            </w:r>
          </w:p>
          <w:p w14:paraId="2BF7C088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了解健康评价与健康管理的应用与发展趋势。</w:t>
            </w:r>
          </w:p>
          <w:p w14:paraId="0D2EEDB7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16FA8A70">
            <w:pPr>
              <w:widowControl w:val="0"/>
              <w:snapToGrid w:val="0"/>
              <w:spacing w:line="288" w:lineRule="auto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通过本章的学习，熟悉健康评价与健康管理的内容，健康评价与健康管理的步骤和形式。</w:t>
            </w:r>
          </w:p>
          <w:p w14:paraId="20B27497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09C21932">
            <w:pPr>
              <w:pStyle w:val="14"/>
              <w:widowControl w:val="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如何掌握健康评价与健康管理的基本概念，了解健康评价与健康管理的应用与发展趋势。</w:t>
            </w:r>
          </w:p>
        </w:tc>
      </w:tr>
      <w:tr w14:paraId="071D6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296" w:type="dxa"/>
          </w:tcPr>
          <w:p w14:paraId="40267285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第八单元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心脑血管疾病的全科医学处理</w:t>
            </w:r>
          </w:p>
          <w:p w14:paraId="6F0CDD4C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241A6379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知道心脑血管疾病的发病概况。</w:t>
            </w:r>
          </w:p>
          <w:p w14:paraId="0EE64447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知道心脑血管疾病的流行病学特征。</w:t>
            </w:r>
          </w:p>
          <w:p w14:paraId="45E37888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知道心脑血管疾病的常见危险因素。</w:t>
            </w:r>
          </w:p>
          <w:p w14:paraId="15D33495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知道心脑血管疾病的三级预防。</w:t>
            </w:r>
          </w:p>
          <w:p w14:paraId="6FB39A2D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⑤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知道心脑血管疾病的全科医师职责。</w:t>
            </w:r>
          </w:p>
          <w:p w14:paraId="37D93C3D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⑥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知道心脑血管疾病的健康教育与康复医疗。</w:t>
            </w:r>
          </w:p>
          <w:p w14:paraId="525195E1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771807AA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掌握对心脑血管疾病的发病概况、地区分布、流行趋势、危险因素、三级预防、专科前后的工作、健康教育等方面认识。</w:t>
            </w:r>
          </w:p>
          <w:p w14:paraId="18EF66B3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了解心脑血管疾病的基本知识与危险因素，做到如何通过危险因素从专科前后的社区去处理患者，培养其基层全科处理能力。</w:t>
            </w:r>
          </w:p>
          <w:p w14:paraId="57BEEEA0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01BE5F18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养成良好的饮食、卫生习惯，确立积极、健康的生活态度。</w:t>
            </w:r>
          </w:p>
          <w:p w14:paraId="67C00E75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38C6DE02">
            <w:pPr>
              <w:widowControl w:val="0"/>
              <w:snapToGrid w:val="0"/>
              <w:spacing w:line="288" w:lineRule="auto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学会利用所学心脑血管知识与生活中所遇到的相关疾病相结合应对。</w:t>
            </w:r>
          </w:p>
        </w:tc>
      </w:tr>
      <w:tr w14:paraId="7FA18D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96B2A53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第九单元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恶性肿瘤的全科医学处理</w:t>
            </w:r>
          </w:p>
          <w:p w14:paraId="12ECEAFA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0D3995D0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知道恶性肿瘤的一级预防。</w:t>
            </w:r>
          </w:p>
          <w:p w14:paraId="534F96CF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知道恶性肿瘤的二级预防。</w:t>
            </w:r>
          </w:p>
          <w:p w14:paraId="4FAA24A3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知道恶性肿瘤三级预防。</w:t>
            </w:r>
          </w:p>
          <w:p w14:paraId="68C421E4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知道全科医生在肿瘤流行病学中的工作。</w:t>
            </w:r>
          </w:p>
          <w:p w14:paraId="3C7F4EAD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1DBB2049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熟悉恶性肿瘤的一级预防、二级预防及三级预防。</w:t>
            </w:r>
          </w:p>
          <w:p w14:paraId="7D74A573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掌握全科医师实施恶性肿瘤一级预防、二级预防及三级预防的主要工作内容。</w:t>
            </w:r>
          </w:p>
          <w:p w14:paraId="66C472EF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了解全科医师在肿瘤流行病学中的工作。</w:t>
            </w:r>
          </w:p>
          <w:p w14:paraId="40B0D09E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6F03EE1F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具备应对恶性肿瘤疾病的预防能力，养成良好的生活习惯，做好宣教工作。</w:t>
            </w:r>
          </w:p>
          <w:p w14:paraId="0F1F1648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1EBB61ED">
            <w:pPr>
              <w:pStyle w:val="14"/>
              <w:widowControl w:val="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学会运用所学知识来预防恶性肿瘤的发生。</w:t>
            </w:r>
          </w:p>
        </w:tc>
      </w:tr>
      <w:tr w14:paraId="2F316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E080C65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第十单元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呼吸系统疾病的全科医学处理</w:t>
            </w:r>
          </w:p>
          <w:p w14:paraId="0883069C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75FE130E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呼吸系统疾病患者需要全科医学服务。</w:t>
            </w:r>
          </w:p>
          <w:p w14:paraId="38DD0D12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全科医生在呼吸系统疾病预防中的作用。</w:t>
            </w:r>
          </w:p>
          <w:p w14:paraId="5BE4FD68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全科医生在呼吸系统疾病诊治中的职责。</w:t>
            </w:r>
          </w:p>
          <w:p w14:paraId="45BCA21B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全科医生在呼吸系统疾病康复中的作用。</w:t>
            </w:r>
          </w:p>
          <w:p w14:paraId="766048AE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5AD07610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掌握常见各种呼吸系统疾病或症状的临床特点、常见危险因素。</w:t>
            </w:r>
          </w:p>
          <w:p w14:paraId="56E3239D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熟悉慢性呼吸系统疾病的健康教育、早期筛查等有效手段，以及全科医生在呼吸系统疾病预防、诊治、康复中的作用。</w:t>
            </w:r>
          </w:p>
          <w:p w14:paraId="234C6491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了解精神呼吸系统疾病的流行病学特征，以及对患者的随访、复查和康复指导。</w:t>
            </w:r>
          </w:p>
          <w:p w14:paraId="20674CD1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5107C2D4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具备应对呼吸系统常见疾病的护理能力，养成良好的生活习惯，做好宣教工作。</w:t>
            </w:r>
          </w:p>
          <w:p w14:paraId="4814E3DD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22DDD909">
            <w:pPr>
              <w:pStyle w:val="14"/>
              <w:widowControl w:val="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能运用呼吸系统知识预防生活中呼吸疾病的发生发展。</w:t>
            </w:r>
          </w:p>
        </w:tc>
      </w:tr>
      <w:tr w14:paraId="78E0F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3530DD1C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第十一单元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高血压的全科医学处理</w:t>
            </w:r>
          </w:p>
          <w:p w14:paraId="232AE050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103039DF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高血压的临床表现：典型表现；非典型表现；并发症为重要表现；无临床表现。</w:t>
            </w:r>
          </w:p>
          <w:p w14:paraId="74833EA0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高血压诊断标准。</w:t>
            </w:r>
          </w:p>
          <w:p w14:paraId="239E6D89">
            <w:pPr>
              <w:widowControl w:val="0"/>
              <w:snapToGrid w:val="0"/>
              <w:spacing w:line="288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高血压的分类与分型。</w:t>
            </w:r>
          </w:p>
          <w:p w14:paraId="3D46509E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7FFA5B44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熟悉全科医师在高血压预防和康复过程医疗中的作用。 </w:t>
            </w:r>
          </w:p>
          <w:p w14:paraId="26FAF1CE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掌握全科医师在高血压诊治过程中职责。</w:t>
            </w:r>
          </w:p>
          <w:p w14:paraId="50BE3B98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了解高血压患者对全科医学的医疗服务的要求。 </w:t>
            </w:r>
            <w:r>
              <w:rPr>
                <w:rFonts w:asciiTheme="minorEastAsia" w:hAnsiTheme="minorEastAsia" w:eastAsiaTheme="minorEastAsia" w:cstheme="minorEastAsia"/>
                <w:sz w:val="20"/>
                <w:szCs w:val="20"/>
              </w:rPr>
              <w:t xml:space="preserve"> </w:t>
            </w:r>
          </w:p>
          <w:p w14:paraId="1D0C9980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2C994990">
            <w:pPr>
              <w:widowControl w:val="0"/>
              <w:snapToGrid w:val="0"/>
              <w:spacing w:line="288" w:lineRule="auto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具有尊重服务对象，并保护其隐私的意识。</w:t>
            </w:r>
          </w:p>
          <w:p w14:paraId="1E8E4C6A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66AA915C">
            <w:pPr>
              <w:pStyle w:val="14"/>
              <w:widowControl w:val="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能初步运用学过的知识进行预防高血压宣教，解释高血压的临床表现、治疗方法以及预防措施。 </w:t>
            </w:r>
          </w:p>
        </w:tc>
      </w:tr>
      <w:tr w14:paraId="16A41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0C9FEEB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第十二单元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冠心病的全科医学处理</w:t>
            </w:r>
          </w:p>
          <w:p w14:paraId="6F7A7E13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730E4FB4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冠心病的综合治疗。</w:t>
            </w:r>
          </w:p>
          <w:p w14:paraId="205B299E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特殊情况的处理。</w:t>
            </w:r>
          </w:p>
          <w:p w14:paraId="02963A3A">
            <w:pPr>
              <w:widowControl w:val="0"/>
              <w:snapToGrid w:val="0"/>
              <w:spacing w:line="288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全科医学在冠心病防治中的优势。 </w:t>
            </w:r>
            <w:r>
              <w:rPr>
                <w:rFonts w:asciiTheme="minorEastAsia" w:hAnsiTheme="minorEastAsia" w:eastAsiaTheme="minorEastAsia" w:cstheme="minorEastAsia"/>
                <w:sz w:val="20"/>
                <w:szCs w:val="20"/>
              </w:rPr>
              <w:t xml:space="preserve">  </w:t>
            </w:r>
          </w:p>
          <w:p w14:paraId="57537646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59E44739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熟悉全科医师在冠心病预防和康复过程医疗中的作用。</w:t>
            </w:r>
          </w:p>
          <w:p w14:paraId="36F325DC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掌握全科医师在冠心病诊治过程中职责。</w:t>
            </w:r>
          </w:p>
          <w:p w14:paraId="17D8A4F6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了解冠心病患者对全科医学的医疗服务的要求。 </w:t>
            </w:r>
          </w:p>
          <w:p w14:paraId="3AA92897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24A73D5C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具备应对冠心病的处理能力，养成良好的生活习惯，做好宣教工作。</w:t>
            </w:r>
          </w:p>
          <w:p w14:paraId="2A4A0671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236394C8">
            <w:pPr>
              <w:pStyle w:val="14"/>
              <w:widowControl w:val="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能运用冠心病所学知识预防生活中冠心病的发生发展。</w:t>
            </w:r>
          </w:p>
        </w:tc>
      </w:tr>
      <w:tr w14:paraId="4A9E5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E6C7A42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第十三单元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脑卒中的全科医学处理</w:t>
            </w:r>
          </w:p>
          <w:p w14:paraId="6795DDDE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10E74100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知道脑卒中的发病概况。 </w:t>
            </w:r>
          </w:p>
          <w:p w14:paraId="1D802C68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知道脑卒中的流行病学特征。 </w:t>
            </w:r>
          </w:p>
          <w:p w14:paraId="7CD90001">
            <w:pPr>
              <w:widowControl w:val="0"/>
              <w:snapToGrid w:val="0"/>
              <w:spacing w:line="288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知道脑卒中的常见危险因素。 </w:t>
            </w:r>
          </w:p>
          <w:p w14:paraId="0A47ED6C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1854A1E4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掌握对脑卒中疾病的发病概况、地区分布、流行趋势、危险因素、健康教育等方面认识。 </w:t>
            </w:r>
            <w:r>
              <w:rPr>
                <w:rFonts w:asciiTheme="minorEastAsia" w:hAnsiTheme="minorEastAsia" w:eastAsiaTheme="minorEastAsia" w:cstheme="minorEastAsia"/>
                <w:sz w:val="20"/>
                <w:szCs w:val="20"/>
              </w:rPr>
              <w:t xml:space="preserve"> </w:t>
            </w:r>
          </w:p>
          <w:p w14:paraId="2FCB623B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了解脑卒中疾病的基本知识与危险因素，做到如何通过危险因素从专科前后的社区去处理患者，培养其基层全科处理能力。</w:t>
            </w:r>
          </w:p>
          <w:p w14:paraId="09D3D3CE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0A803492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养成良好的饮食、卫生习惯，确立积极、健康的生活态度。</w:t>
            </w:r>
          </w:p>
          <w:p w14:paraId="68CB4755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0E7D8D52">
            <w:pPr>
              <w:widowControl w:val="0"/>
              <w:snapToGrid w:val="0"/>
              <w:spacing w:line="288" w:lineRule="auto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学会利用所学脑卒中知识与生活中所遇到的情况相结合应对处理。</w:t>
            </w:r>
          </w:p>
        </w:tc>
      </w:tr>
      <w:tr w14:paraId="29FFC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601B016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第十四单元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糖尿病的全科医学处理</w:t>
            </w:r>
          </w:p>
          <w:p w14:paraId="389E3099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45C18C6E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糖尿病的临床表现：典型表现；非典型表现；并发症为重要表现；无临床表现。</w:t>
            </w:r>
          </w:p>
          <w:p w14:paraId="25C96E53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糖尿病诊断标准。</w:t>
            </w:r>
          </w:p>
          <w:p w14:paraId="7879FFAA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糖尿病的分类与分型。</w:t>
            </w:r>
          </w:p>
          <w:p w14:paraId="5549A711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糖尿病的综合治疗。</w:t>
            </w:r>
          </w:p>
          <w:p w14:paraId="02206940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⑤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特殊情况的处理。</w:t>
            </w:r>
          </w:p>
          <w:p w14:paraId="48F48DA8">
            <w:pPr>
              <w:widowControl w:val="0"/>
              <w:snapToGrid w:val="0"/>
              <w:spacing w:line="288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⑥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全科医学在糖尿病防治中的优势。</w:t>
            </w:r>
          </w:p>
          <w:p w14:paraId="72CEE976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6F7D61D2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熟悉全科医师在糖尿病预防和康复过程医疗中的作用。</w:t>
            </w:r>
          </w:p>
          <w:p w14:paraId="48F2AF1E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掌握全科医师在糖尿病诊治过程中职责。</w:t>
            </w:r>
          </w:p>
          <w:p w14:paraId="1F00B969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了解糖尿病患者对全科医学的医疗服务的要求。</w:t>
            </w:r>
          </w:p>
          <w:p w14:paraId="4F42C783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1BEDDE5C">
            <w:pPr>
              <w:widowControl w:val="0"/>
              <w:snapToGrid w:val="0"/>
              <w:spacing w:line="288" w:lineRule="auto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具有尊重服务对象，并保护其隐私的意识。</w:t>
            </w:r>
          </w:p>
          <w:p w14:paraId="5EB7FC9D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5DB0DD19">
            <w:pPr>
              <w:pStyle w:val="14"/>
              <w:widowControl w:val="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能初步运用学过的知识进行预防糖尿病宣教，解释糖尿病的临床表现、治疗方法以及预防措施。</w:t>
            </w:r>
          </w:p>
        </w:tc>
      </w:tr>
      <w:tr w14:paraId="44FA8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3ECF801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第十五单元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精神卫生问题的全科医学处理</w:t>
            </w:r>
          </w:p>
          <w:p w14:paraId="4298F015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129722A9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社区常见精神卫生问题。</w:t>
            </w:r>
          </w:p>
          <w:p w14:paraId="05918FD5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全科医生对精神疾病的识别和处理。</w:t>
            </w:r>
          </w:p>
          <w:p w14:paraId="495B11E6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非精神性障碍的全科医学处理。</w:t>
            </w:r>
          </w:p>
          <w:p w14:paraId="25F472A7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01D6E5D6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掌握常见精神卫生问题（非精神病性障碍），包括暴力、自杀等特殊行为问题的处理技能，以提高全科医疗整体服务水平。</w:t>
            </w:r>
          </w:p>
          <w:p w14:paraId="4650F53A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熟悉各类人群的精神保健、早期识别和及时干预重性精神疾病的防治知识。</w:t>
            </w:r>
          </w:p>
          <w:p w14:paraId="38524E66">
            <w:pPr>
              <w:widowControl w:val="0"/>
              <w:snapToGrid w:val="0"/>
              <w:spacing w:line="288" w:lineRule="auto"/>
              <w:jc w:val="both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了解精神卫生问题的国内外动态、相关概念与精神疾病分类、精神疾病发生发展的影响因素等专业理论。</w:t>
            </w:r>
          </w:p>
          <w:p w14:paraId="4E8D7CD0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69BCF52C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具有对精神卫生相关疾病的预防意识和以人为本、维护健康的职业道德素质。 </w:t>
            </w:r>
          </w:p>
          <w:p w14:paraId="1F933037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13AE3EFF">
            <w:pPr>
              <w:pStyle w:val="14"/>
              <w:widowControl w:val="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能运用所学知识进行预防精神卫生的健康宣教。</w:t>
            </w:r>
          </w:p>
        </w:tc>
      </w:tr>
      <w:tr w14:paraId="5485B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1D94B49E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 xml:space="preserve">第十六单元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重点人群的全科医疗服务</w:t>
            </w:r>
          </w:p>
          <w:p w14:paraId="04092AF0">
            <w:pPr>
              <w:widowControl w:val="0"/>
              <w:snapToGrid w:val="0"/>
              <w:spacing w:line="288" w:lineRule="auto"/>
              <w:jc w:val="both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>
              <w:rPr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核心知识点：</w:t>
            </w:r>
          </w:p>
          <w:p w14:paraId="76DA8DEA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全科医疗与重点人群保健。</w:t>
            </w:r>
          </w:p>
          <w:p w14:paraId="42E4CA77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社区妇女保健和计划生育指导。</w:t>
            </w:r>
          </w:p>
          <w:p w14:paraId="2DDFF696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社区儿童保健。</w:t>
            </w:r>
          </w:p>
          <w:p w14:paraId="3C687906">
            <w:pPr>
              <w:widowControl w:val="0"/>
              <w:snapToGrid w:val="0"/>
              <w:spacing w:line="288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社区老年保健。</w:t>
            </w:r>
          </w:p>
          <w:p w14:paraId="163C4876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6701923A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熟悉儿童期的生理、心理特点、常见的健康问题。</w:t>
            </w:r>
          </w:p>
          <w:p w14:paraId="6AF65251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掌握儿童期保健及妇女保健的重点。</w:t>
            </w:r>
          </w:p>
          <w:p w14:paraId="2A948815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掌握全科医疗中的老年保健。</w:t>
            </w:r>
          </w:p>
          <w:p w14:paraId="1DC9F8CE">
            <w:pPr>
              <w:pStyle w:val="14"/>
              <w:widowControl w:val="0"/>
              <w:jc w:val="left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了解老年人的生理和心理特征。</w:t>
            </w:r>
          </w:p>
          <w:p w14:paraId="7446D643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64525B35">
            <w:pPr>
              <w:pStyle w:val="14"/>
              <w:widowControl w:val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具有在日常生活中对重点人群的防护意识。 </w:t>
            </w:r>
          </w:p>
          <w:p w14:paraId="2EA730FB">
            <w:pPr>
              <w:pStyle w:val="14"/>
              <w:widowControl w:val="0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.</w:t>
            </w:r>
            <w:r>
              <w:rPr>
                <w:rFonts w:hint="eastAsia"/>
                <w:bCs/>
              </w:rPr>
              <w:t>教学难点：</w:t>
            </w:r>
          </w:p>
          <w:p w14:paraId="07A9C0F5">
            <w:pPr>
              <w:widowControl w:val="0"/>
              <w:snapToGrid w:val="0"/>
              <w:spacing w:line="288" w:lineRule="auto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学会能运用所学知识分析重点人群相应疾病的预防与处理方法。</w:t>
            </w:r>
          </w:p>
        </w:tc>
      </w:tr>
      <w:bookmarkEnd w:id="0"/>
      <w:bookmarkEnd w:id="1"/>
    </w:tbl>
    <w:p w14:paraId="0BDE6D91">
      <w:pPr>
        <w:pStyle w:val="17"/>
        <w:spacing w:before="81" w:after="163"/>
      </w:pPr>
      <w:r>
        <w:rPr>
          <w:rFonts w:hint="eastAsia"/>
        </w:rPr>
        <w:t>（二）教学单元对课程目标的支撑关系</w:t>
      </w:r>
    </w:p>
    <w:tbl>
      <w:tblPr>
        <w:tblStyle w:val="7"/>
        <w:tblW w:w="47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3720"/>
        <w:gridCol w:w="1100"/>
        <w:gridCol w:w="1100"/>
        <w:gridCol w:w="1100"/>
        <w:gridCol w:w="1099"/>
      </w:tblGrid>
      <w:tr w14:paraId="053CD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794" w:hRule="atLeast"/>
          <w:jc w:val="center"/>
        </w:trPr>
        <w:tc>
          <w:tcPr>
            <w:tcW w:w="3720" w:type="dxa"/>
            <w:tcBorders>
              <w:top w:val="single" w:color="auto" w:sz="12" w:space="0"/>
              <w:left w:val="single" w:color="auto" w:sz="12" w:space="0"/>
              <w:tl2br w:val="single" w:color="auto" w:sz="4" w:space="0"/>
            </w:tcBorders>
          </w:tcPr>
          <w:p w14:paraId="58B8021B">
            <w:pPr>
              <w:pStyle w:val="13"/>
              <w:ind w:firstLine="489"/>
              <w:jc w:val="right"/>
              <w:rPr>
                <w:szCs w:val="16"/>
              </w:rPr>
            </w:pPr>
            <w:r>
              <w:rPr>
                <w:rFonts w:hint="eastAsia"/>
                <w:szCs w:val="16"/>
              </w:rPr>
              <w:t>课程目标</w:t>
            </w:r>
          </w:p>
          <w:p w14:paraId="563E53AB">
            <w:pPr>
              <w:pStyle w:val="13"/>
              <w:ind w:right="210"/>
              <w:jc w:val="left"/>
              <w:rPr>
                <w:rFonts w:hint="eastAsia"/>
                <w:szCs w:val="16"/>
              </w:rPr>
            </w:pPr>
          </w:p>
          <w:p w14:paraId="415A6D99">
            <w:pPr>
              <w:pStyle w:val="13"/>
              <w:ind w:right="210"/>
              <w:jc w:val="left"/>
              <w:rPr>
                <w:szCs w:val="16"/>
              </w:rPr>
            </w:pPr>
            <w:r>
              <w:rPr>
                <w:rFonts w:hint="eastAsia"/>
                <w:szCs w:val="16"/>
              </w:rPr>
              <w:t>教学单元</w:t>
            </w:r>
          </w:p>
        </w:tc>
        <w:tc>
          <w:tcPr>
            <w:tcW w:w="1100" w:type="dxa"/>
            <w:tcBorders>
              <w:top w:val="single" w:color="auto" w:sz="12" w:space="0"/>
            </w:tcBorders>
            <w:vAlign w:val="center"/>
          </w:tcPr>
          <w:p w14:paraId="6A097C4C">
            <w:pPr>
              <w:pStyle w:val="13"/>
              <w:rPr>
                <w:rFonts w:hint="eastAsia" w:eastAsia="黑体"/>
                <w:szCs w:val="16"/>
                <w:lang w:val="en-US" w:eastAsia="zh-CN"/>
              </w:rPr>
            </w:pPr>
            <w:r>
              <w:rPr>
                <w:rFonts w:hint="eastAsia"/>
                <w:szCs w:val="16"/>
                <w:lang w:val="en-US" w:eastAsia="zh-CN"/>
              </w:rPr>
              <w:t>1</w:t>
            </w:r>
          </w:p>
        </w:tc>
        <w:tc>
          <w:tcPr>
            <w:tcW w:w="1100" w:type="dxa"/>
            <w:tcBorders>
              <w:top w:val="single" w:color="auto" w:sz="12" w:space="0"/>
            </w:tcBorders>
            <w:vAlign w:val="center"/>
          </w:tcPr>
          <w:p w14:paraId="3B28AF6B">
            <w:pPr>
              <w:pStyle w:val="13"/>
              <w:rPr>
                <w:rFonts w:hint="eastAsia" w:eastAsia="黑体"/>
                <w:szCs w:val="16"/>
                <w:lang w:val="en-US" w:eastAsia="zh-CN"/>
              </w:rPr>
            </w:pPr>
            <w:r>
              <w:rPr>
                <w:rFonts w:hint="eastAsia"/>
                <w:szCs w:val="16"/>
                <w:lang w:val="en-US" w:eastAsia="zh-CN"/>
              </w:rPr>
              <w:t>2</w:t>
            </w:r>
          </w:p>
        </w:tc>
        <w:tc>
          <w:tcPr>
            <w:tcW w:w="1100" w:type="dxa"/>
            <w:tcBorders>
              <w:top w:val="single" w:color="auto" w:sz="12" w:space="0"/>
            </w:tcBorders>
            <w:vAlign w:val="center"/>
          </w:tcPr>
          <w:p w14:paraId="68372E25">
            <w:pPr>
              <w:pStyle w:val="13"/>
              <w:rPr>
                <w:rFonts w:hint="eastAsia" w:eastAsia="黑体"/>
                <w:szCs w:val="16"/>
                <w:lang w:val="en-US" w:eastAsia="zh-CN"/>
              </w:rPr>
            </w:pPr>
            <w:r>
              <w:rPr>
                <w:rFonts w:hint="eastAsia"/>
                <w:szCs w:val="16"/>
                <w:lang w:val="en-US" w:eastAsia="zh-CN"/>
              </w:rPr>
              <w:t>3</w:t>
            </w:r>
          </w:p>
        </w:tc>
        <w:tc>
          <w:tcPr>
            <w:tcW w:w="1099" w:type="dxa"/>
            <w:tcBorders>
              <w:top w:val="single" w:color="auto" w:sz="12" w:space="0"/>
            </w:tcBorders>
            <w:vAlign w:val="center"/>
          </w:tcPr>
          <w:p w14:paraId="7E565BF3">
            <w:pPr>
              <w:pStyle w:val="13"/>
              <w:rPr>
                <w:rFonts w:hint="eastAsia" w:eastAsia="黑体"/>
                <w:szCs w:val="16"/>
                <w:lang w:val="en-US" w:eastAsia="zh-CN"/>
              </w:rPr>
            </w:pPr>
            <w:r>
              <w:rPr>
                <w:rFonts w:hint="eastAsia"/>
                <w:szCs w:val="16"/>
                <w:lang w:val="en-US" w:eastAsia="zh-CN"/>
              </w:rPr>
              <w:t>4</w:t>
            </w:r>
          </w:p>
        </w:tc>
      </w:tr>
      <w:tr w14:paraId="239C7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3DD7DA0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第一单元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全科医学概述</w:t>
            </w:r>
          </w:p>
          <w:p w14:paraId="5CA68E2A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00" w:type="dxa"/>
            <w:vAlign w:val="center"/>
          </w:tcPr>
          <w:p w14:paraId="377B0622">
            <w:pPr>
              <w:pStyle w:val="14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vAlign w:val="center"/>
          </w:tcPr>
          <w:p w14:paraId="081D2137">
            <w:pPr>
              <w:pStyle w:val="14"/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vAlign w:val="center"/>
          </w:tcPr>
          <w:p w14:paraId="2745D32D">
            <w:pPr>
              <w:pStyle w:val="14"/>
            </w:pPr>
          </w:p>
        </w:tc>
        <w:tc>
          <w:tcPr>
            <w:tcW w:w="1099" w:type="dxa"/>
            <w:vAlign w:val="center"/>
          </w:tcPr>
          <w:p w14:paraId="70E1FD4A">
            <w:pPr>
              <w:pStyle w:val="14"/>
            </w:pPr>
          </w:p>
        </w:tc>
      </w:tr>
      <w:tr w14:paraId="027D0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7493DC6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第二单元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全科医学的基本原则与特点</w:t>
            </w:r>
          </w:p>
        </w:tc>
        <w:tc>
          <w:tcPr>
            <w:tcW w:w="1100" w:type="dxa"/>
            <w:vAlign w:val="center"/>
          </w:tcPr>
          <w:p w14:paraId="527A24E5">
            <w:pPr>
              <w:pStyle w:val="14"/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055ABBD2">
            <w:pPr>
              <w:pStyle w:val="14"/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081CBEA">
            <w:pPr>
              <w:pStyle w:val="14"/>
              <w:rPr>
                <w:rFonts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099" w:type="dxa"/>
            <w:vAlign w:val="center"/>
          </w:tcPr>
          <w:p w14:paraId="5D81E221">
            <w:pPr>
              <w:pStyle w:val="14"/>
            </w:pPr>
          </w:p>
        </w:tc>
      </w:tr>
      <w:tr w14:paraId="74037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86DB7CD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第三单元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以人为中心的健康照顾</w:t>
            </w:r>
          </w:p>
        </w:tc>
        <w:tc>
          <w:tcPr>
            <w:tcW w:w="1100" w:type="dxa"/>
            <w:vAlign w:val="center"/>
          </w:tcPr>
          <w:p w14:paraId="6CDAF01F">
            <w:pPr>
              <w:pStyle w:val="14"/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2EE00EDB">
            <w:pPr>
              <w:pStyle w:val="14"/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3766CBD">
            <w:pPr>
              <w:pStyle w:val="14"/>
              <w:rPr>
                <w:rFonts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099" w:type="dxa"/>
            <w:vAlign w:val="center"/>
          </w:tcPr>
          <w:p w14:paraId="223E8024">
            <w:pPr>
              <w:pStyle w:val="14"/>
            </w:pPr>
          </w:p>
        </w:tc>
      </w:tr>
      <w:tr w14:paraId="08A79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365DBCD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第四单元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以家庭为单位的健康照顾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4153667">
            <w:pPr>
              <w:pStyle w:val="14"/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3F99A13">
            <w:pPr>
              <w:pStyle w:val="14"/>
              <w:rPr>
                <w:rFonts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vAlign w:val="center"/>
          </w:tcPr>
          <w:p w14:paraId="35D92DFD">
            <w:pPr>
              <w:pStyle w:val="14"/>
            </w:pPr>
          </w:p>
        </w:tc>
        <w:tc>
          <w:tcPr>
            <w:tcW w:w="1099" w:type="dxa"/>
            <w:vAlign w:val="center"/>
          </w:tcPr>
          <w:p w14:paraId="5C3B8712">
            <w:pPr>
              <w:pStyle w:val="14"/>
            </w:pPr>
          </w:p>
        </w:tc>
      </w:tr>
      <w:tr w14:paraId="6DD02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DF93C30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第五单元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以社区为范围的健康照顾</w:t>
            </w:r>
          </w:p>
        </w:tc>
        <w:tc>
          <w:tcPr>
            <w:tcW w:w="1100" w:type="dxa"/>
            <w:vAlign w:val="center"/>
          </w:tcPr>
          <w:p w14:paraId="6133143F">
            <w:pPr>
              <w:pStyle w:val="14"/>
            </w:pPr>
          </w:p>
        </w:tc>
        <w:tc>
          <w:tcPr>
            <w:tcW w:w="1100" w:type="dxa"/>
            <w:vAlign w:val="center"/>
          </w:tcPr>
          <w:p w14:paraId="0369FB2E">
            <w:pPr>
              <w:pStyle w:val="14"/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12D2B1B3">
            <w:pPr>
              <w:pStyle w:val="14"/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80473D7">
            <w:pPr>
              <w:pStyle w:val="14"/>
              <w:rPr>
                <w:rFonts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</w:tr>
      <w:tr w14:paraId="5CF1E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A449E98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第六单元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以预防为先导的健康照顾</w:t>
            </w:r>
          </w:p>
        </w:tc>
        <w:tc>
          <w:tcPr>
            <w:tcW w:w="1100" w:type="dxa"/>
            <w:vAlign w:val="center"/>
          </w:tcPr>
          <w:p w14:paraId="45FC7FBA">
            <w:pPr>
              <w:pStyle w:val="14"/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6F2A4B05">
            <w:pPr>
              <w:pStyle w:val="14"/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E10C9DB">
            <w:pPr>
              <w:pStyle w:val="14"/>
              <w:rPr>
                <w:rFonts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099" w:type="dxa"/>
            <w:vAlign w:val="center"/>
          </w:tcPr>
          <w:p w14:paraId="24AC6560">
            <w:pPr>
              <w:pStyle w:val="14"/>
            </w:pPr>
          </w:p>
        </w:tc>
      </w:tr>
      <w:tr w14:paraId="47E6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DC63E3D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第七单元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健康评价与健康管理</w:t>
            </w:r>
          </w:p>
        </w:tc>
        <w:tc>
          <w:tcPr>
            <w:tcW w:w="1100" w:type="dxa"/>
            <w:vAlign w:val="center"/>
          </w:tcPr>
          <w:p w14:paraId="30395760">
            <w:pPr>
              <w:pStyle w:val="14"/>
            </w:pPr>
          </w:p>
        </w:tc>
        <w:tc>
          <w:tcPr>
            <w:tcW w:w="1100" w:type="dxa"/>
            <w:vAlign w:val="center"/>
          </w:tcPr>
          <w:p w14:paraId="1583F73E">
            <w:pPr>
              <w:pStyle w:val="14"/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26234FF3">
            <w:pPr>
              <w:pStyle w:val="14"/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63A046C">
            <w:pPr>
              <w:pStyle w:val="14"/>
              <w:rPr>
                <w:rFonts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</w:tr>
      <w:tr w14:paraId="7DE5C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610CB1E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第八单元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心脑血管疾病的全科医学处理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3491B7F">
            <w:pPr>
              <w:pStyle w:val="14"/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32A1DD8">
            <w:pPr>
              <w:pStyle w:val="14"/>
              <w:rPr>
                <w:rFonts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vAlign w:val="center"/>
          </w:tcPr>
          <w:p w14:paraId="5C1DE1A4">
            <w:pPr>
              <w:pStyle w:val="14"/>
            </w:pPr>
          </w:p>
        </w:tc>
        <w:tc>
          <w:tcPr>
            <w:tcW w:w="1099" w:type="dxa"/>
            <w:vAlign w:val="center"/>
          </w:tcPr>
          <w:p w14:paraId="173BFC7A">
            <w:pPr>
              <w:pStyle w:val="14"/>
            </w:pPr>
          </w:p>
        </w:tc>
      </w:tr>
      <w:tr w14:paraId="62B34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C05736D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第九单元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恶性肿瘤的全科医学处理</w:t>
            </w:r>
          </w:p>
        </w:tc>
        <w:tc>
          <w:tcPr>
            <w:tcW w:w="1100" w:type="dxa"/>
            <w:vAlign w:val="center"/>
          </w:tcPr>
          <w:p w14:paraId="20FC8D6C">
            <w:pPr>
              <w:pStyle w:val="14"/>
            </w:pPr>
          </w:p>
        </w:tc>
        <w:tc>
          <w:tcPr>
            <w:tcW w:w="1100" w:type="dxa"/>
            <w:vAlign w:val="center"/>
          </w:tcPr>
          <w:p w14:paraId="7C4BB68F">
            <w:pPr>
              <w:pStyle w:val="14"/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042F6B3E">
            <w:pPr>
              <w:pStyle w:val="14"/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170F3D0">
            <w:pPr>
              <w:pStyle w:val="14"/>
              <w:rPr>
                <w:rFonts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</w:tr>
      <w:tr w14:paraId="1DF5F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BE95A9E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呼吸系统疾病的全科医学处理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B67D86F">
            <w:pPr>
              <w:pStyle w:val="14"/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877BBC4">
            <w:pPr>
              <w:pStyle w:val="14"/>
              <w:rPr>
                <w:rFonts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vAlign w:val="center"/>
          </w:tcPr>
          <w:p w14:paraId="09748DA1">
            <w:pPr>
              <w:pStyle w:val="14"/>
            </w:pPr>
          </w:p>
        </w:tc>
        <w:tc>
          <w:tcPr>
            <w:tcW w:w="1099" w:type="dxa"/>
            <w:vAlign w:val="center"/>
          </w:tcPr>
          <w:p w14:paraId="47D050B4">
            <w:pPr>
              <w:pStyle w:val="14"/>
            </w:pPr>
          </w:p>
        </w:tc>
      </w:tr>
      <w:tr w14:paraId="10FD3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78C2C39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第十一单元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高血压的全科医学处理</w:t>
            </w:r>
          </w:p>
        </w:tc>
        <w:tc>
          <w:tcPr>
            <w:tcW w:w="1100" w:type="dxa"/>
            <w:vAlign w:val="center"/>
          </w:tcPr>
          <w:p w14:paraId="6836A88E">
            <w:pPr>
              <w:pStyle w:val="14"/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42AEE1CA">
            <w:pPr>
              <w:pStyle w:val="14"/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D62B2DF">
            <w:pPr>
              <w:pStyle w:val="14"/>
              <w:rPr>
                <w:rFonts w:ascii="Times New Roman" w:hAnsi="Times New Roman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099" w:type="dxa"/>
            <w:vAlign w:val="center"/>
          </w:tcPr>
          <w:p w14:paraId="6DB5D5B8">
            <w:pPr>
              <w:pStyle w:val="14"/>
            </w:pPr>
          </w:p>
        </w:tc>
      </w:tr>
      <w:tr w14:paraId="29AE3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E7EA41A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第十二单元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冠心病的全科医学处理</w:t>
            </w:r>
          </w:p>
        </w:tc>
        <w:tc>
          <w:tcPr>
            <w:tcW w:w="1100" w:type="dxa"/>
            <w:vAlign w:val="center"/>
          </w:tcPr>
          <w:p w14:paraId="49F1A649">
            <w:pPr>
              <w:pStyle w:val="14"/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vAlign w:val="center"/>
          </w:tcPr>
          <w:p w14:paraId="433FBA0B">
            <w:pPr>
              <w:pStyle w:val="14"/>
            </w:pPr>
          </w:p>
        </w:tc>
        <w:tc>
          <w:tcPr>
            <w:tcW w:w="1100" w:type="dxa"/>
            <w:vAlign w:val="center"/>
          </w:tcPr>
          <w:p w14:paraId="7278B3FE">
            <w:pPr>
              <w:pStyle w:val="14"/>
            </w:pPr>
          </w:p>
        </w:tc>
        <w:tc>
          <w:tcPr>
            <w:tcW w:w="1099" w:type="dxa"/>
            <w:vAlign w:val="center"/>
          </w:tcPr>
          <w:p w14:paraId="5EA37FA3">
            <w:pPr>
              <w:pStyle w:val="14"/>
            </w:pPr>
          </w:p>
        </w:tc>
      </w:tr>
      <w:tr w14:paraId="36C66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7C77334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第十三单元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脑卒中的全科医学处理</w:t>
            </w:r>
          </w:p>
        </w:tc>
        <w:tc>
          <w:tcPr>
            <w:tcW w:w="1100" w:type="dxa"/>
            <w:vAlign w:val="center"/>
          </w:tcPr>
          <w:p w14:paraId="1717711E">
            <w:pPr>
              <w:pStyle w:val="14"/>
            </w:pPr>
          </w:p>
        </w:tc>
        <w:tc>
          <w:tcPr>
            <w:tcW w:w="1100" w:type="dxa"/>
            <w:vAlign w:val="center"/>
          </w:tcPr>
          <w:p w14:paraId="632C6C9C">
            <w:pPr>
              <w:pStyle w:val="14"/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100" w:type="dxa"/>
            <w:vAlign w:val="center"/>
          </w:tcPr>
          <w:p w14:paraId="482F6C28">
            <w:pPr>
              <w:pStyle w:val="14"/>
            </w:pPr>
          </w:p>
        </w:tc>
        <w:tc>
          <w:tcPr>
            <w:tcW w:w="1099" w:type="dxa"/>
            <w:vAlign w:val="center"/>
          </w:tcPr>
          <w:p w14:paraId="651FD85A">
            <w:pPr>
              <w:pStyle w:val="14"/>
            </w:pPr>
          </w:p>
        </w:tc>
      </w:tr>
      <w:tr w14:paraId="64A27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7FA2083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第十四单元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糖尿病的全科医学处理</w:t>
            </w:r>
          </w:p>
        </w:tc>
        <w:tc>
          <w:tcPr>
            <w:tcW w:w="1100" w:type="dxa"/>
            <w:vAlign w:val="center"/>
          </w:tcPr>
          <w:p w14:paraId="2A968BEE">
            <w:pPr>
              <w:pStyle w:val="14"/>
            </w:pPr>
          </w:p>
        </w:tc>
        <w:tc>
          <w:tcPr>
            <w:tcW w:w="1100" w:type="dxa"/>
            <w:vAlign w:val="center"/>
          </w:tcPr>
          <w:p w14:paraId="1B612518">
            <w:pPr>
              <w:pStyle w:val="14"/>
            </w:pPr>
          </w:p>
        </w:tc>
        <w:tc>
          <w:tcPr>
            <w:tcW w:w="1100" w:type="dxa"/>
            <w:vAlign w:val="center"/>
          </w:tcPr>
          <w:p w14:paraId="04DD0441">
            <w:pPr>
              <w:pStyle w:val="14"/>
            </w:pPr>
            <w:r>
              <w:rPr>
                <w:rFonts w:hint="eastAsia"/>
                <w:lang w:val="en-US" w:eastAsia="zh-CN"/>
              </w:rPr>
              <w:t>√</w:t>
            </w:r>
          </w:p>
        </w:tc>
        <w:tc>
          <w:tcPr>
            <w:tcW w:w="1099" w:type="dxa"/>
            <w:vAlign w:val="center"/>
          </w:tcPr>
          <w:p w14:paraId="335BB649">
            <w:pPr>
              <w:pStyle w:val="14"/>
            </w:pPr>
          </w:p>
        </w:tc>
      </w:tr>
      <w:tr w14:paraId="13129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416469B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第十五单元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精神卫生问题的全科医学处理</w:t>
            </w:r>
          </w:p>
        </w:tc>
        <w:tc>
          <w:tcPr>
            <w:tcW w:w="1100" w:type="dxa"/>
            <w:vAlign w:val="center"/>
          </w:tcPr>
          <w:p w14:paraId="05F5A19C">
            <w:pPr>
              <w:pStyle w:val="14"/>
            </w:pPr>
          </w:p>
        </w:tc>
        <w:tc>
          <w:tcPr>
            <w:tcW w:w="1100" w:type="dxa"/>
            <w:vAlign w:val="center"/>
          </w:tcPr>
          <w:p w14:paraId="571466A0">
            <w:pPr>
              <w:pStyle w:val="14"/>
            </w:pPr>
          </w:p>
        </w:tc>
        <w:tc>
          <w:tcPr>
            <w:tcW w:w="1100" w:type="dxa"/>
            <w:vAlign w:val="center"/>
          </w:tcPr>
          <w:p w14:paraId="61B59E00">
            <w:pPr>
              <w:pStyle w:val="14"/>
            </w:pPr>
          </w:p>
        </w:tc>
        <w:tc>
          <w:tcPr>
            <w:tcW w:w="1099" w:type="dxa"/>
            <w:vAlign w:val="center"/>
          </w:tcPr>
          <w:p w14:paraId="2B178613">
            <w:pPr>
              <w:pStyle w:val="14"/>
            </w:pPr>
            <w:r>
              <w:rPr>
                <w:rFonts w:hint="eastAsia"/>
                <w:lang w:val="en-US" w:eastAsia="zh-CN"/>
              </w:rPr>
              <w:t>√</w:t>
            </w:r>
          </w:p>
        </w:tc>
      </w:tr>
      <w:tr w14:paraId="01249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3720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5D957AA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第十六单元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重点人群的全科医疗服务</w:t>
            </w:r>
          </w:p>
        </w:tc>
        <w:tc>
          <w:tcPr>
            <w:tcW w:w="1100" w:type="dxa"/>
            <w:vAlign w:val="center"/>
          </w:tcPr>
          <w:p w14:paraId="548920AD">
            <w:pPr>
              <w:pStyle w:val="14"/>
            </w:pPr>
          </w:p>
        </w:tc>
        <w:tc>
          <w:tcPr>
            <w:tcW w:w="1100" w:type="dxa"/>
            <w:vAlign w:val="center"/>
          </w:tcPr>
          <w:p w14:paraId="5C192635">
            <w:pPr>
              <w:pStyle w:val="14"/>
            </w:pPr>
          </w:p>
        </w:tc>
        <w:tc>
          <w:tcPr>
            <w:tcW w:w="1100" w:type="dxa"/>
            <w:vAlign w:val="center"/>
          </w:tcPr>
          <w:p w14:paraId="5E7B0C97">
            <w:pPr>
              <w:pStyle w:val="14"/>
            </w:pPr>
          </w:p>
        </w:tc>
        <w:tc>
          <w:tcPr>
            <w:tcW w:w="1099" w:type="dxa"/>
            <w:vAlign w:val="center"/>
          </w:tcPr>
          <w:p w14:paraId="1465FD4F">
            <w:pPr>
              <w:pStyle w:val="14"/>
            </w:pPr>
            <w:r>
              <w:rPr>
                <w:rFonts w:hint="eastAsia"/>
                <w:lang w:val="en-US" w:eastAsia="zh-CN"/>
              </w:rPr>
              <w:t>√</w:t>
            </w:r>
          </w:p>
        </w:tc>
      </w:tr>
    </w:tbl>
    <w:p w14:paraId="632EBB23">
      <w:pPr>
        <w:pStyle w:val="17"/>
        <w:spacing w:before="326" w:beforeLines="100" w:after="163"/>
      </w:pPr>
      <w:r>
        <w:rPr>
          <w:rFonts w:hint="eastAsia"/>
        </w:rPr>
        <w:t>（三）课程教学方法与学时分配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85" w:type="dxa"/>
          <w:bottom w:w="0" w:type="dxa"/>
          <w:right w:w="85" w:type="dxa"/>
        </w:tblCellMar>
      </w:tblPr>
      <w:tblGrid>
        <w:gridCol w:w="1872"/>
        <w:gridCol w:w="2755"/>
        <w:gridCol w:w="1738"/>
        <w:gridCol w:w="725"/>
        <w:gridCol w:w="669"/>
        <w:gridCol w:w="717"/>
      </w:tblGrid>
      <w:tr w14:paraId="5D0B0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872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DA74E1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教学单元</w:t>
            </w:r>
          </w:p>
        </w:tc>
        <w:tc>
          <w:tcPr>
            <w:tcW w:w="2755" w:type="dxa"/>
            <w:vMerge w:val="restart"/>
            <w:tcBorders>
              <w:top w:val="single" w:color="auto" w:sz="12" w:space="0"/>
            </w:tcBorders>
            <w:vAlign w:val="center"/>
          </w:tcPr>
          <w:p w14:paraId="23F5A526">
            <w:pPr>
              <w:pStyle w:val="13"/>
              <w:widowControl w:val="0"/>
              <w:rPr>
                <w:szCs w:val="21"/>
              </w:rPr>
            </w:pPr>
            <w:r>
              <w:rPr>
                <w:rFonts w:hint="eastAsia" w:ascii="黑体" w:hAnsi="黑体"/>
                <w:szCs w:val="21"/>
              </w:rPr>
              <w:t>教与学方式</w:t>
            </w:r>
          </w:p>
        </w:tc>
        <w:tc>
          <w:tcPr>
            <w:tcW w:w="1738" w:type="dxa"/>
            <w:vMerge w:val="restart"/>
            <w:tcBorders>
              <w:top w:val="single" w:color="auto" w:sz="12" w:space="0"/>
            </w:tcBorders>
            <w:vAlign w:val="center"/>
          </w:tcPr>
          <w:p w14:paraId="07F78C4D">
            <w:pPr>
              <w:pStyle w:val="13"/>
              <w:widowControl w:val="0"/>
              <w:rPr>
                <w:rFonts w:ascii="黑体" w:hAnsi="黑体"/>
                <w:szCs w:val="21"/>
              </w:rPr>
            </w:pPr>
            <w:r>
              <w:rPr>
                <w:rFonts w:hint="eastAsia" w:ascii="黑体" w:hAnsi="黑体"/>
                <w:szCs w:val="21"/>
              </w:rPr>
              <w:t>考核方式</w:t>
            </w:r>
          </w:p>
        </w:tc>
        <w:tc>
          <w:tcPr>
            <w:tcW w:w="2111" w:type="dxa"/>
            <w:gridSpan w:val="3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BFA7C2">
            <w:pPr>
              <w:pStyle w:val="13"/>
              <w:widowControl w:val="0"/>
              <w:rPr>
                <w:rFonts w:ascii="黑体" w:hAnsi="黑体"/>
                <w:szCs w:val="21"/>
              </w:rPr>
            </w:pPr>
            <w:r>
              <w:rPr>
                <w:rFonts w:hint="eastAsia" w:ascii="黑体" w:hAnsi="黑体"/>
                <w:szCs w:val="21"/>
              </w:rPr>
              <w:t>学时</w:t>
            </w:r>
            <w:r>
              <w:rPr>
                <w:rFonts w:hint="eastAsia" w:ascii="黑体" w:hAnsi="黑体"/>
                <w:bCs w:val="0"/>
                <w:szCs w:val="21"/>
              </w:rPr>
              <w:t>分配</w:t>
            </w:r>
          </w:p>
        </w:tc>
      </w:tr>
      <w:tr w14:paraId="42D13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872" w:type="dxa"/>
            <w:vMerge w:val="continue"/>
            <w:tcBorders>
              <w:left w:val="single" w:color="auto" w:sz="12" w:space="0"/>
            </w:tcBorders>
          </w:tcPr>
          <w:p w14:paraId="1B6C32EC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</w:p>
        </w:tc>
        <w:tc>
          <w:tcPr>
            <w:tcW w:w="2755" w:type="dxa"/>
            <w:vMerge w:val="continue"/>
          </w:tcPr>
          <w:p w14:paraId="0E2815EE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</w:p>
        </w:tc>
        <w:tc>
          <w:tcPr>
            <w:tcW w:w="1738" w:type="dxa"/>
            <w:vMerge w:val="continue"/>
          </w:tcPr>
          <w:p w14:paraId="1B742D55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14:paraId="14E3C834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理论</w:t>
            </w:r>
          </w:p>
        </w:tc>
        <w:tc>
          <w:tcPr>
            <w:tcW w:w="669" w:type="dxa"/>
            <w:vAlign w:val="center"/>
          </w:tcPr>
          <w:p w14:paraId="17E760A0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实践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vAlign w:val="center"/>
          </w:tcPr>
          <w:p w14:paraId="26E626BD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小计</w:t>
            </w:r>
          </w:p>
        </w:tc>
      </w:tr>
      <w:tr w14:paraId="64368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2E51549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第一单元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全科医学概述</w:t>
            </w:r>
          </w:p>
          <w:p w14:paraId="7BFC93D2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2C33349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直接教学法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47E1C6F6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过程测验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739110D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FBCC9F4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02E2662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</w:tr>
      <w:tr w14:paraId="6F486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EF2E3BE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第二单元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全科医学的基本原则与特点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6E23474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直接教学法</w:t>
            </w:r>
          </w:p>
          <w:p w14:paraId="534C3FB7">
            <w:pPr>
              <w:widowControl w:val="0"/>
              <w:snapToGrid w:val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791C195B">
            <w:pPr>
              <w:widowControl w:val="0"/>
              <w:snapToGrid w:val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课堂小测验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ECCA96F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0C09662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CDD0CE0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</w:tr>
      <w:tr w14:paraId="6214B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8C8F4F7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第三单元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以人为中心的健康照顾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4327285">
            <w:pPr>
              <w:widowControl w:val="0"/>
              <w:snapToGrid w:val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讨论教学法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553776FF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课堂小测验</w:t>
            </w:r>
          </w:p>
          <w:p w14:paraId="398F32CC">
            <w:pPr>
              <w:widowControl w:val="0"/>
              <w:snapToGrid w:val="0"/>
              <w:jc w:val="center"/>
              <w:rPr>
                <w:rFonts w:ascii="Times New Roman" w:hAnsi="Times New Roman" w:eastAsia="宋体" w:cs="宋体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平时表现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7B88C1B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6F3E3FF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5D21A94B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14:paraId="13C82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EED6460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第四单元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以家庭为单位的健康照顾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131BA15D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直接教学法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5AF55343">
            <w:pPr>
              <w:widowControl w:val="0"/>
              <w:snapToGrid w:val="0"/>
              <w:jc w:val="center"/>
              <w:rPr>
                <w:rFonts w:ascii="Times New Roman" w:hAnsi="Times New Roman" w:eastAsia="宋体" w:cs="宋体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过程测验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791E34E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30534FE4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24EDA61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14:paraId="53710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7C6C6BB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第五单元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以社区为范围的健康照顾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6FB24B6">
            <w:pPr>
              <w:widowControl w:val="0"/>
              <w:snapToGrid w:val="0"/>
              <w:jc w:val="center"/>
              <w:rPr>
                <w:rFonts w:ascii="Times New Roman" w:hAnsi="Times New Roman" w:eastAsia="宋体" w:cs="宋体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个案教学法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5356C7D2">
            <w:pPr>
              <w:widowControl w:val="0"/>
              <w:snapToGrid w:val="0"/>
              <w:jc w:val="center"/>
              <w:rPr>
                <w:rFonts w:ascii="Times New Roman" w:hAnsi="Times New Roman" w:eastAsia="宋体" w:cs="宋体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课堂小测验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D8DBF81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306BC07F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CE4CBC4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14:paraId="624CE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60EF715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第六单元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以预防为先导的健康照顾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24F4BB66">
            <w:pPr>
              <w:widowControl w:val="0"/>
              <w:snapToGrid w:val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讨论教学法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640ACEF4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课堂小测验</w:t>
            </w:r>
          </w:p>
          <w:p w14:paraId="59538FE9">
            <w:pPr>
              <w:widowControl w:val="0"/>
              <w:snapToGrid w:val="0"/>
              <w:jc w:val="center"/>
              <w:rPr>
                <w:rFonts w:ascii="Times New Roman" w:hAnsi="Times New Roman" w:eastAsia="宋体" w:cs="宋体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平时表现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C0CD3DF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3F0B950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B71F526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14:paraId="10A3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09F178A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第七单元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健康评价与健康管理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C0CCAF7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直接教学法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486152F1">
            <w:pPr>
              <w:widowControl w:val="0"/>
              <w:snapToGrid w:val="0"/>
              <w:jc w:val="center"/>
              <w:rPr>
                <w:rFonts w:ascii="Times New Roman" w:hAnsi="Times New Roman" w:eastAsia="宋体" w:cs="宋体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过程测验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C938BD5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70AA20FF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216EFD9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14:paraId="31A12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9F3086E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第八单元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心脑血管疾病的全科医学处理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240C2ABA">
            <w:pPr>
              <w:widowControl w:val="0"/>
              <w:snapToGrid w:val="0"/>
              <w:jc w:val="center"/>
              <w:rPr>
                <w:rFonts w:ascii="Times New Roman" w:hAnsi="Times New Roman" w:eastAsia="宋体" w:cs="宋体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个案教学法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126C5743">
            <w:pPr>
              <w:widowControl w:val="0"/>
              <w:snapToGrid w:val="0"/>
              <w:jc w:val="center"/>
              <w:rPr>
                <w:rFonts w:ascii="Times New Roman" w:hAnsi="Times New Roman" w:eastAsia="宋体" w:cs="宋体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课堂小测验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54FF340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71AD156A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2D4B0BA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14:paraId="264BB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C387D84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第九单元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恶性肿瘤的全科医学处理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2BEEEE8E">
            <w:pPr>
              <w:widowControl w:val="0"/>
              <w:snapToGrid w:val="0"/>
              <w:jc w:val="center"/>
              <w:rPr>
                <w:rFonts w:ascii="Times New Roman" w:hAnsi="Times New Roman" w:eastAsia="宋体" w:cs="宋体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讨论教学法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33D30BB3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课堂小测验</w:t>
            </w:r>
          </w:p>
          <w:p w14:paraId="7C583368">
            <w:pPr>
              <w:widowControl w:val="0"/>
              <w:snapToGrid w:val="0"/>
              <w:jc w:val="center"/>
              <w:rPr>
                <w:rFonts w:ascii="Times New Roman" w:hAnsi="Times New Roman" w:eastAsia="宋体" w:cs="宋体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平时表现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C94ABD4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32588CD2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8D1496C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</w:tr>
      <w:tr w14:paraId="09770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DF72FCB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呼吸系统疾病的全科医学处理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6DB26E10">
            <w:pPr>
              <w:widowControl w:val="0"/>
              <w:snapToGrid w:val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讨论教学法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E0D0141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过程测验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43EB3FB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9AA2159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E063C2C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14:paraId="6706D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211F3EA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第十一单元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高血压的全科医学处理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6E1428F8">
            <w:pPr>
              <w:widowControl w:val="0"/>
              <w:snapToGrid w:val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直接教学法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1F66E29D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过程测验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52A2E4C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89770C5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3AB15EE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14:paraId="73D49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973F703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第十二单元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冠心病的全科医学处理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68615908">
            <w:pPr>
              <w:widowControl w:val="0"/>
              <w:snapToGrid w:val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个案教学法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1CCEFBBD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过程测验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DADBD2B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66FCE8F6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6EDF6AF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14:paraId="6F34F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36E19EA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第十三单元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脑卒中的全科医学处理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183C5C57">
            <w:pPr>
              <w:widowControl w:val="0"/>
              <w:snapToGrid w:val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讨论教学法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1A981E42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过程测验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EB3A3E3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60DEBBF8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4704B82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</w:p>
        </w:tc>
      </w:tr>
      <w:tr w14:paraId="649B5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7FC30CE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第十四单元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糖尿病的全科医学处理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293FC0BF">
            <w:pPr>
              <w:widowControl w:val="0"/>
              <w:snapToGrid w:val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直接教学法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28A46CA2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过程测验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B2500D6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3FB0B0A7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F77458F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14:paraId="7F789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BA870FB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第十五单元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精神卫生问题的全科医学处理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7091BCF">
            <w:pPr>
              <w:widowControl w:val="0"/>
              <w:snapToGrid w:val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直接教学法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10E5EFB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过程测验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C3FAD55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7175AA8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5690320">
            <w:pPr>
              <w:widowControl w:val="0"/>
              <w:snapToGrid w:val="0"/>
              <w:jc w:val="center"/>
              <w:rPr>
                <w:rFonts w:ascii="宋体" w:hAnsi="宋体" w:eastAsia="宋体" w:cs="宋体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</w:tr>
      <w:tr w14:paraId="091F9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3BF9287">
            <w:pPr>
              <w:widowControl w:val="0"/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第十六单元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重点人群的全科医疗服务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7B7553A">
            <w:pPr>
              <w:widowControl w:val="0"/>
              <w:snapToGrid w:val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直接教学法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248813B6">
            <w:pPr>
              <w:widowControl w:val="0"/>
              <w:snapToGrid w:val="0"/>
              <w:spacing w:line="288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过程测验</w:t>
            </w:r>
          </w:p>
        </w:tc>
        <w:tc>
          <w:tcPr>
            <w:tcW w:w="725" w:type="dxa"/>
            <w:vAlign w:val="center"/>
          </w:tcPr>
          <w:p w14:paraId="4800A0B3">
            <w:pPr>
              <w:widowControl w:val="0"/>
              <w:snapToGrid w:val="0"/>
              <w:jc w:val="center"/>
              <w:rPr>
                <w:rFonts w:hint="eastAsia" w:ascii="Times New Roman" w:hAnsi="Times New Roman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69" w:type="dxa"/>
            <w:vAlign w:val="center"/>
          </w:tcPr>
          <w:p w14:paraId="7A8C9089">
            <w:pPr>
              <w:widowControl w:val="0"/>
              <w:snapToGrid w:val="0"/>
              <w:jc w:val="center"/>
              <w:rPr>
                <w:rFonts w:hint="eastAsia" w:ascii="Times New Roman" w:hAnsi="Times New Roman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17" w:type="dxa"/>
            <w:tcBorders>
              <w:right w:val="single" w:color="auto" w:sz="12" w:space="0"/>
            </w:tcBorders>
            <w:vAlign w:val="center"/>
          </w:tcPr>
          <w:p w14:paraId="6BDE04F0">
            <w:pPr>
              <w:widowControl w:val="0"/>
              <w:snapToGrid w:val="0"/>
              <w:jc w:val="center"/>
              <w:rPr>
                <w:rFonts w:hint="eastAsia" w:ascii="Times New Roman" w:hAnsi="Times New Roman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2054F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6365" w:type="dxa"/>
            <w:gridSpan w:val="3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0B6A28">
            <w:pPr>
              <w:pStyle w:val="13"/>
              <w:widowControl w:val="0"/>
            </w:pPr>
            <w:r>
              <w:rPr>
                <w:rFonts w:hint="eastAsia"/>
              </w:rPr>
              <w:t>合计</w:t>
            </w:r>
          </w:p>
        </w:tc>
        <w:tc>
          <w:tcPr>
            <w:tcW w:w="725" w:type="dxa"/>
            <w:tcBorders>
              <w:bottom w:val="single" w:color="auto" w:sz="12" w:space="0"/>
            </w:tcBorders>
            <w:vAlign w:val="center"/>
          </w:tcPr>
          <w:p w14:paraId="58CCA6D6">
            <w:pPr>
              <w:widowControl w:val="0"/>
              <w:snapToGrid w:val="0"/>
              <w:jc w:val="center"/>
              <w:rPr>
                <w:rFonts w:hint="default" w:ascii="Times New Roman" w:hAnsi="Times New Roman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669" w:type="dxa"/>
            <w:tcBorders>
              <w:bottom w:val="single" w:color="auto" w:sz="12" w:space="0"/>
            </w:tcBorders>
            <w:vAlign w:val="center"/>
          </w:tcPr>
          <w:p w14:paraId="47D06B7B">
            <w:pPr>
              <w:widowControl w:val="0"/>
              <w:snapToGrid w:val="0"/>
              <w:jc w:val="center"/>
              <w:rPr>
                <w:rFonts w:hint="eastAsia" w:ascii="Times New Roman" w:hAnsi="Times New Roman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1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92D093">
            <w:pPr>
              <w:widowControl w:val="0"/>
              <w:snapToGrid w:val="0"/>
              <w:jc w:val="center"/>
              <w:rPr>
                <w:rFonts w:hint="default" w:ascii="Times New Roman" w:hAnsi="Times New Roman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1"/>
                <w:szCs w:val="21"/>
                <w:lang w:val="en-US" w:eastAsia="zh-CN"/>
              </w:rPr>
              <w:t>32</w:t>
            </w:r>
          </w:p>
        </w:tc>
      </w:tr>
    </w:tbl>
    <w:p w14:paraId="420BDC66">
      <w:pPr>
        <w:pStyle w:val="17"/>
        <w:spacing w:before="326" w:beforeLines="100" w:after="163"/>
      </w:pPr>
      <w:r>
        <w:rPr>
          <w:rFonts w:hint="eastAsia"/>
        </w:rPr>
        <w:t>（四）课内实验项目与基本要求</w:t>
      </w:r>
    </w:p>
    <w:tbl>
      <w:tblPr>
        <w:tblStyle w:val="7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720"/>
        <w:gridCol w:w="1882"/>
        <w:gridCol w:w="4061"/>
        <w:gridCol w:w="862"/>
        <w:gridCol w:w="950"/>
      </w:tblGrid>
      <w:tr w14:paraId="6A9B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C9EDC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序号</w:t>
            </w:r>
          </w:p>
        </w:tc>
        <w:tc>
          <w:tcPr>
            <w:tcW w:w="188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E91A4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实验项目名称</w:t>
            </w:r>
          </w:p>
        </w:tc>
        <w:tc>
          <w:tcPr>
            <w:tcW w:w="40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06A23">
            <w:pPr>
              <w:pStyle w:val="13"/>
              <w:rPr>
                <w:szCs w:val="16"/>
              </w:rPr>
            </w:pPr>
            <w:r>
              <w:rPr>
                <w:rFonts w:hint="eastAsia" w:ascii="黑体" w:hAnsi="宋体"/>
                <w:szCs w:val="16"/>
              </w:rPr>
              <w:t>目标要求与</w:t>
            </w:r>
            <w:r>
              <w:rPr>
                <w:rFonts w:hint="eastAsia"/>
                <w:szCs w:val="16"/>
              </w:rPr>
              <w:t>主要内容</w:t>
            </w:r>
          </w:p>
        </w:tc>
        <w:tc>
          <w:tcPr>
            <w:tcW w:w="862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0C667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实验</w:t>
            </w:r>
          </w:p>
          <w:p w14:paraId="157C72F0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时数</w:t>
            </w:r>
          </w:p>
        </w:tc>
        <w:tc>
          <w:tcPr>
            <w:tcW w:w="950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316EBE0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实验</w:t>
            </w:r>
          </w:p>
          <w:p w14:paraId="01943E26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类型</w:t>
            </w:r>
          </w:p>
        </w:tc>
      </w:tr>
      <w:tr w14:paraId="22EB7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FFD12">
            <w:pPr>
              <w:pStyle w:val="14"/>
            </w:pPr>
            <w:r>
              <w:rPr>
                <w:rFonts w:hint="eastAsia"/>
              </w:rPr>
              <w:t>1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EBDD9C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小组讨论-全科医学的诊疗思维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790906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全科医学临床思维、常见的健康问题及特点</w:t>
            </w:r>
          </w:p>
        </w:tc>
        <w:tc>
          <w:tcPr>
            <w:tcW w:w="86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F265AD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50" w:type="dxa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25FDCCD0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综合型</w:t>
            </w:r>
          </w:p>
        </w:tc>
      </w:tr>
      <w:tr w14:paraId="58F48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E0DF3">
            <w:pPr>
              <w:pStyle w:val="14"/>
            </w:pPr>
            <w:r>
              <w:rPr>
                <w:rFonts w:hint="eastAsia"/>
              </w:rPr>
              <w:t>2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18D40A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案例分析-高血压的预防、处理及治疗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476AC9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高血压发生的影响因素、控制与预防</w:t>
            </w:r>
          </w:p>
        </w:tc>
        <w:tc>
          <w:tcPr>
            <w:tcW w:w="8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9793CC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50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3A991F94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综合型</w:t>
            </w:r>
          </w:p>
        </w:tc>
      </w:tr>
      <w:tr w14:paraId="137E9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C1AFA">
            <w:pPr>
              <w:pStyle w:val="14"/>
            </w:pPr>
            <w:r>
              <w:rPr>
                <w:rFonts w:hint="eastAsia"/>
              </w:rPr>
              <w:t>3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7F489A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小组讨论-医患沟通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488DEE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全科医学中的医患沟通与法律问题</w:t>
            </w:r>
          </w:p>
        </w:tc>
        <w:tc>
          <w:tcPr>
            <w:tcW w:w="86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F873B2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50" w:type="dxa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76B13E35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综合型</w:t>
            </w:r>
          </w:p>
        </w:tc>
      </w:tr>
      <w:tr w14:paraId="7189C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B2F37">
            <w:pPr>
              <w:pStyle w:val="14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074D04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案例分析-脑卒中的预防、处理及治疗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81DEF5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脑卒中发生的影响因素、控制与预防</w:t>
            </w:r>
          </w:p>
        </w:tc>
        <w:tc>
          <w:tcPr>
            <w:tcW w:w="86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342B4E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50" w:type="dxa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2F1D1144">
            <w:pPr>
              <w:snapToGrid w:val="0"/>
              <w:spacing w:line="288" w:lineRule="auto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综合型</w:t>
            </w:r>
          </w:p>
        </w:tc>
      </w:tr>
      <w:tr w14:paraId="59B27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8475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CCAC0">
            <w:pPr>
              <w:pStyle w:val="13"/>
            </w:pPr>
            <w:r>
              <w:rPr>
                <w:rFonts w:hint="eastAsia"/>
              </w:rPr>
              <w:t xml:space="preserve">实验类型：①演示型 </w:t>
            </w:r>
            <w:r>
              <w:t xml:space="preserve"> </w:t>
            </w:r>
            <w:r>
              <w:rPr>
                <w:rFonts w:hint="eastAsia"/>
              </w:rPr>
              <w:t xml:space="preserve">②验证型 </w:t>
            </w:r>
            <w:r>
              <w:t xml:space="preserve"> </w:t>
            </w:r>
            <w:r>
              <w:rPr>
                <w:rFonts w:hint="eastAsia"/>
              </w:rPr>
              <w:t xml:space="preserve">③设计型 </w:t>
            </w:r>
            <w:r>
              <w:t xml:space="preserve"> </w:t>
            </w:r>
            <w:r>
              <w:rPr>
                <w:rFonts w:hint="eastAsia"/>
              </w:rPr>
              <w:t>④综合型</w:t>
            </w:r>
          </w:p>
        </w:tc>
      </w:tr>
    </w:tbl>
    <w:p w14:paraId="6951B69C">
      <w:pPr>
        <w:pStyle w:val="16"/>
        <w:spacing w:before="326" w:beforeLines="100" w:line="360" w:lineRule="auto"/>
        <w:ind w:firstLine="140" w:firstLineChars="50"/>
        <w:rPr>
          <w:rFonts w:ascii="黑体" w:hAnsi="宋体"/>
        </w:rPr>
      </w:pPr>
      <w:bookmarkStart w:id="2" w:name="OLE_LINK1"/>
      <w:bookmarkStart w:id="3" w:name="OLE_LINK2"/>
      <w:r>
        <w:rPr>
          <w:rFonts w:hint="eastAsia" w:ascii="黑体" w:hAnsi="宋体"/>
        </w:rPr>
        <w:t>四、课程思政教学设计</w:t>
      </w:r>
    </w:p>
    <w:bookmarkEnd w:id="2"/>
    <w:bookmarkEnd w:id="3"/>
    <w:tbl>
      <w:tblPr>
        <w:tblStyle w:val="8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8476"/>
      </w:tblGrid>
      <w:tr w14:paraId="1E191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128" w:hRule="atLeast"/>
        </w:trPr>
        <w:tc>
          <w:tcPr>
            <w:tcW w:w="8276" w:type="dxa"/>
            <w:vAlign w:val="center"/>
          </w:tcPr>
          <w:p w14:paraId="15BF5E48">
            <w:pPr>
              <w:pStyle w:val="14"/>
              <w:widowControl w:val="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思政元素：</w:t>
            </w:r>
          </w:p>
          <w:p w14:paraId="6CB45197">
            <w:pPr>
              <w:pStyle w:val="14"/>
              <w:widowControl w:val="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①责任感和使命感：通过讲解</w:t>
            </w:r>
            <w:r>
              <w:rPr>
                <w:rFonts w:hint="eastAsia"/>
                <w:bCs/>
                <w:lang w:val="en-US" w:eastAsia="zh-CN"/>
              </w:rPr>
              <w:t>全科医学</w:t>
            </w:r>
            <w:r>
              <w:rPr>
                <w:rFonts w:hint="eastAsia"/>
                <w:bCs/>
              </w:rPr>
              <w:t>事业的重要性和发展趋势，让学生认识到自身所肩负的历史使命和社会责任，从而培养对</w:t>
            </w:r>
            <w:r>
              <w:rPr>
                <w:rFonts w:hint="eastAsia"/>
                <w:bCs/>
                <w:lang w:val="en-US" w:eastAsia="zh-CN"/>
              </w:rPr>
              <w:t>全科医学</w:t>
            </w:r>
            <w:r>
              <w:rPr>
                <w:rFonts w:hint="eastAsia"/>
                <w:bCs/>
              </w:rPr>
              <w:t>事业的责任感和使命感。</w:t>
            </w:r>
          </w:p>
          <w:p w14:paraId="5CAB02D1">
            <w:pPr>
              <w:pStyle w:val="14"/>
              <w:widowControl w:val="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②宗旨意识：通过案例分析和实践操作，让学生了解</w:t>
            </w:r>
            <w:r>
              <w:rPr>
                <w:rFonts w:hint="eastAsia"/>
                <w:bCs/>
                <w:lang w:val="en-US" w:eastAsia="zh-CN"/>
              </w:rPr>
              <w:t>全科医学</w:t>
            </w:r>
            <w:r>
              <w:rPr>
                <w:rFonts w:hint="eastAsia"/>
                <w:bCs/>
              </w:rPr>
              <w:t>的宗旨是守护人民健康，从而树立为人民群众健康服务的宗旨意识。</w:t>
            </w:r>
          </w:p>
          <w:p w14:paraId="2797FA99">
            <w:pPr>
              <w:pStyle w:val="14"/>
              <w:widowControl w:val="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③团队协作精神：通过小组讨论和实践操作，让学生了解团队协作在</w:t>
            </w:r>
            <w:r>
              <w:rPr>
                <w:rFonts w:hint="eastAsia"/>
                <w:bCs/>
                <w:lang w:val="en-US" w:eastAsia="zh-CN"/>
              </w:rPr>
              <w:t>全科医学</w:t>
            </w:r>
            <w:r>
              <w:rPr>
                <w:rFonts w:hint="eastAsia"/>
                <w:bCs/>
              </w:rPr>
              <w:t>中的重要性，树立团队合作意识。</w:t>
            </w:r>
          </w:p>
          <w:p w14:paraId="1950CE37">
            <w:pPr>
              <w:pStyle w:val="14"/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④创新精神和实践能力：通过探讨</w:t>
            </w:r>
            <w:r>
              <w:rPr>
                <w:rFonts w:hint="eastAsia"/>
                <w:bCs/>
                <w:lang w:val="en-US" w:eastAsia="zh-CN"/>
              </w:rPr>
              <w:t>全科医学</w:t>
            </w:r>
            <w:r>
              <w:rPr>
                <w:rFonts w:hint="eastAsia"/>
                <w:bCs/>
              </w:rPr>
              <w:t>领域的现实问题和解决方案，让学生了解创新和实践能力在解决实际问题中的重要性，从而培养创新精神和实践能力。</w:t>
            </w:r>
          </w:p>
          <w:p w14:paraId="5F66C46B">
            <w:pPr>
              <w:pStyle w:val="14"/>
              <w:widowControl w:val="0"/>
              <w:jc w:val="left"/>
              <w:rPr>
                <w:rFonts w:hint="eastAsia"/>
              </w:rPr>
            </w:pPr>
            <w:r>
              <w:rPr>
                <w:rFonts w:hint="eastAsia"/>
                <w:bCs/>
              </w:rPr>
              <w:t>⑤</w:t>
            </w:r>
            <w:r>
              <w:rPr>
                <w:rFonts w:ascii="Calibri" w:hAnsi="Calibri" w:cs="Arial"/>
                <w:color w:val="auto"/>
                <w:kern w:val="2"/>
                <w:szCs w:val="22"/>
              </w:rPr>
              <w:t>医工融合</w:t>
            </w:r>
            <w:r>
              <w:rPr>
                <w:rFonts w:hint="eastAsia" w:ascii="Calibri" w:hAnsi="Calibri" w:cs="Arial"/>
                <w:color w:val="auto"/>
                <w:kern w:val="2"/>
                <w:szCs w:val="22"/>
              </w:rPr>
              <w:t>：将文科、理科和工程学的知识与医学知识结合起来，以促进更全面、高效的医疗、护理、康复、健康管理的解决方案。在医学教育中</w:t>
            </w:r>
            <w:r>
              <w:rPr>
                <w:bCs/>
              </w:rPr>
              <w:t>融入工程学的基础课程要素，如生物材料学、医学影像技术、医疗器械设计等，使学生理解工程技术在医疗领域的应用。</w:t>
            </w:r>
          </w:p>
        </w:tc>
      </w:tr>
    </w:tbl>
    <w:p w14:paraId="43053173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hint="eastAsia" w:ascii="黑体" w:hAnsi="宋体"/>
        </w:rPr>
        <w:t>五、课程考核</w:t>
      </w:r>
      <w:bookmarkStart w:id="4" w:name="OLE_LINK4"/>
      <w:bookmarkStart w:id="5" w:name="OLE_LINK3"/>
    </w:p>
    <w:bookmarkEnd w:id="4"/>
    <w:bookmarkEnd w:id="5"/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021"/>
        <w:gridCol w:w="2036"/>
        <w:gridCol w:w="684"/>
        <w:gridCol w:w="684"/>
        <w:gridCol w:w="684"/>
        <w:gridCol w:w="690"/>
        <w:gridCol w:w="1023"/>
      </w:tblGrid>
      <w:tr w14:paraId="56BF8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" w:type="pct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3FEB6A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总评构成</w:t>
            </w:r>
          </w:p>
        </w:tc>
        <w:tc>
          <w:tcPr>
            <w:tcW w:w="599" w:type="pct"/>
            <w:vMerge w:val="restart"/>
            <w:tcBorders>
              <w:top w:val="single" w:color="auto" w:sz="12" w:space="0"/>
            </w:tcBorders>
            <w:vAlign w:val="center"/>
          </w:tcPr>
          <w:p w14:paraId="54CD1C05">
            <w:pPr>
              <w:pStyle w:val="16"/>
              <w:widowControl w:val="0"/>
              <w:spacing w:line="240" w:lineRule="auto"/>
              <w:jc w:val="center"/>
              <w:rPr>
                <w:rFonts w:ascii="黑体" w:hAnsi="宋体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占比</w:t>
            </w:r>
          </w:p>
        </w:tc>
        <w:tc>
          <w:tcPr>
            <w:tcW w:w="1194" w:type="pct"/>
            <w:vMerge w:val="restart"/>
            <w:tcBorders>
              <w:top w:val="single" w:color="auto" w:sz="12" w:space="0"/>
              <w:right w:val="double" w:color="auto" w:sz="4" w:space="0"/>
            </w:tcBorders>
            <w:vAlign w:val="center"/>
          </w:tcPr>
          <w:p w14:paraId="359DED93">
            <w:pPr>
              <w:pStyle w:val="16"/>
              <w:widowControl w:val="0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考核方式</w:t>
            </w:r>
          </w:p>
        </w:tc>
        <w:tc>
          <w:tcPr>
            <w:tcW w:w="1608" w:type="pct"/>
            <w:gridSpan w:val="4"/>
            <w:tcBorders>
              <w:top w:val="single" w:color="auto" w:sz="12" w:space="0"/>
              <w:left w:val="double" w:color="auto" w:sz="4" w:space="0"/>
            </w:tcBorders>
            <w:vAlign w:val="center"/>
          </w:tcPr>
          <w:p w14:paraId="0503D08A">
            <w:pPr>
              <w:pStyle w:val="16"/>
              <w:widowControl w:val="0"/>
              <w:spacing w:line="240" w:lineRule="auto"/>
              <w:jc w:val="center"/>
              <w:rPr>
                <w:rFonts w:ascii="黑体" w:hAnsi="宋体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课程目标</w:t>
            </w:r>
          </w:p>
        </w:tc>
        <w:tc>
          <w:tcPr>
            <w:tcW w:w="600" w:type="pct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AF5284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合计</w:t>
            </w:r>
          </w:p>
        </w:tc>
      </w:tr>
      <w:tr w14:paraId="67482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" w:type="pct"/>
            <w:vMerge w:val="continue"/>
            <w:tcBorders>
              <w:left w:val="single" w:color="auto" w:sz="12" w:space="0"/>
            </w:tcBorders>
          </w:tcPr>
          <w:p w14:paraId="357F28A3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</w:p>
        </w:tc>
        <w:tc>
          <w:tcPr>
            <w:tcW w:w="599" w:type="pct"/>
            <w:vMerge w:val="continue"/>
          </w:tcPr>
          <w:p w14:paraId="0B93D545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1194" w:type="pct"/>
            <w:vMerge w:val="continue"/>
            <w:tcBorders>
              <w:right w:val="double" w:color="auto" w:sz="4" w:space="0"/>
            </w:tcBorders>
          </w:tcPr>
          <w:p w14:paraId="295462E4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401" w:type="pct"/>
            <w:tcBorders>
              <w:left w:val="double" w:color="auto" w:sz="4" w:space="0"/>
            </w:tcBorders>
            <w:vAlign w:val="center"/>
          </w:tcPr>
          <w:p w14:paraId="439B99C3">
            <w:pPr>
              <w:pStyle w:val="16"/>
              <w:widowControl w:val="0"/>
              <w:spacing w:line="240" w:lineRule="auto"/>
              <w:jc w:val="center"/>
              <w:rPr>
                <w:rFonts w:hint="eastAsia" w:ascii="黑体" w:hAnsi="黑体" w:eastAsia="黑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01" w:type="pct"/>
            <w:vAlign w:val="center"/>
          </w:tcPr>
          <w:p w14:paraId="4CBA617F">
            <w:pPr>
              <w:pStyle w:val="16"/>
              <w:widowControl w:val="0"/>
              <w:spacing w:line="240" w:lineRule="auto"/>
              <w:jc w:val="center"/>
              <w:rPr>
                <w:rFonts w:hint="eastAsia" w:ascii="黑体" w:hAnsi="黑体" w:eastAsia="黑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01" w:type="pct"/>
            <w:vAlign w:val="center"/>
          </w:tcPr>
          <w:p w14:paraId="538861A2">
            <w:pPr>
              <w:pStyle w:val="16"/>
              <w:widowControl w:val="0"/>
              <w:spacing w:line="240" w:lineRule="auto"/>
              <w:jc w:val="center"/>
              <w:rPr>
                <w:rFonts w:hint="eastAsia" w:ascii="黑体" w:hAnsi="黑体" w:eastAsia="黑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04" w:type="pct"/>
            <w:vAlign w:val="center"/>
          </w:tcPr>
          <w:p w14:paraId="3BC25DA8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00" w:type="pct"/>
            <w:vMerge w:val="continue"/>
            <w:tcBorders>
              <w:right w:val="single" w:color="auto" w:sz="12" w:space="0"/>
            </w:tcBorders>
          </w:tcPr>
          <w:p w14:paraId="1150F029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</w:p>
        </w:tc>
      </w:tr>
      <w:tr w14:paraId="519B2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" w:type="pct"/>
            <w:tcBorders>
              <w:left w:val="single" w:color="auto" w:sz="12" w:space="0"/>
            </w:tcBorders>
            <w:vAlign w:val="center"/>
          </w:tcPr>
          <w:p w14:paraId="2E72C0DA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X1</w:t>
            </w:r>
          </w:p>
        </w:tc>
        <w:tc>
          <w:tcPr>
            <w:tcW w:w="599" w:type="pct"/>
            <w:vAlign w:val="top"/>
          </w:tcPr>
          <w:p w14:paraId="2456BA29">
            <w:pPr>
              <w:pStyle w:val="14"/>
              <w:widowControl w:val="0"/>
            </w:pPr>
            <w:r>
              <w:rPr>
                <w:rFonts w:hint="eastAsia"/>
              </w:rPr>
              <w:t>40%</w:t>
            </w:r>
          </w:p>
        </w:tc>
        <w:tc>
          <w:tcPr>
            <w:tcW w:w="1194" w:type="pct"/>
            <w:tcBorders>
              <w:right w:val="double" w:color="auto" w:sz="4" w:space="0"/>
            </w:tcBorders>
            <w:vAlign w:val="top"/>
          </w:tcPr>
          <w:p w14:paraId="67D79B61">
            <w:pPr>
              <w:pStyle w:val="14"/>
              <w:widowControl w:val="0"/>
            </w:pPr>
            <w:r>
              <w:rPr>
                <w:rFonts w:hint="eastAsia"/>
                <w:lang w:eastAsia="zh"/>
              </w:rPr>
              <w:t>阶段</w:t>
            </w:r>
            <w:r>
              <w:rPr>
                <w:rFonts w:hint="eastAsia"/>
              </w:rPr>
              <w:t>测验</w:t>
            </w:r>
          </w:p>
        </w:tc>
        <w:tc>
          <w:tcPr>
            <w:tcW w:w="401" w:type="pct"/>
            <w:tcBorders>
              <w:left w:val="double" w:color="auto" w:sz="4" w:space="0"/>
            </w:tcBorders>
            <w:vAlign w:val="center"/>
          </w:tcPr>
          <w:p w14:paraId="1DCC60F9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401" w:type="pct"/>
            <w:vAlign w:val="center"/>
          </w:tcPr>
          <w:p w14:paraId="56274CB8">
            <w:pPr>
              <w:pStyle w:val="14"/>
              <w:widowContro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401" w:type="pct"/>
            <w:vAlign w:val="center"/>
          </w:tcPr>
          <w:p w14:paraId="31DAD0F3">
            <w:pPr>
              <w:pStyle w:val="14"/>
              <w:widowContro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404" w:type="pct"/>
            <w:vAlign w:val="center"/>
          </w:tcPr>
          <w:p w14:paraId="3C55AC81">
            <w:pPr>
              <w:pStyle w:val="14"/>
              <w:widowControl w:val="0"/>
            </w:pPr>
          </w:p>
        </w:tc>
        <w:tc>
          <w:tcPr>
            <w:tcW w:w="600" w:type="pct"/>
            <w:tcBorders>
              <w:right w:val="single" w:color="auto" w:sz="12" w:space="0"/>
            </w:tcBorders>
            <w:vAlign w:val="center"/>
          </w:tcPr>
          <w:p w14:paraId="2282BA8C">
            <w:pPr>
              <w:pStyle w:val="14"/>
              <w:widowControl w:val="0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14:paraId="10EA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" w:type="pct"/>
            <w:tcBorders>
              <w:left w:val="single" w:color="auto" w:sz="12" w:space="0"/>
            </w:tcBorders>
            <w:vAlign w:val="center"/>
          </w:tcPr>
          <w:p w14:paraId="0C86A0DE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X2</w:t>
            </w:r>
          </w:p>
        </w:tc>
        <w:tc>
          <w:tcPr>
            <w:tcW w:w="599" w:type="pct"/>
            <w:vAlign w:val="top"/>
          </w:tcPr>
          <w:p w14:paraId="25A1A017">
            <w:pPr>
              <w:pStyle w:val="14"/>
              <w:widowControl w:val="0"/>
            </w:pPr>
            <w:r>
              <w:rPr>
                <w:rFonts w:hint="eastAsia"/>
              </w:rPr>
              <w:t>30%</w:t>
            </w:r>
          </w:p>
        </w:tc>
        <w:tc>
          <w:tcPr>
            <w:tcW w:w="1194" w:type="pct"/>
            <w:tcBorders>
              <w:right w:val="double" w:color="auto" w:sz="4" w:space="0"/>
            </w:tcBorders>
            <w:vAlign w:val="top"/>
          </w:tcPr>
          <w:p w14:paraId="604FA9D5">
            <w:pPr>
              <w:pStyle w:val="14"/>
              <w:widowControl w:val="0"/>
            </w:pPr>
            <w:r>
              <w:rPr>
                <w:rFonts w:hint="eastAsia"/>
              </w:rPr>
              <w:t>课堂测验</w:t>
            </w:r>
          </w:p>
        </w:tc>
        <w:tc>
          <w:tcPr>
            <w:tcW w:w="401" w:type="pct"/>
            <w:tcBorders>
              <w:left w:val="double" w:color="auto" w:sz="4" w:space="0"/>
            </w:tcBorders>
            <w:vAlign w:val="center"/>
          </w:tcPr>
          <w:p w14:paraId="6DA4885D">
            <w:pPr>
              <w:pStyle w:val="14"/>
              <w:widowControl w:val="0"/>
            </w:pPr>
          </w:p>
        </w:tc>
        <w:tc>
          <w:tcPr>
            <w:tcW w:w="401" w:type="pct"/>
            <w:vAlign w:val="center"/>
          </w:tcPr>
          <w:p w14:paraId="13BB3D94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401" w:type="pct"/>
            <w:vAlign w:val="center"/>
          </w:tcPr>
          <w:p w14:paraId="3B69B8DD">
            <w:pPr>
              <w:pStyle w:val="14"/>
              <w:widowContro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404" w:type="pct"/>
            <w:vAlign w:val="center"/>
          </w:tcPr>
          <w:p w14:paraId="64699897">
            <w:pPr>
              <w:pStyle w:val="14"/>
              <w:widowControl w:val="0"/>
            </w:pPr>
            <w:r>
              <w:t>10</w:t>
            </w:r>
          </w:p>
        </w:tc>
        <w:tc>
          <w:tcPr>
            <w:tcW w:w="600" w:type="pct"/>
            <w:tcBorders>
              <w:right w:val="single" w:color="auto" w:sz="12" w:space="0"/>
            </w:tcBorders>
            <w:vAlign w:val="center"/>
          </w:tcPr>
          <w:p w14:paraId="3F8DDEC1">
            <w:pPr>
              <w:pStyle w:val="14"/>
              <w:widowControl w:val="0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14:paraId="1A858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" w:type="pct"/>
            <w:tcBorders>
              <w:left w:val="single" w:color="auto" w:sz="12" w:space="0"/>
            </w:tcBorders>
            <w:vAlign w:val="center"/>
          </w:tcPr>
          <w:p w14:paraId="17E8D52A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X3</w:t>
            </w:r>
          </w:p>
        </w:tc>
        <w:tc>
          <w:tcPr>
            <w:tcW w:w="599" w:type="pct"/>
            <w:vAlign w:val="top"/>
          </w:tcPr>
          <w:p w14:paraId="41D7A025">
            <w:pPr>
              <w:pStyle w:val="14"/>
              <w:widowControl w:val="0"/>
            </w:pPr>
            <w:r>
              <w:rPr>
                <w:rFonts w:hint="eastAsia"/>
                <w:lang w:eastAsia="zh"/>
              </w:rPr>
              <w:t>3</w:t>
            </w:r>
            <w:r>
              <w:rPr>
                <w:rFonts w:hint="eastAsia"/>
              </w:rPr>
              <w:t>0%</w:t>
            </w:r>
          </w:p>
        </w:tc>
        <w:tc>
          <w:tcPr>
            <w:tcW w:w="1194" w:type="pct"/>
            <w:tcBorders>
              <w:right w:val="double" w:color="auto" w:sz="4" w:space="0"/>
            </w:tcBorders>
            <w:vAlign w:val="top"/>
          </w:tcPr>
          <w:p w14:paraId="72D34078">
            <w:pPr>
              <w:pStyle w:val="14"/>
              <w:widowControl w:val="0"/>
            </w:pPr>
            <w:r>
              <w:rPr>
                <w:rFonts w:hint="eastAsia"/>
              </w:rPr>
              <w:t>论文</w:t>
            </w:r>
          </w:p>
        </w:tc>
        <w:tc>
          <w:tcPr>
            <w:tcW w:w="401" w:type="pct"/>
            <w:tcBorders>
              <w:left w:val="double" w:color="auto" w:sz="4" w:space="0"/>
            </w:tcBorders>
            <w:vAlign w:val="center"/>
          </w:tcPr>
          <w:p w14:paraId="7170B2A2">
            <w:pPr>
              <w:pStyle w:val="14"/>
              <w:widowControl w:val="0"/>
            </w:pPr>
          </w:p>
        </w:tc>
        <w:tc>
          <w:tcPr>
            <w:tcW w:w="401" w:type="pct"/>
            <w:vAlign w:val="center"/>
          </w:tcPr>
          <w:p w14:paraId="79D5731F">
            <w:pPr>
              <w:pStyle w:val="14"/>
              <w:widowContro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401" w:type="pct"/>
            <w:vAlign w:val="center"/>
          </w:tcPr>
          <w:p w14:paraId="594C65AB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404" w:type="pct"/>
            <w:vAlign w:val="center"/>
          </w:tcPr>
          <w:p w14:paraId="314EB045">
            <w:pPr>
              <w:pStyle w:val="14"/>
              <w:widowContro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00" w:type="pct"/>
            <w:tcBorders>
              <w:right w:val="single" w:color="auto" w:sz="12" w:space="0"/>
            </w:tcBorders>
            <w:vAlign w:val="center"/>
          </w:tcPr>
          <w:p w14:paraId="436E48F9">
            <w:pPr>
              <w:pStyle w:val="14"/>
              <w:widowControl w:val="0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</w:tbl>
    <w:p w14:paraId="253A926A">
      <w:pPr>
        <w:pStyle w:val="17"/>
        <w:spacing w:before="326" w:beforeLines="100" w:after="163"/>
        <w:jc w:val="center"/>
      </w:pPr>
      <w:r>
        <w:rPr>
          <w:rFonts w:hint="eastAsia"/>
        </w:rPr>
        <w:t>评价标准细则（选填）</w:t>
      </w:r>
    </w:p>
    <w:tbl>
      <w:tblPr>
        <w:tblStyle w:val="8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67"/>
        <w:gridCol w:w="1445"/>
        <w:gridCol w:w="1445"/>
        <w:gridCol w:w="1445"/>
        <w:gridCol w:w="1445"/>
        <w:gridCol w:w="1445"/>
      </w:tblGrid>
      <w:tr w14:paraId="03D76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3" w:type="dxa"/>
            <w:vMerge w:val="restart"/>
            <w:vAlign w:val="center"/>
          </w:tcPr>
          <w:p w14:paraId="54D33C27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考核项目</w:t>
            </w:r>
          </w:p>
        </w:tc>
        <w:tc>
          <w:tcPr>
            <w:tcW w:w="648" w:type="dxa"/>
            <w:vMerge w:val="restart"/>
          </w:tcPr>
          <w:p w14:paraId="3786DE45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课</w:t>
            </w:r>
          </w:p>
          <w:p w14:paraId="4B302E3A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程</w:t>
            </w:r>
          </w:p>
          <w:p w14:paraId="4C9BC032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目</w:t>
            </w:r>
          </w:p>
          <w:p w14:paraId="7F7381C3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标</w:t>
            </w:r>
          </w:p>
        </w:tc>
        <w:tc>
          <w:tcPr>
            <w:tcW w:w="1403" w:type="dxa"/>
            <w:vMerge w:val="restart"/>
            <w:vAlign w:val="center"/>
          </w:tcPr>
          <w:p w14:paraId="3FBEC01D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考核要求</w:t>
            </w:r>
          </w:p>
        </w:tc>
        <w:tc>
          <w:tcPr>
            <w:tcW w:w="5612" w:type="dxa"/>
            <w:gridSpan w:val="4"/>
            <w:vAlign w:val="center"/>
          </w:tcPr>
          <w:p w14:paraId="520CA0FB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评价标准</w:t>
            </w:r>
          </w:p>
        </w:tc>
      </w:tr>
      <w:tr w14:paraId="2EA1B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3" w:type="dxa"/>
            <w:vMerge w:val="continue"/>
          </w:tcPr>
          <w:p w14:paraId="65AF89FA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</w:p>
        </w:tc>
        <w:tc>
          <w:tcPr>
            <w:tcW w:w="648" w:type="dxa"/>
            <w:vMerge w:val="continue"/>
          </w:tcPr>
          <w:p w14:paraId="3FC934BB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1403" w:type="dxa"/>
            <w:vMerge w:val="continue"/>
          </w:tcPr>
          <w:p w14:paraId="6DC0B29F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02C91228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优</w:t>
            </w:r>
          </w:p>
          <w:p w14:paraId="6EBEAE76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100-90</w:t>
            </w:r>
          </w:p>
        </w:tc>
        <w:tc>
          <w:tcPr>
            <w:tcW w:w="1403" w:type="dxa"/>
            <w:vAlign w:val="center"/>
          </w:tcPr>
          <w:p w14:paraId="2D6BCBD8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良</w:t>
            </w:r>
          </w:p>
          <w:p w14:paraId="2A810864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89-75</w:t>
            </w:r>
          </w:p>
        </w:tc>
        <w:tc>
          <w:tcPr>
            <w:tcW w:w="1403" w:type="dxa"/>
            <w:vAlign w:val="center"/>
          </w:tcPr>
          <w:p w14:paraId="7A3221B8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中</w:t>
            </w:r>
          </w:p>
          <w:p w14:paraId="7C99CE62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74-60</w:t>
            </w:r>
          </w:p>
        </w:tc>
        <w:tc>
          <w:tcPr>
            <w:tcW w:w="1403" w:type="dxa"/>
            <w:vAlign w:val="center"/>
          </w:tcPr>
          <w:p w14:paraId="55FBF40A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不及格</w:t>
            </w:r>
          </w:p>
          <w:p w14:paraId="22579344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59-0</w:t>
            </w:r>
          </w:p>
        </w:tc>
      </w:tr>
      <w:tr w14:paraId="1EFA2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vAlign w:val="center"/>
          </w:tcPr>
          <w:p w14:paraId="189BFD02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1</w:t>
            </w:r>
          </w:p>
        </w:tc>
        <w:tc>
          <w:tcPr>
            <w:tcW w:w="648" w:type="dxa"/>
            <w:vAlign w:val="center"/>
          </w:tcPr>
          <w:p w14:paraId="6CA94200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03" w:type="dxa"/>
          </w:tcPr>
          <w:p w14:paraId="3C9C0C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</w:tcPr>
          <w:p w14:paraId="2C8A52C0">
            <w:pPr>
              <w:pStyle w:val="14"/>
              <w:widowControl w:val="0"/>
              <w:jc w:val="both"/>
            </w:pPr>
          </w:p>
        </w:tc>
        <w:tc>
          <w:tcPr>
            <w:tcW w:w="1403" w:type="dxa"/>
          </w:tcPr>
          <w:p w14:paraId="6224FD25">
            <w:pPr>
              <w:pStyle w:val="14"/>
              <w:widowControl w:val="0"/>
              <w:jc w:val="both"/>
            </w:pPr>
          </w:p>
        </w:tc>
        <w:tc>
          <w:tcPr>
            <w:tcW w:w="1403" w:type="dxa"/>
          </w:tcPr>
          <w:p w14:paraId="5D39E083">
            <w:pPr>
              <w:pStyle w:val="14"/>
              <w:widowControl w:val="0"/>
              <w:jc w:val="both"/>
            </w:pPr>
          </w:p>
        </w:tc>
        <w:tc>
          <w:tcPr>
            <w:tcW w:w="1403" w:type="dxa"/>
          </w:tcPr>
          <w:p w14:paraId="544F797D">
            <w:pPr>
              <w:pStyle w:val="6"/>
              <w:widowControl/>
              <w:shd w:val="clear" w:color="auto" w:fill="FFFFFF"/>
              <w:jc w:val="both"/>
            </w:pPr>
          </w:p>
        </w:tc>
      </w:tr>
      <w:tr w14:paraId="32CF3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vAlign w:val="center"/>
          </w:tcPr>
          <w:p w14:paraId="40E6E027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X1</w:t>
            </w:r>
          </w:p>
        </w:tc>
        <w:tc>
          <w:tcPr>
            <w:tcW w:w="648" w:type="dxa"/>
            <w:vAlign w:val="center"/>
          </w:tcPr>
          <w:p w14:paraId="2B920205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A679B7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hint="eastAsia"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48C698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7818A7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03E98B4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3DB183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</w:tr>
      <w:tr w14:paraId="25A49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vAlign w:val="center"/>
          </w:tcPr>
          <w:p w14:paraId="6561AD74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X2</w:t>
            </w:r>
          </w:p>
        </w:tc>
        <w:tc>
          <w:tcPr>
            <w:tcW w:w="648" w:type="dxa"/>
            <w:vAlign w:val="center"/>
          </w:tcPr>
          <w:p w14:paraId="0BF73189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D2AE5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hint="eastAsia"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7A39000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175540D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410163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43B9CB8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</w:tr>
      <w:tr w14:paraId="7EC51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vAlign w:val="center"/>
          </w:tcPr>
          <w:p w14:paraId="6B38D7CF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X3</w:t>
            </w:r>
          </w:p>
        </w:tc>
        <w:tc>
          <w:tcPr>
            <w:tcW w:w="648" w:type="dxa"/>
            <w:vAlign w:val="center"/>
          </w:tcPr>
          <w:p w14:paraId="1A76FEA2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0FE856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hint="eastAsia"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0E01E6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3B883F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1D3BCF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3F2D077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</w:tr>
      <w:tr w14:paraId="06CDB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vAlign w:val="center"/>
          </w:tcPr>
          <w:p w14:paraId="360D3AAE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X4</w:t>
            </w:r>
          </w:p>
        </w:tc>
        <w:tc>
          <w:tcPr>
            <w:tcW w:w="648" w:type="dxa"/>
            <w:vAlign w:val="center"/>
          </w:tcPr>
          <w:p w14:paraId="411AE4CA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13D379F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hint="eastAsia"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4E9990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0055007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3797BE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62483C4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</w:tr>
      <w:tr w14:paraId="5BA4F0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dxa"/>
            <w:vAlign w:val="center"/>
          </w:tcPr>
          <w:p w14:paraId="468217CE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X5</w:t>
            </w:r>
          </w:p>
        </w:tc>
        <w:tc>
          <w:tcPr>
            <w:tcW w:w="648" w:type="dxa"/>
            <w:vAlign w:val="center"/>
          </w:tcPr>
          <w:p w14:paraId="681B3392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6DA8118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hint="eastAsia"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30DFF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42B1D79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666217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03" w:type="dxa"/>
            <w:vAlign w:val="center"/>
          </w:tcPr>
          <w:p w14:paraId="59EC3B5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</w:tr>
    </w:tbl>
    <w:p w14:paraId="67E89D56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hint="eastAsia" w:ascii="黑体" w:hAnsi="宋体"/>
        </w:rPr>
        <w:t xml:space="preserve">六、其他需要说明的问题 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11295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c>
          <w:tcPr>
            <w:tcW w:w="8296" w:type="dxa"/>
          </w:tcPr>
          <w:p w14:paraId="30B248AE">
            <w:pPr>
              <w:pStyle w:val="14"/>
              <w:widowControl w:val="0"/>
              <w:jc w:val="left"/>
              <w:rPr>
                <w:rFonts w:ascii="仿宋" w:hAnsi="仿宋" w:eastAsia="仿宋" w:cs="仿宋"/>
              </w:rPr>
            </w:pPr>
          </w:p>
          <w:p w14:paraId="275740C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</w:p>
          <w:p w14:paraId="3E71CDD9">
            <w:pPr>
              <w:pStyle w:val="14"/>
              <w:widowControl w:val="0"/>
              <w:jc w:val="left"/>
              <w:rPr>
                <w:rFonts w:ascii="黑体"/>
              </w:rPr>
            </w:pPr>
          </w:p>
        </w:tc>
      </w:tr>
    </w:tbl>
    <w:p w14:paraId="4179AC81">
      <w:pPr>
        <w:pStyle w:val="16"/>
        <w:rPr>
          <w:rFonts w:hint="eastAsia" w:ascii="黑体" w:hAnsi="宋体"/>
          <w:sz w:val="18"/>
          <w:szCs w:val="16"/>
        </w:rPr>
      </w:pPr>
    </w:p>
    <w:sectPr>
      <w:headerReference r:id="rId3" w:type="default"/>
      <w:pgSz w:w="11906" w:h="16838"/>
      <w:pgMar w:top="1440" w:right="1800" w:bottom="1440" w:left="1800" w:header="397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6636F17-E647-4D24-9CCB-829943EB835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0ABA318-306D-4D4F-B781-AE27AE1BB8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0BF1A2D6-E6AE-4A5B-8BB2-AC924D8788B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62CFFD3-6DA6-4549-9ED3-AFECB7780B27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93" w:csb1="00000000"/>
    <w:embedRegular r:id="rId5" w:fontKey="{586EEA25-A879-4E10-8124-FFDD13BABB6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2FE727C3-9593-48BB-B97B-36EF3147256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A9A64">
    <w:pPr>
      <w:jc w:val="right"/>
      <w:rPr>
        <w:rFonts w:ascii="方正小标宋简体" w:hAnsi="方正小标宋简体" w:eastAsia="方正小标宋简体"/>
      </w:rPr>
    </w:pPr>
    <w:r>
      <w:rPr>
        <w:rFonts w:ascii="方正小标宋简体" w:hAnsi="方正小标宋简体" w:eastAsia="方正小标宋简体"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635635</wp:posOffset>
              </wp:positionH>
              <wp:positionV relativeFrom="page">
                <wp:posOffset>186055</wp:posOffset>
              </wp:positionV>
              <wp:extent cx="2635250" cy="280670"/>
              <wp:effectExtent l="0" t="0" r="0" b="0"/>
              <wp:wrapNone/>
              <wp:docPr id="44070976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0" cy="280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7AEFC3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SJQU-QR-JW-055（A0）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50.05pt;margin-top:14.65pt;height:22.1pt;width:207.5pt;mso-position-horizontal-relative:page;mso-position-vertical-relative:page;z-index:251659264;mso-width-relative:page;mso-height-relative:page;" fillcolor="#FFFFFF" filled="t" stroked="f" coordsize="21600,21600" o:gfxdata="UEsDBAoAAAAAAIdO4kAAAAAAAAAAAAAAAAAEAAAAZHJzL1BLAwQUAAAACACHTuJAvuGSmdQAAAAJ&#10;AQAADwAAAGRycy9kb3ducmV2LnhtbE2Py07DMBBF90j8gzVI7KidlvAIcbpAYotEW7p24yGOsMeR&#10;7T6/nmEFyztzdOdMuzwFLw6Y8hhJQzVTIJD6aEcaNGzWb3dPIHIxZI2PhBrOmGHZXV+1prHxSB94&#10;WJVBcAnlxmhwpUyNlLl3GEyexQmJd18xBVM4pkHaZI5cHrycK/UggxmJLzgz4avD/nu1Dxq2Q7hs&#10;P6spORv8Pb1fzutNHLW+vanUC4iCp/IHw68+q0PHTru4J5uF56xUxaiG+fMCBAN1VfNgp+FxUYPs&#10;Wvn/g+4HUEsDBBQAAAAIAIdO4kATjzfzXQIAAKUEAAAOAAAAZHJzL2Uyb0RvYy54bWytVMFuEzEQ&#10;vSPxD5bvdDehTdqomyq0CkKqaKWCODteb3Ylr8fYTnbLB8AfcOLCne/qd/DsTdpSOPRADs6MZ/xm&#10;5s3Mnp71rWZb5XxDpuCjg5wzZSSVjVkX/OOH5atjznwQphSajCr4rfL8bP7yxWlnZ2pMNelSOQYQ&#10;42edLXgdgp1lmZe1aoU/IKsMjBW5VgSobp2VTnRAb3U2zvNJ1pErrSOpvMftxWDkO0T3HECqqkaq&#10;C5KbVpkwoDqlRUBJvm6s5/OUbVUpGa6qyqvAdMFRaUgngkBexTObn4rZ2glbN3KXgnhOCk9qakVj&#10;EPQe6kIEwTau+QuqbaQjT1U4kNRmQyGJEVQxyp9wc1MLq1ItoNrbe9L9/4OV77fXjjVlwQ8P82l+&#10;Mp2MODOiRePvvn+7+/Hr7udXNoo0ddbP4H1j4R/6N9RjePb3Hpex+r5ybfxHXQx2kHx7T7LqA5O4&#10;HE9eH42PYJKwjY/zyTR1IXt4bZ0PbxW1LAoFd2hi4lZsL31AJnDdu8RgnnRTLhutk+LWq3Pt2Fag&#10;4cv0i0niyR9u2rCu4MgkT8iG4vvBT5uIo9Ls7OLF0ocSoxT6Vb/jY0XlLehwNMyVt3LZIOdL4cO1&#10;cBgklIlVC1c4Kk0ISTuJs5rcl3/dR3/0F1bOOgxmwf3njXCKM/3OoPMnI3QKk5yUw6PpGIp7bFk9&#10;tphNe06gAl1FdkmM/kHvxcpR+wkbuYhRYRJGInbBw148D8O6YKOlWiySE2bXinBpbqyM0JEwQ4tN&#10;oKpJDYo0DdyA+qhgelMTdpsW1+Oxnrwevi7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7hkpnU&#10;AAAACQEAAA8AAAAAAAAAAQAgAAAAIgAAAGRycy9kb3ducmV2LnhtbFBLAQIUABQAAAAIAIdO4kAT&#10;jzfzXQIAAKUEAAAOAAAAAAAAAAEAIAAAACMBAABkcnMvZTJvRG9jLnhtbFBLBQYAAAAABgAGAFkB&#10;AADy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0E7AEFC3">
                    <w:pPr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SJQU-QR-JW-055（A0）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4ZWFkMzhhNjc0NzYwYjI3ZjA5M2Q0MGFlNTkyYzkifQ=="/>
  </w:docVars>
  <w:rsids>
    <w:rsidRoot w:val="00B7651F"/>
    <w:rsid w:val="000203E0"/>
    <w:rsid w:val="000210E0"/>
    <w:rsid w:val="00033082"/>
    <w:rsid w:val="00044088"/>
    <w:rsid w:val="00053590"/>
    <w:rsid w:val="0006001D"/>
    <w:rsid w:val="00066041"/>
    <w:rsid w:val="00076794"/>
    <w:rsid w:val="0008122A"/>
    <w:rsid w:val="00087488"/>
    <w:rsid w:val="0009050A"/>
    <w:rsid w:val="0009721F"/>
    <w:rsid w:val="000A4E73"/>
    <w:rsid w:val="000B1BD2"/>
    <w:rsid w:val="000C0F0D"/>
    <w:rsid w:val="000C13BC"/>
    <w:rsid w:val="000D28E5"/>
    <w:rsid w:val="000D34D7"/>
    <w:rsid w:val="00100633"/>
    <w:rsid w:val="001072BC"/>
    <w:rsid w:val="00114BD6"/>
    <w:rsid w:val="00130F6D"/>
    <w:rsid w:val="00133554"/>
    <w:rsid w:val="00144082"/>
    <w:rsid w:val="0016381F"/>
    <w:rsid w:val="00163A48"/>
    <w:rsid w:val="00164E36"/>
    <w:rsid w:val="001678A2"/>
    <w:rsid w:val="00183AA1"/>
    <w:rsid w:val="0018767C"/>
    <w:rsid w:val="001A135C"/>
    <w:rsid w:val="001B0D49"/>
    <w:rsid w:val="001B546F"/>
    <w:rsid w:val="001C16FC"/>
    <w:rsid w:val="001C2E3E"/>
    <w:rsid w:val="001C388D"/>
    <w:rsid w:val="001E0494"/>
    <w:rsid w:val="001E1D2D"/>
    <w:rsid w:val="001E5A17"/>
    <w:rsid w:val="001F284E"/>
    <w:rsid w:val="001F332E"/>
    <w:rsid w:val="00217861"/>
    <w:rsid w:val="002204E4"/>
    <w:rsid w:val="002211BF"/>
    <w:rsid w:val="00233F15"/>
    <w:rsid w:val="002420F1"/>
    <w:rsid w:val="00253AC8"/>
    <w:rsid w:val="00256B39"/>
    <w:rsid w:val="0026033C"/>
    <w:rsid w:val="0027339A"/>
    <w:rsid w:val="00274E82"/>
    <w:rsid w:val="002757AB"/>
    <w:rsid w:val="0027777C"/>
    <w:rsid w:val="00277FE7"/>
    <w:rsid w:val="002877FA"/>
    <w:rsid w:val="00290962"/>
    <w:rsid w:val="0029110B"/>
    <w:rsid w:val="002A4649"/>
    <w:rsid w:val="002A7227"/>
    <w:rsid w:val="002B0773"/>
    <w:rsid w:val="002B0C48"/>
    <w:rsid w:val="002B13CA"/>
    <w:rsid w:val="002B3650"/>
    <w:rsid w:val="002B7322"/>
    <w:rsid w:val="002C58B6"/>
    <w:rsid w:val="002D0E86"/>
    <w:rsid w:val="002D7C47"/>
    <w:rsid w:val="002E33CE"/>
    <w:rsid w:val="002E3721"/>
    <w:rsid w:val="002E6F95"/>
    <w:rsid w:val="002E764D"/>
    <w:rsid w:val="002F3157"/>
    <w:rsid w:val="002F6BD5"/>
    <w:rsid w:val="00305F23"/>
    <w:rsid w:val="00313BBA"/>
    <w:rsid w:val="00317E29"/>
    <w:rsid w:val="00321515"/>
    <w:rsid w:val="0032602E"/>
    <w:rsid w:val="00327B8C"/>
    <w:rsid w:val="00331638"/>
    <w:rsid w:val="003344A7"/>
    <w:rsid w:val="00334623"/>
    <w:rsid w:val="003367AE"/>
    <w:rsid w:val="00340439"/>
    <w:rsid w:val="00344EF2"/>
    <w:rsid w:val="00347EB8"/>
    <w:rsid w:val="00347F80"/>
    <w:rsid w:val="00353F74"/>
    <w:rsid w:val="003557DE"/>
    <w:rsid w:val="00361BEB"/>
    <w:rsid w:val="00370184"/>
    <w:rsid w:val="00373C8A"/>
    <w:rsid w:val="00377C10"/>
    <w:rsid w:val="00384A1F"/>
    <w:rsid w:val="00384D60"/>
    <w:rsid w:val="00385D41"/>
    <w:rsid w:val="003861BA"/>
    <w:rsid w:val="003A1680"/>
    <w:rsid w:val="003A373C"/>
    <w:rsid w:val="003A5874"/>
    <w:rsid w:val="003B1258"/>
    <w:rsid w:val="003B4A81"/>
    <w:rsid w:val="003C1F8D"/>
    <w:rsid w:val="003C61A5"/>
    <w:rsid w:val="003D1968"/>
    <w:rsid w:val="003D4994"/>
    <w:rsid w:val="003E10A5"/>
    <w:rsid w:val="003E7D72"/>
    <w:rsid w:val="003F3923"/>
    <w:rsid w:val="003F43F6"/>
    <w:rsid w:val="004019DB"/>
    <w:rsid w:val="00402B67"/>
    <w:rsid w:val="00403C91"/>
    <w:rsid w:val="0040433E"/>
    <w:rsid w:val="00404974"/>
    <w:rsid w:val="0040726A"/>
    <w:rsid w:val="004100B0"/>
    <w:rsid w:val="0041267F"/>
    <w:rsid w:val="00424BA5"/>
    <w:rsid w:val="00425431"/>
    <w:rsid w:val="00431829"/>
    <w:rsid w:val="00437B60"/>
    <w:rsid w:val="004405E6"/>
    <w:rsid w:val="00443C84"/>
    <w:rsid w:val="00443C89"/>
    <w:rsid w:val="004540AA"/>
    <w:rsid w:val="00456BD8"/>
    <w:rsid w:val="00456DC8"/>
    <w:rsid w:val="0046549D"/>
    <w:rsid w:val="00471668"/>
    <w:rsid w:val="00481F98"/>
    <w:rsid w:val="004852BF"/>
    <w:rsid w:val="00487A46"/>
    <w:rsid w:val="00493504"/>
    <w:rsid w:val="00494579"/>
    <w:rsid w:val="00497334"/>
    <w:rsid w:val="004A4645"/>
    <w:rsid w:val="004A6F3A"/>
    <w:rsid w:val="004B408D"/>
    <w:rsid w:val="004B6F68"/>
    <w:rsid w:val="004B73F7"/>
    <w:rsid w:val="004D4FB3"/>
    <w:rsid w:val="004D75A6"/>
    <w:rsid w:val="004E3456"/>
    <w:rsid w:val="004F3DF0"/>
    <w:rsid w:val="005074E1"/>
    <w:rsid w:val="005126F1"/>
    <w:rsid w:val="00513F2F"/>
    <w:rsid w:val="0051612A"/>
    <w:rsid w:val="00517176"/>
    <w:rsid w:val="0052192E"/>
    <w:rsid w:val="00524300"/>
    <w:rsid w:val="00541F72"/>
    <w:rsid w:val="00542388"/>
    <w:rsid w:val="00544523"/>
    <w:rsid w:val="005467DC"/>
    <w:rsid w:val="00546A82"/>
    <w:rsid w:val="00547C51"/>
    <w:rsid w:val="00551335"/>
    <w:rsid w:val="005519BB"/>
    <w:rsid w:val="005523FD"/>
    <w:rsid w:val="00553D03"/>
    <w:rsid w:val="00555BA0"/>
    <w:rsid w:val="00556E41"/>
    <w:rsid w:val="0057496F"/>
    <w:rsid w:val="005770A6"/>
    <w:rsid w:val="0059045B"/>
    <w:rsid w:val="00597EC2"/>
    <w:rsid w:val="005A13AB"/>
    <w:rsid w:val="005B1150"/>
    <w:rsid w:val="005B1FFC"/>
    <w:rsid w:val="005B2B6D"/>
    <w:rsid w:val="005B4B4E"/>
    <w:rsid w:val="005C3A76"/>
    <w:rsid w:val="005D5B6F"/>
    <w:rsid w:val="005E38A5"/>
    <w:rsid w:val="005F5185"/>
    <w:rsid w:val="0062115C"/>
    <w:rsid w:val="0062265B"/>
    <w:rsid w:val="00624B5C"/>
    <w:rsid w:val="00624FE1"/>
    <w:rsid w:val="0062577D"/>
    <w:rsid w:val="0063249D"/>
    <w:rsid w:val="006331EE"/>
    <w:rsid w:val="006355E6"/>
    <w:rsid w:val="00637E00"/>
    <w:rsid w:val="0064038A"/>
    <w:rsid w:val="0065167D"/>
    <w:rsid w:val="00652D13"/>
    <w:rsid w:val="0066595A"/>
    <w:rsid w:val="00666206"/>
    <w:rsid w:val="00672788"/>
    <w:rsid w:val="00676183"/>
    <w:rsid w:val="00680DA3"/>
    <w:rsid w:val="0068377F"/>
    <w:rsid w:val="00691B24"/>
    <w:rsid w:val="00695B93"/>
    <w:rsid w:val="00697C16"/>
    <w:rsid w:val="006A5A89"/>
    <w:rsid w:val="006B3BB9"/>
    <w:rsid w:val="006B48AC"/>
    <w:rsid w:val="006B5977"/>
    <w:rsid w:val="006D1B59"/>
    <w:rsid w:val="006D2F9C"/>
    <w:rsid w:val="006D4351"/>
    <w:rsid w:val="006D5424"/>
    <w:rsid w:val="006E5CA9"/>
    <w:rsid w:val="006E5E98"/>
    <w:rsid w:val="006E7A37"/>
    <w:rsid w:val="006F3151"/>
    <w:rsid w:val="007011CA"/>
    <w:rsid w:val="007056DE"/>
    <w:rsid w:val="00706121"/>
    <w:rsid w:val="00710B6B"/>
    <w:rsid w:val="00712A2C"/>
    <w:rsid w:val="00712E84"/>
    <w:rsid w:val="00714914"/>
    <w:rsid w:val="007208D6"/>
    <w:rsid w:val="00726786"/>
    <w:rsid w:val="00732152"/>
    <w:rsid w:val="007428DF"/>
    <w:rsid w:val="00742BD1"/>
    <w:rsid w:val="00742E7A"/>
    <w:rsid w:val="0074424F"/>
    <w:rsid w:val="00764FD9"/>
    <w:rsid w:val="007740B2"/>
    <w:rsid w:val="00774C1F"/>
    <w:rsid w:val="0078194F"/>
    <w:rsid w:val="007934A4"/>
    <w:rsid w:val="007A0AC9"/>
    <w:rsid w:val="007A1B70"/>
    <w:rsid w:val="007A57F6"/>
    <w:rsid w:val="007B4FFB"/>
    <w:rsid w:val="007C0BCE"/>
    <w:rsid w:val="007C1D1B"/>
    <w:rsid w:val="007C3566"/>
    <w:rsid w:val="007C794A"/>
    <w:rsid w:val="007D5326"/>
    <w:rsid w:val="007D5A33"/>
    <w:rsid w:val="007E4F3A"/>
    <w:rsid w:val="007E620F"/>
    <w:rsid w:val="007E663C"/>
    <w:rsid w:val="007E7795"/>
    <w:rsid w:val="0080066B"/>
    <w:rsid w:val="00803578"/>
    <w:rsid w:val="00815B8D"/>
    <w:rsid w:val="00815B8E"/>
    <w:rsid w:val="00816D99"/>
    <w:rsid w:val="0082324C"/>
    <w:rsid w:val="00823D71"/>
    <w:rsid w:val="008245AF"/>
    <w:rsid w:val="008256B9"/>
    <w:rsid w:val="0083705D"/>
    <w:rsid w:val="0084242F"/>
    <w:rsid w:val="00845795"/>
    <w:rsid w:val="00847437"/>
    <w:rsid w:val="00882E15"/>
    <w:rsid w:val="00883C73"/>
    <w:rsid w:val="008901A2"/>
    <w:rsid w:val="008A08B0"/>
    <w:rsid w:val="008B0385"/>
    <w:rsid w:val="008B1082"/>
    <w:rsid w:val="008B188E"/>
    <w:rsid w:val="008B397C"/>
    <w:rsid w:val="008B47F4"/>
    <w:rsid w:val="008B7448"/>
    <w:rsid w:val="008B7E1E"/>
    <w:rsid w:val="008C2AE6"/>
    <w:rsid w:val="008C2DE8"/>
    <w:rsid w:val="008C5113"/>
    <w:rsid w:val="008C5B8A"/>
    <w:rsid w:val="008D3D5F"/>
    <w:rsid w:val="008D4E81"/>
    <w:rsid w:val="008D505F"/>
    <w:rsid w:val="008E0F55"/>
    <w:rsid w:val="008F253F"/>
    <w:rsid w:val="008F7F31"/>
    <w:rsid w:val="00900019"/>
    <w:rsid w:val="009023B1"/>
    <w:rsid w:val="009147D6"/>
    <w:rsid w:val="00914D98"/>
    <w:rsid w:val="00925F8C"/>
    <w:rsid w:val="00927324"/>
    <w:rsid w:val="00932ED7"/>
    <w:rsid w:val="00933990"/>
    <w:rsid w:val="00941B89"/>
    <w:rsid w:val="00941DEA"/>
    <w:rsid w:val="009656CC"/>
    <w:rsid w:val="00970E8C"/>
    <w:rsid w:val="00971671"/>
    <w:rsid w:val="00981A37"/>
    <w:rsid w:val="009830B2"/>
    <w:rsid w:val="0099063E"/>
    <w:rsid w:val="00992356"/>
    <w:rsid w:val="00992674"/>
    <w:rsid w:val="00994793"/>
    <w:rsid w:val="00996AE3"/>
    <w:rsid w:val="009A0450"/>
    <w:rsid w:val="009A1E27"/>
    <w:rsid w:val="009A307B"/>
    <w:rsid w:val="009B04E7"/>
    <w:rsid w:val="009B14E8"/>
    <w:rsid w:val="009B4D21"/>
    <w:rsid w:val="009B5A73"/>
    <w:rsid w:val="009C54C9"/>
    <w:rsid w:val="009C589C"/>
    <w:rsid w:val="009D192B"/>
    <w:rsid w:val="009D2582"/>
    <w:rsid w:val="009D33E1"/>
    <w:rsid w:val="009D3B45"/>
    <w:rsid w:val="009D7CF9"/>
    <w:rsid w:val="009E2CCC"/>
    <w:rsid w:val="009E2CDD"/>
    <w:rsid w:val="009E366E"/>
    <w:rsid w:val="009E6FC4"/>
    <w:rsid w:val="009F00DC"/>
    <w:rsid w:val="009F3199"/>
    <w:rsid w:val="009F3355"/>
    <w:rsid w:val="009F3648"/>
    <w:rsid w:val="009F3B7A"/>
    <w:rsid w:val="009F54D0"/>
    <w:rsid w:val="00A04523"/>
    <w:rsid w:val="00A16159"/>
    <w:rsid w:val="00A161E6"/>
    <w:rsid w:val="00A17885"/>
    <w:rsid w:val="00A2337D"/>
    <w:rsid w:val="00A25A31"/>
    <w:rsid w:val="00A31BBE"/>
    <w:rsid w:val="00A31D34"/>
    <w:rsid w:val="00A333EF"/>
    <w:rsid w:val="00A33F85"/>
    <w:rsid w:val="00A40645"/>
    <w:rsid w:val="00A6016C"/>
    <w:rsid w:val="00A769B1"/>
    <w:rsid w:val="00A77DA3"/>
    <w:rsid w:val="00A837D5"/>
    <w:rsid w:val="00A83E04"/>
    <w:rsid w:val="00A91091"/>
    <w:rsid w:val="00A93EE3"/>
    <w:rsid w:val="00A94BA9"/>
    <w:rsid w:val="00AA4970"/>
    <w:rsid w:val="00AA536D"/>
    <w:rsid w:val="00AB22C0"/>
    <w:rsid w:val="00AB28FC"/>
    <w:rsid w:val="00AB49E4"/>
    <w:rsid w:val="00AC1479"/>
    <w:rsid w:val="00AC2AAC"/>
    <w:rsid w:val="00AC40F1"/>
    <w:rsid w:val="00AC4C45"/>
    <w:rsid w:val="00AD1085"/>
    <w:rsid w:val="00AD5B40"/>
    <w:rsid w:val="00AF289F"/>
    <w:rsid w:val="00AF30B9"/>
    <w:rsid w:val="00AF43DF"/>
    <w:rsid w:val="00AF67A4"/>
    <w:rsid w:val="00AF7510"/>
    <w:rsid w:val="00B12D31"/>
    <w:rsid w:val="00B15F6E"/>
    <w:rsid w:val="00B21BEE"/>
    <w:rsid w:val="00B23284"/>
    <w:rsid w:val="00B37D43"/>
    <w:rsid w:val="00B46F21"/>
    <w:rsid w:val="00B511A5"/>
    <w:rsid w:val="00B51CDE"/>
    <w:rsid w:val="00B56541"/>
    <w:rsid w:val="00B605ED"/>
    <w:rsid w:val="00B71F97"/>
    <w:rsid w:val="00B72538"/>
    <w:rsid w:val="00B736A7"/>
    <w:rsid w:val="00B7651F"/>
    <w:rsid w:val="00B919FA"/>
    <w:rsid w:val="00B94A16"/>
    <w:rsid w:val="00BA6044"/>
    <w:rsid w:val="00BB1A93"/>
    <w:rsid w:val="00BC14BF"/>
    <w:rsid w:val="00BC2625"/>
    <w:rsid w:val="00BC3200"/>
    <w:rsid w:val="00BC338A"/>
    <w:rsid w:val="00BD7AB0"/>
    <w:rsid w:val="00BF3C20"/>
    <w:rsid w:val="00C011BC"/>
    <w:rsid w:val="00C03DBA"/>
    <w:rsid w:val="00C112E7"/>
    <w:rsid w:val="00C11C78"/>
    <w:rsid w:val="00C11CD4"/>
    <w:rsid w:val="00C15061"/>
    <w:rsid w:val="00C1713D"/>
    <w:rsid w:val="00C20D9D"/>
    <w:rsid w:val="00C2134F"/>
    <w:rsid w:val="00C24718"/>
    <w:rsid w:val="00C2675D"/>
    <w:rsid w:val="00C30AEE"/>
    <w:rsid w:val="00C33362"/>
    <w:rsid w:val="00C353AE"/>
    <w:rsid w:val="00C4194E"/>
    <w:rsid w:val="00C516B1"/>
    <w:rsid w:val="00C5350C"/>
    <w:rsid w:val="00C56E09"/>
    <w:rsid w:val="00C61B1B"/>
    <w:rsid w:val="00C66AB7"/>
    <w:rsid w:val="00C673D1"/>
    <w:rsid w:val="00C746CB"/>
    <w:rsid w:val="00C77BBF"/>
    <w:rsid w:val="00C77D64"/>
    <w:rsid w:val="00C81564"/>
    <w:rsid w:val="00C9080C"/>
    <w:rsid w:val="00C94429"/>
    <w:rsid w:val="00CA18FD"/>
    <w:rsid w:val="00CA27E5"/>
    <w:rsid w:val="00CA4897"/>
    <w:rsid w:val="00CA6928"/>
    <w:rsid w:val="00CB3D3F"/>
    <w:rsid w:val="00CB5A1A"/>
    <w:rsid w:val="00CC59E6"/>
    <w:rsid w:val="00CD5BDD"/>
    <w:rsid w:val="00CF096B"/>
    <w:rsid w:val="00CF10F7"/>
    <w:rsid w:val="00CF5EE3"/>
    <w:rsid w:val="00CF691F"/>
    <w:rsid w:val="00D00D99"/>
    <w:rsid w:val="00D013A4"/>
    <w:rsid w:val="00D026DC"/>
    <w:rsid w:val="00D15595"/>
    <w:rsid w:val="00D343A8"/>
    <w:rsid w:val="00D37832"/>
    <w:rsid w:val="00D44860"/>
    <w:rsid w:val="00D47689"/>
    <w:rsid w:val="00D50C42"/>
    <w:rsid w:val="00D57CF5"/>
    <w:rsid w:val="00D612BC"/>
    <w:rsid w:val="00D62F98"/>
    <w:rsid w:val="00D66FD6"/>
    <w:rsid w:val="00D8285B"/>
    <w:rsid w:val="00D862EB"/>
    <w:rsid w:val="00D86619"/>
    <w:rsid w:val="00D93E7C"/>
    <w:rsid w:val="00DB2BE6"/>
    <w:rsid w:val="00DB76B3"/>
    <w:rsid w:val="00DD1052"/>
    <w:rsid w:val="00DD3C7B"/>
    <w:rsid w:val="00DE2B21"/>
    <w:rsid w:val="00DE48DE"/>
    <w:rsid w:val="00DF25F2"/>
    <w:rsid w:val="00DF4166"/>
    <w:rsid w:val="00E000F4"/>
    <w:rsid w:val="00E01231"/>
    <w:rsid w:val="00E04279"/>
    <w:rsid w:val="00E11393"/>
    <w:rsid w:val="00E125D9"/>
    <w:rsid w:val="00E16D30"/>
    <w:rsid w:val="00E31E69"/>
    <w:rsid w:val="00E33169"/>
    <w:rsid w:val="00E34A7B"/>
    <w:rsid w:val="00E40973"/>
    <w:rsid w:val="00E545FF"/>
    <w:rsid w:val="00E6080E"/>
    <w:rsid w:val="00E64168"/>
    <w:rsid w:val="00E655B3"/>
    <w:rsid w:val="00E7081D"/>
    <w:rsid w:val="00E70904"/>
    <w:rsid w:val="00E71319"/>
    <w:rsid w:val="00E75171"/>
    <w:rsid w:val="00E804B0"/>
    <w:rsid w:val="00E86772"/>
    <w:rsid w:val="00E90B8B"/>
    <w:rsid w:val="00E93ADD"/>
    <w:rsid w:val="00E952D8"/>
    <w:rsid w:val="00EB00E4"/>
    <w:rsid w:val="00EB28DA"/>
    <w:rsid w:val="00EB3812"/>
    <w:rsid w:val="00EB44EB"/>
    <w:rsid w:val="00EB66B8"/>
    <w:rsid w:val="00EB791E"/>
    <w:rsid w:val="00EC70A9"/>
    <w:rsid w:val="00ED4C3A"/>
    <w:rsid w:val="00EE1C85"/>
    <w:rsid w:val="00EF21D9"/>
    <w:rsid w:val="00EF2A94"/>
    <w:rsid w:val="00EF32FB"/>
    <w:rsid w:val="00EF44B1"/>
    <w:rsid w:val="00EF4865"/>
    <w:rsid w:val="00EF5954"/>
    <w:rsid w:val="00F100D2"/>
    <w:rsid w:val="00F12942"/>
    <w:rsid w:val="00F13C41"/>
    <w:rsid w:val="00F14886"/>
    <w:rsid w:val="00F16421"/>
    <w:rsid w:val="00F201EE"/>
    <w:rsid w:val="00F35AA0"/>
    <w:rsid w:val="00F43C49"/>
    <w:rsid w:val="00F45C12"/>
    <w:rsid w:val="00F544A2"/>
    <w:rsid w:val="00F73D03"/>
    <w:rsid w:val="00F76CB9"/>
    <w:rsid w:val="00F77A73"/>
    <w:rsid w:val="00F80E46"/>
    <w:rsid w:val="00F96236"/>
    <w:rsid w:val="00FA10CE"/>
    <w:rsid w:val="00FA222F"/>
    <w:rsid w:val="00FA2891"/>
    <w:rsid w:val="00FB693D"/>
    <w:rsid w:val="00FB7768"/>
    <w:rsid w:val="00FC7489"/>
    <w:rsid w:val="00FD1BA8"/>
    <w:rsid w:val="00FD218F"/>
    <w:rsid w:val="00FD5663"/>
    <w:rsid w:val="00FD56C6"/>
    <w:rsid w:val="00FE3221"/>
    <w:rsid w:val="00FE48EA"/>
    <w:rsid w:val="00FE571F"/>
    <w:rsid w:val="00FF47F6"/>
    <w:rsid w:val="016E63C2"/>
    <w:rsid w:val="024B0C39"/>
    <w:rsid w:val="0A8128A6"/>
    <w:rsid w:val="0BF32A1B"/>
    <w:rsid w:val="10BD2C22"/>
    <w:rsid w:val="22987C80"/>
    <w:rsid w:val="24192CCC"/>
    <w:rsid w:val="26F4679D"/>
    <w:rsid w:val="28BC27F2"/>
    <w:rsid w:val="29BD49CB"/>
    <w:rsid w:val="2A4A44F0"/>
    <w:rsid w:val="39A66CD4"/>
    <w:rsid w:val="3CD52CE1"/>
    <w:rsid w:val="410F2E6A"/>
    <w:rsid w:val="4430136C"/>
    <w:rsid w:val="4AB0382B"/>
    <w:rsid w:val="569868B5"/>
    <w:rsid w:val="5CB40AF6"/>
    <w:rsid w:val="5E471942"/>
    <w:rsid w:val="611F3E46"/>
    <w:rsid w:val="611F6817"/>
    <w:rsid w:val="66CA1754"/>
    <w:rsid w:val="6F1E65D4"/>
    <w:rsid w:val="6F266C86"/>
    <w:rsid w:val="6F5042C2"/>
    <w:rsid w:val="74316312"/>
    <w:rsid w:val="75CC7382"/>
    <w:rsid w:val="77550B81"/>
    <w:rsid w:val="780F13C8"/>
    <w:rsid w:val="7C385448"/>
    <w:rsid w:val="7CB3663D"/>
    <w:rsid w:val="7CDFF2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99"/>
    <w:pPr>
      <w:widowControl w:val="0"/>
    </w:pPr>
    <w:rPr>
      <w:rFonts w:ascii="Times New Roman" w:hAnsi="Times New Roman" w:cs="Times New Roman"/>
      <w:kern w:val="2"/>
      <w:sz w:val="21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semiHidden/>
    <w:qFormat/>
    <w:uiPriority w:val="99"/>
    <w:rPr>
      <w:sz w:val="18"/>
      <w:szCs w:val="18"/>
    </w:rPr>
  </w:style>
  <w:style w:type="paragraph" w:customStyle="1" w:styleId="13">
    <w:name w:val="表格标题DG"/>
    <w:basedOn w:val="1"/>
    <w:qFormat/>
    <w:uiPriority w:val="0"/>
    <w:pPr>
      <w:snapToGrid w:val="0"/>
      <w:jc w:val="center"/>
    </w:pPr>
    <w:rPr>
      <w:rFonts w:ascii="Arial" w:hAnsi="Arial" w:eastAsia="黑体"/>
      <w:bCs/>
      <w:color w:val="000000"/>
      <w:sz w:val="21"/>
      <w:szCs w:val="20"/>
    </w:rPr>
  </w:style>
  <w:style w:type="paragraph" w:customStyle="1" w:styleId="14">
    <w:name w:val="表格正文DG"/>
    <w:basedOn w:val="1"/>
    <w:qFormat/>
    <w:uiPriority w:val="0"/>
    <w:pPr>
      <w:jc w:val="center"/>
    </w:pPr>
    <w:rPr>
      <w:rFonts w:ascii="Times New Roman" w:hAnsi="Times New Roman"/>
      <w:color w:val="000000"/>
      <w:sz w:val="21"/>
      <w:szCs w:val="21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一级标题DG"/>
    <w:basedOn w:val="1"/>
    <w:qFormat/>
    <w:uiPriority w:val="0"/>
    <w:pPr>
      <w:spacing w:line="480" w:lineRule="auto"/>
      <w:outlineLvl w:val="0"/>
    </w:pPr>
    <w:rPr>
      <w:rFonts w:ascii="Arial" w:hAnsi="Arial" w:eastAsia="黑体"/>
      <w:sz w:val="28"/>
    </w:rPr>
  </w:style>
  <w:style w:type="paragraph" w:customStyle="1" w:styleId="17">
    <w:name w:val="二级标题DG"/>
    <w:basedOn w:val="6"/>
    <w:qFormat/>
    <w:uiPriority w:val="0"/>
    <w:pPr>
      <w:spacing w:before="25" w:beforeLines="25" w:beforeAutospacing="0" w:after="50" w:afterLines="50" w:afterAutospacing="0" w:line="440" w:lineRule="exact"/>
      <w:outlineLvl w:val="1"/>
    </w:pPr>
    <w:rPr>
      <w:rFonts w:ascii="Times New Roman" w:hAnsi="Times New Roman"/>
      <w:b/>
    </w:rPr>
  </w:style>
  <w:style w:type="paragraph" w:customStyle="1" w:styleId="18">
    <w:name w:val="正文DG"/>
    <w:basedOn w:val="1"/>
    <w:qFormat/>
    <w:uiPriority w:val="0"/>
    <w:pPr>
      <w:snapToGrid w:val="0"/>
      <w:spacing w:line="440" w:lineRule="exact"/>
      <w:ind w:firstLine="480" w:firstLineChars="200"/>
    </w:pPr>
    <w:rPr>
      <w:rFonts w:ascii="Times New Roman" w:hAnsi="Times New Roman" w:cs="Times New Roman"/>
      <w:color w:val="000000"/>
    </w:rPr>
  </w:style>
  <w:style w:type="character" w:customStyle="1" w:styleId="19">
    <w:name w:val="标题 1 字符"/>
    <w:basedOn w:val="9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20">
    <w:name w:val="批注文字 字符"/>
    <w:basedOn w:val="9"/>
    <w:link w:val="3"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1">
    <w:name w:val="editor-text-node"/>
    <w:basedOn w:val="9"/>
    <w:qFormat/>
    <w:uiPriority w:val="0"/>
  </w:style>
  <w:style w:type="character" w:styleId="22">
    <w:name w:val="Placeholder Text"/>
    <w:basedOn w:val="9"/>
    <w:unhideWhenUsed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721</Words>
  <Characters>773</Characters>
  <Lines>6</Lines>
  <Paragraphs>1</Paragraphs>
  <TotalTime>4</TotalTime>
  <ScaleCrop>false</ScaleCrop>
  <LinksUpToDate>false</LinksUpToDate>
  <CharactersWithSpaces>783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2023-11-21T10:39:00Z</dcterms:created>
  <dc:creator>juvg</dc:creator>
  <cp:lastModifiedBy>曾榕玲</cp:lastModifiedBy>
  <cp:lastPrinted>2023-11-21T08:52:00Z</cp:lastPrinted>
  <dcterms:modified xsi:type="dcterms:W3CDTF">2026-07-09T01:51:36Z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51EA3F938FD96F3DEECA446ACF3A85DA_43</vt:lpwstr>
  </property>
  <property fmtid="{D5CDD505-2E9C-101B-9397-08002B2CF9AE}" pid="4" name="KSOTemplateDocerSaveRecord">
    <vt:lpwstr>eyJoZGlkIjoiZjg3OWFmZDlkYTc3NzBjMWU3ODA4MjVhZjUwOWNkMzYiLCJ1c2VySWQiOiI0MzE5ODM4MjcifQ==</vt:lpwstr>
  </property>
</Properties>
</file>