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5DA39">
      <w:pPr>
        <w:jc w:val="center"/>
        <w:rPr>
          <w:rFonts w:ascii="黑体" w:hAnsi="黑体" w:eastAsia="黑体"/>
          <w:bCs/>
          <w:sz w:val="32"/>
          <w:szCs w:val="32"/>
        </w:rPr>
      </w:pPr>
      <w:r>
        <w:rPr>
          <w:rFonts w:hint="eastAsia" w:ascii="黑体" w:hAnsi="黑体" w:eastAsia="黑体"/>
          <w:bCs/>
          <w:sz w:val="32"/>
          <w:szCs w:val="32"/>
        </w:rPr>
        <w:t>《</w:t>
      </w:r>
      <w:r>
        <w:rPr>
          <w:rFonts w:hint="eastAsia" w:ascii="黑体" w:hAnsi="黑体" w:eastAsia="黑体"/>
          <w:b/>
          <w:bCs/>
          <w:sz w:val="32"/>
          <w:szCs w:val="32"/>
        </w:rPr>
        <w:t>药理学</w:t>
      </w:r>
      <w:r>
        <w:rPr>
          <w:rFonts w:hint="eastAsia" w:ascii="黑体" w:hAnsi="黑体" w:eastAsia="黑体"/>
          <w:bCs/>
          <w:sz w:val="32"/>
          <w:szCs w:val="32"/>
        </w:rPr>
        <w:t>》本科课程教学大纲</w:t>
      </w:r>
    </w:p>
    <w:p w14:paraId="0FC58EB0">
      <w:pPr>
        <w:spacing w:before="326" w:beforeLines="100"/>
        <w:outlineLvl w:val="0"/>
        <w:rPr>
          <w:rFonts w:ascii="Arial" w:hAnsi="Arial" w:eastAsia="黑体"/>
          <w:sz w:val="28"/>
        </w:rPr>
      </w:pPr>
      <w:r>
        <w:rPr>
          <w:rFonts w:ascii="Arial" w:hAnsi="Arial" w:eastAsia="黑体"/>
          <w:sz w:val="28"/>
        </w:rPr>
        <w:t>一</w:t>
      </w:r>
      <w:r>
        <w:rPr>
          <w:rFonts w:hint="eastAsia" w:ascii="Arial" w:hAnsi="Arial" w:eastAsia="黑体"/>
          <w:sz w:val="28"/>
        </w:rPr>
        <w:t>、课程</w:t>
      </w:r>
      <w:r>
        <w:rPr>
          <w:rFonts w:ascii="Arial" w:hAnsi="Arial" w:eastAsia="黑体"/>
          <w:sz w:val="28"/>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5742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noWrap w:val="0"/>
            <w:vAlign w:val="center"/>
          </w:tcPr>
          <w:p w14:paraId="161B530F">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课程名称</w:t>
            </w:r>
          </w:p>
        </w:tc>
        <w:tc>
          <w:tcPr>
            <w:tcW w:w="6585" w:type="dxa"/>
            <w:gridSpan w:val="6"/>
            <w:tcBorders>
              <w:top w:val="single" w:color="auto" w:sz="12" w:space="0"/>
              <w:right w:val="single" w:color="auto" w:sz="12" w:space="0"/>
            </w:tcBorders>
            <w:noWrap w:val="0"/>
            <w:vAlign w:val="center"/>
          </w:tcPr>
          <w:p w14:paraId="54B52E24">
            <w:pPr>
              <w:rPr>
                <w:rFonts w:ascii="Times New Roman" w:hAnsi="Times New Roman"/>
                <w:color w:val="000000"/>
                <w:sz w:val="21"/>
                <w:szCs w:val="21"/>
              </w:rPr>
            </w:pPr>
            <w:r>
              <w:rPr>
                <w:rFonts w:hint="eastAsia" w:ascii="Times New Roman" w:hAnsi="Times New Roman"/>
                <w:color w:val="000000"/>
                <w:sz w:val="21"/>
                <w:szCs w:val="21"/>
              </w:rPr>
              <w:t>药理学</w:t>
            </w:r>
          </w:p>
        </w:tc>
      </w:tr>
      <w:tr w14:paraId="0636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noWrap w:val="0"/>
            <w:vAlign w:val="center"/>
          </w:tcPr>
          <w:p w14:paraId="5B04AB5D">
            <w:pPr>
              <w:snapToGrid w:val="0"/>
              <w:jc w:val="center"/>
              <w:rPr>
                <w:rFonts w:ascii="黑体" w:hAnsi="黑体" w:eastAsia="黑体"/>
                <w:bCs/>
                <w:color w:val="000000"/>
                <w:sz w:val="21"/>
                <w:szCs w:val="21"/>
              </w:rPr>
            </w:pPr>
          </w:p>
        </w:tc>
        <w:tc>
          <w:tcPr>
            <w:tcW w:w="6585" w:type="dxa"/>
            <w:gridSpan w:val="6"/>
            <w:tcBorders>
              <w:right w:val="single" w:color="auto" w:sz="12" w:space="0"/>
            </w:tcBorders>
            <w:noWrap w:val="0"/>
            <w:vAlign w:val="center"/>
          </w:tcPr>
          <w:p w14:paraId="3EE7B550">
            <w:pPr>
              <w:rPr>
                <w:rFonts w:ascii="Times New Roman" w:hAnsi="Times New Roman"/>
                <w:color w:val="000000"/>
                <w:sz w:val="21"/>
                <w:szCs w:val="21"/>
              </w:rPr>
            </w:pPr>
            <w:r>
              <w:rPr>
                <w:rFonts w:hint="eastAsia" w:ascii="黑体" w:hAnsi="黑体" w:eastAsia="黑体"/>
                <w:color w:val="000000"/>
                <w:sz w:val="21"/>
                <w:szCs w:val="21"/>
              </w:rPr>
              <w:t>Pharmacology</w:t>
            </w:r>
          </w:p>
        </w:tc>
      </w:tr>
      <w:tr w14:paraId="3C7C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noWrap w:val="0"/>
            <w:vAlign w:val="center"/>
          </w:tcPr>
          <w:p w14:paraId="2A09FE36">
            <w:pPr>
              <w:snapToGrid w:val="0"/>
              <w:jc w:val="center"/>
              <w:rPr>
                <w:rFonts w:ascii="黑体" w:hAnsi="黑体" w:eastAsia="黑体"/>
                <w:bCs/>
                <w:color w:val="000000"/>
                <w:sz w:val="21"/>
                <w:szCs w:val="21"/>
              </w:rPr>
            </w:pPr>
            <w:r>
              <w:rPr>
                <w:rFonts w:ascii="黑体" w:hAnsi="黑体" w:eastAsia="黑体"/>
                <w:bCs/>
                <w:color w:val="000000"/>
                <w:sz w:val="21"/>
                <w:szCs w:val="21"/>
              </w:rPr>
              <w:t>课程代码</w:t>
            </w:r>
          </w:p>
        </w:tc>
        <w:tc>
          <w:tcPr>
            <w:tcW w:w="2260" w:type="dxa"/>
            <w:noWrap w:val="0"/>
            <w:vAlign w:val="center"/>
          </w:tcPr>
          <w:p w14:paraId="780568A3">
            <w:pPr>
              <w:rPr>
                <w:rFonts w:ascii="黑体" w:hAnsi="黑体" w:eastAsia="黑体"/>
                <w:color w:val="000000"/>
                <w:sz w:val="21"/>
                <w:szCs w:val="21"/>
              </w:rPr>
            </w:pPr>
            <w:r>
              <w:rPr>
                <w:rFonts w:hint="eastAsia" w:ascii="黑体" w:hAnsi="黑体" w:eastAsia="黑体"/>
                <w:color w:val="000000"/>
                <w:sz w:val="21"/>
                <w:szCs w:val="21"/>
              </w:rPr>
              <w:t>2070006</w:t>
            </w:r>
          </w:p>
        </w:tc>
        <w:tc>
          <w:tcPr>
            <w:tcW w:w="2126" w:type="dxa"/>
            <w:gridSpan w:val="2"/>
            <w:noWrap w:val="0"/>
            <w:vAlign w:val="center"/>
          </w:tcPr>
          <w:p w14:paraId="0A5C9307">
            <w:pPr>
              <w:snapToGrid w:val="0"/>
              <w:jc w:val="center"/>
              <w:rPr>
                <w:rFonts w:ascii="Times New Roman" w:hAnsi="Times New Roman" w:eastAsia="黑体"/>
                <w:bCs/>
                <w:color w:val="000000"/>
                <w:sz w:val="21"/>
                <w:szCs w:val="21"/>
              </w:rPr>
            </w:pPr>
            <w:r>
              <w:rPr>
                <w:rFonts w:ascii="Times New Roman" w:hAnsi="Times New Roman" w:eastAsia="黑体"/>
                <w:bCs/>
                <w:color w:val="000000"/>
                <w:sz w:val="21"/>
                <w:szCs w:val="21"/>
              </w:rPr>
              <w:t>课程学分</w:t>
            </w:r>
          </w:p>
        </w:tc>
        <w:tc>
          <w:tcPr>
            <w:tcW w:w="2199" w:type="dxa"/>
            <w:gridSpan w:val="3"/>
            <w:tcBorders>
              <w:right w:val="single" w:color="auto" w:sz="12" w:space="0"/>
            </w:tcBorders>
            <w:noWrap w:val="0"/>
            <w:vAlign w:val="center"/>
          </w:tcPr>
          <w:p w14:paraId="7E2DEE59">
            <w:pPr>
              <w:rPr>
                <w:rFonts w:ascii="Times New Roman" w:hAnsi="Times New Roman"/>
                <w:color w:val="000000"/>
                <w:sz w:val="21"/>
                <w:szCs w:val="21"/>
              </w:rPr>
            </w:pPr>
            <w:r>
              <w:rPr>
                <w:rFonts w:hint="eastAsia" w:ascii="Times New Roman" w:hAnsi="Times New Roman"/>
                <w:color w:val="000000"/>
                <w:sz w:val="21"/>
                <w:szCs w:val="21"/>
              </w:rPr>
              <w:t>3.0</w:t>
            </w:r>
          </w:p>
        </w:tc>
      </w:tr>
      <w:tr w14:paraId="54CCE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noWrap w:val="0"/>
            <w:vAlign w:val="center"/>
          </w:tcPr>
          <w:p w14:paraId="72A0F520">
            <w:pPr>
              <w:snapToGrid w:val="0"/>
              <w:jc w:val="center"/>
              <w:rPr>
                <w:rFonts w:ascii="Times New Roman" w:hAnsi="Times New Roman" w:eastAsia="黑体"/>
                <w:bCs/>
                <w:color w:val="000000"/>
                <w:sz w:val="21"/>
                <w:szCs w:val="21"/>
              </w:rPr>
            </w:pPr>
            <w:r>
              <w:rPr>
                <w:rFonts w:hint="eastAsia" w:ascii="黑体" w:hAnsi="黑体" w:eastAsia="黑体"/>
                <w:bCs/>
                <w:color w:val="000000"/>
                <w:sz w:val="21"/>
                <w:szCs w:val="21"/>
              </w:rPr>
              <w:t>课程学时</w:t>
            </w:r>
          </w:p>
        </w:tc>
        <w:tc>
          <w:tcPr>
            <w:tcW w:w="2260" w:type="dxa"/>
            <w:noWrap w:val="0"/>
            <w:vAlign w:val="center"/>
          </w:tcPr>
          <w:p w14:paraId="0ECF3B62">
            <w:pPr>
              <w:rPr>
                <w:rFonts w:ascii="Times New Roman" w:hAnsi="Times New Roman"/>
                <w:color w:val="000000"/>
                <w:sz w:val="21"/>
                <w:szCs w:val="21"/>
              </w:rPr>
            </w:pPr>
            <w:r>
              <w:rPr>
                <w:rFonts w:hint="eastAsia" w:ascii="Times New Roman" w:hAnsi="Times New Roman"/>
                <w:color w:val="000000"/>
                <w:sz w:val="21"/>
                <w:szCs w:val="21"/>
              </w:rPr>
              <w:t>48</w:t>
            </w:r>
          </w:p>
        </w:tc>
        <w:tc>
          <w:tcPr>
            <w:tcW w:w="1272" w:type="dxa"/>
            <w:noWrap w:val="0"/>
            <w:vAlign w:val="center"/>
          </w:tcPr>
          <w:p w14:paraId="1B74DFE2">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理论学时</w:t>
            </w:r>
          </w:p>
        </w:tc>
        <w:tc>
          <w:tcPr>
            <w:tcW w:w="854" w:type="dxa"/>
            <w:noWrap w:val="0"/>
            <w:vAlign w:val="center"/>
          </w:tcPr>
          <w:p w14:paraId="525F8AFF">
            <w:pPr>
              <w:rPr>
                <w:rFonts w:ascii="Times New Roman" w:hAnsi="Times New Roman"/>
                <w:color w:val="000000"/>
                <w:sz w:val="21"/>
                <w:szCs w:val="21"/>
              </w:rPr>
            </w:pPr>
            <w:r>
              <w:rPr>
                <w:rFonts w:hint="eastAsia" w:ascii="Times New Roman" w:hAnsi="Times New Roman"/>
                <w:color w:val="000000"/>
                <w:sz w:val="21"/>
                <w:szCs w:val="21"/>
              </w:rPr>
              <w:t>32</w:t>
            </w:r>
          </w:p>
        </w:tc>
        <w:tc>
          <w:tcPr>
            <w:tcW w:w="1413" w:type="dxa"/>
            <w:gridSpan w:val="2"/>
            <w:noWrap w:val="0"/>
            <w:vAlign w:val="center"/>
          </w:tcPr>
          <w:p w14:paraId="10C476AD">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实践学时</w:t>
            </w:r>
          </w:p>
        </w:tc>
        <w:tc>
          <w:tcPr>
            <w:tcW w:w="786" w:type="dxa"/>
            <w:tcBorders>
              <w:right w:val="single" w:color="auto" w:sz="12" w:space="0"/>
            </w:tcBorders>
            <w:noWrap w:val="0"/>
            <w:vAlign w:val="center"/>
          </w:tcPr>
          <w:p w14:paraId="4D7DE32F">
            <w:pPr>
              <w:rPr>
                <w:rFonts w:ascii="Times New Roman" w:hAnsi="Times New Roman"/>
                <w:color w:val="000000"/>
                <w:sz w:val="21"/>
                <w:szCs w:val="21"/>
              </w:rPr>
            </w:pPr>
            <w:r>
              <w:rPr>
                <w:rFonts w:hint="eastAsia" w:ascii="Times New Roman" w:hAnsi="Times New Roman"/>
                <w:color w:val="000000"/>
                <w:sz w:val="21"/>
                <w:szCs w:val="21"/>
              </w:rPr>
              <w:t>16</w:t>
            </w:r>
          </w:p>
        </w:tc>
      </w:tr>
      <w:tr w14:paraId="3BE9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noWrap w:val="0"/>
            <w:vAlign w:val="center"/>
          </w:tcPr>
          <w:p w14:paraId="1646C1F3">
            <w:pPr>
              <w:snapToGrid w:val="0"/>
              <w:jc w:val="center"/>
              <w:rPr>
                <w:rFonts w:ascii="黑体" w:hAnsi="黑体" w:eastAsia="黑体"/>
                <w:bCs/>
                <w:color w:val="000000"/>
                <w:sz w:val="21"/>
                <w:szCs w:val="21"/>
              </w:rPr>
            </w:pPr>
            <w:r>
              <w:rPr>
                <w:rFonts w:ascii="黑体" w:hAnsi="黑体" w:eastAsia="黑体"/>
                <w:bCs/>
                <w:color w:val="000000"/>
                <w:sz w:val="21"/>
                <w:szCs w:val="21"/>
              </w:rPr>
              <w:t>开课</w:t>
            </w:r>
            <w:r>
              <w:rPr>
                <w:rFonts w:hint="eastAsia" w:ascii="黑体" w:hAnsi="黑体" w:eastAsia="黑体"/>
                <w:bCs/>
                <w:color w:val="000000"/>
                <w:sz w:val="21"/>
                <w:szCs w:val="21"/>
              </w:rPr>
              <w:t>学院</w:t>
            </w:r>
          </w:p>
        </w:tc>
        <w:tc>
          <w:tcPr>
            <w:tcW w:w="2260" w:type="dxa"/>
            <w:noWrap w:val="0"/>
            <w:vAlign w:val="center"/>
          </w:tcPr>
          <w:p w14:paraId="618CF969">
            <w:pPr>
              <w:rPr>
                <w:rFonts w:ascii="黑体" w:hAnsi="黑体" w:eastAsia="黑体"/>
                <w:color w:val="000000"/>
                <w:sz w:val="21"/>
                <w:szCs w:val="21"/>
              </w:rPr>
            </w:pPr>
            <w:r>
              <w:rPr>
                <w:rFonts w:hint="eastAsia" w:ascii="Times New Roman" w:hAnsi="Times New Roman"/>
                <w:color w:val="000000"/>
                <w:sz w:val="21"/>
                <w:szCs w:val="21"/>
              </w:rPr>
              <w:t>健康管理学院</w:t>
            </w:r>
          </w:p>
        </w:tc>
        <w:tc>
          <w:tcPr>
            <w:tcW w:w="2126" w:type="dxa"/>
            <w:gridSpan w:val="2"/>
            <w:noWrap w:val="0"/>
            <w:vAlign w:val="center"/>
          </w:tcPr>
          <w:p w14:paraId="0B99CF50">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适用</w:t>
            </w:r>
            <w:r>
              <w:rPr>
                <w:rFonts w:ascii="Times New Roman" w:hAnsi="Times New Roman" w:eastAsia="黑体"/>
                <w:bCs/>
                <w:color w:val="000000"/>
                <w:sz w:val="21"/>
                <w:szCs w:val="21"/>
              </w:rPr>
              <w:t>专业</w:t>
            </w:r>
            <w:r>
              <w:rPr>
                <w:rFonts w:hint="eastAsia" w:ascii="Times New Roman" w:hAnsi="Times New Roman" w:eastAsia="黑体"/>
                <w:bCs/>
                <w:color w:val="000000"/>
                <w:sz w:val="21"/>
                <w:szCs w:val="21"/>
              </w:rPr>
              <w:t>与年级</w:t>
            </w:r>
          </w:p>
        </w:tc>
        <w:tc>
          <w:tcPr>
            <w:tcW w:w="2199" w:type="dxa"/>
            <w:gridSpan w:val="3"/>
            <w:tcBorders>
              <w:right w:val="single" w:color="auto" w:sz="12" w:space="0"/>
            </w:tcBorders>
            <w:noWrap w:val="0"/>
            <w:vAlign w:val="center"/>
          </w:tcPr>
          <w:p w14:paraId="0780164E">
            <w:pPr>
              <w:rPr>
                <w:rFonts w:ascii="Times New Roman" w:hAnsi="Times New Roman"/>
                <w:color w:val="000000"/>
                <w:sz w:val="21"/>
                <w:szCs w:val="21"/>
              </w:rPr>
            </w:pPr>
            <w:r>
              <w:rPr>
                <w:rFonts w:hint="eastAsia" w:ascii="Times New Roman" w:hAnsi="Times New Roman"/>
                <w:color w:val="000000"/>
                <w:sz w:val="21"/>
                <w:szCs w:val="21"/>
              </w:rPr>
              <w:t>护理类本科专业二年级第</w:t>
            </w:r>
            <w:r>
              <w:rPr>
                <w:rFonts w:hint="eastAsia" w:ascii="Times New Roman" w:hAnsi="Times New Roman"/>
                <w:color w:val="000000"/>
                <w:sz w:val="21"/>
                <w:szCs w:val="21"/>
                <w:lang w:val="en-US" w:eastAsia="zh-CN"/>
              </w:rPr>
              <w:t>一</w:t>
            </w:r>
            <w:r>
              <w:rPr>
                <w:rFonts w:hint="eastAsia" w:ascii="Times New Roman" w:hAnsi="Times New Roman"/>
                <w:color w:val="000000"/>
                <w:sz w:val="21"/>
                <w:szCs w:val="21"/>
              </w:rPr>
              <w:t>学期</w:t>
            </w:r>
          </w:p>
        </w:tc>
      </w:tr>
      <w:tr w14:paraId="466C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noWrap w:val="0"/>
            <w:vAlign w:val="center"/>
          </w:tcPr>
          <w:p w14:paraId="006153F6">
            <w:pPr>
              <w:snapToGrid w:val="0"/>
              <w:jc w:val="center"/>
              <w:rPr>
                <w:rFonts w:ascii="黑体" w:hAnsi="黑体" w:eastAsia="黑体"/>
                <w:bCs/>
                <w:color w:val="000000"/>
                <w:sz w:val="21"/>
                <w:szCs w:val="21"/>
              </w:rPr>
            </w:pPr>
            <w:r>
              <w:rPr>
                <w:rFonts w:hint="eastAsia" w:ascii="黑体" w:hAnsi="黑体" w:eastAsia="黑体"/>
                <w:bCs/>
                <w:color w:val="000000"/>
                <w:sz w:val="21"/>
                <w:szCs w:val="21"/>
              </w:rPr>
              <w:t>课程类别与性质</w:t>
            </w:r>
          </w:p>
        </w:tc>
        <w:tc>
          <w:tcPr>
            <w:tcW w:w="2260" w:type="dxa"/>
            <w:noWrap w:val="0"/>
            <w:vAlign w:val="center"/>
          </w:tcPr>
          <w:p w14:paraId="6E9FA5CC">
            <w:pPr>
              <w:rPr>
                <w:rFonts w:ascii="Times New Roman" w:hAnsi="Times New Roman"/>
                <w:color w:val="000000"/>
                <w:sz w:val="21"/>
                <w:szCs w:val="21"/>
              </w:rPr>
            </w:pPr>
            <w:r>
              <w:rPr>
                <w:rFonts w:hint="eastAsia" w:ascii="Times New Roman" w:hAnsi="Times New Roman"/>
                <w:color w:val="000000"/>
                <w:sz w:val="21"/>
                <w:szCs w:val="21"/>
              </w:rPr>
              <w:t>专业基础必修课</w:t>
            </w:r>
          </w:p>
        </w:tc>
        <w:tc>
          <w:tcPr>
            <w:tcW w:w="2126" w:type="dxa"/>
            <w:gridSpan w:val="2"/>
            <w:noWrap w:val="0"/>
            <w:vAlign w:val="center"/>
          </w:tcPr>
          <w:p w14:paraId="6F743F76">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考核方式</w:t>
            </w:r>
          </w:p>
        </w:tc>
        <w:tc>
          <w:tcPr>
            <w:tcW w:w="2199" w:type="dxa"/>
            <w:gridSpan w:val="3"/>
            <w:tcBorders>
              <w:right w:val="single" w:color="auto" w:sz="12" w:space="0"/>
            </w:tcBorders>
            <w:noWrap w:val="0"/>
            <w:vAlign w:val="center"/>
          </w:tcPr>
          <w:p w14:paraId="2FADBF98">
            <w:pPr>
              <w:rPr>
                <w:rFonts w:ascii="Times New Roman" w:hAnsi="Times New Roman"/>
                <w:color w:val="000000"/>
                <w:sz w:val="21"/>
                <w:szCs w:val="21"/>
              </w:rPr>
            </w:pPr>
            <w:r>
              <w:rPr>
                <w:rFonts w:hint="eastAsia" w:ascii="Times New Roman" w:hAnsi="Times New Roman"/>
                <w:color w:val="000000"/>
                <w:sz w:val="21"/>
                <w:szCs w:val="21"/>
              </w:rPr>
              <w:t>考试</w:t>
            </w:r>
          </w:p>
        </w:tc>
      </w:tr>
      <w:tr w14:paraId="582C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noWrap w:val="0"/>
            <w:vAlign w:val="center"/>
          </w:tcPr>
          <w:p w14:paraId="32251186">
            <w:pPr>
              <w:snapToGrid w:val="0"/>
              <w:jc w:val="center"/>
              <w:rPr>
                <w:rFonts w:ascii="黑体" w:hAnsi="黑体" w:eastAsia="黑体"/>
                <w:bCs/>
                <w:color w:val="000000"/>
                <w:sz w:val="21"/>
                <w:szCs w:val="21"/>
              </w:rPr>
            </w:pPr>
            <w:r>
              <w:rPr>
                <w:rFonts w:hint="eastAsia" w:ascii="黑体" w:hAnsi="黑体" w:eastAsia="黑体"/>
                <w:bCs/>
                <w:color w:val="000000"/>
                <w:sz w:val="21"/>
                <w:szCs w:val="21"/>
              </w:rPr>
              <w:t>选</w:t>
            </w:r>
            <w:r>
              <w:rPr>
                <w:rFonts w:ascii="黑体" w:hAnsi="黑体" w:eastAsia="黑体"/>
                <w:bCs/>
                <w:color w:val="000000"/>
                <w:sz w:val="21"/>
                <w:szCs w:val="21"/>
              </w:rPr>
              <w:t>用教材</w:t>
            </w:r>
          </w:p>
        </w:tc>
        <w:tc>
          <w:tcPr>
            <w:tcW w:w="4386" w:type="dxa"/>
            <w:gridSpan w:val="3"/>
            <w:noWrap w:val="0"/>
            <w:vAlign w:val="center"/>
          </w:tcPr>
          <w:p w14:paraId="2ED9F4BC">
            <w:pPr>
              <w:rPr>
                <w:rFonts w:ascii="Times New Roman" w:hAnsi="Times New Roman"/>
                <w:color w:val="000000"/>
                <w:sz w:val="21"/>
                <w:szCs w:val="21"/>
              </w:rPr>
            </w:pPr>
            <w:r>
              <w:rPr>
                <w:rFonts w:hint="eastAsia"/>
                <w:sz w:val="20"/>
                <w:szCs w:val="20"/>
              </w:rPr>
              <w:t>《药理学》第</w:t>
            </w:r>
            <w:r>
              <w:rPr>
                <w:rFonts w:hint="eastAsia"/>
                <w:sz w:val="20"/>
                <w:szCs w:val="20"/>
                <w:lang w:val="en-US" w:eastAsia="zh-CN"/>
              </w:rPr>
              <w:t>5</w:t>
            </w:r>
            <w:r>
              <w:rPr>
                <w:rFonts w:hint="eastAsia"/>
                <w:sz w:val="20"/>
                <w:szCs w:val="20"/>
              </w:rPr>
              <w:t>版，</w:t>
            </w:r>
            <w:r>
              <w:rPr>
                <w:rFonts w:hint="eastAsia" w:ascii="宋体" w:hAnsi="宋体" w:eastAsia="宋体" w:cs="宋体"/>
                <w:sz w:val="20"/>
                <w:szCs w:val="20"/>
                <w:lang w:val="en-US" w:eastAsia="zh-CN"/>
              </w:rPr>
              <w:t>秦红兵.韩永红.苏湲淇主</w:t>
            </w:r>
            <w:r>
              <w:rPr>
                <w:rFonts w:hint="eastAsia"/>
                <w:sz w:val="20"/>
                <w:szCs w:val="20"/>
              </w:rPr>
              <w:t>编，</w:t>
            </w:r>
            <w:r>
              <w:rPr>
                <w:rFonts w:hint="eastAsia"/>
                <w:sz w:val="20"/>
                <w:szCs w:val="20"/>
                <w:lang w:val="en-US" w:eastAsia="zh-CN"/>
              </w:rPr>
              <w:t>高等教育出版社</w:t>
            </w:r>
            <w:r>
              <w:rPr>
                <w:sz w:val="20"/>
                <w:szCs w:val="20"/>
              </w:rPr>
              <w:t>.</w:t>
            </w:r>
          </w:p>
        </w:tc>
        <w:tc>
          <w:tcPr>
            <w:tcW w:w="1413" w:type="dxa"/>
            <w:gridSpan w:val="2"/>
            <w:noWrap w:val="0"/>
            <w:vAlign w:val="center"/>
          </w:tcPr>
          <w:p w14:paraId="36BFA06A">
            <w:pPr>
              <w:snapToGrid w:val="0"/>
              <w:jc w:val="center"/>
              <w:rPr>
                <w:rFonts w:ascii="黑体" w:hAnsi="黑体" w:eastAsia="黑体"/>
                <w:bCs/>
                <w:color w:val="000000"/>
                <w:sz w:val="21"/>
                <w:szCs w:val="21"/>
              </w:rPr>
            </w:pPr>
            <w:r>
              <w:rPr>
                <w:rFonts w:hint="eastAsia" w:ascii="黑体" w:hAnsi="黑体" w:eastAsia="黑体"/>
                <w:bCs/>
                <w:color w:val="000000"/>
                <w:sz w:val="21"/>
                <w:szCs w:val="21"/>
              </w:rPr>
              <w:t>是否为</w:t>
            </w:r>
            <w:r>
              <w:rPr>
                <w:rFonts w:hint="eastAsia" w:ascii="Times New Roman" w:hAnsi="Times New Roman" w:eastAsia="黑体"/>
                <w:bCs/>
                <w:color w:val="000000"/>
                <w:sz w:val="21"/>
                <w:szCs w:val="21"/>
              </w:rPr>
              <w:t>马工程教材</w:t>
            </w:r>
          </w:p>
        </w:tc>
        <w:tc>
          <w:tcPr>
            <w:tcW w:w="786" w:type="dxa"/>
            <w:tcBorders>
              <w:right w:val="single" w:color="auto" w:sz="12" w:space="0"/>
            </w:tcBorders>
            <w:noWrap w:val="0"/>
            <w:vAlign w:val="center"/>
          </w:tcPr>
          <w:p w14:paraId="712D8614">
            <w:pPr>
              <w:rPr>
                <w:rFonts w:ascii="Times New Roman" w:hAnsi="Times New Roman"/>
                <w:color w:val="000000"/>
                <w:sz w:val="21"/>
                <w:szCs w:val="21"/>
              </w:rPr>
            </w:pPr>
            <w:r>
              <w:rPr>
                <w:rFonts w:hint="eastAsia" w:ascii="Times New Roman" w:hAnsi="Times New Roman"/>
                <w:color w:val="000000"/>
                <w:sz w:val="21"/>
                <w:szCs w:val="21"/>
              </w:rPr>
              <w:t>否</w:t>
            </w:r>
          </w:p>
        </w:tc>
      </w:tr>
      <w:tr w14:paraId="0FDA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4" w:hRule="atLeast"/>
        </w:trPr>
        <w:tc>
          <w:tcPr>
            <w:tcW w:w="1691" w:type="dxa"/>
            <w:tcBorders>
              <w:left w:val="single" w:color="auto" w:sz="12" w:space="0"/>
            </w:tcBorders>
            <w:noWrap w:val="0"/>
            <w:vAlign w:val="center"/>
          </w:tcPr>
          <w:p w14:paraId="17D1A875">
            <w:pPr>
              <w:snapToGrid w:val="0"/>
              <w:jc w:val="center"/>
              <w:rPr>
                <w:rFonts w:ascii="黑体" w:hAnsi="黑体" w:eastAsia="黑体"/>
                <w:bCs/>
                <w:color w:val="000000"/>
                <w:sz w:val="21"/>
                <w:szCs w:val="21"/>
              </w:rPr>
            </w:pPr>
            <w:r>
              <w:rPr>
                <w:rFonts w:ascii="黑体" w:hAnsi="黑体" w:eastAsia="黑体"/>
                <w:bCs/>
                <w:color w:val="000000"/>
                <w:sz w:val="21"/>
                <w:szCs w:val="21"/>
              </w:rPr>
              <w:t>先修课程</w:t>
            </w:r>
          </w:p>
        </w:tc>
        <w:tc>
          <w:tcPr>
            <w:tcW w:w="6585" w:type="dxa"/>
            <w:gridSpan w:val="6"/>
            <w:tcBorders>
              <w:right w:val="single" w:color="auto" w:sz="12" w:space="0"/>
            </w:tcBorders>
            <w:noWrap w:val="0"/>
            <w:vAlign w:val="center"/>
          </w:tcPr>
          <w:p w14:paraId="5C7F3B9A">
            <w:pPr>
              <w:rPr>
                <w:rFonts w:ascii="Times New Roman" w:hAnsi="Times New Roman"/>
                <w:color w:val="000000"/>
                <w:sz w:val="21"/>
                <w:szCs w:val="21"/>
              </w:rPr>
            </w:pPr>
            <w:r>
              <w:rPr>
                <w:rFonts w:hint="eastAsia" w:ascii="Times New Roman" w:hAnsi="Times New Roman"/>
                <w:color w:val="000000"/>
                <w:sz w:val="21"/>
                <w:szCs w:val="21"/>
              </w:rPr>
              <w:t>生理学</w:t>
            </w:r>
            <w:r>
              <w:rPr>
                <w:rFonts w:ascii="Times New Roman" w:hAnsi="Times New Roman"/>
                <w:color w:val="000000"/>
                <w:sz w:val="21"/>
                <w:szCs w:val="21"/>
              </w:rPr>
              <w:t>2070003（</w:t>
            </w: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、生物化学</w:t>
            </w:r>
            <w:r>
              <w:rPr>
                <w:rFonts w:ascii="Times New Roman" w:hAnsi="Times New Roman"/>
                <w:color w:val="000000"/>
                <w:sz w:val="21"/>
                <w:szCs w:val="21"/>
              </w:rPr>
              <w:t>2170093（</w:t>
            </w: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病理学与病理生理学</w:t>
            </w:r>
            <w:r>
              <w:rPr>
                <w:rFonts w:ascii="Times New Roman" w:hAnsi="Times New Roman"/>
                <w:color w:val="000000"/>
                <w:sz w:val="21"/>
                <w:szCs w:val="21"/>
              </w:rPr>
              <w:t>2170089（</w:t>
            </w: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病原生物与免疫学</w:t>
            </w:r>
            <w:r>
              <w:rPr>
                <w:rFonts w:ascii="Times New Roman" w:hAnsi="Times New Roman"/>
                <w:color w:val="000000"/>
                <w:sz w:val="21"/>
                <w:szCs w:val="21"/>
              </w:rPr>
              <w:t>2170088（</w:t>
            </w:r>
            <w:r>
              <w:rPr>
                <w:rFonts w:hint="eastAsia" w:ascii="Times New Roman" w:hAnsi="Times New Roman"/>
                <w:color w:val="000000"/>
                <w:sz w:val="21"/>
                <w:szCs w:val="21"/>
              </w:rPr>
              <w:t>2</w:t>
            </w:r>
            <w:r>
              <w:rPr>
                <w:rFonts w:ascii="Times New Roman" w:hAnsi="Times New Roman"/>
                <w:color w:val="000000"/>
                <w:sz w:val="21"/>
                <w:szCs w:val="21"/>
              </w:rPr>
              <w:t>）</w:t>
            </w:r>
          </w:p>
        </w:tc>
      </w:tr>
      <w:tr w14:paraId="7CD5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604" w:hRule="atLeast"/>
        </w:trPr>
        <w:tc>
          <w:tcPr>
            <w:tcW w:w="1691" w:type="dxa"/>
            <w:tcBorders>
              <w:left w:val="single" w:color="auto" w:sz="12" w:space="0"/>
            </w:tcBorders>
            <w:noWrap w:val="0"/>
            <w:vAlign w:val="center"/>
          </w:tcPr>
          <w:p w14:paraId="4F891764">
            <w:pPr>
              <w:snapToGrid w:val="0"/>
              <w:jc w:val="center"/>
              <w:rPr>
                <w:rFonts w:ascii="黑体" w:hAnsi="黑体" w:eastAsia="黑体"/>
                <w:bCs/>
                <w:color w:val="000000"/>
                <w:sz w:val="21"/>
                <w:szCs w:val="21"/>
              </w:rPr>
            </w:pPr>
            <w:r>
              <w:rPr>
                <w:rFonts w:ascii="黑体" w:hAnsi="黑体" w:eastAsia="黑体"/>
                <w:bCs/>
                <w:color w:val="000000"/>
                <w:sz w:val="21"/>
                <w:szCs w:val="21"/>
              </w:rPr>
              <w:t>课程简介</w:t>
            </w:r>
          </w:p>
        </w:tc>
        <w:tc>
          <w:tcPr>
            <w:tcW w:w="6585" w:type="dxa"/>
            <w:gridSpan w:val="6"/>
            <w:tcBorders>
              <w:right w:val="single" w:color="auto" w:sz="12" w:space="0"/>
            </w:tcBorders>
            <w:noWrap w:val="0"/>
            <w:vAlign w:val="top"/>
          </w:tcPr>
          <w:p w14:paraId="03E6227C">
            <w:pPr>
              <w:rPr>
                <w:rFonts w:ascii="Times New Roman" w:hAnsi="Times New Roman"/>
                <w:color w:val="000000"/>
                <w:sz w:val="21"/>
                <w:szCs w:val="21"/>
              </w:rPr>
            </w:pPr>
            <w:r>
              <w:rPr>
                <w:rFonts w:hint="eastAsia" w:ascii="Times New Roman" w:hAnsi="Times New Roman"/>
                <w:color w:val="000000"/>
                <w:sz w:val="21"/>
                <w:szCs w:val="21"/>
              </w:rPr>
              <w:t>药理学是研究药物与机体间相互作用规律及其原理和机制，并为临床合理用药及防治疾病提供基本理论的一门医学基础学科，也是为临床实践服务的桥梁学科。药理学阐明了药学基本理论和药物基本知识，为护士合理用药提供了基础。护士是临床工作的第一线，是病人用药治疗的实施者和用药后的监护着，对于监控药物的合理应用和不良反应起着重要的作用。本门课程的任务是通过药理学的理论与实验教学为临床合理用药防治疾病提供理论基础；同时在正确掌握药理学基础理论、基础知识和基本技能的基础上，培养学生分析、综合和独立学习的工作能力和和认真严肃、关爱生命的职业素养，为培养临床护理人才奠定基础。</w:t>
            </w:r>
          </w:p>
          <w:p w14:paraId="324E4AD1">
            <w:pPr>
              <w:rPr>
                <w:rFonts w:ascii="Times New Roman" w:hAnsi="Times New Roman"/>
                <w:color w:val="000000"/>
                <w:sz w:val="21"/>
                <w:szCs w:val="21"/>
              </w:rPr>
            </w:pPr>
            <w:r>
              <w:rPr>
                <w:rFonts w:hint="eastAsia" w:ascii="Times New Roman" w:hAnsi="Times New Roman"/>
                <w:color w:val="000000"/>
                <w:sz w:val="21"/>
                <w:szCs w:val="21"/>
              </w:rPr>
              <w:t>本课程总学时为48学时。其中理论课时32学时，实验课时16学时。</w:t>
            </w:r>
          </w:p>
        </w:tc>
      </w:tr>
      <w:tr w14:paraId="6D8C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01" w:hRule="atLeast"/>
        </w:trPr>
        <w:tc>
          <w:tcPr>
            <w:tcW w:w="1691" w:type="dxa"/>
            <w:tcBorders>
              <w:left w:val="single" w:color="auto" w:sz="12" w:space="0"/>
              <w:bottom w:val="double" w:color="auto" w:sz="4" w:space="0"/>
            </w:tcBorders>
            <w:noWrap w:val="0"/>
            <w:vAlign w:val="center"/>
          </w:tcPr>
          <w:p w14:paraId="28D707DE">
            <w:pPr>
              <w:snapToGrid w:val="0"/>
              <w:jc w:val="center"/>
              <w:rPr>
                <w:rFonts w:ascii="黑体" w:hAnsi="黑体" w:eastAsia="黑体"/>
                <w:bCs/>
                <w:color w:val="000000"/>
                <w:sz w:val="21"/>
                <w:szCs w:val="21"/>
              </w:rPr>
            </w:pPr>
            <w:r>
              <w:rPr>
                <w:rFonts w:ascii="黑体" w:hAnsi="黑体" w:eastAsia="黑体"/>
                <w:bCs/>
                <w:color w:val="000000"/>
                <w:sz w:val="21"/>
                <w:szCs w:val="21"/>
              </w:rPr>
              <w:t>选课建议</w:t>
            </w:r>
            <w:r>
              <w:rPr>
                <w:rFonts w:hint="eastAsia" w:ascii="黑体" w:hAnsi="黑体" w:eastAsia="黑体"/>
                <w:bCs/>
                <w:color w:val="000000"/>
                <w:sz w:val="21"/>
                <w:szCs w:val="21"/>
              </w:rPr>
              <w:t>与学习要求</w:t>
            </w:r>
          </w:p>
        </w:tc>
        <w:tc>
          <w:tcPr>
            <w:tcW w:w="6585" w:type="dxa"/>
            <w:gridSpan w:val="6"/>
            <w:tcBorders>
              <w:bottom w:val="double" w:color="auto" w:sz="4" w:space="0"/>
              <w:right w:val="single" w:color="auto" w:sz="12" w:space="0"/>
            </w:tcBorders>
            <w:noWrap w:val="0"/>
            <w:vAlign w:val="top"/>
          </w:tcPr>
          <w:p w14:paraId="1E610CCD">
            <w:pPr>
              <w:rPr>
                <w:rFonts w:ascii="Times New Roman" w:hAnsi="Times New Roman"/>
                <w:color w:val="000000"/>
                <w:sz w:val="21"/>
                <w:szCs w:val="21"/>
              </w:rPr>
            </w:pPr>
            <w:r>
              <w:rPr>
                <w:rFonts w:ascii="Times New Roman" w:hAnsi="Times New Roman"/>
                <w:color w:val="000000"/>
                <w:sz w:val="21"/>
                <w:szCs w:val="21"/>
              </w:rPr>
              <w:t>该课程适合</w:t>
            </w:r>
            <w:r>
              <w:rPr>
                <w:rFonts w:hint="eastAsia" w:ascii="Times New Roman" w:hAnsi="Times New Roman"/>
                <w:color w:val="000000"/>
                <w:sz w:val="21"/>
                <w:szCs w:val="21"/>
              </w:rPr>
              <w:t>于护理学专业本科二年级第二学期学生学习。药理学作为一门专业基础必修课，是学习其他基础医学和临床医学课程的基础。开设本课程的目的在于使学生掌握药理学的基本理论知识及重要的新进展，加强基本技能的训练，培养学生独立分析问题和解决问题的能力，为学习后续的临床</w:t>
            </w:r>
            <w:r>
              <w:rPr>
                <w:rFonts w:hint="eastAsia" w:ascii="Times New Roman" w:hAnsi="Times New Roman"/>
                <w:color w:val="000000"/>
                <w:sz w:val="21"/>
                <w:szCs w:val="21"/>
                <w:lang w:val="en-US" w:eastAsia="zh-CN"/>
              </w:rPr>
              <w:t>护理</w:t>
            </w:r>
            <w:r>
              <w:rPr>
                <w:rFonts w:hint="eastAsia" w:ascii="Times New Roman" w:hAnsi="Times New Roman"/>
                <w:color w:val="000000"/>
                <w:sz w:val="21"/>
                <w:szCs w:val="21"/>
              </w:rPr>
              <w:t>专业、参加临床实践及科学研究打下坚实的理论基础，从而为培养面向21世纪高级护理人才服务。</w:t>
            </w:r>
          </w:p>
        </w:tc>
      </w:tr>
      <w:tr w14:paraId="177A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73" w:hRule="atLeast"/>
        </w:trPr>
        <w:tc>
          <w:tcPr>
            <w:tcW w:w="1691" w:type="dxa"/>
            <w:tcBorders>
              <w:top w:val="double" w:color="auto" w:sz="4" w:space="0"/>
              <w:left w:val="single" w:color="auto" w:sz="12" w:space="0"/>
            </w:tcBorders>
            <w:noWrap w:val="0"/>
            <w:vAlign w:val="center"/>
          </w:tcPr>
          <w:p w14:paraId="5054D3E8">
            <w:pPr>
              <w:snapToGrid w:val="0"/>
              <w:jc w:val="center"/>
              <w:rPr>
                <w:rFonts w:ascii="黑体" w:hAnsi="黑体" w:eastAsia="黑体"/>
                <w:bCs/>
                <w:color w:val="000000"/>
                <w:sz w:val="21"/>
                <w:szCs w:val="21"/>
              </w:rPr>
            </w:pPr>
            <w:r>
              <w:rPr>
                <w:rFonts w:hint="eastAsia" w:ascii="黑体" w:hAnsi="黑体" w:eastAsia="黑体"/>
                <w:bCs/>
                <w:color w:val="000000"/>
                <w:sz w:val="21"/>
                <w:szCs w:val="21"/>
              </w:rPr>
              <w:t>大纲编写人</w:t>
            </w:r>
          </w:p>
        </w:tc>
        <w:tc>
          <w:tcPr>
            <w:tcW w:w="3532" w:type="dxa"/>
            <w:gridSpan w:val="2"/>
            <w:tcBorders>
              <w:top w:val="double" w:color="auto" w:sz="4" w:space="0"/>
            </w:tcBorders>
            <w:noWrap w:val="0"/>
            <w:vAlign w:val="center"/>
          </w:tcPr>
          <w:p w14:paraId="6D5BE88B">
            <w:pPr>
              <w:rPr>
                <w:rFonts w:ascii="黑体" w:hAnsi="黑体" w:eastAsia="黑体"/>
                <w:color w:val="000000"/>
                <w:sz w:val="21"/>
                <w:szCs w:val="21"/>
              </w:rPr>
            </w:pPr>
            <w:r>
              <w:rPr>
                <w:rFonts w:ascii="黑体" w:hAnsi="黑体" w:eastAsia="黑体"/>
                <w:color w:val="000000"/>
                <w:sz w:val="21"/>
                <w:szCs w:val="21"/>
              </w:rPr>
              <w:drawing>
                <wp:inline distT="0" distB="0" distL="114300" distR="114300">
                  <wp:extent cx="273050" cy="719455"/>
                  <wp:effectExtent l="0" t="0" r="4445" b="6350"/>
                  <wp:docPr id="1" name="图片 3" descr="b1551b5a7bfccb435c49863c66936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b1551b5a7bfccb435c49863c669369a.jpg"/>
                          <pic:cNvPicPr>
                            <a:picLocks noChangeAspect="1"/>
                          </pic:cNvPicPr>
                        </pic:nvPicPr>
                        <pic:blipFill>
                          <a:blip r:embed="rId5">
                            <a:biLevel thresh="50000"/>
                            <a:grayscl/>
                          </a:blip>
                          <a:srcRect l="41188" t="11526" r="30853" b="9485"/>
                          <a:stretch>
                            <a:fillRect/>
                          </a:stretch>
                        </pic:blipFill>
                        <pic:spPr>
                          <a:xfrm rot="5400000">
                            <a:off x="0" y="0"/>
                            <a:ext cx="273050" cy="719455"/>
                          </a:xfrm>
                          <a:prstGeom prst="rect">
                            <a:avLst/>
                          </a:prstGeom>
                          <a:noFill/>
                          <a:ln>
                            <a:noFill/>
                          </a:ln>
                        </pic:spPr>
                      </pic:pic>
                    </a:graphicData>
                  </a:graphic>
                </wp:inline>
              </w:drawing>
            </w:r>
          </w:p>
        </w:tc>
        <w:tc>
          <w:tcPr>
            <w:tcW w:w="1425" w:type="dxa"/>
            <w:gridSpan w:val="2"/>
            <w:tcBorders>
              <w:top w:val="double" w:color="auto" w:sz="4" w:space="0"/>
            </w:tcBorders>
            <w:noWrap w:val="0"/>
            <w:vAlign w:val="center"/>
          </w:tcPr>
          <w:p w14:paraId="4D093F07">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制/修订时间</w:t>
            </w:r>
          </w:p>
        </w:tc>
        <w:tc>
          <w:tcPr>
            <w:tcW w:w="1628" w:type="dxa"/>
            <w:gridSpan w:val="2"/>
            <w:tcBorders>
              <w:top w:val="double" w:color="auto" w:sz="4" w:space="0"/>
              <w:right w:val="single" w:color="auto" w:sz="12" w:space="0"/>
            </w:tcBorders>
            <w:noWrap w:val="0"/>
            <w:vAlign w:val="center"/>
          </w:tcPr>
          <w:p w14:paraId="45A46C0D">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62AE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noWrap w:val="0"/>
            <w:vAlign w:val="center"/>
          </w:tcPr>
          <w:p w14:paraId="1D378ACD">
            <w:pPr>
              <w:snapToGrid w:val="0"/>
              <w:jc w:val="center"/>
              <w:rPr>
                <w:rFonts w:ascii="黑体" w:hAnsi="黑体" w:eastAsia="黑体"/>
                <w:bCs/>
                <w:color w:val="000000"/>
                <w:sz w:val="21"/>
                <w:szCs w:val="21"/>
              </w:rPr>
            </w:pPr>
            <w:r>
              <w:rPr>
                <w:rFonts w:hint="eastAsia" w:ascii="黑体" w:hAnsi="黑体" w:eastAsia="黑体"/>
                <w:bCs/>
                <w:color w:val="000000"/>
                <w:sz w:val="21"/>
                <w:szCs w:val="21"/>
              </w:rPr>
              <w:t>专业负责人</w:t>
            </w:r>
          </w:p>
        </w:tc>
        <w:tc>
          <w:tcPr>
            <w:tcW w:w="3532" w:type="dxa"/>
            <w:gridSpan w:val="2"/>
            <w:noWrap w:val="0"/>
            <w:vAlign w:val="center"/>
          </w:tcPr>
          <w:p w14:paraId="5883279D">
            <w:pPr>
              <w:rPr>
                <w:rFonts w:hint="eastAsia" w:ascii="黑体" w:hAnsi="黑体" w:eastAsia="黑体"/>
                <w:color w:val="000000"/>
                <w:sz w:val="21"/>
                <w:szCs w:val="21"/>
                <w:lang w:eastAsia="zh-CN"/>
              </w:rPr>
            </w:pPr>
            <w:r>
              <w:rPr>
                <w:rFonts w:hint="eastAsia" w:ascii="黑体" w:hAnsi="黑体" w:eastAsia="黑体"/>
                <w:color w:val="000000"/>
                <w:sz w:val="21"/>
                <w:szCs w:val="21"/>
                <w:lang w:eastAsia="zh-CN"/>
              </w:rPr>
              <w:drawing>
                <wp:inline distT="0" distB="0" distL="114300" distR="114300">
                  <wp:extent cx="571500" cy="311150"/>
                  <wp:effectExtent l="0" t="0" r="0" b="6350"/>
                  <wp:docPr id="2" name="图片 2" descr="李中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李中平"/>
                          <pic:cNvPicPr>
                            <a:picLocks noChangeAspect="1"/>
                          </pic:cNvPicPr>
                        </pic:nvPicPr>
                        <pic:blipFill>
                          <a:blip r:embed="rId6"/>
                          <a:stretch>
                            <a:fillRect/>
                          </a:stretch>
                        </pic:blipFill>
                        <pic:spPr>
                          <a:xfrm>
                            <a:off x="0" y="0"/>
                            <a:ext cx="571500" cy="311150"/>
                          </a:xfrm>
                          <a:prstGeom prst="rect">
                            <a:avLst/>
                          </a:prstGeom>
                          <a:noFill/>
                          <a:ln>
                            <a:noFill/>
                          </a:ln>
                        </pic:spPr>
                      </pic:pic>
                    </a:graphicData>
                  </a:graphic>
                </wp:inline>
              </w:drawing>
            </w:r>
          </w:p>
        </w:tc>
        <w:tc>
          <w:tcPr>
            <w:tcW w:w="1425" w:type="dxa"/>
            <w:gridSpan w:val="2"/>
            <w:noWrap w:val="0"/>
            <w:vAlign w:val="center"/>
          </w:tcPr>
          <w:p w14:paraId="349004A7">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审定时间</w:t>
            </w:r>
          </w:p>
        </w:tc>
        <w:tc>
          <w:tcPr>
            <w:tcW w:w="1628" w:type="dxa"/>
            <w:gridSpan w:val="2"/>
            <w:tcBorders>
              <w:right w:val="single" w:color="auto" w:sz="12" w:space="0"/>
            </w:tcBorders>
            <w:noWrap w:val="0"/>
            <w:vAlign w:val="center"/>
          </w:tcPr>
          <w:p w14:paraId="7F7C01E6">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4D17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noWrap w:val="0"/>
            <w:vAlign w:val="center"/>
          </w:tcPr>
          <w:p w14:paraId="4136CD7E">
            <w:pPr>
              <w:snapToGrid w:val="0"/>
              <w:jc w:val="center"/>
              <w:rPr>
                <w:rFonts w:ascii="黑体" w:hAnsi="黑体" w:eastAsia="黑体"/>
                <w:bCs/>
                <w:color w:val="000000"/>
                <w:sz w:val="21"/>
                <w:szCs w:val="21"/>
              </w:rPr>
            </w:pPr>
            <w:r>
              <w:rPr>
                <w:rFonts w:hint="eastAsia" w:ascii="黑体" w:hAnsi="黑体" w:eastAsia="黑体"/>
                <w:bCs/>
                <w:color w:val="000000"/>
                <w:sz w:val="21"/>
                <w:szCs w:val="21"/>
              </w:rPr>
              <w:t>学院负责人</w:t>
            </w:r>
          </w:p>
        </w:tc>
        <w:tc>
          <w:tcPr>
            <w:tcW w:w="3532" w:type="dxa"/>
            <w:gridSpan w:val="2"/>
            <w:tcBorders>
              <w:bottom w:val="single" w:color="auto" w:sz="12" w:space="0"/>
            </w:tcBorders>
            <w:noWrap w:val="0"/>
            <w:vAlign w:val="center"/>
          </w:tcPr>
          <w:p w14:paraId="07709F2C">
            <w:pPr>
              <w:rPr>
                <w:rFonts w:ascii="黑体" w:hAnsi="黑体" w:eastAsia="黑体"/>
                <w:color w:val="000000"/>
                <w:sz w:val="21"/>
                <w:szCs w:val="21"/>
              </w:rPr>
            </w:pPr>
            <w:r>
              <w:rPr>
                <w:rFonts w:hint="eastAsia" w:ascii="Times New Roman" w:hAnsi="Times New Roman"/>
                <w:color w:val="000000"/>
                <w:sz w:val="21"/>
                <w:szCs w:val="21"/>
              </w:rPr>
              <w:drawing>
                <wp:inline distT="0" distB="0" distL="114300" distR="114300">
                  <wp:extent cx="776605" cy="530225"/>
                  <wp:effectExtent l="0" t="0" r="10795"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776605" cy="530225"/>
                          </a:xfrm>
                          <a:prstGeom prst="rect">
                            <a:avLst/>
                          </a:prstGeom>
                          <a:noFill/>
                          <a:ln>
                            <a:noFill/>
                          </a:ln>
                        </pic:spPr>
                      </pic:pic>
                    </a:graphicData>
                  </a:graphic>
                </wp:inline>
              </w:drawing>
            </w:r>
          </w:p>
        </w:tc>
        <w:tc>
          <w:tcPr>
            <w:tcW w:w="1425" w:type="dxa"/>
            <w:gridSpan w:val="2"/>
            <w:tcBorders>
              <w:bottom w:val="single" w:color="auto" w:sz="12" w:space="0"/>
            </w:tcBorders>
            <w:noWrap w:val="0"/>
            <w:vAlign w:val="center"/>
          </w:tcPr>
          <w:p w14:paraId="3303388E">
            <w:pPr>
              <w:snapToGrid w:val="0"/>
              <w:jc w:val="center"/>
              <w:rPr>
                <w:rFonts w:ascii="Times New Roman" w:hAnsi="Times New Roman" w:eastAsia="黑体"/>
                <w:bCs/>
                <w:color w:val="000000"/>
                <w:sz w:val="21"/>
                <w:szCs w:val="21"/>
              </w:rPr>
            </w:pPr>
            <w:r>
              <w:rPr>
                <w:rFonts w:hint="eastAsia" w:ascii="Times New Roman" w:hAnsi="Times New Roman" w:eastAsia="黑体"/>
                <w:bCs/>
                <w:color w:val="000000"/>
                <w:sz w:val="21"/>
                <w:szCs w:val="21"/>
              </w:rPr>
              <w:t>批准时间</w:t>
            </w:r>
          </w:p>
        </w:tc>
        <w:tc>
          <w:tcPr>
            <w:tcW w:w="1628" w:type="dxa"/>
            <w:gridSpan w:val="2"/>
            <w:tcBorders>
              <w:bottom w:val="single" w:color="auto" w:sz="12" w:space="0"/>
              <w:right w:val="single" w:color="auto" w:sz="12" w:space="0"/>
            </w:tcBorders>
            <w:noWrap w:val="0"/>
            <w:vAlign w:val="center"/>
          </w:tcPr>
          <w:p w14:paraId="6178DDFD">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bl>
    <w:p w14:paraId="03CEA629">
      <w:pPr>
        <w:spacing w:line="100" w:lineRule="exact"/>
        <w:jc w:val="center"/>
        <w:rPr>
          <w:rFonts w:ascii="Arial" w:hAnsi="Arial" w:eastAsia="黑体"/>
          <w:sz w:val="32"/>
        </w:rPr>
      </w:pPr>
      <w:r>
        <w:rPr>
          <w:rFonts w:eastAsia="黑体"/>
          <w:sz w:val="32"/>
        </w:rPr>
        <w:br w:type="page"/>
      </w:r>
    </w:p>
    <w:p w14:paraId="53ED0E3A">
      <w:pPr>
        <w:spacing w:before="326" w:beforeLines="100"/>
        <w:outlineLvl w:val="0"/>
        <w:rPr>
          <w:rFonts w:hint="eastAsia" w:ascii="Arial" w:hAnsi="Arial" w:eastAsia="黑体"/>
          <w:sz w:val="28"/>
        </w:rPr>
      </w:pPr>
      <w:r>
        <w:rPr>
          <w:rFonts w:hint="eastAsia" w:ascii="Arial" w:hAnsi="Arial" w:eastAsia="黑体"/>
          <w:sz w:val="28"/>
        </w:rPr>
        <w:t>二、课程目标与毕业要求</w:t>
      </w:r>
    </w:p>
    <w:p w14:paraId="030CC58D">
      <w:pPr>
        <w:spacing w:before="163" w:beforeLines="50" w:after="163" w:afterLines="50"/>
        <w:outlineLvl w:val="1"/>
        <w:rPr>
          <w:rFonts w:ascii="Times New Roman" w:hAnsi="Times New Roman"/>
          <w:b/>
        </w:rPr>
      </w:pPr>
      <w:r>
        <w:rPr>
          <w:rFonts w:hint="eastAsia" w:ascii="Times New Roman" w:hAnsi="Times New Roman"/>
          <w:b/>
        </w:rPr>
        <w:t>（一）课程目标</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6"/>
        <w:gridCol w:w="782"/>
        <w:gridCol w:w="6458"/>
      </w:tblGrid>
      <w:tr w14:paraId="131F2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6" w:type="dxa"/>
            <w:noWrap w:val="0"/>
            <w:vAlign w:val="center"/>
          </w:tcPr>
          <w:p w14:paraId="3B955969">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类型</w:t>
            </w:r>
          </w:p>
        </w:tc>
        <w:tc>
          <w:tcPr>
            <w:tcW w:w="782" w:type="dxa"/>
            <w:noWrap w:val="0"/>
            <w:vAlign w:val="center"/>
          </w:tcPr>
          <w:p w14:paraId="6EE178B2">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序号</w:t>
            </w:r>
          </w:p>
        </w:tc>
        <w:tc>
          <w:tcPr>
            <w:tcW w:w="6458" w:type="dxa"/>
            <w:noWrap w:val="0"/>
            <w:vAlign w:val="center"/>
          </w:tcPr>
          <w:p w14:paraId="571440C6">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内容</w:t>
            </w:r>
          </w:p>
        </w:tc>
      </w:tr>
      <w:tr w14:paraId="4240FD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noWrap w:val="0"/>
            <w:vAlign w:val="center"/>
          </w:tcPr>
          <w:p w14:paraId="5D1FC482">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知识目标</w:t>
            </w:r>
          </w:p>
        </w:tc>
        <w:tc>
          <w:tcPr>
            <w:tcW w:w="764" w:type="dxa"/>
            <w:noWrap w:val="0"/>
            <w:vAlign w:val="center"/>
          </w:tcPr>
          <w:p w14:paraId="0BCA670D">
            <w:pPr>
              <w:jc w:val="center"/>
              <w:rPr>
                <w:rFonts w:ascii="Times New Roman" w:hAnsi="Times New Roman"/>
                <w:color w:val="000000"/>
                <w:sz w:val="21"/>
                <w:szCs w:val="21"/>
              </w:rPr>
            </w:pPr>
            <w:r>
              <w:rPr>
                <w:rFonts w:ascii="Times New Roman" w:hAnsi="Times New Roman"/>
                <w:color w:val="000000"/>
                <w:sz w:val="21"/>
                <w:szCs w:val="21"/>
              </w:rPr>
              <w:t>1</w:t>
            </w:r>
          </w:p>
        </w:tc>
        <w:tc>
          <w:tcPr>
            <w:tcW w:w="6306" w:type="dxa"/>
            <w:noWrap w:val="0"/>
            <w:vAlign w:val="center"/>
          </w:tcPr>
          <w:p w14:paraId="10725ABE">
            <w:pPr>
              <w:rPr>
                <w:color w:val="000000"/>
                <w:sz w:val="21"/>
                <w:szCs w:val="21"/>
              </w:rPr>
            </w:pPr>
            <w:r>
              <w:rPr>
                <w:rFonts w:hint="eastAsia" w:ascii="Times New Roman" w:hAnsi="Times New Roman" w:cs="Times New Roman"/>
                <w:color w:val="000000"/>
                <w:sz w:val="21"/>
                <w:szCs w:val="21"/>
              </w:rPr>
              <w:t>掌握人体正常结构、功能、人的心理状态及其发展变化的知识；掌握基本的药理知识和临床用药及药品管理知识；掌握护理学基础理论和基本知识。</w:t>
            </w:r>
          </w:p>
        </w:tc>
      </w:tr>
      <w:tr w14:paraId="1C3CB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noWrap w:val="0"/>
            <w:vAlign w:val="center"/>
          </w:tcPr>
          <w:p w14:paraId="1EC9019F">
            <w:pPr>
              <w:snapToGrid w:val="0"/>
              <w:jc w:val="center"/>
              <w:rPr>
                <w:rFonts w:ascii="Times New Roman" w:hAnsi="Times New Roman" w:eastAsia="黑体"/>
                <w:bCs/>
                <w:color w:val="000000"/>
                <w:sz w:val="21"/>
                <w:szCs w:val="20"/>
              </w:rPr>
            </w:pPr>
          </w:p>
        </w:tc>
        <w:tc>
          <w:tcPr>
            <w:tcW w:w="782" w:type="dxa"/>
            <w:noWrap w:val="0"/>
            <w:vAlign w:val="center"/>
          </w:tcPr>
          <w:p w14:paraId="6AD405BA">
            <w:pPr>
              <w:jc w:val="center"/>
              <w:rPr>
                <w:rFonts w:ascii="Times New Roman" w:hAnsi="Times New Roman"/>
                <w:color w:val="000000"/>
                <w:sz w:val="21"/>
                <w:szCs w:val="21"/>
              </w:rPr>
            </w:pPr>
            <w:r>
              <w:rPr>
                <w:rFonts w:ascii="Times New Roman" w:hAnsi="Times New Roman"/>
                <w:color w:val="000000"/>
                <w:sz w:val="21"/>
                <w:szCs w:val="21"/>
              </w:rPr>
              <w:t>2</w:t>
            </w:r>
          </w:p>
        </w:tc>
        <w:tc>
          <w:tcPr>
            <w:tcW w:w="6458" w:type="dxa"/>
            <w:noWrap w:val="0"/>
            <w:vAlign w:val="center"/>
          </w:tcPr>
          <w:p w14:paraId="255128B4">
            <w:pP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具有自主学习的基本能力，能够适应不断变化的社会健康保健需要</w:t>
            </w:r>
          </w:p>
        </w:tc>
      </w:tr>
      <w:tr w14:paraId="08082F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noWrap w:val="0"/>
            <w:vAlign w:val="center"/>
          </w:tcPr>
          <w:p w14:paraId="47EB2C55">
            <w:pPr>
              <w:snapToGrid w:val="0"/>
              <w:jc w:val="center"/>
              <w:rPr>
                <w:rFonts w:ascii="Times New Roman" w:hAnsi="Times New Roman" w:eastAsia="黑体"/>
                <w:bCs/>
                <w:color w:val="000000"/>
                <w:sz w:val="21"/>
                <w:szCs w:val="20"/>
              </w:rPr>
            </w:pPr>
          </w:p>
        </w:tc>
        <w:tc>
          <w:tcPr>
            <w:tcW w:w="782" w:type="dxa"/>
            <w:noWrap w:val="0"/>
            <w:vAlign w:val="center"/>
          </w:tcPr>
          <w:p w14:paraId="3C7A008A">
            <w:pPr>
              <w:jc w:val="center"/>
              <w:rPr>
                <w:rFonts w:ascii="Times New Roman" w:hAnsi="Times New Roman"/>
                <w:color w:val="000000"/>
                <w:sz w:val="21"/>
                <w:szCs w:val="21"/>
              </w:rPr>
            </w:pPr>
            <w:r>
              <w:rPr>
                <w:rFonts w:hint="eastAsia" w:ascii="Times New Roman" w:hAnsi="Times New Roman"/>
                <w:color w:val="000000"/>
                <w:sz w:val="21"/>
                <w:szCs w:val="21"/>
              </w:rPr>
              <w:t>3</w:t>
            </w:r>
          </w:p>
        </w:tc>
        <w:tc>
          <w:tcPr>
            <w:tcW w:w="6458" w:type="dxa"/>
            <w:noWrap w:val="0"/>
            <w:vAlign w:val="center"/>
          </w:tcPr>
          <w:p w14:paraId="75357102">
            <w:pP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具有与护理学相关的自然科学、人文社会科学的基础知识和科学方法。</w:t>
            </w:r>
          </w:p>
        </w:tc>
      </w:tr>
      <w:tr w14:paraId="0F9423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restart"/>
            <w:noWrap w:val="0"/>
            <w:vAlign w:val="center"/>
          </w:tcPr>
          <w:p w14:paraId="48FA7605">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技能目标</w:t>
            </w:r>
          </w:p>
        </w:tc>
        <w:tc>
          <w:tcPr>
            <w:tcW w:w="782" w:type="dxa"/>
            <w:noWrap w:val="0"/>
            <w:vAlign w:val="center"/>
          </w:tcPr>
          <w:p w14:paraId="05FF8646">
            <w:pPr>
              <w:jc w:val="center"/>
              <w:rPr>
                <w:rFonts w:ascii="Times New Roman" w:hAnsi="Times New Roman"/>
                <w:color w:val="000000"/>
                <w:sz w:val="20"/>
                <w:szCs w:val="20"/>
              </w:rPr>
            </w:pPr>
            <w:r>
              <w:rPr>
                <w:rFonts w:hint="eastAsia" w:ascii="Times New Roman" w:hAnsi="Times New Roman"/>
                <w:color w:val="000000"/>
                <w:sz w:val="21"/>
                <w:szCs w:val="21"/>
              </w:rPr>
              <w:t>4</w:t>
            </w:r>
          </w:p>
        </w:tc>
        <w:tc>
          <w:tcPr>
            <w:tcW w:w="6458" w:type="dxa"/>
            <w:noWrap w:val="0"/>
            <w:vAlign w:val="center"/>
          </w:tcPr>
          <w:p w14:paraId="070E84CE">
            <w:pP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能用实践经验及理论知识做出有依据和经过良好判断。</w:t>
            </w:r>
          </w:p>
        </w:tc>
      </w:tr>
      <w:tr w14:paraId="098E5E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noWrap w:val="0"/>
            <w:vAlign w:val="center"/>
          </w:tcPr>
          <w:p w14:paraId="57715FF8">
            <w:pPr>
              <w:snapToGrid w:val="0"/>
              <w:jc w:val="center"/>
              <w:rPr>
                <w:rFonts w:eastAsia="黑体"/>
                <w:bCs/>
                <w:color w:val="000000"/>
                <w:sz w:val="21"/>
                <w:szCs w:val="20"/>
              </w:rPr>
            </w:pPr>
          </w:p>
        </w:tc>
        <w:tc>
          <w:tcPr>
            <w:tcW w:w="782" w:type="dxa"/>
            <w:noWrap w:val="0"/>
            <w:vAlign w:val="center"/>
          </w:tcPr>
          <w:p w14:paraId="31A7BD8D">
            <w:pPr>
              <w:jc w:val="center"/>
              <w:rPr>
                <w:rFonts w:ascii="Times New Roman" w:hAnsi="Times New Roman"/>
                <w:color w:val="000000"/>
                <w:sz w:val="21"/>
                <w:szCs w:val="21"/>
              </w:rPr>
            </w:pPr>
            <w:r>
              <w:rPr>
                <w:rFonts w:hint="eastAsia" w:ascii="Times New Roman" w:hAnsi="Times New Roman"/>
                <w:color w:val="000000"/>
                <w:sz w:val="21"/>
                <w:szCs w:val="21"/>
              </w:rPr>
              <w:t>5</w:t>
            </w:r>
          </w:p>
        </w:tc>
        <w:tc>
          <w:tcPr>
            <w:tcW w:w="6458" w:type="dxa"/>
            <w:noWrap w:val="0"/>
            <w:vAlign w:val="center"/>
          </w:tcPr>
          <w:p w14:paraId="64EC54FE">
            <w:pP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能确定病人、家属的健康需求，并采用合适的健康教育策略。</w:t>
            </w:r>
          </w:p>
        </w:tc>
      </w:tr>
      <w:tr w14:paraId="741314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restart"/>
            <w:noWrap w:val="0"/>
            <w:vAlign w:val="center"/>
          </w:tcPr>
          <w:p w14:paraId="0848B2A9">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素养目标</w:t>
            </w:r>
          </w:p>
          <w:p w14:paraId="7ECB5B4B">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(含课程思政目标</w:t>
            </w:r>
            <w:r>
              <w:rPr>
                <w:rFonts w:ascii="Times New Roman" w:hAnsi="Times New Roman" w:eastAsia="黑体"/>
                <w:bCs/>
                <w:color w:val="000000"/>
                <w:sz w:val="21"/>
                <w:szCs w:val="20"/>
              </w:rPr>
              <w:t>)</w:t>
            </w:r>
          </w:p>
        </w:tc>
        <w:tc>
          <w:tcPr>
            <w:tcW w:w="782" w:type="dxa"/>
            <w:noWrap w:val="0"/>
            <w:vAlign w:val="center"/>
          </w:tcPr>
          <w:p w14:paraId="11DADC55">
            <w:pPr>
              <w:jc w:val="center"/>
              <w:rPr>
                <w:rFonts w:ascii="Times New Roman" w:hAnsi="Times New Roman"/>
                <w:color w:val="000000"/>
                <w:sz w:val="21"/>
                <w:szCs w:val="21"/>
              </w:rPr>
            </w:pPr>
            <w:r>
              <w:rPr>
                <w:rFonts w:hint="eastAsia" w:ascii="Times New Roman" w:hAnsi="Times New Roman"/>
                <w:color w:val="000000"/>
                <w:sz w:val="21"/>
                <w:szCs w:val="21"/>
              </w:rPr>
              <w:t>6</w:t>
            </w:r>
          </w:p>
        </w:tc>
        <w:tc>
          <w:tcPr>
            <w:tcW w:w="6458" w:type="dxa"/>
            <w:noWrap w:val="0"/>
            <w:vAlign w:val="center"/>
          </w:tcPr>
          <w:p w14:paraId="555BFE14">
            <w:pP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培养科学的世界观和方法论，树立严谨的科学态度，培养独立思考和解决问题的能力。</w:t>
            </w:r>
          </w:p>
        </w:tc>
      </w:tr>
      <w:tr w14:paraId="794C9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6" w:type="dxa"/>
            <w:vMerge w:val="continue"/>
            <w:noWrap w:val="0"/>
            <w:vAlign w:val="center"/>
          </w:tcPr>
          <w:p w14:paraId="48FE4ED2">
            <w:pPr>
              <w:rPr>
                <w:color w:val="000000"/>
                <w:sz w:val="21"/>
                <w:szCs w:val="21"/>
              </w:rPr>
            </w:pPr>
          </w:p>
        </w:tc>
        <w:tc>
          <w:tcPr>
            <w:tcW w:w="782" w:type="dxa"/>
            <w:noWrap w:val="0"/>
            <w:vAlign w:val="center"/>
          </w:tcPr>
          <w:p w14:paraId="41ADA472">
            <w:pPr>
              <w:jc w:val="center"/>
              <w:rPr>
                <w:rFonts w:ascii="Times New Roman" w:hAnsi="Times New Roman"/>
                <w:color w:val="000000"/>
                <w:sz w:val="21"/>
                <w:szCs w:val="21"/>
              </w:rPr>
            </w:pPr>
            <w:r>
              <w:rPr>
                <w:rFonts w:hint="eastAsia" w:ascii="Times New Roman" w:hAnsi="Times New Roman"/>
                <w:color w:val="000000"/>
                <w:sz w:val="21"/>
                <w:szCs w:val="21"/>
              </w:rPr>
              <w:t>7</w:t>
            </w:r>
          </w:p>
        </w:tc>
        <w:tc>
          <w:tcPr>
            <w:tcW w:w="6458" w:type="dxa"/>
            <w:noWrap w:val="0"/>
            <w:vAlign w:val="center"/>
          </w:tcPr>
          <w:p w14:paraId="32926324">
            <w:pPr>
              <w:rPr>
                <w:rFonts w:hint="eastAsia"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rPr>
              <w:t>培养对医学专业的热爱和敬业精神，增强为人类健康事业服务的责任感和使命感。</w:t>
            </w:r>
          </w:p>
        </w:tc>
      </w:tr>
    </w:tbl>
    <w:p w14:paraId="6B74AD9D">
      <w:pPr>
        <w:spacing w:before="163" w:beforeLines="50" w:after="163" w:afterLines="50"/>
        <w:outlineLvl w:val="1"/>
        <w:rPr>
          <w:rFonts w:ascii="Times New Roman" w:hAnsi="Times New Roman"/>
          <w:b/>
        </w:rPr>
      </w:pPr>
      <w:r>
        <w:rPr>
          <w:rFonts w:hint="eastAsia" w:ascii="Times New Roman" w:hAnsi="Times New Roman"/>
          <w:b/>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56DBF6E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noWrap w:val="0"/>
            <w:vAlign w:val="top"/>
          </w:tcPr>
          <w:p w14:paraId="737145B0">
            <w:pPr>
              <w:rPr>
                <w:rFonts w:ascii="Times New Roman" w:hAnsi="Times New Roman"/>
                <w:b/>
                <w:color w:val="000000"/>
                <w:sz w:val="21"/>
                <w:szCs w:val="21"/>
              </w:rPr>
            </w:pPr>
            <w:r>
              <w:rPr>
                <w:rFonts w:ascii="Times New Roman" w:hAnsi="Times New Roman"/>
                <w:b/>
                <w:color w:val="000000"/>
                <w:sz w:val="21"/>
                <w:szCs w:val="21"/>
              </w:rPr>
              <w:t>LO1品德修养</w:t>
            </w:r>
            <w:r>
              <w:rPr>
                <w:rFonts w:ascii="Times New Roman" w:hAnsi="Times New Roman"/>
                <w:color w:val="000000"/>
                <w:sz w:val="21"/>
                <w:szCs w:val="21"/>
              </w:rPr>
              <w:t>：</w:t>
            </w:r>
            <w:r>
              <w:rPr>
                <w:rFonts w:hint="eastAsia" w:ascii="Times New Roman" w:hAnsi="Times New Roman"/>
                <w:color w:val="000000"/>
                <w:sz w:val="21"/>
                <w:szCs w:val="21"/>
              </w:rPr>
              <w:t>⑤</w:t>
            </w:r>
            <w:r>
              <w:rPr>
                <w:rFonts w:ascii="Times New Roman" w:hAnsi="Times New Roman"/>
                <w:color w:val="000000"/>
                <w:sz w:val="21"/>
                <w:szCs w:val="21"/>
              </w:rPr>
              <w:t>爱岗敬业，热爱所学专业，勤学多练，锤炼技能。熟悉本专业相关的法律法规，在实习实践中自觉遵守职业规范，具备职业道德操守。</w:t>
            </w:r>
          </w:p>
        </w:tc>
      </w:tr>
      <w:tr w14:paraId="513D0FB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noWrap w:val="0"/>
            <w:vAlign w:val="top"/>
          </w:tcPr>
          <w:p w14:paraId="31797AC3">
            <w:pPr>
              <w:rPr>
                <w:rFonts w:ascii="Times New Roman" w:hAnsi="Times New Roman"/>
                <w:color w:val="000000"/>
                <w:sz w:val="21"/>
                <w:szCs w:val="21"/>
              </w:rPr>
            </w:pPr>
            <w:r>
              <w:rPr>
                <w:rFonts w:ascii="Times New Roman" w:hAnsi="Times New Roman"/>
                <w:b/>
                <w:color w:val="000000"/>
                <w:sz w:val="21"/>
                <w:szCs w:val="21"/>
              </w:rPr>
              <w:t>LO2专业能力</w:t>
            </w:r>
            <w:r>
              <w:rPr>
                <w:rFonts w:ascii="Times New Roman" w:hAnsi="Times New Roman"/>
                <w:color w:val="000000"/>
                <w:sz w:val="21"/>
                <w:szCs w:val="21"/>
              </w:rPr>
              <w:t>：</w:t>
            </w:r>
            <w:r>
              <w:rPr>
                <w:rFonts w:hint="eastAsia" w:ascii="Times New Roman" w:hAnsi="Times New Roman"/>
                <w:color w:val="000000"/>
                <w:sz w:val="21"/>
                <w:szCs w:val="21"/>
              </w:rPr>
              <w:t>②专业基础能力：掌握人体正常结构、功能、人的心理状态及其发展变化的知识；掌握基本的药理知识和临床用药及药品管理知识；掌握护理学基础理论和基本知识。</w:t>
            </w:r>
          </w:p>
        </w:tc>
      </w:tr>
      <w:tr w14:paraId="53380BA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noWrap w:val="0"/>
            <w:vAlign w:val="top"/>
          </w:tcPr>
          <w:p w14:paraId="1381A7D0">
            <w:pPr>
              <w:rPr>
                <w:rFonts w:ascii="Times New Roman" w:hAnsi="Times New Roman"/>
                <w:color w:val="000000"/>
                <w:sz w:val="21"/>
                <w:szCs w:val="21"/>
              </w:rPr>
            </w:pPr>
            <w:r>
              <w:rPr>
                <w:rFonts w:ascii="Times New Roman" w:hAnsi="Times New Roman"/>
                <w:b/>
                <w:color w:val="000000"/>
                <w:sz w:val="21"/>
                <w:szCs w:val="21"/>
              </w:rPr>
              <w:t>LO4自主学习</w:t>
            </w:r>
            <w:r>
              <w:rPr>
                <w:rFonts w:ascii="Times New Roman" w:hAnsi="Times New Roman"/>
                <w:color w:val="000000"/>
                <w:sz w:val="21"/>
                <w:szCs w:val="21"/>
              </w:rPr>
              <w:t>：</w:t>
            </w:r>
            <w:r>
              <w:rPr>
                <w:rFonts w:hint="eastAsia" w:ascii="Times New Roman" w:hAnsi="Times New Roman"/>
                <w:color w:val="000000"/>
                <w:sz w:val="21"/>
                <w:szCs w:val="21"/>
              </w:rPr>
              <w:t>①</w:t>
            </w:r>
            <w:r>
              <w:rPr>
                <w:rFonts w:ascii="Times New Roman" w:hAnsi="Times New Roman"/>
                <w:color w:val="000000"/>
                <w:sz w:val="21"/>
                <w:szCs w:val="21"/>
              </w:rPr>
              <w:t>能根据需要确定学习目标，并设计学习计划。</w:t>
            </w:r>
            <w:r>
              <w:rPr>
                <w:rFonts w:hint="eastAsia" w:ascii="Times New Roman" w:hAnsi="Times New Roman"/>
                <w:color w:val="000000"/>
                <w:sz w:val="21"/>
                <w:szCs w:val="21"/>
              </w:rPr>
              <w:t>②</w:t>
            </w:r>
            <w:r>
              <w:rPr>
                <w:rFonts w:ascii="Times New Roman" w:hAnsi="Times New Roman"/>
                <w:color w:val="000000"/>
                <w:sz w:val="21"/>
                <w:szCs w:val="21"/>
              </w:rPr>
              <w:t>能搜集、获取达到目标所需要的学习资源，实施学习计划、反思学习计划、持续改进，达到学习目标。</w:t>
            </w:r>
          </w:p>
        </w:tc>
      </w:tr>
    </w:tbl>
    <w:p w14:paraId="5753A1F7">
      <w:pPr>
        <w:spacing w:before="163" w:beforeLines="50" w:after="163" w:afterLines="50"/>
        <w:outlineLvl w:val="1"/>
        <w:rPr>
          <w:rFonts w:ascii="Times New Roman" w:hAnsi="Times New Roman"/>
          <w:b/>
        </w:rPr>
      </w:pPr>
      <w:r>
        <w:rPr>
          <w:rFonts w:hint="eastAsia" w:ascii="Times New Roman" w:hAnsi="Times New Roman"/>
          <w:b/>
        </w:rPr>
        <w:t>（三）毕业要求与课程目标的关系</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5FBA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noWrap w:val="0"/>
            <w:vAlign w:val="center"/>
          </w:tcPr>
          <w:p w14:paraId="24440F37">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毕业要求</w:t>
            </w:r>
          </w:p>
        </w:tc>
        <w:tc>
          <w:tcPr>
            <w:tcW w:w="794" w:type="dxa"/>
            <w:tcBorders>
              <w:top w:val="single" w:color="auto" w:sz="12" w:space="0"/>
              <w:left w:val="single" w:color="auto" w:sz="4" w:space="0"/>
            </w:tcBorders>
            <w:noWrap w:val="0"/>
            <w:vAlign w:val="center"/>
          </w:tcPr>
          <w:p w14:paraId="53A0E1B5">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指标点</w:t>
            </w:r>
          </w:p>
        </w:tc>
        <w:tc>
          <w:tcPr>
            <w:tcW w:w="794" w:type="dxa"/>
            <w:tcBorders>
              <w:top w:val="single" w:color="auto" w:sz="12" w:space="0"/>
              <w:right w:val="double" w:color="auto" w:sz="4" w:space="0"/>
            </w:tcBorders>
            <w:noWrap w:val="0"/>
            <w:vAlign w:val="center"/>
          </w:tcPr>
          <w:p w14:paraId="43BD19DD">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支撑度</w:t>
            </w:r>
          </w:p>
        </w:tc>
        <w:tc>
          <w:tcPr>
            <w:tcW w:w="4763" w:type="dxa"/>
            <w:tcBorders>
              <w:top w:val="single" w:color="auto" w:sz="12" w:space="0"/>
            </w:tcBorders>
            <w:noWrap w:val="0"/>
            <w:vAlign w:val="center"/>
          </w:tcPr>
          <w:p w14:paraId="740DC3EF">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课程目标</w:t>
            </w:r>
          </w:p>
        </w:tc>
        <w:tc>
          <w:tcPr>
            <w:tcW w:w="1348" w:type="dxa"/>
            <w:tcBorders>
              <w:top w:val="single" w:color="auto" w:sz="12" w:space="0"/>
              <w:right w:val="single" w:color="auto" w:sz="12" w:space="0"/>
            </w:tcBorders>
            <w:noWrap w:val="0"/>
            <w:vAlign w:val="center"/>
          </w:tcPr>
          <w:p w14:paraId="59105CBD">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对指标点的贡献度</w:t>
            </w:r>
          </w:p>
        </w:tc>
      </w:tr>
      <w:tr w14:paraId="7C77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noWrap w:val="0"/>
            <w:vAlign w:val="center"/>
          </w:tcPr>
          <w:p w14:paraId="1F2E3B7A">
            <w:pPr>
              <w:jc w:val="center"/>
              <w:rPr>
                <w:rFonts w:hint="default" w:ascii="Times New Roman" w:hAnsi="Times New Roman" w:eastAsia="宋体" w:cs="Times New Roman"/>
                <w:b/>
                <w:bCs/>
                <w:color w:val="000000"/>
                <w:sz w:val="21"/>
                <w:szCs w:val="21"/>
              </w:rPr>
            </w:pPr>
            <w:r>
              <w:rPr>
                <w:rFonts w:hint="default" w:ascii="Times New Roman" w:hAnsi="Times New Roman" w:eastAsia="宋体" w:cs="Times New Roman"/>
                <w:b/>
                <w:bCs/>
                <w:color w:val="000000"/>
                <w:sz w:val="21"/>
                <w:szCs w:val="21"/>
              </w:rPr>
              <w:t>LO1</w:t>
            </w:r>
          </w:p>
          <w:p w14:paraId="52E94187">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b/>
                <w:bCs/>
                <w:color w:val="000000"/>
                <w:sz w:val="21"/>
                <w:szCs w:val="21"/>
              </w:rPr>
              <w:t>品德修养</w:t>
            </w:r>
          </w:p>
        </w:tc>
        <w:tc>
          <w:tcPr>
            <w:tcW w:w="794" w:type="dxa"/>
            <w:tcBorders>
              <w:left w:val="single" w:color="auto" w:sz="4" w:space="0"/>
            </w:tcBorders>
            <w:noWrap w:val="0"/>
            <w:vAlign w:val="center"/>
          </w:tcPr>
          <w:p w14:paraId="52EB24DB">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⑤</w:t>
            </w:r>
          </w:p>
        </w:tc>
        <w:tc>
          <w:tcPr>
            <w:tcW w:w="794" w:type="dxa"/>
            <w:tcBorders>
              <w:right w:val="double" w:color="auto" w:sz="4" w:space="0"/>
            </w:tcBorders>
            <w:noWrap w:val="0"/>
            <w:vAlign w:val="center"/>
          </w:tcPr>
          <w:p w14:paraId="6A19E16C">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M</w:t>
            </w:r>
          </w:p>
        </w:tc>
        <w:tc>
          <w:tcPr>
            <w:tcW w:w="4763" w:type="dxa"/>
            <w:noWrap w:val="0"/>
            <w:vAlign w:val="center"/>
          </w:tcPr>
          <w:p w14:paraId="52D05E0A">
            <w:pPr>
              <w:numPr>
                <w:ilvl w:val="0"/>
                <w:numId w:val="1"/>
              </w:numP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培养对医学专业的热爱和敬业精神，增强为人类健康事业服务的责任感和使命感。</w:t>
            </w:r>
          </w:p>
        </w:tc>
        <w:tc>
          <w:tcPr>
            <w:tcW w:w="1348" w:type="dxa"/>
            <w:tcBorders>
              <w:right w:val="single" w:color="auto" w:sz="12" w:space="0"/>
            </w:tcBorders>
            <w:noWrap w:val="0"/>
            <w:vAlign w:val="center"/>
          </w:tcPr>
          <w:p w14:paraId="197241D4">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100%</w:t>
            </w:r>
          </w:p>
        </w:tc>
      </w:tr>
      <w:tr w14:paraId="5BC8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noWrap w:val="0"/>
            <w:vAlign w:val="center"/>
          </w:tcPr>
          <w:p w14:paraId="304399B4">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b/>
                <w:bCs/>
                <w:color w:val="000000"/>
                <w:sz w:val="21"/>
                <w:szCs w:val="21"/>
              </w:rPr>
              <w:t>LO2专业能力</w:t>
            </w:r>
          </w:p>
        </w:tc>
        <w:tc>
          <w:tcPr>
            <w:tcW w:w="794" w:type="dxa"/>
            <w:vMerge w:val="restart"/>
            <w:tcBorders>
              <w:left w:val="single" w:color="auto" w:sz="4" w:space="0"/>
            </w:tcBorders>
            <w:noWrap w:val="0"/>
            <w:vAlign w:val="center"/>
          </w:tcPr>
          <w:p w14:paraId="195FC605">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②</w:t>
            </w:r>
          </w:p>
        </w:tc>
        <w:tc>
          <w:tcPr>
            <w:tcW w:w="794" w:type="dxa"/>
            <w:vMerge w:val="restart"/>
            <w:tcBorders>
              <w:right w:val="double" w:color="auto" w:sz="4" w:space="0"/>
            </w:tcBorders>
            <w:noWrap w:val="0"/>
            <w:vAlign w:val="center"/>
          </w:tcPr>
          <w:p w14:paraId="500A943C">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H</w:t>
            </w:r>
          </w:p>
        </w:tc>
        <w:tc>
          <w:tcPr>
            <w:tcW w:w="4763" w:type="dxa"/>
            <w:noWrap w:val="0"/>
            <w:vAlign w:val="center"/>
          </w:tcPr>
          <w:p w14:paraId="2D84EED0">
            <w:pPr>
              <w:numPr>
                <w:ilvl w:val="0"/>
                <w:numId w:val="2"/>
              </w:numP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掌握人体正常结构、功能、人的心理状态及其发展变化的知识；掌握基本的药理知识和临床用药及药品管理知识；掌握护理学基础理论和基本知识。</w:t>
            </w:r>
          </w:p>
        </w:tc>
        <w:tc>
          <w:tcPr>
            <w:tcW w:w="1348" w:type="dxa"/>
            <w:tcBorders>
              <w:right w:val="single" w:color="auto" w:sz="12" w:space="0"/>
            </w:tcBorders>
            <w:noWrap w:val="0"/>
            <w:vAlign w:val="center"/>
          </w:tcPr>
          <w:p w14:paraId="6F714876">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60%</w:t>
            </w:r>
          </w:p>
        </w:tc>
      </w:tr>
      <w:tr w14:paraId="0C64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noWrap w:val="0"/>
            <w:vAlign w:val="center"/>
          </w:tcPr>
          <w:p w14:paraId="0BEBFB62">
            <w:pPr>
              <w:jc w:val="center"/>
              <w:rPr>
                <w:rFonts w:hint="default" w:ascii="Times New Roman" w:hAnsi="Times New Roman" w:eastAsia="宋体" w:cs="Times New Roman"/>
                <w:color w:val="000000"/>
                <w:sz w:val="21"/>
                <w:szCs w:val="21"/>
              </w:rPr>
            </w:pPr>
          </w:p>
        </w:tc>
        <w:tc>
          <w:tcPr>
            <w:tcW w:w="794" w:type="dxa"/>
            <w:vMerge w:val="continue"/>
            <w:tcBorders>
              <w:left w:val="single" w:color="auto" w:sz="4" w:space="0"/>
            </w:tcBorders>
            <w:noWrap w:val="0"/>
            <w:vAlign w:val="center"/>
          </w:tcPr>
          <w:p w14:paraId="321D24BB">
            <w:pPr>
              <w:jc w:val="center"/>
              <w:rPr>
                <w:rFonts w:hint="default" w:ascii="Times New Roman" w:hAnsi="Times New Roman" w:eastAsia="宋体" w:cs="Times New Roman"/>
                <w:bCs/>
                <w:color w:val="000000"/>
                <w:sz w:val="21"/>
                <w:szCs w:val="21"/>
              </w:rPr>
            </w:pPr>
          </w:p>
        </w:tc>
        <w:tc>
          <w:tcPr>
            <w:tcW w:w="794" w:type="dxa"/>
            <w:vMerge w:val="continue"/>
            <w:tcBorders>
              <w:right w:val="double" w:color="auto" w:sz="4" w:space="0"/>
            </w:tcBorders>
            <w:noWrap w:val="0"/>
            <w:vAlign w:val="center"/>
          </w:tcPr>
          <w:p w14:paraId="6FA5300C">
            <w:pPr>
              <w:jc w:val="center"/>
              <w:rPr>
                <w:rFonts w:hint="default" w:ascii="Times New Roman" w:hAnsi="Times New Roman" w:eastAsia="宋体" w:cs="Times New Roman"/>
                <w:color w:val="000000"/>
                <w:sz w:val="21"/>
                <w:szCs w:val="21"/>
              </w:rPr>
            </w:pPr>
          </w:p>
        </w:tc>
        <w:tc>
          <w:tcPr>
            <w:tcW w:w="4763" w:type="dxa"/>
            <w:noWrap w:val="0"/>
            <w:vAlign w:val="center"/>
          </w:tcPr>
          <w:p w14:paraId="5D0647A2">
            <w:pP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 xml:space="preserve">3. </w:t>
            </w:r>
            <w:r>
              <w:rPr>
                <w:rFonts w:hint="default" w:ascii="Times New Roman" w:hAnsi="Times New Roman" w:eastAsia="宋体" w:cs="Times New Roman"/>
                <w:color w:val="000000"/>
                <w:sz w:val="21"/>
                <w:szCs w:val="21"/>
              </w:rPr>
              <w:t>具有与护理学相关的自然科学、人文社会科学的基础知识和科学方法。</w:t>
            </w:r>
          </w:p>
        </w:tc>
        <w:tc>
          <w:tcPr>
            <w:tcW w:w="1348" w:type="dxa"/>
            <w:tcBorders>
              <w:right w:val="single" w:color="auto" w:sz="12" w:space="0"/>
            </w:tcBorders>
            <w:noWrap w:val="0"/>
            <w:vAlign w:val="center"/>
          </w:tcPr>
          <w:p w14:paraId="7B911ECA">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40%</w:t>
            </w:r>
          </w:p>
        </w:tc>
      </w:tr>
      <w:tr w14:paraId="295A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noWrap w:val="0"/>
            <w:vAlign w:val="top"/>
          </w:tcPr>
          <w:p w14:paraId="025E13E5">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b/>
                <w:bCs/>
                <w:color w:val="000000"/>
                <w:sz w:val="21"/>
                <w:szCs w:val="21"/>
              </w:rPr>
              <w:t>LO</w:t>
            </w:r>
            <w:r>
              <w:rPr>
                <w:rFonts w:hint="eastAsia" w:ascii="Times New Roman" w:hAnsi="Times New Roman" w:eastAsia="宋体" w:cs="Times New Roman"/>
                <w:b/>
                <w:bCs/>
                <w:color w:val="000000"/>
                <w:sz w:val="21"/>
                <w:szCs w:val="21"/>
                <w:lang w:val="en-US" w:eastAsia="zh-CN"/>
              </w:rPr>
              <w:t>4</w:t>
            </w:r>
            <w:r>
              <w:rPr>
                <w:rFonts w:hint="default" w:ascii="Times New Roman" w:hAnsi="Times New Roman" w:eastAsia="宋体" w:cs="Times New Roman"/>
                <w:b/>
                <w:bCs/>
                <w:color w:val="000000"/>
                <w:sz w:val="21"/>
                <w:szCs w:val="21"/>
              </w:rPr>
              <w:t>自主学习</w:t>
            </w:r>
          </w:p>
        </w:tc>
        <w:tc>
          <w:tcPr>
            <w:tcW w:w="794" w:type="dxa"/>
            <w:tcBorders>
              <w:left w:val="single" w:color="auto" w:sz="4" w:space="0"/>
            </w:tcBorders>
            <w:noWrap w:val="0"/>
            <w:vAlign w:val="center"/>
          </w:tcPr>
          <w:p w14:paraId="219CDF2D">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fldChar w:fldCharType="begin"/>
            </w:r>
            <w:r>
              <w:rPr>
                <w:rFonts w:hint="default" w:ascii="Times New Roman" w:hAnsi="Times New Roman" w:eastAsia="宋体" w:cs="Times New Roman"/>
                <w:bCs/>
                <w:color w:val="000000"/>
                <w:sz w:val="21"/>
                <w:szCs w:val="21"/>
              </w:rPr>
              <w:instrText xml:space="preserve"> = 1 \* GB3 </w:instrText>
            </w:r>
            <w:r>
              <w:rPr>
                <w:rFonts w:hint="default" w:ascii="Times New Roman" w:hAnsi="Times New Roman" w:eastAsia="宋体" w:cs="Times New Roman"/>
                <w:bCs/>
                <w:color w:val="000000"/>
                <w:sz w:val="21"/>
                <w:szCs w:val="21"/>
              </w:rPr>
              <w:fldChar w:fldCharType="separate"/>
            </w:r>
            <w:r>
              <w:rPr>
                <w:rFonts w:hint="default" w:ascii="Times New Roman" w:hAnsi="Times New Roman" w:eastAsia="宋体" w:cs="Times New Roman"/>
                <w:bCs/>
                <w:color w:val="000000"/>
                <w:sz w:val="21"/>
                <w:szCs w:val="21"/>
              </w:rPr>
              <w:t>①</w:t>
            </w:r>
            <w:r>
              <w:rPr>
                <w:rFonts w:hint="default" w:ascii="Times New Roman" w:hAnsi="Times New Roman" w:eastAsia="宋体" w:cs="Times New Roman"/>
                <w:bCs/>
                <w:color w:val="000000"/>
                <w:sz w:val="21"/>
                <w:szCs w:val="21"/>
              </w:rPr>
              <w:fldChar w:fldCharType="end"/>
            </w:r>
          </w:p>
        </w:tc>
        <w:tc>
          <w:tcPr>
            <w:tcW w:w="794" w:type="dxa"/>
            <w:tcBorders>
              <w:right w:val="double" w:color="auto" w:sz="4" w:space="0"/>
            </w:tcBorders>
            <w:noWrap w:val="0"/>
            <w:vAlign w:val="center"/>
          </w:tcPr>
          <w:p w14:paraId="301C249F">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H</w:t>
            </w:r>
          </w:p>
        </w:tc>
        <w:tc>
          <w:tcPr>
            <w:tcW w:w="4763" w:type="dxa"/>
            <w:noWrap w:val="0"/>
            <w:vAlign w:val="center"/>
          </w:tcPr>
          <w:p w14:paraId="4400C88F">
            <w:pP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6. 培养科学的世界观和方法论，树立严谨的科学态度，培养独立思考和解决问题的能力。</w:t>
            </w:r>
          </w:p>
        </w:tc>
        <w:tc>
          <w:tcPr>
            <w:tcW w:w="1348" w:type="dxa"/>
            <w:tcBorders>
              <w:right w:val="single" w:color="auto" w:sz="12" w:space="0"/>
            </w:tcBorders>
            <w:noWrap w:val="0"/>
            <w:vAlign w:val="center"/>
          </w:tcPr>
          <w:p w14:paraId="3F21C8ED">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50%</w:t>
            </w:r>
          </w:p>
        </w:tc>
      </w:tr>
      <w:tr w14:paraId="7037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bottom w:val="single" w:color="auto" w:sz="12" w:space="0"/>
              <w:right w:val="single" w:color="auto" w:sz="4" w:space="0"/>
            </w:tcBorders>
            <w:noWrap w:val="0"/>
            <w:vAlign w:val="top"/>
          </w:tcPr>
          <w:p w14:paraId="611BC48A">
            <w:pPr>
              <w:jc w:val="center"/>
              <w:rPr>
                <w:rFonts w:hint="default" w:ascii="Times New Roman" w:hAnsi="Times New Roman" w:eastAsia="宋体" w:cs="Times New Roman"/>
                <w:color w:val="000000"/>
                <w:sz w:val="21"/>
                <w:szCs w:val="21"/>
              </w:rPr>
            </w:pPr>
          </w:p>
        </w:tc>
        <w:tc>
          <w:tcPr>
            <w:tcW w:w="794" w:type="dxa"/>
            <w:tcBorders>
              <w:left w:val="single" w:color="auto" w:sz="4" w:space="0"/>
              <w:bottom w:val="single" w:color="auto" w:sz="12" w:space="0"/>
            </w:tcBorders>
            <w:noWrap w:val="0"/>
            <w:vAlign w:val="center"/>
          </w:tcPr>
          <w:p w14:paraId="04CD313F">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fldChar w:fldCharType="begin"/>
            </w:r>
            <w:r>
              <w:rPr>
                <w:rFonts w:hint="default" w:ascii="Times New Roman" w:hAnsi="Times New Roman" w:eastAsia="宋体" w:cs="Times New Roman"/>
                <w:bCs/>
                <w:color w:val="000000"/>
                <w:sz w:val="21"/>
                <w:szCs w:val="21"/>
              </w:rPr>
              <w:instrText xml:space="preserve"> = 2 \* GB3 </w:instrText>
            </w:r>
            <w:r>
              <w:rPr>
                <w:rFonts w:hint="default" w:ascii="Times New Roman" w:hAnsi="Times New Roman" w:eastAsia="宋体" w:cs="Times New Roman"/>
                <w:bCs/>
                <w:color w:val="000000"/>
                <w:sz w:val="21"/>
                <w:szCs w:val="21"/>
              </w:rPr>
              <w:fldChar w:fldCharType="separate"/>
            </w:r>
            <w:r>
              <w:rPr>
                <w:rFonts w:hint="default" w:ascii="Times New Roman" w:hAnsi="Times New Roman" w:eastAsia="宋体" w:cs="Times New Roman"/>
                <w:bCs/>
                <w:color w:val="000000"/>
                <w:sz w:val="21"/>
                <w:szCs w:val="21"/>
              </w:rPr>
              <w:t>②</w:t>
            </w:r>
            <w:r>
              <w:rPr>
                <w:rFonts w:hint="default" w:ascii="Times New Roman" w:hAnsi="Times New Roman" w:eastAsia="宋体" w:cs="Times New Roman"/>
                <w:bCs/>
                <w:color w:val="000000"/>
                <w:sz w:val="21"/>
                <w:szCs w:val="21"/>
              </w:rPr>
              <w:fldChar w:fldCharType="end"/>
            </w:r>
          </w:p>
        </w:tc>
        <w:tc>
          <w:tcPr>
            <w:tcW w:w="794" w:type="dxa"/>
            <w:tcBorders>
              <w:bottom w:val="single" w:color="auto" w:sz="12" w:space="0"/>
              <w:right w:val="double" w:color="auto" w:sz="4" w:space="0"/>
            </w:tcBorders>
            <w:noWrap w:val="0"/>
            <w:vAlign w:val="center"/>
          </w:tcPr>
          <w:p w14:paraId="0A63DBC3">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M</w:t>
            </w:r>
          </w:p>
        </w:tc>
        <w:tc>
          <w:tcPr>
            <w:tcW w:w="4763" w:type="dxa"/>
            <w:tcBorders>
              <w:bottom w:val="single" w:color="auto" w:sz="12" w:space="0"/>
            </w:tcBorders>
            <w:noWrap w:val="0"/>
            <w:vAlign w:val="center"/>
          </w:tcPr>
          <w:p w14:paraId="02EE9085">
            <w:pP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 xml:space="preserve">2. </w:t>
            </w:r>
            <w:r>
              <w:rPr>
                <w:rFonts w:hint="default" w:ascii="Times New Roman" w:hAnsi="Times New Roman" w:eastAsia="宋体" w:cs="Times New Roman"/>
                <w:color w:val="000000"/>
                <w:sz w:val="21"/>
                <w:szCs w:val="21"/>
              </w:rPr>
              <w:t>具有自主学习的基本能力，能够适应不断变化的社会健康保健需要。</w:t>
            </w:r>
          </w:p>
        </w:tc>
        <w:tc>
          <w:tcPr>
            <w:tcW w:w="1348" w:type="dxa"/>
            <w:tcBorders>
              <w:bottom w:val="single" w:color="auto" w:sz="12" w:space="0"/>
              <w:right w:val="single" w:color="auto" w:sz="12" w:space="0"/>
            </w:tcBorders>
            <w:noWrap w:val="0"/>
            <w:vAlign w:val="center"/>
          </w:tcPr>
          <w:p w14:paraId="2290E1DE">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50%</w:t>
            </w:r>
          </w:p>
        </w:tc>
      </w:tr>
    </w:tbl>
    <w:p w14:paraId="34038953">
      <w:pPr>
        <w:spacing w:before="326" w:beforeLines="100"/>
        <w:outlineLvl w:val="0"/>
        <w:rPr>
          <w:rFonts w:ascii="Arial" w:hAnsi="Arial" w:eastAsia="黑体"/>
          <w:sz w:val="28"/>
        </w:rPr>
      </w:pPr>
      <w:r>
        <w:rPr>
          <w:rFonts w:hint="eastAsia" w:ascii="Arial" w:hAnsi="Arial" w:eastAsia="黑体"/>
          <w:sz w:val="28"/>
        </w:rPr>
        <w:t>三、</w:t>
      </w:r>
      <w:r>
        <w:rPr>
          <w:rFonts w:ascii="Arial" w:hAnsi="Arial" w:eastAsia="黑体"/>
          <w:sz w:val="28"/>
        </w:rPr>
        <w:t>课程内容</w:t>
      </w:r>
      <w:r>
        <w:rPr>
          <w:rFonts w:hint="eastAsia" w:ascii="Arial" w:hAnsi="Arial" w:eastAsia="黑体"/>
          <w:sz w:val="28"/>
        </w:rPr>
        <w:t>与教学设计</w:t>
      </w:r>
    </w:p>
    <w:p w14:paraId="7A8BEF2C">
      <w:pPr>
        <w:spacing w:before="163" w:beforeLines="50" w:after="163" w:afterLines="50"/>
        <w:outlineLvl w:val="1"/>
        <w:rPr>
          <w:rFonts w:ascii="Times New Roman" w:hAnsi="Times New Roman"/>
          <w:b/>
        </w:rPr>
      </w:pPr>
      <w:r>
        <w:rPr>
          <w:rFonts w:hint="eastAsia" w:ascii="Times New Roman" w:hAnsi="Times New Roman"/>
          <w:b/>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776AC58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5A6B116A">
            <w:pPr>
              <w:rPr>
                <w:rFonts w:hint="eastAsia" w:ascii="Times New Roman" w:hAnsi="Times New Roman"/>
                <w:color w:val="000000"/>
                <w:sz w:val="21"/>
                <w:szCs w:val="21"/>
              </w:rPr>
            </w:pPr>
            <w:r>
              <w:rPr>
                <w:rFonts w:hint="eastAsia" w:ascii="Times New Roman" w:hAnsi="Times New Roman"/>
                <w:bCs/>
                <w:color w:val="000000"/>
                <w:sz w:val="21"/>
                <w:szCs w:val="21"/>
              </w:rPr>
              <w:t xml:space="preserve">第一单元 </w:t>
            </w:r>
            <w:r>
              <w:rPr>
                <w:rFonts w:hint="eastAsia" w:ascii="Times New Roman" w:hAnsi="Times New Roman"/>
                <w:color w:val="000000"/>
                <w:sz w:val="21"/>
                <w:szCs w:val="21"/>
              </w:rPr>
              <w:t>药理学总论</w:t>
            </w:r>
          </w:p>
          <w:p w14:paraId="730E6E74">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23046120">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 xml:space="preserve">知道药物、药理学、药物效应动力学、药物代谢动力学的概念；               </w:t>
            </w:r>
          </w:p>
          <w:p w14:paraId="7C3C6B6C">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知道药理学的发展简史；</w:t>
            </w:r>
          </w:p>
          <w:p w14:paraId="326148B9">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知道新药开发与研究的基本过程。</w:t>
            </w:r>
          </w:p>
          <w:p w14:paraId="2FB624C5">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68FCC16F">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能阐述药物、药理学、药物效应动力学、药物代谢动力学的概念；</w:t>
            </w:r>
          </w:p>
          <w:p w14:paraId="7D0A07C3">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能说出药物制剂、处方的基本知识；</w:t>
            </w:r>
          </w:p>
          <w:p w14:paraId="0F948BBF">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能理解药理学的发展简史；</w:t>
            </w:r>
          </w:p>
          <w:p w14:paraId="10AA1EEF">
            <w:pPr>
              <w:rPr>
                <w:rFonts w:ascii="Times New Roman" w:hAnsi="Times New Roman"/>
                <w:bCs/>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能理解新药开发与研究的基本过程。</w:t>
            </w:r>
          </w:p>
          <w:p w14:paraId="1C6DA846">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1E25C190">
            <w:pPr>
              <w:rPr>
                <w:rFonts w:ascii="Times New Roman" w:hAnsi="Times New Roman"/>
                <w:color w:val="000000"/>
                <w:sz w:val="21"/>
                <w:szCs w:val="21"/>
              </w:rPr>
            </w:pPr>
            <w:r>
              <w:rPr>
                <w:rFonts w:hint="eastAsia" w:ascii="Times New Roman" w:hAnsi="Times New Roman"/>
                <w:color w:val="000000"/>
                <w:sz w:val="21"/>
                <w:szCs w:val="21"/>
              </w:rPr>
              <w:t>通过学习药理学总论</w:t>
            </w:r>
            <w:r>
              <w:rPr>
                <w:rFonts w:hint="eastAsia" w:ascii="Times New Roman" w:hAnsi="Times New Roman"/>
                <w:bCs/>
                <w:sz w:val="21"/>
                <w:szCs w:val="21"/>
              </w:rPr>
              <w:t>,</w:t>
            </w:r>
            <w:r>
              <w:rPr>
                <w:rFonts w:hint="eastAsia" w:ascii="Times New Roman" w:hAnsi="Times New Roman"/>
                <w:color w:val="000000"/>
                <w:sz w:val="21"/>
                <w:szCs w:val="21"/>
              </w:rPr>
              <w:t>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207AE5DE">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0F81F0FA">
            <w:pPr>
              <w:rPr>
                <w:rFonts w:ascii="Times New Roman" w:hAnsi="Times New Roman"/>
                <w:color w:val="000000"/>
                <w:sz w:val="21"/>
                <w:szCs w:val="21"/>
              </w:rPr>
            </w:pPr>
            <w:r>
              <w:rPr>
                <w:rFonts w:hint="eastAsia" w:ascii="Times New Roman" w:hAnsi="Times New Roman"/>
                <w:color w:val="000000"/>
                <w:sz w:val="21"/>
                <w:szCs w:val="21"/>
              </w:rPr>
              <w:t>药物制剂、处方的基本知识。</w:t>
            </w:r>
          </w:p>
        </w:tc>
      </w:tr>
      <w:tr w14:paraId="0CA1F53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6CB523D0">
            <w:pPr>
              <w:rPr>
                <w:rFonts w:hint="eastAsia" w:ascii="Times New Roman" w:hAnsi="Times New Roman"/>
                <w:color w:val="000000"/>
                <w:sz w:val="21"/>
                <w:szCs w:val="21"/>
              </w:rPr>
            </w:pPr>
            <w:r>
              <w:rPr>
                <w:rFonts w:hint="eastAsia" w:ascii="Times New Roman" w:hAnsi="Times New Roman"/>
                <w:bCs/>
                <w:color w:val="000000"/>
                <w:sz w:val="21"/>
                <w:szCs w:val="21"/>
              </w:rPr>
              <w:t xml:space="preserve">第二单元 </w:t>
            </w:r>
            <w:r>
              <w:rPr>
                <w:rFonts w:hint="eastAsia" w:ascii="Times New Roman" w:hAnsi="Times New Roman"/>
                <w:color w:val="000000"/>
                <w:sz w:val="21"/>
                <w:szCs w:val="21"/>
              </w:rPr>
              <w:t>药物效应动力学</w:t>
            </w:r>
          </w:p>
          <w:p w14:paraId="0E6A5872">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09B9CA9C">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 xml:space="preserve">知道药物的基本作用，包括对因治疗、对症治疗； </w:t>
            </w:r>
          </w:p>
          <w:p w14:paraId="5552B51B">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知道药物的不良反应（副作用、毒性反应、后遗效应、停药反应、变态反应、继发反应、特异质反应）；</w:t>
            </w:r>
          </w:p>
          <w:p w14:paraId="0096A389">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 xml:space="preserve">理解药物的量效关系，包括量效关系、量效曲线、量反应、质反应、最小有效量、效价、效能、半数有效量、半数致死量等在药物应用中的意义； </w:t>
            </w:r>
          </w:p>
          <w:p w14:paraId="1AB970F0">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知道药物作用机制的主要类型；</w:t>
            </w:r>
          </w:p>
          <w:p w14:paraId="34D96009">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知道受体学说。</w:t>
            </w:r>
          </w:p>
          <w:p w14:paraId="7D5743A0">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1AE3733B">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 xml:space="preserve">能说出药物的基本作用，包括对因治疗、对症治疗； </w:t>
            </w:r>
          </w:p>
          <w:p w14:paraId="2E8E827D">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能阐述药物的不良反应（副作用、毒性反应、后遗效应、停药反应、变态反应、继发反应、特异质反应）；</w:t>
            </w:r>
          </w:p>
          <w:p w14:paraId="7F5BE5DA">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 xml:space="preserve">能阐述药物的量效关系，包括量效关系、量效曲线、量反应、质反应、最小有效量、效价、效能、半数有效量、半数致死量等在药物应用中的意义； </w:t>
            </w:r>
          </w:p>
          <w:p w14:paraId="7DE0F092">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能说出药物作用机制的主要类型；</w:t>
            </w:r>
          </w:p>
          <w:p w14:paraId="3E4F3D65">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能说出受体学说。</w:t>
            </w:r>
            <w:r>
              <w:rPr>
                <w:rFonts w:ascii="Times New Roman" w:hAnsi="Times New Roman"/>
                <w:bCs/>
                <w:color w:val="000000"/>
                <w:sz w:val="21"/>
                <w:szCs w:val="21"/>
              </w:rPr>
              <w:t xml:space="preserve">                                                                                                                                                                                                                                                          </w:t>
            </w:r>
          </w:p>
          <w:p w14:paraId="11FCC24A">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0F2DEFD1">
            <w:pPr>
              <w:rPr>
                <w:rFonts w:ascii="Times New Roman" w:hAnsi="Times New Roman"/>
                <w:bCs/>
                <w:sz w:val="21"/>
                <w:szCs w:val="21"/>
              </w:rPr>
            </w:pPr>
            <w:r>
              <w:rPr>
                <w:rFonts w:hint="eastAsia" w:ascii="Times New Roman" w:hAnsi="Times New Roman"/>
                <w:color w:val="000000"/>
                <w:sz w:val="21"/>
                <w:szCs w:val="21"/>
              </w:rPr>
              <w:t>通过学习药物效应动力学</w:t>
            </w:r>
            <w:r>
              <w:rPr>
                <w:rFonts w:hint="eastAsia" w:ascii="Times New Roman" w:hAnsi="Times New Roman"/>
                <w:bCs/>
                <w:sz w:val="21"/>
                <w:szCs w:val="21"/>
              </w:rPr>
              <w:t>,</w:t>
            </w:r>
            <w:r>
              <w:rPr>
                <w:rFonts w:hint="eastAsia" w:ascii="Times New Roman" w:hAnsi="Times New Roman"/>
                <w:color w:val="000000"/>
                <w:sz w:val="21"/>
                <w:szCs w:val="21"/>
              </w:rPr>
              <w:t xml:space="preserve"> 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39B72AAA">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3DAFD902">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药物的不良反应；</w:t>
            </w:r>
          </w:p>
          <w:p w14:paraId="49E96585">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药物的量效关系。</w:t>
            </w:r>
          </w:p>
        </w:tc>
      </w:tr>
      <w:tr w14:paraId="5C08BA7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64545279">
            <w:pPr>
              <w:rPr>
                <w:rFonts w:hint="eastAsia" w:ascii="Times New Roman" w:hAnsi="Times New Roman"/>
                <w:color w:val="000000"/>
                <w:sz w:val="21"/>
                <w:szCs w:val="21"/>
              </w:rPr>
            </w:pPr>
            <w:r>
              <w:rPr>
                <w:rFonts w:hint="eastAsia" w:ascii="Times New Roman" w:hAnsi="Times New Roman"/>
                <w:bCs/>
                <w:color w:val="000000"/>
                <w:sz w:val="21"/>
                <w:szCs w:val="21"/>
              </w:rPr>
              <w:t xml:space="preserve">第三单元 </w:t>
            </w:r>
            <w:r>
              <w:rPr>
                <w:rFonts w:hint="eastAsia" w:ascii="Times New Roman" w:hAnsi="Times New Roman"/>
                <w:color w:val="000000"/>
                <w:sz w:val="21"/>
                <w:szCs w:val="21"/>
              </w:rPr>
              <w:t>药物代谢动力学</w:t>
            </w:r>
          </w:p>
          <w:p w14:paraId="6FDFEB76">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2AA83897">
            <w:pPr>
              <w:rPr>
                <w:rFonts w:hint="eastAsia" w:ascii="Times New Roman" w:hAnsi="Times New Roman" w:eastAsia="宋体"/>
                <w:color w:val="000000"/>
                <w:sz w:val="21"/>
                <w:szCs w:val="21"/>
                <w:lang w:eastAsia="zh-CN"/>
              </w:rPr>
            </w:pPr>
            <w:r>
              <w:rPr>
                <w:rFonts w:hint="eastAsia" w:ascii="Times New Roman" w:hAnsi="Times New Roman"/>
                <w:bCs/>
                <w:color w:val="000000"/>
                <w:sz w:val="21"/>
                <w:szCs w:val="21"/>
              </w:rPr>
              <w:t>①</w:t>
            </w:r>
            <w:r>
              <w:rPr>
                <w:rFonts w:hint="eastAsia" w:ascii="Times New Roman" w:hAnsi="Times New Roman"/>
                <w:color w:val="000000"/>
                <w:sz w:val="21"/>
                <w:szCs w:val="21"/>
              </w:rPr>
              <w:t>知道药物的体内过程，包括药物转运、吸收、分布、代谢、排泄过程的基本规律及影响因素；</w:t>
            </w:r>
          </w:p>
          <w:p w14:paraId="5D6A89D1">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知道血药浓度的动态变化；</w:t>
            </w:r>
          </w:p>
          <w:p w14:paraId="763C7000">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知道药物代谢动力学参数，包括血药浓度-时间曲线下面积、峰浓度、达峰时间、半衰期、清除率、生物利用度、表观分布容积、稳态血药浓度及其临床意义。</w:t>
            </w:r>
          </w:p>
          <w:p w14:paraId="4E6D9650">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31F2BE8A">
            <w:pPr>
              <w:rPr>
                <w:rFonts w:hint="eastAsia" w:ascii="Times New Roman" w:hAnsi="Times New Roman" w:eastAsia="宋体"/>
                <w:color w:val="000000"/>
                <w:sz w:val="21"/>
                <w:szCs w:val="21"/>
                <w:lang w:eastAsia="zh-CN"/>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能说出知道药物的体内过程，包括药物转运、吸收、分布、代谢、排泄过程的基本规律及影响因素；</w:t>
            </w:r>
          </w:p>
          <w:p w14:paraId="1DE61070">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能阐述血药浓度的动态变化；</w:t>
            </w:r>
          </w:p>
          <w:p w14:paraId="23823BE5">
            <w:pPr>
              <w:rPr>
                <w:rFonts w:ascii="Times New Roman" w:hAnsi="Times New Roman"/>
                <w:bCs/>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能阐述药物代谢动力学参数，包括血药浓度-时间曲线下面积、峰浓度、达峰时间、半衰期、清除率、生物利用度、表观分布容积、稳态血药浓度及其临床意义。</w:t>
            </w:r>
          </w:p>
          <w:p w14:paraId="5069DB54">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68166FA9">
            <w:pPr>
              <w:rPr>
                <w:rFonts w:ascii="Times New Roman" w:hAnsi="Times New Roman"/>
                <w:bCs/>
                <w:color w:val="000000"/>
                <w:sz w:val="21"/>
                <w:szCs w:val="21"/>
              </w:rPr>
            </w:pPr>
            <w:r>
              <w:rPr>
                <w:rFonts w:hint="eastAsia" w:ascii="Times New Roman" w:hAnsi="Times New Roman"/>
                <w:color w:val="000000"/>
                <w:sz w:val="21"/>
                <w:szCs w:val="21"/>
              </w:rPr>
              <w:t>通过学习药物代谢动力学</w:t>
            </w:r>
            <w:r>
              <w:rPr>
                <w:rFonts w:hint="eastAsia" w:ascii="Times New Roman" w:hAnsi="Times New Roman"/>
                <w:bCs/>
                <w:sz w:val="21"/>
                <w:szCs w:val="21"/>
              </w:rPr>
              <w:t>,</w:t>
            </w:r>
            <w:r>
              <w:rPr>
                <w:rFonts w:hint="eastAsia" w:ascii="Times New Roman" w:hAnsi="Times New Roman"/>
                <w:color w:val="000000"/>
                <w:sz w:val="21"/>
                <w:szCs w:val="21"/>
              </w:rPr>
              <w:t xml:space="preserve"> 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647199D6">
            <w:pPr>
              <w:rPr>
                <w:rFonts w:ascii="Times New Roman" w:hAnsi="Times New Roman"/>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r>
              <w:rPr>
                <w:rFonts w:hint="eastAsia" w:ascii="Times New Roman" w:hAnsi="Times New Roman"/>
                <w:color w:val="000000"/>
                <w:sz w:val="21"/>
                <w:szCs w:val="21"/>
              </w:rPr>
              <w:t>药物代谢动力学参数。</w:t>
            </w:r>
          </w:p>
        </w:tc>
      </w:tr>
      <w:tr w14:paraId="194BDE3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2C5FA441">
            <w:pPr>
              <w:rPr>
                <w:rFonts w:hint="eastAsia" w:ascii="Times New Roman" w:hAnsi="Times New Roman"/>
                <w:color w:val="000000"/>
                <w:sz w:val="21"/>
                <w:szCs w:val="21"/>
              </w:rPr>
            </w:pPr>
            <w:r>
              <w:rPr>
                <w:rFonts w:hint="eastAsia" w:ascii="Times New Roman" w:hAnsi="Times New Roman"/>
                <w:bCs/>
                <w:color w:val="000000"/>
                <w:sz w:val="21"/>
                <w:szCs w:val="21"/>
              </w:rPr>
              <w:t xml:space="preserve">第四单元 </w:t>
            </w:r>
            <w:r>
              <w:rPr>
                <w:rFonts w:hint="eastAsia" w:ascii="Times New Roman" w:hAnsi="Times New Roman"/>
                <w:color w:val="000000"/>
                <w:sz w:val="21"/>
                <w:szCs w:val="21"/>
              </w:rPr>
              <w:t>影响药物效应的因素及合理用药原则</w:t>
            </w:r>
          </w:p>
          <w:p w14:paraId="4613A759">
            <w:pPr>
              <w:rPr>
                <w:rFonts w:ascii="Times New Roman" w:hAnsi="Times New Roman"/>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1B592232">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知道合理用药原则以及用药监护对临床治疗的作用；</w:t>
            </w:r>
          </w:p>
          <w:p w14:paraId="610569F5">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分析药物剂型、药动学和药效学对药物效应的影响；</w:t>
            </w:r>
          </w:p>
          <w:p w14:paraId="5017CFFA">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知道年龄、性别和病理生理状态对药物效应的影响。</w:t>
            </w:r>
          </w:p>
          <w:p w14:paraId="18E2D2C5">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68BC0F99">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能说出合理用药原则以及用药监护对临床治疗的作用；</w:t>
            </w:r>
          </w:p>
          <w:p w14:paraId="34A73AC4">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能分析药物剂型、药动学和药效学对药物效应的影响；</w:t>
            </w:r>
          </w:p>
          <w:p w14:paraId="3FE17A38">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能阐述年龄、性别和病理生理状态对药物效应的影响。</w:t>
            </w:r>
          </w:p>
          <w:p w14:paraId="4FB1C6DA">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26018A3E">
            <w:pPr>
              <w:rPr>
                <w:rFonts w:ascii="Times New Roman" w:hAnsi="Times New Roman"/>
                <w:color w:val="000000"/>
                <w:sz w:val="21"/>
                <w:szCs w:val="21"/>
              </w:rPr>
            </w:pPr>
            <w:r>
              <w:rPr>
                <w:rFonts w:hint="eastAsia" w:ascii="Times New Roman" w:hAnsi="Times New Roman"/>
                <w:color w:val="000000"/>
                <w:sz w:val="21"/>
                <w:szCs w:val="21"/>
              </w:rPr>
              <w:t>通过学习影响药物效应的因素及合理用药原则</w:t>
            </w:r>
            <w:r>
              <w:rPr>
                <w:rFonts w:hint="eastAsia" w:ascii="Times New Roman" w:hAnsi="Times New Roman"/>
                <w:bCs/>
                <w:sz w:val="21"/>
                <w:szCs w:val="21"/>
              </w:rPr>
              <w:t>,</w:t>
            </w:r>
            <w:r>
              <w:rPr>
                <w:rFonts w:hint="eastAsia" w:ascii="Times New Roman" w:hAnsi="Times New Roman"/>
                <w:color w:val="000000"/>
                <w:sz w:val="21"/>
                <w:szCs w:val="21"/>
              </w:rPr>
              <w:t>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514189A4">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06096CEF">
            <w:pPr>
              <w:rPr>
                <w:rFonts w:ascii="Times New Roman" w:hAnsi="Times New Roman"/>
                <w:color w:val="000000"/>
                <w:sz w:val="21"/>
                <w:szCs w:val="21"/>
              </w:rPr>
            </w:pPr>
            <w:r>
              <w:rPr>
                <w:rFonts w:hint="eastAsia" w:ascii="Times New Roman" w:hAnsi="Times New Roman"/>
                <w:color w:val="000000"/>
                <w:sz w:val="21"/>
                <w:szCs w:val="21"/>
              </w:rPr>
              <w:t>合理用药原则以及用药监护对临床治疗的作用。</w:t>
            </w:r>
          </w:p>
        </w:tc>
      </w:tr>
      <w:tr w14:paraId="69F23CA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5012BF15">
            <w:pPr>
              <w:rPr>
                <w:rFonts w:hint="eastAsia" w:ascii="Times New Roman" w:hAnsi="Times New Roman"/>
                <w:color w:val="000000"/>
                <w:sz w:val="21"/>
                <w:szCs w:val="21"/>
              </w:rPr>
            </w:pPr>
            <w:r>
              <w:rPr>
                <w:rFonts w:hint="eastAsia" w:ascii="Times New Roman" w:hAnsi="Times New Roman"/>
                <w:bCs/>
                <w:color w:val="000000"/>
                <w:sz w:val="21"/>
                <w:szCs w:val="21"/>
              </w:rPr>
              <w:t xml:space="preserve">第五单元 </w:t>
            </w:r>
            <w:r>
              <w:rPr>
                <w:rFonts w:hint="eastAsia" w:ascii="Times New Roman" w:hAnsi="Times New Roman"/>
                <w:color w:val="000000"/>
                <w:sz w:val="21"/>
                <w:szCs w:val="21"/>
              </w:rPr>
              <w:t>传出神经系统药物</w:t>
            </w:r>
          </w:p>
          <w:p w14:paraId="3636BA36">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07A1BE7D">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知道传出神经系统受体的分类和生理效应；</w:t>
            </w:r>
          </w:p>
          <w:p w14:paraId="09A1C3F4">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分析毛果芸香碱、新斯的明、阿托品、肾上腺素、去甲肾上腺素、异丙肾上腺素和多巴胺的药理作用、不良反应及注意事项；</w:t>
            </w:r>
          </w:p>
          <w:p w14:paraId="65D507A1">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 xml:space="preserve">知道山莨菪碱、酚妥拉明、普萘洛尔、美托洛尔的药理作用、用途、不良反应和注意事项。       </w:t>
            </w:r>
          </w:p>
          <w:p w14:paraId="2D97F254">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3204BDDB">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能说出传出神经系统受体的分类和生理效应；</w:t>
            </w:r>
          </w:p>
          <w:p w14:paraId="682C9F1C">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能分析毛果芸香碱、新斯的明、阿托品、肾上腺素、去甲肾上腺素、异丙肾上腺素和多巴胺的药理作用、不良反应及注意事项；</w:t>
            </w:r>
          </w:p>
          <w:p w14:paraId="7B3F8D83">
            <w:pPr>
              <w:rPr>
                <w:rFonts w:hint="eastAsia" w:ascii="Times New Roman" w:hAnsi="Times New Roman" w:eastAsia="宋体"/>
                <w:color w:val="000000"/>
                <w:sz w:val="21"/>
                <w:szCs w:val="21"/>
                <w:lang w:eastAsia="zh-CN"/>
              </w:rPr>
            </w:pPr>
            <w:r>
              <w:rPr>
                <w:rFonts w:hint="eastAsia" w:ascii="Times New Roman" w:hAnsi="Times New Roman"/>
                <w:bCs/>
                <w:color w:val="000000"/>
                <w:sz w:val="21"/>
                <w:szCs w:val="21"/>
              </w:rPr>
              <w:t>③</w:t>
            </w:r>
            <w:r>
              <w:rPr>
                <w:rFonts w:hint="eastAsia" w:ascii="Times New Roman" w:hAnsi="Times New Roman"/>
                <w:color w:val="000000"/>
                <w:sz w:val="21"/>
                <w:szCs w:val="21"/>
              </w:rPr>
              <w:t>能说出山莨菪碱、酚妥拉明、普萘洛尔、美托洛尔的药理作用、用途、不良反应和注意事项。</w:t>
            </w:r>
          </w:p>
          <w:p w14:paraId="62BF85BD">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1F5021E9">
            <w:pPr>
              <w:rPr>
                <w:rFonts w:ascii="Times New Roman" w:hAnsi="Times New Roman"/>
                <w:bCs/>
                <w:color w:val="000000"/>
                <w:sz w:val="21"/>
                <w:szCs w:val="21"/>
              </w:rPr>
            </w:pPr>
            <w:r>
              <w:rPr>
                <w:rFonts w:hint="eastAsia" w:ascii="Times New Roman" w:hAnsi="Times New Roman"/>
                <w:color w:val="000000"/>
                <w:sz w:val="21"/>
                <w:szCs w:val="21"/>
              </w:rPr>
              <w:t>通过学习传出神经系统药物</w:t>
            </w:r>
            <w:r>
              <w:rPr>
                <w:rFonts w:hint="eastAsia" w:ascii="Times New Roman" w:hAnsi="Times New Roman"/>
                <w:bCs/>
                <w:sz w:val="21"/>
                <w:szCs w:val="21"/>
              </w:rPr>
              <w:t>,</w:t>
            </w:r>
            <w:r>
              <w:rPr>
                <w:rFonts w:hint="eastAsia" w:ascii="Times New Roman" w:hAnsi="Times New Roman"/>
                <w:color w:val="000000"/>
                <w:sz w:val="21"/>
                <w:szCs w:val="21"/>
              </w:rPr>
              <w:t>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580AFA3B">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66B64169">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毛果芸香碱、新斯的明、阿托品、肾上腺素、去甲肾上腺素、异丙肾上腺素和多巴胺的药理作用、不良反应及注意事项；</w:t>
            </w:r>
          </w:p>
          <w:p w14:paraId="35B1FA21">
            <w:pPr>
              <w:rPr>
                <w:rFonts w:ascii="Times New Roman" w:hAnsi="Times New Roman"/>
                <w:bCs/>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山莨菪碱、酚妥拉明、普萘洛尔、美托洛尔的药理作用、用途、不良反应和注意事项。</w:t>
            </w:r>
          </w:p>
        </w:tc>
      </w:tr>
      <w:tr w14:paraId="7DDEC25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4ED25FA6">
            <w:pPr>
              <w:rPr>
                <w:rFonts w:ascii="Times New Roman" w:hAnsi="Times New Roman"/>
                <w:color w:val="000000"/>
                <w:sz w:val="21"/>
                <w:szCs w:val="21"/>
              </w:rPr>
            </w:pPr>
            <w:r>
              <w:rPr>
                <w:rFonts w:hint="eastAsia" w:ascii="Times New Roman" w:hAnsi="Times New Roman"/>
                <w:bCs/>
                <w:color w:val="000000"/>
                <w:sz w:val="21"/>
                <w:szCs w:val="21"/>
              </w:rPr>
              <w:t xml:space="preserve">第六单元 </w:t>
            </w:r>
            <w:r>
              <w:rPr>
                <w:rFonts w:hint="eastAsia" w:ascii="Times New Roman" w:hAnsi="Times New Roman"/>
                <w:color w:val="000000"/>
                <w:sz w:val="21"/>
                <w:szCs w:val="21"/>
              </w:rPr>
              <w:t xml:space="preserve">麻醉药、镇静催眠药和抗惊厥药、抗癫痫药  </w:t>
            </w:r>
          </w:p>
          <w:p w14:paraId="7AB8FAAF">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2BDE1650">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知道局麻药与全麻药的概念及其基本作用；</w:t>
            </w:r>
          </w:p>
          <w:p w14:paraId="66B19880">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评价常用药物的作用特点及应用，不良反应及防治；</w:t>
            </w:r>
          </w:p>
          <w:p w14:paraId="08E0BE08">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知道常用的局麻方法及全麻辅助用药的意义；</w:t>
            </w:r>
          </w:p>
          <w:p w14:paraId="039D5FA6">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分析几种药物的药理作用、用途、不良反应及注意事项：地西泮、氯硝西泮、艾司唑仑和硫酸镁；</w:t>
            </w:r>
          </w:p>
          <w:p w14:paraId="40F3FB65">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知道巴比妥类药物的药理作用、用途、不良反应及注意事项；</w:t>
            </w:r>
          </w:p>
          <w:p w14:paraId="2A7EAC02">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知道其他镇静催眠药的作用特点及注意事项；</w:t>
            </w:r>
          </w:p>
          <w:p w14:paraId="40D6E76D">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7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⑦</w:t>
            </w:r>
            <w:r>
              <w:rPr>
                <w:rFonts w:ascii="Times New Roman" w:hAnsi="Times New Roman"/>
                <w:color w:val="000000"/>
                <w:sz w:val="21"/>
                <w:szCs w:val="21"/>
              </w:rPr>
              <w:fldChar w:fldCharType="end"/>
            </w:r>
            <w:r>
              <w:rPr>
                <w:rFonts w:hint="eastAsia" w:ascii="Times New Roman" w:hAnsi="Times New Roman"/>
                <w:color w:val="000000"/>
                <w:sz w:val="21"/>
                <w:szCs w:val="21"/>
              </w:rPr>
              <w:t>分析丙戊酸钠的药理作用、用途、不良反应及注意事项；</w:t>
            </w:r>
          </w:p>
          <w:p w14:paraId="2543ACAE">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8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⑧</w:t>
            </w:r>
            <w:r>
              <w:rPr>
                <w:rFonts w:ascii="Times New Roman" w:hAnsi="Times New Roman"/>
                <w:color w:val="000000"/>
                <w:sz w:val="21"/>
                <w:szCs w:val="21"/>
              </w:rPr>
              <w:fldChar w:fldCharType="end"/>
            </w:r>
            <w:r>
              <w:rPr>
                <w:rFonts w:hint="eastAsia" w:ascii="Times New Roman" w:hAnsi="Times New Roman"/>
                <w:color w:val="000000"/>
                <w:sz w:val="21"/>
                <w:szCs w:val="21"/>
              </w:rPr>
              <w:t>知道拉莫三嗪、卡马西平、苯妥英钠、左乙拉西坦的作用特点、用途和不良反应；</w:t>
            </w:r>
          </w:p>
          <w:p w14:paraId="4E1CC2B5">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9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⑨</w:t>
            </w:r>
            <w:r>
              <w:rPr>
                <w:rFonts w:ascii="Times New Roman" w:hAnsi="Times New Roman"/>
                <w:color w:val="000000"/>
                <w:sz w:val="21"/>
                <w:szCs w:val="21"/>
              </w:rPr>
              <w:fldChar w:fldCharType="end"/>
            </w:r>
            <w:r>
              <w:rPr>
                <w:rFonts w:hint="eastAsia" w:ascii="Times New Roman" w:hAnsi="Times New Roman"/>
                <w:color w:val="000000"/>
                <w:sz w:val="21"/>
                <w:szCs w:val="21"/>
              </w:rPr>
              <w:t>分析各类型癫痫的首选治疗药物；</w:t>
            </w:r>
          </w:p>
          <w:p w14:paraId="48BB337A">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10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⑩</w:t>
            </w:r>
            <w:r>
              <w:rPr>
                <w:rFonts w:ascii="Times New Roman" w:hAnsi="Times New Roman"/>
                <w:color w:val="000000"/>
                <w:sz w:val="21"/>
                <w:szCs w:val="21"/>
              </w:rPr>
              <w:fldChar w:fldCharType="end"/>
            </w:r>
            <w:r>
              <w:rPr>
                <w:rFonts w:hint="eastAsia" w:ascii="Times New Roman" w:hAnsi="Times New Roman"/>
                <w:color w:val="000000"/>
                <w:sz w:val="21"/>
                <w:szCs w:val="21"/>
              </w:rPr>
              <w:t>知道癫痫发作类型和抗癫痫药物的临床用药原则。</w:t>
            </w:r>
          </w:p>
          <w:p w14:paraId="6DFD179A">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21DCA40C">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能说出局麻药与全麻药的概念及其基本作用；</w:t>
            </w:r>
          </w:p>
          <w:p w14:paraId="579BFE6A">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能评价常用药物的作用特点及应用，不良反应及防治；</w:t>
            </w:r>
          </w:p>
          <w:p w14:paraId="46D756E2">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能说出常用的局麻方法及全麻辅助用药的意义；</w:t>
            </w:r>
          </w:p>
          <w:p w14:paraId="49D9D2A3">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能分析几种药物的药理作用、用途、不良反应及注意事项：地西泮、氯硝西泮、艾司唑仑和硫酸镁；</w:t>
            </w:r>
          </w:p>
          <w:p w14:paraId="548F3DC6">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能说出巴比妥类药物的药理作用、用途、不良反应及注意事项；</w:t>
            </w:r>
          </w:p>
          <w:p w14:paraId="1ACF9412">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能说出其他镇静催眠药的作用特点及注意事项；</w:t>
            </w:r>
          </w:p>
          <w:p w14:paraId="039AC713">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7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⑦</w:t>
            </w:r>
            <w:r>
              <w:rPr>
                <w:rFonts w:ascii="Times New Roman" w:hAnsi="Times New Roman"/>
                <w:color w:val="000000"/>
                <w:sz w:val="21"/>
                <w:szCs w:val="21"/>
              </w:rPr>
              <w:fldChar w:fldCharType="end"/>
            </w:r>
            <w:r>
              <w:rPr>
                <w:rFonts w:hint="eastAsia" w:ascii="Times New Roman" w:hAnsi="Times New Roman"/>
                <w:color w:val="000000"/>
                <w:sz w:val="21"/>
                <w:szCs w:val="21"/>
              </w:rPr>
              <w:t>能分析丙戊酸钠的药理作用、用途、不良反应及注意事项；</w:t>
            </w:r>
          </w:p>
          <w:p w14:paraId="0E0C061A">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8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⑧</w:t>
            </w:r>
            <w:r>
              <w:rPr>
                <w:rFonts w:ascii="Times New Roman" w:hAnsi="Times New Roman"/>
                <w:color w:val="000000"/>
                <w:sz w:val="21"/>
                <w:szCs w:val="21"/>
              </w:rPr>
              <w:fldChar w:fldCharType="end"/>
            </w:r>
            <w:r>
              <w:rPr>
                <w:rFonts w:hint="eastAsia" w:ascii="Times New Roman" w:hAnsi="Times New Roman"/>
                <w:color w:val="000000"/>
                <w:sz w:val="21"/>
                <w:szCs w:val="21"/>
              </w:rPr>
              <w:t>能说出拉莫三嗪、卡马西平、苯妥英钠、左乙拉西坦的作用特点、用途和不良反应；</w:t>
            </w:r>
          </w:p>
          <w:p w14:paraId="694D7B28">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9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⑨</w:t>
            </w:r>
            <w:r>
              <w:rPr>
                <w:rFonts w:ascii="Times New Roman" w:hAnsi="Times New Roman"/>
                <w:color w:val="000000"/>
                <w:sz w:val="21"/>
                <w:szCs w:val="21"/>
              </w:rPr>
              <w:fldChar w:fldCharType="end"/>
            </w:r>
            <w:r>
              <w:rPr>
                <w:rFonts w:hint="eastAsia" w:ascii="Times New Roman" w:hAnsi="Times New Roman"/>
                <w:color w:val="000000"/>
                <w:sz w:val="21"/>
                <w:szCs w:val="21"/>
              </w:rPr>
              <w:t>能分析各类型癫痫的首选治疗药物；</w:t>
            </w:r>
          </w:p>
          <w:p w14:paraId="401C6102">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10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⑩</w:t>
            </w:r>
            <w:r>
              <w:rPr>
                <w:rFonts w:ascii="Times New Roman" w:hAnsi="Times New Roman"/>
                <w:color w:val="000000"/>
                <w:sz w:val="21"/>
                <w:szCs w:val="21"/>
              </w:rPr>
              <w:fldChar w:fldCharType="end"/>
            </w:r>
            <w:r>
              <w:rPr>
                <w:rFonts w:hint="eastAsia" w:ascii="Times New Roman" w:hAnsi="Times New Roman"/>
                <w:color w:val="000000"/>
                <w:sz w:val="21"/>
                <w:szCs w:val="21"/>
              </w:rPr>
              <w:t>能说出癫痫发作类型和抗癫痫药物的临床用药原则。</w:t>
            </w:r>
          </w:p>
          <w:p w14:paraId="68CAF4E1">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2DC44C7D">
            <w:pPr>
              <w:rPr>
                <w:rFonts w:ascii="Times New Roman" w:hAnsi="Times New Roman"/>
                <w:bCs/>
                <w:color w:val="000000"/>
                <w:sz w:val="21"/>
                <w:szCs w:val="21"/>
              </w:rPr>
            </w:pPr>
            <w:r>
              <w:rPr>
                <w:rFonts w:hint="eastAsia" w:ascii="Times New Roman" w:hAnsi="Times New Roman"/>
                <w:color w:val="000000"/>
                <w:sz w:val="21"/>
                <w:szCs w:val="21"/>
              </w:rPr>
              <w:t>通过学习麻醉药、镇静催眠药和抗惊厥药、抗癫痫药</w:t>
            </w:r>
            <w:r>
              <w:rPr>
                <w:rFonts w:hint="eastAsia" w:ascii="Times New Roman" w:hAnsi="Times New Roman"/>
                <w:bCs/>
                <w:sz w:val="21"/>
                <w:szCs w:val="21"/>
              </w:rPr>
              <w:t>,</w:t>
            </w:r>
            <w:r>
              <w:rPr>
                <w:rFonts w:hint="eastAsia" w:ascii="Times New Roman" w:hAnsi="Times New Roman"/>
                <w:color w:val="000000"/>
                <w:sz w:val="21"/>
                <w:szCs w:val="21"/>
              </w:rPr>
              <w:t>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03EDD4BD">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75E3DBA2">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地西泮、氯硝西泮、艾司唑仑和硫酸镁的药理作用、用途、不良反应及注意事项；</w:t>
            </w:r>
          </w:p>
          <w:p w14:paraId="242228F8">
            <w:pPr>
              <w:rPr>
                <w:rFonts w:ascii="Times New Roman" w:hAnsi="Times New Roman"/>
                <w:bCs/>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巴比妥类药物的药理作用、用途、不良反应及注意事项。</w:t>
            </w:r>
          </w:p>
        </w:tc>
      </w:tr>
      <w:tr w14:paraId="6B578A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444B9DD7">
            <w:pPr>
              <w:rPr>
                <w:rFonts w:hint="eastAsia" w:ascii="Times New Roman" w:hAnsi="Times New Roman"/>
                <w:color w:val="000000"/>
                <w:sz w:val="21"/>
                <w:szCs w:val="21"/>
              </w:rPr>
            </w:pPr>
            <w:r>
              <w:rPr>
                <w:rFonts w:hint="eastAsia" w:ascii="Times New Roman" w:hAnsi="Times New Roman"/>
                <w:bCs/>
                <w:color w:val="000000"/>
                <w:sz w:val="21"/>
                <w:szCs w:val="21"/>
              </w:rPr>
              <w:t xml:space="preserve">第七单元 </w:t>
            </w:r>
            <w:r>
              <w:rPr>
                <w:rFonts w:hint="eastAsia" w:ascii="Times New Roman" w:hAnsi="Times New Roman"/>
                <w:color w:val="000000"/>
                <w:sz w:val="21"/>
                <w:szCs w:val="21"/>
              </w:rPr>
              <w:t>抗帕金森病药和治疗阿尔兹海默病药、抗精神失常药</w:t>
            </w:r>
          </w:p>
          <w:p w14:paraId="47C7416A">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3479237E">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知道左旋多巴、苄丝肼的作用特点、用途及不良反应；</w:t>
            </w:r>
          </w:p>
          <w:p w14:paraId="36F206EE">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知道几种药物治疗阿尔兹海默病药物的作用特点；</w:t>
            </w:r>
          </w:p>
          <w:p w14:paraId="5DC4403D">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知道其他抗帕金森病药；</w:t>
            </w:r>
          </w:p>
          <w:p w14:paraId="03F029B4">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分析抗精神病药的分类及其特点；</w:t>
            </w:r>
          </w:p>
          <w:p w14:paraId="4AF1A496">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知道氯丙嗪的药理作用、作用机理、临床应用及常见不良反应；</w:t>
            </w:r>
          </w:p>
          <w:p w14:paraId="14C8D6BA">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知道其他抗精神失常药的作用特点及用途。</w:t>
            </w:r>
          </w:p>
          <w:p w14:paraId="2E2D786B">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4E6F8B1B">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能说出左旋多巴、苄丝肼的作用特点、用途及不良反应；</w:t>
            </w:r>
          </w:p>
          <w:p w14:paraId="2579BF1C">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能阐述几种药物治疗阿尔兹海默病药物的作用特点；</w:t>
            </w:r>
          </w:p>
          <w:p w14:paraId="1A1878D0">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能说出其他抗帕金森病药；</w:t>
            </w:r>
          </w:p>
          <w:p w14:paraId="532AE792">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能分析抗精神病药的分类及其特点；</w:t>
            </w:r>
          </w:p>
          <w:p w14:paraId="7C246EA4">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能阐述氯丙嗪的药理作用、作用机理、临床应用及常见不良反应；</w:t>
            </w:r>
          </w:p>
          <w:p w14:paraId="73018EFC">
            <w:pPr>
              <w:rPr>
                <w:rFonts w:hint="eastAsia" w:ascii="Times New Roman" w:hAnsi="Times New Roman"/>
                <w:bCs/>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能说出其他抗精神失常药的作用特点及用途。</w:t>
            </w:r>
          </w:p>
          <w:p w14:paraId="6AFAD142">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44953398">
            <w:pPr>
              <w:rPr>
                <w:rFonts w:ascii="Times New Roman" w:hAnsi="Times New Roman"/>
                <w:color w:val="000000"/>
                <w:sz w:val="21"/>
                <w:szCs w:val="21"/>
              </w:rPr>
            </w:pPr>
            <w:r>
              <w:rPr>
                <w:rFonts w:hint="eastAsia" w:ascii="Times New Roman" w:hAnsi="Times New Roman"/>
                <w:color w:val="000000"/>
                <w:sz w:val="21"/>
                <w:szCs w:val="21"/>
              </w:rPr>
              <w:t>通过学习帕金森病药和治疗阿尔兹海默病药、抗精神失常药</w:t>
            </w:r>
            <w:r>
              <w:rPr>
                <w:rFonts w:hint="eastAsia" w:ascii="Times New Roman" w:hAnsi="Times New Roman"/>
                <w:bCs/>
                <w:color w:val="000000"/>
                <w:sz w:val="21"/>
                <w:szCs w:val="21"/>
              </w:rPr>
              <w:t>,</w:t>
            </w:r>
            <w:r>
              <w:rPr>
                <w:rFonts w:hint="eastAsia" w:ascii="Times New Roman" w:hAnsi="Times New Roman"/>
                <w:color w:val="000000"/>
                <w:sz w:val="21"/>
                <w:szCs w:val="21"/>
              </w:rPr>
              <w:t>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11F27492">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5B6A5154">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抗精神病药的分类及其特点；</w:t>
            </w:r>
          </w:p>
          <w:p w14:paraId="37325FA0">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氯丙嗪的药理作用、作用机理、临床应用及常见不良反应。</w:t>
            </w:r>
          </w:p>
        </w:tc>
      </w:tr>
      <w:tr w14:paraId="3FA4410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665D5D0E">
            <w:pPr>
              <w:rPr>
                <w:rFonts w:ascii="Times New Roman" w:hAnsi="Times New Roman"/>
                <w:color w:val="000000"/>
                <w:sz w:val="21"/>
                <w:szCs w:val="21"/>
              </w:rPr>
            </w:pPr>
            <w:r>
              <w:rPr>
                <w:rFonts w:hint="eastAsia" w:ascii="Times New Roman" w:hAnsi="Times New Roman"/>
                <w:bCs/>
                <w:color w:val="000000"/>
                <w:sz w:val="21"/>
                <w:szCs w:val="21"/>
              </w:rPr>
              <w:t xml:space="preserve">第八单元 </w:t>
            </w:r>
            <w:r>
              <w:rPr>
                <w:rFonts w:hint="eastAsia" w:ascii="Times New Roman" w:hAnsi="Times New Roman"/>
                <w:color w:val="000000"/>
                <w:sz w:val="21"/>
                <w:szCs w:val="21"/>
              </w:rPr>
              <w:t>镇痛药、解热镇痛抗炎药、中枢兴奋药</w:t>
            </w:r>
          </w:p>
          <w:p w14:paraId="3DFF764A">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4B12DEE8">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分析吗啡、哌替啶的药理作用、用途、不良反应和注意事项；</w:t>
            </w:r>
          </w:p>
          <w:p w14:paraId="579DD994">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知道可待因、芬太尼、美沙酮、喷他佐辛、纳洛酮的作用特点和用途；</w:t>
            </w:r>
          </w:p>
          <w:p w14:paraId="3DA5F815">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分析解热镇痛抗炎药的共性；</w:t>
            </w:r>
          </w:p>
          <w:p w14:paraId="0F0822FD">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分析阿司匹林的药理作用、用途、不良反应及注意事项；</w:t>
            </w:r>
          </w:p>
          <w:p w14:paraId="23E9A1A0">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知道对乙酰氨基酚、吲哚美辛、布洛芬的作用特点和用途；</w:t>
            </w:r>
          </w:p>
          <w:p w14:paraId="171C5EDB">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知道其他解热镇痛抗炎药和抗痛风药的特点；</w:t>
            </w:r>
          </w:p>
          <w:p w14:paraId="1C26374F">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7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⑦</w:t>
            </w:r>
            <w:r>
              <w:rPr>
                <w:rFonts w:ascii="Times New Roman" w:hAnsi="Times New Roman"/>
                <w:color w:val="000000"/>
                <w:sz w:val="21"/>
                <w:szCs w:val="21"/>
              </w:rPr>
              <w:fldChar w:fldCharType="end"/>
            </w:r>
            <w:r>
              <w:rPr>
                <w:rFonts w:hint="eastAsia" w:ascii="Times New Roman" w:hAnsi="Times New Roman"/>
                <w:color w:val="000000"/>
                <w:sz w:val="21"/>
                <w:szCs w:val="21"/>
              </w:rPr>
              <w:t xml:space="preserve">知道常见中枢神经系统兴奋药的药理作用、用途、不良反应及注意事项。     </w:t>
            </w:r>
          </w:p>
          <w:p w14:paraId="1611329A">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4B2D6520">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能分析吗啡、哌替啶的药理作用、用途、不良反应和注意事项；</w:t>
            </w:r>
          </w:p>
          <w:p w14:paraId="763713BC">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能说出可待因、芬太尼、美沙酮、喷他佐辛、纳洛酮的作用特点和用途；</w:t>
            </w:r>
          </w:p>
          <w:p w14:paraId="12D526C2">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能说出解热镇痛抗炎药的共性；</w:t>
            </w:r>
          </w:p>
          <w:p w14:paraId="4CA0FE26">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能分析阿司匹林的药理作用、用途、不良反应及注意事项；</w:t>
            </w:r>
          </w:p>
          <w:p w14:paraId="1044E812">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能说出对乙酰氨基酚、吲哚美辛、布洛芬的作用特点和用途；</w:t>
            </w:r>
          </w:p>
          <w:p w14:paraId="2F549AE1">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能说出其他解热镇痛抗炎药和抗痛风药的特点；</w:t>
            </w:r>
          </w:p>
          <w:p w14:paraId="7E6E7203">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7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⑦</w:t>
            </w:r>
            <w:r>
              <w:rPr>
                <w:rFonts w:ascii="Times New Roman" w:hAnsi="Times New Roman"/>
                <w:color w:val="000000"/>
                <w:sz w:val="21"/>
                <w:szCs w:val="21"/>
              </w:rPr>
              <w:fldChar w:fldCharType="end"/>
            </w:r>
            <w:r>
              <w:rPr>
                <w:rFonts w:hint="eastAsia" w:ascii="Times New Roman" w:hAnsi="Times New Roman"/>
                <w:color w:val="000000"/>
                <w:sz w:val="21"/>
                <w:szCs w:val="21"/>
              </w:rPr>
              <w:t>能说出常见中枢神经系统兴奋药的药理作用、用途、不良反应及注意事项。</w:t>
            </w:r>
          </w:p>
          <w:p w14:paraId="53DB8BA1">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645E3247">
            <w:pPr>
              <w:rPr>
                <w:rFonts w:ascii="Times New Roman" w:hAnsi="Times New Roman"/>
                <w:bCs/>
                <w:color w:val="000000"/>
                <w:sz w:val="21"/>
                <w:szCs w:val="21"/>
              </w:rPr>
            </w:pPr>
            <w:r>
              <w:rPr>
                <w:rFonts w:hint="eastAsia" w:ascii="Times New Roman" w:hAnsi="Times New Roman"/>
                <w:color w:val="000000"/>
                <w:sz w:val="21"/>
                <w:szCs w:val="21"/>
              </w:rPr>
              <w:t>通过学习镇痛药、解热镇痛抗炎药、中枢兴奋药，增强尊重科学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40F60523">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630FBFD6">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吗啡、哌替啶的药理作用、用途、不良反应和注意事项；</w:t>
            </w:r>
          </w:p>
          <w:p w14:paraId="0066429C">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阿司匹林的药理作用、用途、不良反应及注意事项。</w:t>
            </w:r>
          </w:p>
        </w:tc>
      </w:tr>
      <w:tr w14:paraId="2320177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3AE40CF3">
            <w:pPr>
              <w:rPr>
                <w:rFonts w:ascii="Times New Roman" w:hAnsi="Times New Roman"/>
                <w:color w:val="000000"/>
                <w:sz w:val="21"/>
                <w:szCs w:val="21"/>
              </w:rPr>
            </w:pPr>
            <w:r>
              <w:rPr>
                <w:rFonts w:hint="eastAsia" w:ascii="Times New Roman" w:hAnsi="Times New Roman"/>
                <w:bCs/>
                <w:color w:val="000000"/>
                <w:sz w:val="21"/>
                <w:szCs w:val="21"/>
              </w:rPr>
              <w:t xml:space="preserve">第九单元 </w:t>
            </w:r>
            <w:r>
              <w:rPr>
                <w:rFonts w:hint="eastAsia" w:ascii="Times New Roman" w:hAnsi="Times New Roman"/>
                <w:color w:val="000000"/>
                <w:sz w:val="21"/>
                <w:szCs w:val="21"/>
              </w:rPr>
              <w:t>利尿药及脱水药、抗高血压药</w:t>
            </w:r>
          </w:p>
          <w:p w14:paraId="47E495ED">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5F3AB414">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分析呋塞米、氢氯噻嗪、螺内酯、甘露醇的药理作用、用途、不良反应和注意事项；</w:t>
            </w:r>
          </w:p>
          <w:p w14:paraId="36895767">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知道其他利尿药、脱水药的特点；</w:t>
            </w:r>
          </w:p>
          <w:p w14:paraId="0BFCF2C7">
            <w:pPr>
              <w:rPr>
                <w:rFonts w:ascii="Times New Roman" w:hAnsi="Times New Roman"/>
                <w:color w:val="000000"/>
                <w:sz w:val="21"/>
                <w:szCs w:val="21"/>
              </w:rPr>
            </w:pPr>
            <w:r>
              <w:rPr>
                <w:rFonts w:hint="eastAsia" w:ascii="Times New Roman" w:hAnsi="Times New Roman"/>
                <w:color w:val="000000"/>
                <w:sz w:val="21"/>
                <w:szCs w:val="21"/>
              </w:rPr>
              <w:t>③分析常用抗高血压药的药理作用、用途、不良反应和注意事项；</w:t>
            </w:r>
          </w:p>
          <w:p w14:paraId="4BB57E70">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知道抗高血压药的分类及代表药。</w:t>
            </w:r>
          </w:p>
          <w:p w14:paraId="03108B11">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327598D5">
            <w:pPr>
              <w:rPr>
                <w:rFonts w:ascii="Times New Roman" w:hAnsi="Times New Roman"/>
                <w:color w:val="000000"/>
                <w:sz w:val="21"/>
                <w:szCs w:val="21"/>
              </w:rPr>
            </w:pPr>
            <w:r>
              <w:rPr>
                <w:rFonts w:hint="eastAsia" w:ascii="Times New Roman" w:hAnsi="Times New Roman"/>
                <w:bCs/>
                <w:color w:val="000000"/>
                <w:sz w:val="21"/>
                <w:szCs w:val="21"/>
              </w:rPr>
              <w:t>①能</w:t>
            </w:r>
            <w:r>
              <w:rPr>
                <w:rFonts w:hint="eastAsia" w:ascii="Times New Roman" w:hAnsi="Times New Roman"/>
                <w:color w:val="000000"/>
                <w:sz w:val="21"/>
                <w:szCs w:val="21"/>
              </w:rPr>
              <w:t>分析呋塞米、氢氯噻嗪、螺内酯、甘露醇的药理作用、用途、不良反应和注意事项；</w:t>
            </w:r>
          </w:p>
          <w:p w14:paraId="08442D27">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能说出其他利尿药、脱水药的特点；</w:t>
            </w:r>
          </w:p>
          <w:p w14:paraId="76BEFE17">
            <w:pPr>
              <w:rPr>
                <w:rFonts w:ascii="Times New Roman" w:hAnsi="Times New Roman"/>
                <w:color w:val="000000"/>
                <w:sz w:val="21"/>
                <w:szCs w:val="21"/>
              </w:rPr>
            </w:pPr>
            <w:r>
              <w:rPr>
                <w:rFonts w:hint="eastAsia" w:ascii="Times New Roman" w:hAnsi="Times New Roman"/>
                <w:color w:val="000000"/>
                <w:sz w:val="21"/>
                <w:szCs w:val="21"/>
              </w:rPr>
              <w:t>③</w:t>
            </w:r>
            <w:r>
              <w:rPr>
                <w:rFonts w:hint="eastAsia" w:ascii="Times New Roman" w:hAnsi="Times New Roman"/>
                <w:bCs/>
                <w:color w:val="000000"/>
                <w:sz w:val="21"/>
                <w:szCs w:val="21"/>
              </w:rPr>
              <w:t>能</w:t>
            </w:r>
            <w:r>
              <w:rPr>
                <w:rFonts w:hint="eastAsia" w:ascii="Times New Roman" w:hAnsi="Times New Roman"/>
                <w:color w:val="000000"/>
                <w:sz w:val="21"/>
                <w:szCs w:val="21"/>
              </w:rPr>
              <w:t>分析常用抗高血压药的药理作用、用途、不良反应和注意事项；</w:t>
            </w:r>
          </w:p>
          <w:p w14:paraId="6B1B0B4D">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能说出抗高血压药的分类及代表药。</w:t>
            </w:r>
          </w:p>
          <w:p w14:paraId="2ABFD4B0">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0F72DE68">
            <w:pPr>
              <w:rPr>
                <w:rFonts w:ascii="Times New Roman" w:hAnsi="Times New Roman"/>
                <w:color w:val="000000"/>
                <w:sz w:val="21"/>
                <w:szCs w:val="21"/>
              </w:rPr>
            </w:pPr>
            <w:r>
              <w:rPr>
                <w:rFonts w:hint="eastAsia" w:ascii="Times New Roman" w:hAnsi="Times New Roman"/>
                <w:color w:val="000000"/>
                <w:sz w:val="21"/>
                <w:szCs w:val="21"/>
              </w:rPr>
              <w:t>通过学习利尿药及脱水药、抗高血压药</w:t>
            </w:r>
            <w:r>
              <w:rPr>
                <w:rFonts w:hint="eastAsia" w:ascii="Times New Roman" w:hAnsi="Times New Roman"/>
                <w:bCs/>
                <w:color w:val="000000"/>
                <w:sz w:val="21"/>
                <w:szCs w:val="21"/>
              </w:rPr>
              <w:t>,</w:t>
            </w:r>
            <w:r>
              <w:rPr>
                <w:rFonts w:hint="eastAsia" w:ascii="Times New Roman" w:hAnsi="Times New Roman"/>
                <w:color w:val="000000"/>
                <w:sz w:val="21"/>
                <w:szCs w:val="21"/>
              </w:rPr>
              <w:t>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53F49854">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22200821">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呋塞米、氢氯噻嗪、螺内酯、甘露醇的药理作用、用途、不良反应和注意事项；</w:t>
            </w:r>
          </w:p>
          <w:p w14:paraId="0B67C70A">
            <w:pPr>
              <w:rPr>
                <w:rFonts w:ascii="Times New Roman" w:hAnsi="Times New Roman"/>
                <w:bCs/>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常用抗高血压药的药理作用、用途、不良反应和注意事项。</w:t>
            </w:r>
          </w:p>
        </w:tc>
      </w:tr>
      <w:tr w14:paraId="1F9C9D5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40B26678">
            <w:pPr>
              <w:rPr>
                <w:rFonts w:ascii="Times New Roman" w:hAnsi="Times New Roman"/>
                <w:bCs/>
                <w:color w:val="000000"/>
                <w:sz w:val="21"/>
                <w:szCs w:val="21"/>
              </w:rPr>
            </w:pPr>
            <w:r>
              <w:rPr>
                <w:rFonts w:hint="eastAsia" w:ascii="Times New Roman" w:hAnsi="Times New Roman"/>
                <w:bCs/>
                <w:color w:val="000000"/>
                <w:sz w:val="21"/>
                <w:szCs w:val="21"/>
              </w:rPr>
              <w:t xml:space="preserve">第十单元 </w:t>
            </w:r>
            <w:r>
              <w:rPr>
                <w:rFonts w:hint="eastAsia" w:ascii="Times New Roman" w:hAnsi="Times New Roman"/>
                <w:color w:val="000000"/>
                <w:sz w:val="21"/>
                <w:szCs w:val="21"/>
              </w:rPr>
              <w:t xml:space="preserve">抗心绞痛药、抗心律失常药  </w:t>
            </w:r>
          </w:p>
          <w:p w14:paraId="64961419">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542B4376">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分析硝酸甘油、普萘洛尔、硝苯地平抗心绞痛药物的药理作用、用途、不良反应及注意事项；</w:t>
            </w:r>
          </w:p>
          <w:p w14:paraId="0428A18B">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知道常用抗心绞痛药物的分类；</w:t>
            </w:r>
          </w:p>
          <w:p w14:paraId="193646ED">
            <w:pPr>
              <w:rPr>
                <w:rFonts w:ascii="Times New Roman" w:hAnsi="Times New Roman"/>
                <w:color w:val="000000"/>
                <w:sz w:val="21"/>
                <w:szCs w:val="21"/>
              </w:rPr>
            </w:pPr>
            <w:r>
              <w:rPr>
                <w:rFonts w:hint="eastAsia" w:ascii="Times New Roman" w:hAnsi="Times New Roman"/>
                <w:color w:val="000000"/>
                <w:sz w:val="21"/>
                <w:szCs w:val="21"/>
              </w:rPr>
              <w:t>③知道常用抗心律失常药的分类；</w:t>
            </w:r>
          </w:p>
          <w:p w14:paraId="3E50D876">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分析普鲁卡因胺、利多卡因、普萘洛尔、胺碘酮、维拉帕米等抗心律失常药的药理作用、用途、不良反应和注意事项。</w:t>
            </w:r>
          </w:p>
          <w:p w14:paraId="0BADBCED">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1A47CF3D">
            <w:pPr>
              <w:rPr>
                <w:rFonts w:ascii="Times New Roman" w:hAnsi="Times New Roman"/>
                <w:color w:val="000000"/>
                <w:sz w:val="21"/>
                <w:szCs w:val="21"/>
              </w:rPr>
            </w:pPr>
            <w:r>
              <w:rPr>
                <w:rFonts w:hint="eastAsia" w:ascii="Times New Roman" w:hAnsi="Times New Roman"/>
                <w:bCs/>
                <w:color w:val="000000"/>
                <w:sz w:val="21"/>
                <w:szCs w:val="21"/>
              </w:rPr>
              <w:t>①能</w:t>
            </w:r>
            <w:r>
              <w:rPr>
                <w:rFonts w:hint="eastAsia" w:ascii="Times New Roman" w:hAnsi="Times New Roman"/>
                <w:color w:val="000000"/>
                <w:sz w:val="21"/>
                <w:szCs w:val="21"/>
              </w:rPr>
              <w:t>分析硝酸甘油、普萘洛尔、硝苯地平抗心绞痛药物的药理作用、用途、不良反应及注意事项；</w:t>
            </w:r>
          </w:p>
          <w:p w14:paraId="0222F5B7">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能说出常用抗心绞痛药物的分类；</w:t>
            </w:r>
          </w:p>
          <w:p w14:paraId="763DAAA6">
            <w:pPr>
              <w:rPr>
                <w:rFonts w:ascii="Times New Roman" w:hAnsi="Times New Roman"/>
                <w:color w:val="000000"/>
                <w:sz w:val="21"/>
                <w:szCs w:val="21"/>
              </w:rPr>
            </w:pPr>
            <w:r>
              <w:rPr>
                <w:rFonts w:hint="eastAsia" w:ascii="Times New Roman" w:hAnsi="Times New Roman"/>
                <w:color w:val="000000"/>
                <w:sz w:val="21"/>
                <w:szCs w:val="21"/>
              </w:rPr>
              <w:t>③能说出常用抗心律失常药的分类；</w:t>
            </w:r>
          </w:p>
          <w:p w14:paraId="7C938B6F">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bCs/>
                <w:color w:val="000000"/>
                <w:sz w:val="21"/>
                <w:szCs w:val="21"/>
              </w:rPr>
              <w:t>能</w:t>
            </w:r>
            <w:r>
              <w:rPr>
                <w:rFonts w:hint="eastAsia" w:ascii="Times New Roman" w:hAnsi="Times New Roman"/>
                <w:color w:val="000000"/>
                <w:sz w:val="21"/>
                <w:szCs w:val="21"/>
              </w:rPr>
              <w:t>分析普鲁卡因胺、利多卡因、普萘洛尔、胺碘酮、维拉帕米等抗心律失常药的药理作用、用途、不良反应和注意事项。</w:t>
            </w:r>
          </w:p>
          <w:p w14:paraId="7FE76943">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78B31DAF">
            <w:pPr>
              <w:rPr>
                <w:rFonts w:hint="eastAsia" w:ascii="Times New Roman" w:hAnsi="Times New Roman"/>
                <w:color w:val="000000"/>
                <w:sz w:val="21"/>
                <w:szCs w:val="21"/>
              </w:rPr>
            </w:pPr>
            <w:r>
              <w:rPr>
                <w:rFonts w:hint="eastAsia" w:ascii="Times New Roman" w:hAnsi="Times New Roman"/>
                <w:color w:val="000000"/>
                <w:sz w:val="21"/>
                <w:szCs w:val="21"/>
              </w:rPr>
              <w:t>使学生认识到抗心绞痛药、抗心律失常药的重要性，学会主动学习与知识转化。</w:t>
            </w:r>
          </w:p>
          <w:p w14:paraId="3F116897">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48E3547D">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硝酸甘油、普萘洛尔、硝苯地平抗心绞痛药物的药理作用、用途、不良反应及注意事项；</w:t>
            </w:r>
          </w:p>
          <w:p w14:paraId="353B90A9">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普鲁卡因胺、利多卡因、普萘洛尔、胺碘酮、维拉帕米等抗心律失常药的药理作用、用途、不良反应和注意事项。</w:t>
            </w:r>
          </w:p>
        </w:tc>
      </w:tr>
      <w:tr w14:paraId="55D5BD0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21330C56">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第十一单元 </w:t>
            </w:r>
            <w:r>
              <w:rPr>
                <w:rFonts w:hint="eastAsia" w:ascii="Times New Roman" w:hAnsi="Times New Roman"/>
                <w:color w:val="000000"/>
                <w:sz w:val="21"/>
                <w:szCs w:val="21"/>
              </w:rPr>
              <w:t xml:space="preserve">抗慢性心功能不全药、抗动脉粥样硬化药  </w:t>
            </w:r>
          </w:p>
          <w:p w14:paraId="43E776CF">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2C0BD7CB">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分析抗慢性心功能不全药强心苷、肾素-血管紧张素系统抑制药、利尿药、醛固酮拮抗药、β-肾上腺素受体阻断药的药理作用、用途、不良反应和注意事项；</w:t>
            </w:r>
          </w:p>
          <w:p w14:paraId="56E76BFE">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运用药理知识对病人和家属进行宣教；</w:t>
            </w:r>
          </w:p>
          <w:p w14:paraId="63A73C9E">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分析他汀类调血脂药的作用特点、用途、不良反应和注意事项；</w:t>
            </w:r>
          </w:p>
          <w:p w14:paraId="60D28E16">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知道其他调血脂药的调血脂作用。</w:t>
            </w:r>
          </w:p>
          <w:p w14:paraId="773C5EDE">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37C99F97">
            <w:pPr>
              <w:rPr>
                <w:rFonts w:ascii="Times New Roman" w:hAnsi="Times New Roman"/>
                <w:color w:val="000000"/>
                <w:sz w:val="21"/>
                <w:szCs w:val="21"/>
              </w:rPr>
            </w:pPr>
            <w:r>
              <w:rPr>
                <w:rFonts w:hint="eastAsia" w:ascii="Times New Roman" w:hAnsi="Times New Roman"/>
                <w:bCs/>
                <w:color w:val="000000"/>
                <w:sz w:val="21"/>
                <w:szCs w:val="21"/>
              </w:rPr>
              <w:t>①能</w:t>
            </w:r>
            <w:r>
              <w:rPr>
                <w:rFonts w:hint="eastAsia" w:ascii="Times New Roman" w:hAnsi="Times New Roman"/>
                <w:color w:val="000000"/>
                <w:sz w:val="21"/>
                <w:szCs w:val="21"/>
              </w:rPr>
              <w:t>分析抗慢性心功能不全药强心苷、肾素-血管紧张素系统抑制药、利尿药、醛固酮拮抗药、β-肾上腺素受体阻断药的药理作用、用途、不良反应和注意事项；</w:t>
            </w:r>
          </w:p>
          <w:p w14:paraId="36952B4D">
            <w:pPr>
              <w:rPr>
                <w:rFonts w:ascii="Times New Roman" w:hAnsi="Times New Roman"/>
                <w:color w:val="000000"/>
                <w:sz w:val="21"/>
                <w:szCs w:val="21"/>
              </w:rPr>
            </w:pPr>
            <w:r>
              <w:rPr>
                <w:rFonts w:hint="eastAsia" w:ascii="Times New Roman" w:hAnsi="Times New Roman"/>
                <w:bCs/>
                <w:color w:val="000000"/>
                <w:sz w:val="21"/>
                <w:szCs w:val="21"/>
              </w:rPr>
              <w:t>②能</w:t>
            </w:r>
            <w:r>
              <w:rPr>
                <w:rFonts w:hint="eastAsia" w:ascii="Times New Roman" w:hAnsi="Times New Roman"/>
                <w:color w:val="000000"/>
                <w:sz w:val="21"/>
                <w:szCs w:val="21"/>
              </w:rPr>
              <w:t>运用药理知识对病人和家属进行宣教；</w:t>
            </w:r>
          </w:p>
          <w:p w14:paraId="623BC330">
            <w:pPr>
              <w:rPr>
                <w:rFonts w:ascii="Times New Roman" w:hAnsi="Times New Roman"/>
                <w:color w:val="000000"/>
                <w:sz w:val="21"/>
                <w:szCs w:val="21"/>
              </w:rPr>
            </w:pPr>
            <w:r>
              <w:rPr>
                <w:rFonts w:hint="eastAsia" w:ascii="Times New Roman" w:hAnsi="Times New Roman"/>
                <w:bCs/>
                <w:color w:val="000000"/>
                <w:sz w:val="21"/>
                <w:szCs w:val="21"/>
              </w:rPr>
              <w:t>③能</w:t>
            </w:r>
            <w:r>
              <w:rPr>
                <w:rFonts w:hint="eastAsia" w:ascii="Times New Roman" w:hAnsi="Times New Roman"/>
                <w:color w:val="000000"/>
                <w:sz w:val="21"/>
                <w:szCs w:val="21"/>
              </w:rPr>
              <w:t>分析他汀类调血脂药的作用特点、用途、不良反应和注意事项；</w:t>
            </w:r>
          </w:p>
          <w:p w14:paraId="2A500812">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ascii="Times New Roman" w:hAnsi="Times New Roman"/>
                <w:color w:val="000000"/>
                <w:sz w:val="21"/>
                <w:szCs w:val="21"/>
              </w:rPr>
              <w:t>能说出</w:t>
            </w:r>
            <w:r>
              <w:rPr>
                <w:rFonts w:hint="eastAsia" w:ascii="Times New Roman" w:hAnsi="Times New Roman"/>
                <w:color w:val="000000"/>
                <w:sz w:val="21"/>
                <w:szCs w:val="21"/>
              </w:rPr>
              <w:t>其他调血脂药的调血脂作用。</w:t>
            </w:r>
          </w:p>
          <w:p w14:paraId="516DDDB1">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75ACD670">
            <w:pPr>
              <w:rPr>
                <w:rFonts w:hint="eastAsia" w:ascii="Times New Roman" w:hAnsi="Times New Roman"/>
                <w:color w:val="000000"/>
                <w:sz w:val="21"/>
                <w:szCs w:val="21"/>
              </w:rPr>
            </w:pPr>
            <w:r>
              <w:rPr>
                <w:rFonts w:hint="eastAsia" w:ascii="Times New Roman" w:hAnsi="Times New Roman"/>
                <w:color w:val="000000"/>
                <w:sz w:val="21"/>
                <w:szCs w:val="21"/>
              </w:rPr>
              <w:t>使学生认识到抗慢性心功能不全药、抗动脉粥样硬化药的重要性，学会主动学习与知识转化。</w:t>
            </w:r>
          </w:p>
          <w:p w14:paraId="46EC84E9">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72F225AE">
            <w:pPr>
              <w:rPr>
                <w:rFonts w:ascii="Times New Roman" w:hAnsi="Times New Roman"/>
                <w:color w:val="000000"/>
                <w:sz w:val="21"/>
                <w:szCs w:val="21"/>
              </w:rPr>
            </w:pPr>
            <w:r>
              <w:rPr>
                <w:rFonts w:hint="eastAsia" w:ascii="Times New Roman" w:hAnsi="Times New Roman"/>
                <w:color w:val="000000"/>
                <w:sz w:val="21"/>
                <w:szCs w:val="21"/>
              </w:rPr>
              <w:t>抗慢性心功能不全药强心苷、肾素-血管紧张素系统抑制药、利尿药、醛固酮拮抗药、β-肾上腺素受体阻断药的药理作用、用途、不良反应和注意事项。</w:t>
            </w:r>
          </w:p>
        </w:tc>
      </w:tr>
      <w:tr w14:paraId="631BE70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2EEF6834">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第十二单元 </w:t>
            </w:r>
            <w:r>
              <w:rPr>
                <w:rFonts w:hint="eastAsia" w:ascii="Times New Roman" w:hAnsi="Times New Roman"/>
                <w:color w:val="000000"/>
                <w:sz w:val="21"/>
                <w:szCs w:val="21"/>
              </w:rPr>
              <w:t xml:space="preserve">作用于呼吸系统疾病药物、作用于消化系统疾病药物 </w:t>
            </w:r>
          </w:p>
          <w:p w14:paraId="1F55E520">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10284BDC">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分析氨茶碱、糖皮质激素的平喘作用、用途、不良反应和注意事项；</w:t>
            </w:r>
          </w:p>
          <w:p w14:paraId="6B8016E5">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知道可待因的镇咳作用特点及用途；</w:t>
            </w:r>
          </w:p>
          <w:p w14:paraId="603EB78F">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知道奥美拉唑、硫酸镁的药理作用、用途、不良反应和注意事项；</w:t>
            </w:r>
          </w:p>
          <w:p w14:paraId="2B9C3ABC">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知道助消化药、止泻药的特点。</w:t>
            </w:r>
          </w:p>
          <w:p w14:paraId="4F7DC214">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532001EC">
            <w:pPr>
              <w:rPr>
                <w:rFonts w:ascii="Times New Roman" w:hAnsi="Times New Roman"/>
                <w:color w:val="000000"/>
                <w:sz w:val="21"/>
                <w:szCs w:val="21"/>
              </w:rPr>
            </w:pPr>
            <w:r>
              <w:rPr>
                <w:rFonts w:hint="eastAsia" w:ascii="Times New Roman" w:hAnsi="Times New Roman"/>
                <w:bCs/>
                <w:color w:val="000000"/>
                <w:sz w:val="21"/>
                <w:szCs w:val="21"/>
              </w:rPr>
              <w:t>①能</w:t>
            </w:r>
            <w:r>
              <w:rPr>
                <w:rFonts w:hint="eastAsia" w:ascii="Times New Roman" w:hAnsi="Times New Roman"/>
                <w:color w:val="000000"/>
                <w:sz w:val="21"/>
                <w:szCs w:val="21"/>
              </w:rPr>
              <w:t>分析氨茶碱、糖皮质激素的平喘作用、用途、不良反应和注意事项；</w:t>
            </w:r>
          </w:p>
          <w:p w14:paraId="61879ECA">
            <w:pPr>
              <w:rPr>
                <w:rFonts w:ascii="Times New Roman" w:hAnsi="Times New Roman"/>
                <w:color w:val="000000"/>
                <w:sz w:val="21"/>
                <w:szCs w:val="21"/>
              </w:rPr>
            </w:pPr>
            <w:r>
              <w:rPr>
                <w:rFonts w:hint="eastAsia" w:ascii="Times New Roman" w:hAnsi="Times New Roman"/>
                <w:bCs/>
                <w:color w:val="000000"/>
                <w:sz w:val="21"/>
                <w:szCs w:val="21"/>
              </w:rPr>
              <w:t>②能说出</w:t>
            </w:r>
            <w:r>
              <w:rPr>
                <w:rFonts w:hint="eastAsia" w:ascii="Times New Roman" w:hAnsi="Times New Roman"/>
                <w:color w:val="000000"/>
                <w:sz w:val="21"/>
                <w:szCs w:val="21"/>
              </w:rPr>
              <w:t>可待因的镇咳作用特点及用途；</w:t>
            </w:r>
          </w:p>
          <w:p w14:paraId="5793FE36">
            <w:pPr>
              <w:rPr>
                <w:rFonts w:hint="eastAsia" w:ascii="Times New Roman" w:hAnsi="Times New Roman"/>
                <w:color w:val="000000"/>
                <w:sz w:val="21"/>
                <w:szCs w:val="21"/>
              </w:rPr>
            </w:pPr>
            <w:r>
              <w:rPr>
                <w:rFonts w:hint="eastAsia" w:ascii="Times New Roman" w:hAnsi="Times New Roman"/>
                <w:bCs/>
                <w:color w:val="000000"/>
                <w:sz w:val="21"/>
                <w:szCs w:val="21"/>
              </w:rPr>
              <w:t>③能说出</w:t>
            </w:r>
            <w:r>
              <w:rPr>
                <w:rFonts w:hint="eastAsia" w:ascii="Times New Roman" w:hAnsi="Times New Roman"/>
                <w:color w:val="000000"/>
                <w:sz w:val="21"/>
                <w:szCs w:val="21"/>
              </w:rPr>
              <w:t>奥美拉唑、硫酸镁的药理作用、用途、不良反应和注意事项；</w:t>
            </w:r>
          </w:p>
          <w:p w14:paraId="5C070F0D">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bCs/>
                <w:color w:val="000000"/>
                <w:sz w:val="21"/>
                <w:szCs w:val="21"/>
              </w:rPr>
              <w:t>能说出</w:t>
            </w:r>
            <w:r>
              <w:rPr>
                <w:rFonts w:hint="eastAsia" w:ascii="Times New Roman" w:hAnsi="Times New Roman"/>
                <w:color w:val="000000"/>
                <w:sz w:val="21"/>
                <w:szCs w:val="21"/>
              </w:rPr>
              <w:t>助消化药、止泻药的特点。</w:t>
            </w:r>
          </w:p>
          <w:p w14:paraId="435B9EDC">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1FA9E29D">
            <w:pPr>
              <w:rPr>
                <w:rFonts w:hint="eastAsia" w:ascii="Times New Roman" w:hAnsi="Times New Roman"/>
                <w:color w:val="000000"/>
                <w:sz w:val="21"/>
                <w:szCs w:val="21"/>
              </w:rPr>
            </w:pPr>
            <w:r>
              <w:rPr>
                <w:rFonts w:hint="eastAsia" w:ascii="Times New Roman" w:hAnsi="Times New Roman"/>
                <w:color w:val="000000"/>
                <w:sz w:val="21"/>
                <w:szCs w:val="21"/>
              </w:rPr>
              <w:t>使学生认识到作用于呼吸系统疾病药物、作用于消化系统疾病药物的重要性，学会主动学习与知识转化。</w:t>
            </w:r>
          </w:p>
          <w:p w14:paraId="639711A2">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395DB437">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氨茶碱、糖皮质激素的平喘作用、用途、不良反应和注意事项；</w:t>
            </w:r>
          </w:p>
          <w:p w14:paraId="1F711432">
            <w:pPr>
              <w:rPr>
                <w:rFonts w:ascii="Times New Roman" w:hAnsi="Times New Roman"/>
                <w:bCs/>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奥美拉唑、硫酸镁的药理作用、用途、不良反应和注意事项。</w:t>
            </w:r>
          </w:p>
        </w:tc>
      </w:tr>
      <w:tr w14:paraId="04ED33D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5C81F15C">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第十三单元 </w:t>
            </w:r>
            <w:r>
              <w:rPr>
                <w:rFonts w:hint="eastAsia" w:ascii="Times New Roman" w:hAnsi="Times New Roman"/>
                <w:color w:val="000000"/>
                <w:sz w:val="21"/>
                <w:szCs w:val="21"/>
              </w:rPr>
              <w:t>作用于血液和造血系统疾病药物、子宫平滑肌兴奋药与抑制药、维生素类药物</w:t>
            </w:r>
          </w:p>
          <w:p w14:paraId="2EE83108">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6AEB1D7D">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分析肝素、铁制剂的药理作用、用途、不良反应和注意事项；</w:t>
            </w:r>
          </w:p>
          <w:p w14:paraId="4D2F69CC">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分析缩宫素、麦角生物碱的药理作用、用途、不良反应和注意事项；</w:t>
            </w:r>
          </w:p>
          <w:p w14:paraId="1BC17198">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分析维生素A、维生素D、维生素C的药理作用、用途、不良反应和注意事项。</w:t>
            </w:r>
          </w:p>
          <w:p w14:paraId="4FFFDC4B">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75D9F4F0">
            <w:pPr>
              <w:rPr>
                <w:rFonts w:ascii="Times New Roman" w:hAnsi="Times New Roman"/>
                <w:color w:val="000000"/>
                <w:sz w:val="21"/>
                <w:szCs w:val="21"/>
              </w:rPr>
            </w:pPr>
            <w:r>
              <w:rPr>
                <w:rFonts w:hint="eastAsia" w:ascii="Times New Roman" w:hAnsi="Times New Roman"/>
                <w:bCs/>
                <w:color w:val="000000"/>
                <w:sz w:val="21"/>
                <w:szCs w:val="21"/>
              </w:rPr>
              <w:t>①能</w:t>
            </w:r>
            <w:r>
              <w:rPr>
                <w:rFonts w:hint="eastAsia" w:ascii="Times New Roman" w:hAnsi="Times New Roman"/>
                <w:color w:val="000000"/>
                <w:sz w:val="21"/>
                <w:szCs w:val="21"/>
              </w:rPr>
              <w:t>分析肝素、铁制剂的药理作用、用途、不良反应和注意事项；</w:t>
            </w:r>
          </w:p>
          <w:p w14:paraId="273C7AE4">
            <w:pPr>
              <w:rPr>
                <w:rFonts w:ascii="Times New Roman" w:hAnsi="Times New Roman"/>
                <w:color w:val="000000"/>
                <w:sz w:val="21"/>
                <w:szCs w:val="21"/>
              </w:rPr>
            </w:pPr>
            <w:r>
              <w:rPr>
                <w:rFonts w:hint="eastAsia" w:ascii="Times New Roman" w:hAnsi="Times New Roman"/>
                <w:bCs/>
                <w:color w:val="000000"/>
                <w:sz w:val="21"/>
                <w:szCs w:val="21"/>
              </w:rPr>
              <w:t>②能</w:t>
            </w:r>
            <w:r>
              <w:rPr>
                <w:rFonts w:hint="eastAsia" w:ascii="Times New Roman" w:hAnsi="Times New Roman"/>
                <w:color w:val="000000"/>
                <w:sz w:val="21"/>
                <w:szCs w:val="21"/>
              </w:rPr>
              <w:t>分析缩宫素、麦角生物碱的药理作用、用途、不良反应和注意事项；</w:t>
            </w:r>
          </w:p>
          <w:p w14:paraId="1F7E42D1">
            <w:pPr>
              <w:rPr>
                <w:rFonts w:hint="eastAsia" w:ascii="Times New Roman" w:hAnsi="Times New Roman"/>
                <w:color w:val="000000"/>
                <w:sz w:val="21"/>
                <w:szCs w:val="21"/>
              </w:rPr>
            </w:pPr>
            <w:r>
              <w:rPr>
                <w:rFonts w:hint="eastAsia" w:ascii="Times New Roman" w:hAnsi="Times New Roman"/>
                <w:bCs/>
                <w:color w:val="000000"/>
                <w:sz w:val="21"/>
                <w:szCs w:val="21"/>
              </w:rPr>
              <w:t>③能</w:t>
            </w:r>
            <w:r>
              <w:rPr>
                <w:rFonts w:hint="eastAsia" w:ascii="Times New Roman" w:hAnsi="Times New Roman"/>
                <w:color w:val="000000"/>
                <w:sz w:val="21"/>
                <w:szCs w:val="21"/>
              </w:rPr>
              <w:t>分析维生素A、维生素D、维生素C的药理作用、用途、不良反应和注意事项</w:t>
            </w:r>
          </w:p>
          <w:p w14:paraId="3687EB71">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6201B9E7">
            <w:pPr>
              <w:rPr>
                <w:rFonts w:ascii="Times New Roman" w:hAnsi="Times New Roman"/>
                <w:color w:val="000000"/>
                <w:sz w:val="21"/>
                <w:szCs w:val="21"/>
              </w:rPr>
            </w:pPr>
            <w:r>
              <w:rPr>
                <w:rFonts w:hint="eastAsia" w:ascii="Times New Roman" w:hAnsi="Times New Roman"/>
                <w:color w:val="000000"/>
                <w:sz w:val="21"/>
                <w:szCs w:val="21"/>
              </w:rPr>
              <w:t>通过学习作用于血液和造血系统疾病药物、子宫平滑肌兴奋药与抑制药、维生素类药物</w:t>
            </w:r>
            <w:r>
              <w:rPr>
                <w:rFonts w:hint="eastAsia" w:ascii="Times New Roman" w:hAnsi="Times New Roman"/>
                <w:bCs/>
                <w:color w:val="000000"/>
                <w:sz w:val="21"/>
                <w:szCs w:val="21"/>
              </w:rPr>
              <w:t>,</w:t>
            </w:r>
            <w:r>
              <w:rPr>
                <w:rFonts w:hint="eastAsia" w:ascii="Times New Roman" w:hAnsi="Times New Roman"/>
                <w:color w:val="000000"/>
                <w:sz w:val="21"/>
                <w:szCs w:val="21"/>
              </w:rPr>
              <w:t>充分认识到药理学知识的重要性，从而能进行主动、积极的学习，增强尊重科学</w:t>
            </w:r>
            <w:r>
              <w:rPr>
                <w:rFonts w:ascii="Times New Roman" w:hAnsi="Times New Roman"/>
                <w:color w:val="000000"/>
                <w:sz w:val="21"/>
                <w:szCs w:val="21"/>
              </w:rPr>
              <w:t>，</w:t>
            </w:r>
            <w:r>
              <w:rPr>
                <w:rFonts w:hint="eastAsia" w:ascii="Times New Roman" w:hAnsi="Times New Roman"/>
                <w:color w:val="000000"/>
                <w:sz w:val="21"/>
                <w:szCs w:val="21"/>
              </w:rPr>
              <w:t>珍惜健康</w:t>
            </w:r>
            <w:r>
              <w:rPr>
                <w:rFonts w:ascii="Times New Roman" w:hAnsi="Times New Roman"/>
                <w:color w:val="000000"/>
                <w:sz w:val="21"/>
                <w:szCs w:val="21"/>
              </w:rPr>
              <w:t>，</w:t>
            </w:r>
            <w:r>
              <w:rPr>
                <w:rFonts w:hint="eastAsia" w:ascii="Times New Roman" w:hAnsi="Times New Roman"/>
                <w:color w:val="000000"/>
                <w:sz w:val="21"/>
                <w:szCs w:val="21"/>
              </w:rPr>
              <w:t>救死扶伤的坚定信念。</w:t>
            </w:r>
          </w:p>
          <w:p w14:paraId="5EE22508">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78291606">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肝素、铁制剂的药理作用、用途、不良反应和注意事项；</w:t>
            </w:r>
          </w:p>
          <w:p w14:paraId="0ADA6C92">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缩宫素、麦角生物碱的药理作用、用途、不良反应和注意事项。</w:t>
            </w:r>
          </w:p>
        </w:tc>
      </w:tr>
      <w:tr w14:paraId="60918D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56192FF3">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第十四单元 </w:t>
            </w:r>
            <w:r>
              <w:rPr>
                <w:rFonts w:hint="eastAsia" w:ascii="Times New Roman" w:hAnsi="Times New Roman"/>
                <w:color w:val="000000"/>
                <w:sz w:val="21"/>
                <w:szCs w:val="21"/>
              </w:rPr>
              <w:t>性激素与避孕药、抗变态反应药物</w:t>
            </w:r>
          </w:p>
          <w:p w14:paraId="2F9897FD">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18F299E7">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知道常用雌激素类药、孕激素类药、雄激素类药和同化激素类药的药理作用、用途、不良反应和注意事项；</w:t>
            </w:r>
          </w:p>
          <w:p w14:paraId="2AFEAAA6">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知道常用避孕药的分类、特点及用法；</w:t>
            </w:r>
          </w:p>
          <w:p w14:paraId="2AD8FC54">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知道常用H</w:t>
            </w:r>
            <w:r>
              <w:rPr>
                <w:rFonts w:hint="eastAsia" w:ascii="Times New Roman" w:hAnsi="Times New Roman"/>
                <w:color w:val="000000"/>
                <w:sz w:val="21"/>
                <w:szCs w:val="21"/>
                <w:vertAlign w:val="subscript"/>
              </w:rPr>
              <w:t>1</w:t>
            </w:r>
            <w:r>
              <w:rPr>
                <w:rFonts w:hint="eastAsia" w:ascii="Times New Roman" w:hAnsi="Times New Roman"/>
                <w:color w:val="000000"/>
                <w:sz w:val="21"/>
                <w:szCs w:val="21"/>
              </w:rPr>
              <w:t>受体阻断药的药理作用、用途、不良反应和注意事项。</w:t>
            </w:r>
          </w:p>
          <w:p w14:paraId="52050437">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15891548">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能说出常用雌激素类药、孕激素类药、雄激素类药和同化激素类药的药理作用、用途、不良反应和注意事项；</w:t>
            </w:r>
          </w:p>
          <w:p w14:paraId="2FDEB317">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能说出常用避孕药的分类、特点及用法；</w:t>
            </w:r>
          </w:p>
          <w:p w14:paraId="16424006">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能说出常用H</w:t>
            </w:r>
            <w:r>
              <w:rPr>
                <w:rFonts w:hint="eastAsia" w:ascii="Times New Roman" w:hAnsi="Times New Roman"/>
                <w:color w:val="000000"/>
                <w:sz w:val="21"/>
                <w:szCs w:val="21"/>
                <w:vertAlign w:val="subscript"/>
              </w:rPr>
              <w:t>1</w:t>
            </w:r>
            <w:r>
              <w:rPr>
                <w:rFonts w:hint="eastAsia" w:ascii="Times New Roman" w:hAnsi="Times New Roman"/>
                <w:color w:val="000000"/>
                <w:sz w:val="21"/>
                <w:szCs w:val="21"/>
              </w:rPr>
              <w:t>受体阻断药的药理作用、用途、不良反应和注意事项。</w:t>
            </w:r>
          </w:p>
          <w:p w14:paraId="04EEF746">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41011EB1">
            <w:pPr>
              <w:rPr>
                <w:rFonts w:hint="eastAsia" w:ascii="Times New Roman" w:hAnsi="Times New Roman"/>
                <w:color w:val="000000"/>
                <w:sz w:val="21"/>
                <w:szCs w:val="21"/>
              </w:rPr>
            </w:pPr>
            <w:r>
              <w:rPr>
                <w:rFonts w:hint="eastAsia" w:ascii="Times New Roman" w:hAnsi="Times New Roman"/>
                <w:color w:val="000000"/>
                <w:sz w:val="21"/>
                <w:szCs w:val="21"/>
              </w:rPr>
              <w:t>使学生认识到性激素与避孕药、抗变态反应药物的重要性，学会主动学习与知识转化。</w:t>
            </w:r>
          </w:p>
          <w:p w14:paraId="4C314523">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2BCD337D">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雌激素类药、孕激素类药、的药理作用、用途、不良反应和注意事项。</w:t>
            </w:r>
          </w:p>
        </w:tc>
      </w:tr>
      <w:tr w14:paraId="4AC36A1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28ED52C8">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第十五单元 </w:t>
            </w:r>
            <w:r>
              <w:rPr>
                <w:rFonts w:hint="eastAsia" w:ascii="Times New Roman" w:hAnsi="Times New Roman"/>
                <w:color w:val="000000"/>
                <w:sz w:val="21"/>
                <w:szCs w:val="21"/>
              </w:rPr>
              <w:t xml:space="preserve">肾上腺皮质激素类药物、甲状腺激素类药和抗甲状腺药、降血糖药  </w:t>
            </w:r>
          </w:p>
          <w:p w14:paraId="3C224403">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46E8B915">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分析糖皮质激素类药物的药理作用、用途、不良反应和注意事项；</w:t>
            </w:r>
          </w:p>
          <w:p w14:paraId="70C094B6">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知道盐皮质激素类药、促皮质激素及皮质激素抑制药的用途；</w:t>
            </w:r>
          </w:p>
          <w:p w14:paraId="722AFB27">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分析硫脲类抗甲状腺药的药理作用、用途、不良反应和注意事项；</w:t>
            </w:r>
          </w:p>
          <w:p w14:paraId="15EE99EB">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知道甲状腺激素类药的药理作用与用途；</w:t>
            </w:r>
          </w:p>
          <w:p w14:paraId="736CD3A2">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分析胰岛素的常用制剂、药理作用、用途、不良反应和注意事项；</w:t>
            </w:r>
          </w:p>
          <w:p w14:paraId="45C23B88">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知道其他口服降血糖药的作用特点和应用。</w:t>
            </w:r>
          </w:p>
          <w:p w14:paraId="242F4D1C">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794D63D8">
            <w:pPr>
              <w:rPr>
                <w:rFonts w:ascii="Times New Roman" w:hAnsi="Times New Roman"/>
                <w:color w:val="000000"/>
                <w:sz w:val="21"/>
                <w:szCs w:val="21"/>
              </w:rPr>
            </w:pPr>
            <w:r>
              <w:rPr>
                <w:rFonts w:hint="eastAsia" w:ascii="Times New Roman" w:hAnsi="Times New Roman"/>
                <w:bCs/>
                <w:color w:val="000000"/>
                <w:sz w:val="21"/>
                <w:szCs w:val="21"/>
              </w:rPr>
              <w:t>①能</w:t>
            </w:r>
            <w:r>
              <w:rPr>
                <w:rFonts w:hint="eastAsia" w:ascii="Times New Roman" w:hAnsi="Times New Roman"/>
                <w:color w:val="000000"/>
                <w:sz w:val="21"/>
                <w:szCs w:val="21"/>
              </w:rPr>
              <w:t>分析糖皮质激素类药物的药理作用、用途、不良反应和注意事项；</w:t>
            </w:r>
          </w:p>
          <w:p w14:paraId="0BB6D00E">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能说出盐皮质激素类药、促皮质激素及皮质激素抑制药的用途；</w:t>
            </w:r>
          </w:p>
          <w:p w14:paraId="6EE6AA85">
            <w:pPr>
              <w:rPr>
                <w:rFonts w:ascii="Times New Roman" w:hAnsi="Times New Roman"/>
                <w:color w:val="000000"/>
                <w:sz w:val="21"/>
                <w:szCs w:val="21"/>
              </w:rPr>
            </w:pPr>
            <w:r>
              <w:rPr>
                <w:rFonts w:hint="eastAsia" w:ascii="Times New Roman" w:hAnsi="Times New Roman"/>
                <w:bCs/>
                <w:color w:val="000000"/>
                <w:sz w:val="21"/>
                <w:szCs w:val="21"/>
              </w:rPr>
              <w:t>③能</w:t>
            </w:r>
            <w:r>
              <w:rPr>
                <w:rFonts w:hint="eastAsia" w:ascii="Times New Roman" w:hAnsi="Times New Roman"/>
                <w:color w:val="000000"/>
                <w:sz w:val="21"/>
                <w:szCs w:val="21"/>
              </w:rPr>
              <w:t>分析硫脲类抗甲状腺药的药理作用、用途、不良反应和注意事项；</w:t>
            </w:r>
          </w:p>
          <w:p w14:paraId="57069F56">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能说出甲状腺激素类药的药理作用与用途；</w:t>
            </w:r>
          </w:p>
          <w:p w14:paraId="21EDB937">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ascii="Times New Roman" w:hAnsi="Times New Roman"/>
                <w:color w:val="000000"/>
                <w:sz w:val="21"/>
                <w:szCs w:val="21"/>
              </w:rPr>
              <w:t>能</w:t>
            </w:r>
            <w:r>
              <w:rPr>
                <w:rFonts w:hint="eastAsia" w:ascii="Times New Roman" w:hAnsi="Times New Roman"/>
                <w:color w:val="000000"/>
                <w:sz w:val="21"/>
                <w:szCs w:val="21"/>
              </w:rPr>
              <w:t>分析胰岛素的常用制剂、药理作用、用途、不良反应和注意事项；</w:t>
            </w:r>
          </w:p>
          <w:p w14:paraId="418374A5">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能说出其他口服降血糖药的作用特点和应用。</w:t>
            </w:r>
          </w:p>
          <w:p w14:paraId="632ED959">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73D6CD1E">
            <w:pPr>
              <w:rPr>
                <w:rFonts w:hint="eastAsia" w:ascii="Times New Roman" w:hAnsi="Times New Roman"/>
                <w:color w:val="000000"/>
                <w:sz w:val="21"/>
                <w:szCs w:val="21"/>
              </w:rPr>
            </w:pPr>
            <w:r>
              <w:rPr>
                <w:rFonts w:hint="eastAsia" w:ascii="Times New Roman" w:hAnsi="Times New Roman"/>
                <w:color w:val="000000"/>
                <w:sz w:val="21"/>
                <w:szCs w:val="21"/>
              </w:rPr>
              <w:t>使学生认识到肾上腺皮质激素类药物、甲状腺激素类药和抗甲状腺药、降血糖药的重要性，学会主动学习与知识转化。</w:t>
            </w:r>
          </w:p>
          <w:p w14:paraId="6BE13DCB">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5BDCC7D8">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糖皮质激素类药物的药理作用、用途、不良反应和注意事项；</w:t>
            </w:r>
          </w:p>
          <w:p w14:paraId="4B45E3D4">
            <w:pPr>
              <w:rPr>
                <w:rFonts w:hint="eastAsia"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硫脲类抗甲状腺药的药理作用、用途、不良反应和注意事项。</w:t>
            </w:r>
          </w:p>
        </w:tc>
      </w:tr>
      <w:tr w14:paraId="6137E28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078D5E2E">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第十六单元 </w:t>
            </w:r>
            <w:r>
              <w:rPr>
                <w:rFonts w:hint="eastAsia" w:ascii="Times New Roman" w:hAnsi="Times New Roman"/>
                <w:color w:val="000000"/>
                <w:sz w:val="21"/>
                <w:szCs w:val="21"/>
              </w:rPr>
              <w:t>影响免疫功能药物、抗菌药物概论、 β-内酰胺类抗生素</w:t>
            </w:r>
          </w:p>
          <w:p w14:paraId="0C854BC2">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508DBC76">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知道干扰素、转移因子的作用特点及用途；</w:t>
            </w:r>
          </w:p>
          <w:p w14:paraId="5FA1CC97">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 xml:space="preserve">知道化学治疗药物的常用术语，细菌耐药性及抗菌药的作用机制；                             </w:t>
            </w:r>
          </w:p>
          <w:p w14:paraId="783CE330">
            <w:pPr>
              <w:rPr>
                <w:rFonts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分析青霉素G的抗菌作用、用途、不良反应及注意事项；</w:t>
            </w:r>
          </w:p>
          <w:p w14:paraId="3D401469">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知道其他β-内酰胺类抗生素的抗菌作用及不良反应。</w:t>
            </w:r>
          </w:p>
          <w:p w14:paraId="5E3F853A">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40AEDCEA">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能说出干扰素、转移因子的作用特点及用途；</w:t>
            </w:r>
          </w:p>
          <w:p w14:paraId="4934084E">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 xml:space="preserve">能说出化学治疗药物的常用术语，细菌耐药性及抗菌药的作用机制；                             </w:t>
            </w:r>
          </w:p>
          <w:p w14:paraId="1B06BD7F">
            <w:pPr>
              <w:rPr>
                <w:rFonts w:ascii="Times New Roman" w:hAnsi="Times New Roman"/>
                <w:color w:val="000000"/>
                <w:sz w:val="21"/>
                <w:szCs w:val="21"/>
              </w:rPr>
            </w:pPr>
            <w:r>
              <w:rPr>
                <w:rFonts w:hint="eastAsia" w:ascii="Times New Roman" w:hAnsi="Times New Roman"/>
                <w:bCs/>
                <w:color w:val="000000"/>
                <w:sz w:val="21"/>
                <w:szCs w:val="21"/>
              </w:rPr>
              <w:t>③能</w:t>
            </w:r>
            <w:r>
              <w:rPr>
                <w:rFonts w:hint="eastAsia" w:ascii="Times New Roman" w:hAnsi="Times New Roman"/>
                <w:color w:val="000000"/>
                <w:sz w:val="21"/>
                <w:szCs w:val="21"/>
              </w:rPr>
              <w:t>分析青霉素G的抗菌作用、用途、不良反应及注意事项；</w:t>
            </w:r>
          </w:p>
          <w:p w14:paraId="7C3BC365">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能说出其他β-内酰胺类抗生素的抗菌作用及不良反应。</w:t>
            </w:r>
          </w:p>
          <w:p w14:paraId="5A4D8A52">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475542B6">
            <w:pPr>
              <w:rPr>
                <w:rFonts w:hint="eastAsia" w:ascii="Times New Roman" w:hAnsi="Times New Roman"/>
                <w:color w:val="000000"/>
                <w:sz w:val="21"/>
                <w:szCs w:val="21"/>
              </w:rPr>
            </w:pPr>
            <w:r>
              <w:rPr>
                <w:rFonts w:hint="eastAsia" w:ascii="Times New Roman" w:hAnsi="Times New Roman"/>
                <w:color w:val="000000"/>
                <w:sz w:val="21"/>
                <w:szCs w:val="21"/>
              </w:rPr>
              <w:t>使学生认识到影响免疫功能药物、抗菌药物概论、 β-内酰胺类抗生素的重要性，学会主动学习与知识转化。</w:t>
            </w:r>
          </w:p>
          <w:p w14:paraId="36AA5BB0">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2883EC94">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青霉素G的抗菌作用、用途、不良反应及注意事项。</w:t>
            </w:r>
          </w:p>
        </w:tc>
      </w:tr>
      <w:tr w14:paraId="7D1DC5D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089B82E8">
            <w:pPr>
              <w:rPr>
                <w:rFonts w:hint="eastAsia" w:ascii="Times New Roman" w:hAnsi="Times New Roman"/>
                <w:color w:val="000000"/>
                <w:sz w:val="21"/>
                <w:szCs w:val="21"/>
              </w:rPr>
            </w:pPr>
            <w:r>
              <w:rPr>
                <w:rFonts w:hint="eastAsia" w:ascii="Times New Roman" w:hAnsi="Times New Roman"/>
                <w:color w:val="000000"/>
                <w:sz w:val="21"/>
                <w:szCs w:val="21"/>
              </w:rPr>
              <w:t>第十七单元 大环内酯类抗生素、氨基糖苷类抗生素、四环素类及氯霉素类抗生素、其他类抗生素，化学合成抗菌药、抗结核病药及抗麻风病药</w:t>
            </w:r>
          </w:p>
          <w:p w14:paraId="6AE6AEBC">
            <w:pPr>
              <w:rPr>
                <w:rFonts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核心知识点：</w:t>
            </w:r>
          </w:p>
          <w:p w14:paraId="37E1B261">
            <w:pPr>
              <w:rPr>
                <w:rFonts w:ascii="Times New Roman" w:hAnsi="Times New Roman"/>
                <w:color w:val="000000"/>
                <w:sz w:val="21"/>
                <w:szCs w:val="21"/>
              </w:rPr>
            </w:pPr>
            <w:r>
              <w:rPr>
                <w:rFonts w:hint="eastAsia" w:ascii="Times New Roman" w:hAnsi="Times New Roman"/>
                <w:color w:val="000000"/>
                <w:sz w:val="21"/>
                <w:szCs w:val="21"/>
              </w:rPr>
              <w:t>①分析红霉素、阿奇霉素、地红霉素、克拉霉素的药理作用、用途、不良反应和注意事项；</w:t>
            </w:r>
          </w:p>
          <w:p w14:paraId="6B26526F">
            <w:pPr>
              <w:rPr>
                <w:rFonts w:ascii="Times New Roman" w:hAnsi="Times New Roman"/>
                <w:color w:val="000000"/>
                <w:sz w:val="21"/>
                <w:szCs w:val="21"/>
              </w:rPr>
            </w:pPr>
            <w:r>
              <w:rPr>
                <w:rFonts w:hint="eastAsia" w:ascii="Times New Roman" w:hAnsi="Times New Roman"/>
                <w:color w:val="000000"/>
                <w:sz w:val="21"/>
                <w:szCs w:val="21"/>
              </w:rPr>
              <w:t>②分析阿米卡星、庆大霉素的用途及不良反应；</w:t>
            </w:r>
          </w:p>
          <w:p w14:paraId="142465AC">
            <w:pPr>
              <w:rPr>
                <w:rFonts w:ascii="Times New Roman" w:hAnsi="Times New Roman"/>
                <w:color w:val="000000"/>
                <w:sz w:val="21"/>
                <w:szCs w:val="21"/>
              </w:rPr>
            </w:pPr>
            <w:r>
              <w:rPr>
                <w:rFonts w:hint="eastAsia" w:ascii="Times New Roman" w:hAnsi="Times New Roman"/>
                <w:color w:val="000000"/>
                <w:sz w:val="21"/>
                <w:szCs w:val="21"/>
              </w:rPr>
              <w:t>③知道四环素的药理作用、用途、不良反应和注意事项；</w:t>
            </w:r>
          </w:p>
          <w:p w14:paraId="27DA1647">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知道林可霉素、克林霉素的药理作用、用途、不良反应和注意事项；</w:t>
            </w:r>
          </w:p>
          <w:p w14:paraId="0375E27C">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分析喹诺酮类、硝基咪唑类的药理作用、用途、不良反应和注意事项；</w:t>
            </w:r>
          </w:p>
          <w:p w14:paraId="286C9408">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分析异烟肼、利福平的作用特点、用途、不良反应。</w:t>
            </w:r>
          </w:p>
          <w:p w14:paraId="38554A13">
            <w:pP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w:t>
            </w:r>
            <w:r>
              <w:rPr>
                <w:rFonts w:hint="eastAsia" w:ascii="Times New Roman" w:hAnsi="Times New Roman"/>
                <w:color w:val="000000"/>
                <w:sz w:val="21"/>
                <w:szCs w:val="21"/>
              </w:rPr>
              <w:t>能力要求：</w:t>
            </w:r>
          </w:p>
          <w:p w14:paraId="0BE39B6E">
            <w:pPr>
              <w:rPr>
                <w:rFonts w:ascii="Times New Roman" w:hAnsi="Times New Roman"/>
                <w:color w:val="000000"/>
                <w:sz w:val="21"/>
                <w:szCs w:val="21"/>
              </w:rPr>
            </w:pPr>
            <w:r>
              <w:rPr>
                <w:rFonts w:hint="eastAsia" w:ascii="Times New Roman" w:hAnsi="Times New Roman"/>
                <w:color w:val="000000"/>
                <w:sz w:val="21"/>
                <w:szCs w:val="21"/>
              </w:rPr>
              <w:t>①能分析红霉素、阿奇霉素、地红霉素、克拉霉素的药理作用、用途、不良反应和注意事项；</w:t>
            </w:r>
          </w:p>
          <w:p w14:paraId="2C085AE5">
            <w:pPr>
              <w:rPr>
                <w:rFonts w:ascii="Times New Roman" w:hAnsi="Times New Roman"/>
                <w:color w:val="000000"/>
                <w:sz w:val="21"/>
                <w:szCs w:val="21"/>
              </w:rPr>
            </w:pPr>
            <w:r>
              <w:rPr>
                <w:rFonts w:hint="eastAsia" w:ascii="Times New Roman" w:hAnsi="Times New Roman"/>
                <w:color w:val="000000"/>
                <w:sz w:val="21"/>
                <w:szCs w:val="21"/>
              </w:rPr>
              <w:t>②能分析阿米卡星、庆大霉素的用途及不良反应；</w:t>
            </w:r>
          </w:p>
          <w:p w14:paraId="4C638D84">
            <w:pPr>
              <w:rPr>
                <w:rFonts w:ascii="Times New Roman" w:hAnsi="Times New Roman"/>
                <w:color w:val="000000"/>
                <w:sz w:val="21"/>
                <w:szCs w:val="21"/>
              </w:rPr>
            </w:pPr>
            <w:r>
              <w:rPr>
                <w:rFonts w:hint="eastAsia" w:ascii="Times New Roman" w:hAnsi="Times New Roman"/>
                <w:color w:val="000000"/>
                <w:sz w:val="21"/>
                <w:szCs w:val="21"/>
              </w:rPr>
              <w:t>③能说出四环素的药理作用、用途、不良反应和注意事项；</w:t>
            </w:r>
          </w:p>
          <w:p w14:paraId="6DFC0C82">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能说出林可霉素、克林霉素的药理作用、用途、不良反应和注意事项；</w:t>
            </w:r>
          </w:p>
          <w:p w14:paraId="13C64733">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ascii="Times New Roman" w:hAnsi="Times New Roman"/>
                <w:color w:val="000000"/>
                <w:sz w:val="21"/>
                <w:szCs w:val="21"/>
              </w:rPr>
              <w:t>能</w:t>
            </w:r>
            <w:r>
              <w:rPr>
                <w:rFonts w:hint="eastAsia" w:ascii="Times New Roman" w:hAnsi="Times New Roman"/>
                <w:color w:val="000000"/>
                <w:sz w:val="21"/>
                <w:szCs w:val="21"/>
              </w:rPr>
              <w:t>分析喹诺酮类、硝基咪唑类的药理作用、用途、不良反应和注意事项；</w:t>
            </w:r>
          </w:p>
          <w:p w14:paraId="3AAE7224">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ascii="Times New Roman" w:hAnsi="Times New Roman"/>
                <w:color w:val="000000"/>
                <w:sz w:val="21"/>
                <w:szCs w:val="21"/>
              </w:rPr>
              <w:t>能</w:t>
            </w:r>
            <w:r>
              <w:rPr>
                <w:rFonts w:hint="eastAsia" w:ascii="Times New Roman" w:hAnsi="Times New Roman"/>
                <w:color w:val="000000"/>
                <w:sz w:val="21"/>
                <w:szCs w:val="21"/>
              </w:rPr>
              <w:t>分析异烟肼、利福平的作用特点、用途、不良反应。</w:t>
            </w:r>
          </w:p>
          <w:p w14:paraId="01170FCB">
            <w:pPr>
              <w:rPr>
                <w:rFonts w:ascii="Times New Roman" w:hAnsi="Times New Roman"/>
                <w:color w:val="000000"/>
                <w:sz w:val="21"/>
                <w:szCs w:val="21"/>
              </w:rPr>
            </w:pPr>
            <w:r>
              <w:rPr>
                <w:rFonts w:hint="eastAsia" w:ascii="Times New Roman" w:hAnsi="Times New Roman"/>
                <w:color w:val="000000"/>
                <w:sz w:val="21"/>
                <w:szCs w:val="21"/>
              </w:rPr>
              <w:t>3</w:t>
            </w:r>
            <w:r>
              <w:rPr>
                <w:rFonts w:ascii="Times New Roman" w:hAnsi="Times New Roman"/>
                <w:color w:val="000000"/>
                <w:sz w:val="21"/>
                <w:szCs w:val="21"/>
              </w:rPr>
              <w:t>.</w:t>
            </w:r>
            <w:r>
              <w:rPr>
                <w:rFonts w:hint="eastAsia" w:ascii="Times New Roman" w:hAnsi="Times New Roman"/>
                <w:color w:val="000000"/>
                <w:sz w:val="21"/>
                <w:szCs w:val="21"/>
              </w:rPr>
              <w:t>预期学习成果：</w:t>
            </w:r>
          </w:p>
          <w:p w14:paraId="349AC1A6">
            <w:pPr>
              <w:rPr>
                <w:rFonts w:hint="eastAsia" w:ascii="Times New Roman" w:hAnsi="Times New Roman"/>
                <w:color w:val="000000"/>
                <w:sz w:val="21"/>
                <w:szCs w:val="21"/>
              </w:rPr>
            </w:pPr>
            <w:r>
              <w:rPr>
                <w:rFonts w:hint="eastAsia" w:ascii="Times New Roman" w:hAnsi="Times New Roman"/>
                <w:color w:val="000000"/>
                <w:sz w:val="21"/>
                <w:szCs w:val="21"/>
              </w:rPr>
              <w:t>使学生认识到大环内酯类抗生素、氨基糖苷类抗生素、四环素类及氯霉素类抗生素、其他类抗生素，化学合成抗菌药、抗结核病药及抗麻风病药的重要性，学会主动识转化。</w:t>
            </w:r>
          </w:p>
          <w:p w14:paraId="63CC5D97">
            <w:pPr>
              <w:rPr>
                <w:rFonts w:ascii="Times New Roman" w:hAnsi="Times New Roman"/>
                <w:color w:val="000000"/>
                <w:sz w:val="21"/>
                <w:szCs w:val="21"/>
              </w:rPr>
            </w:pPr>
            <w:r>
              <w:rPr>
                <w:rFonts w:hint="eastAsia" w:ascii="Times New Roman" w:hAnsi="Times New Roman"/>
                <w:color w:val="000000"/>
                <w:sz w:val="21"/>
                <w:szCs w:val="21"/>
              </w:rPr>
              <w:t>4</w:t>
            </w:r>
            <w:r>
              <w:rPr>
                <w:rFonts w:ascii="Times New Roman" w:hAnsi="Times New Roman"/>
                <w:color w:val="000000"/>
                <w:sz w:val="21"/>
                <w:szCs w:val="21"/>
              </w:rPr>
              <w:t>.</w:t>
            </w:r>
            <w:r>
              <w:rPr>
                <w:rFonts w:hint="eastAsia" w:ascii="Times New Roman" w:hAnsi="Times New Roman"/>
                <w:color w:val="000000"/>
                <w:sz w:val="21"/>
                <w:szCs w:val="21"/>
              </w:rPr>
              <w:t>教学难点：</w:t>
            </w:r>
          </w:p>
          <w:p w14:paraId="15C81656">
            <w:pPr>
              <w:rPr>
                <w:rFonts w:hint="eastAsia" w:ascii="Times New Roman" w:hAnsi="Times New Roman"/>
                <w:color w:val="000000"/>
                <w:sz w:val="21"/>
                <w:szCs w:val="21"/>
              </w:rPr>
            </w:pPr>
            <w:r>
              <w:rPr>
                <w:rFonts w:hint="eastAsia" w:ascii="Times New Roman" w:hAnsi="Times New Roman"/>
                <w:color w:val="000000"/>
                <w:sz w:val="21"/>
                <w:szCs w:val="21"/>
              </w:rPr>
              <w:t>①红霉素的药理作用、用途、不良反应和注意事项。</w:t>
            </w:r>
          </w:p>
        </w:tc>
      </w:tr>
      <w:tr w14:paraId="214304F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0C3CA36D">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第十八单元 </w:t>
            </w:r>
            <w:r>
              <w:rPr>
                <w:rFonts w:hint="eastAsia" w:ascii="Times New Roman" w:hAnsi="Times New Roman"/>
                <w:color w:val="000000"/>
                <w:sz w:val="21"/>
                <w:szCs w:val="21"/>
              </w:rPr>
              <w:t xml:space="preserve">抗病毒药和抗真菌药、消毒防腐药，抗寄生虫病药、抗恶性肿瘤药 </w:t>
            </w:r>
          </w:p>
          <w:p w14:paraId="6D89F24B">
            <w:pPr>
              <w:rPr>
                <w:rFonts w:ascii="Times New Roman" w:hAnsi="Times New Roman"/>
                <w:bCs/>
                <w:color w:val="000000"/>
                <w:sz w:val="21"/>
                <w:szCs w:val="21"/>
              </w:rPr>
            </w:pPr>
            <w:r>
              <w:rPr>
                <w:rFonts w:hint="eastAsia" w:ascii="Times New Roman" w:hAnsi="Times New Roman"/>
                <w:bCs/>
                <w:color w:val="000000"/>
                <w:sz w:val="21"/>
                <w:szCs w:val="21"/>
              </w:rPr>
              <w:t>1</w:t>
            </w:r>
            <w:r>
              <w:rPr>
                <w:rFonts w:ascii="Times New Roman" w:hAnsi="Times New Roman"/>
                <w:bCs/>
                <w:color w:val="000000"/>
                <w:sz w:val="21"/>
                <w:szCs w:val="21"/>
              </w:rPr>
              <w:t>.</w:t>
            </w:r>
            <w:r>
              <w:rPr>
                <w:rFonts w:hint="eastAsia" w:ascii="Times New Roman" w:hAnsi="Times New Roman"/>
                <w:bCs/>
                <w:color w:val="000000"/>
                <w:sz w:val="21"/>
                <w:szCs w:val="21"/>
              </w:rPr>
              <w:t>核心知识点：</w:t>
            </w:r>
          </w:p>
          <w:p w14:paraId="358971B1">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知道常用的抗真菌药的药理作用、用途、不良反应和注意事项；</w:t>
            </w:r>
          </w:p>
          <w:p w14:paraId="305E12F0">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知道常用的抗病毒药物的药理作用、用途、不良反应和注意事项；</w:t>
            </w:r>
          </w:p>
          <w:p w14:paraId="3528BF6B">
            <w:pPr>
              <w:rPr>
                <w:rFonts w:hint="eastAsia" w:ascii="Times New Roman" w:hAnsi="Times New Roman"/>
                <w:color w:val="000000"/>
                <w:sz w:val="21"/>
                <w:szCs w:val="21"/>
              </w:rPr>
            </w:pPr>
            <w:r>
              <w:rPr>
                <w:rFonts w:hint="eastAsia" w:ascii="Times New Roman" w:hAnsi="Times New Roman"/>
                <w:bCs/>
                <w:color w:val="000000"/>
                <w:sz w:val="21"/>
                <w:szCs w:val="21"/>
              </w:rPr>
              <w:t>③</w:t>
            </w:r>
            <w:r>
              <w:rPr>
                <w:rFonts w:hint="eastAsia" w:ascii="Times New Roman" w:hAnsi="Times New Roman"/>
                <w:color w:val="000000"/>
                <w:sz w:val="21"/>
                <w:szCs w:val="21"/>
              </w:rPr>
              <w:t>分析乙醇、甲醛、聚维酮碘的药理作用特点及用途；</w:t>
            </w:r>
          </w:p>
          <w:p w14:paraId="65A44755">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hint="eastAsia" w:ascii="Times New Roman" w:hAnsi="Times New Roman"/>
                <w:color w:val="000000"/>
                <w:sz w:val="21"/>
                <w:szCs w:val="21"/>
              </w:rPr>
              <w:t>分析氯喹、甲硝唑、吡喹酮的药理作用、用途、不良反应和注意事项；</w:t>
            </w:r>
          </w:p>
          <w:p w14:paraId="2B405211">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知道常用抗恶性肿瘤药物的常见不良反应及注意事项；</w:t>
            </w:r>
          </w:p>
          <w:p w14:paraId="76AEF182">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知道抗恶性肿瘤药的分类及代表药的用途。</w:t>
            </w:r>
          </w:p>
          <w:p w14:paraId="276F9841">
            <w:pPr>
              <w:rPr>
                <w:rFonts w:ascii="Times New Roman" w:hAnsi="Times New Roman"/>
                <w:bCs/>
                <w:color w:val="000000"/>
                <w:sz w:val="21"/>
                <w:szCs w:val="21"/>
              </w:rPr>
            </w:pPr>
            <w:r>
              <w:rPr>
                <w:rFonts w:hint="eastAsia" w:ascii="Times New Roman" w:hAnsi="Times New Roman"/>
                <w:bCs/>
                <w:color w:val="000000"/>
                <w:sz w:val="21"/>
                <w:szCs w:val="21"/>
              </w:rPr>
              <w:t>2</w:t>
            </w:r>
            <w:r>
              <w:rPr>
                <w:rFonts w:ascii="Times New Roman" w:hAnsi="Times New Roman"/>
                <w:bCs/>
                <w:color w:val="000000"/>
                <w:sz w:val="21"/>
                <w:szCs w:val="21"/>
              </w:rPr>
              <w:t>.</w:t>
            </w:r>
            <w:r>
              <w:rPr>
                <w:rFonts w:hint="eastAsia" w:ascii="Times New Roman" w:hAnsi="Times New Roman"/>
                <w:bCs/>
                <w:color w:val="000000"/>
                <w:sz w:val="21"/>
                <w:szCs w:val="21"/>
              </w:rPr>
              <w:t>能力要求：</w:t>
            </w:r>
          </w:p>
          <w:p w14:paraId="787A0FE2">
            <w:pPr>
              <w:rPr>
                <w:rFonts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能说出常用的抗真菌药的药理作用、用途、不良反应和注意事项；</w:t>
            </w:r>
          </w:p>
          <w:p w14:paraId="51D2C7EE">
            <w:pPr>
              <w:rPr>
                <w:rFonts w:ascii="Times New Roman" w:hAnsi="Times New Roman"/>
                <w:color w:val="000000"/>
                <w:sz w:val="21"/>
                <w:szCs w:val="21"/>
              </w:rPr>
            </w:pPr>
            <w:r>
              <w:rPr>
                <w:rFonts w:hint="eastAsia" w:ascii="Times New Roman" w:hAnsi="Times New Roman"/>
                <w:bCs/>
                <w:color w:val="000000"/>
                <w:sz w:val="21"/>
                <w:szCs w:val="21"/>
              </w:rPr>
              <w:t>②</w:t>
            </w:r>
            <w:r>
              <w:rPr>
                <w:rFonts w:hint="eastAsia" w:ascii="Times New Roman" w:hAnsi="Times New Roman"/>
                <w:color w:val="000000"/>
                <w:sz w:val="21"/>
                <w:szCs w:val="21"/>
              </w:rPr>
              <w:t>能说出常用的抗病毒药物的药理作用、用途、不良反应和注意事项；</w:t>
            </w:r>
          </w:p>
          <w:p w14:paraId="3DC32CCB">
            <w:pPr>
              <w:rPr>
                <w:rFonts w:hint="eastAsia" w:ascii="Times New Roman" w:hAnsi="Times New Roman"/>
                <w:color w:val="000000"/>
                <w:sz w:val="21"/>
                <w:szCs w:val="21"/>
              </w:rPr>
            </w:pPr>
            <w:r>
              <w:rPr>
                <w:rFonts w:hint="eastAsia" w:ascii="Times New Roman" w:hAnsi="Times New Roman"/>
                <w:bCs/>
                <w:color w:val="000000"/>
                <w:sz w:val="21"/>
                <w:szCs w:val="21"/>
              </w:rPr>
              <w:t>③能</w:t>
            </w:r>
            <w:r>
              <w:rPr>
                <w:rFonts w:hint="eastAsia" w:ascii="Times New Roman" w:hAnsi="Times New Roman"/>
                <w:color w:val="000000"/>
                <w:sz w:val="21"/>
                <w:szCs w:val="21"/>
              </w:rPr>
              <w:t>分析乙醇、甲醛、聚维酮碘的药理作用特点及用途；</w:t>
            </w:r>
          </w:p>
          <w:p w14:paraId="33BE4F5D">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4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④</w:t>
            </w:r>
            <w:r>
              <w:rPr>
                <w:rFonts w:ascii="Times New Roman" w:hAnsi="Times New Roman"/>
                <w:color w:val="000000"/>
                <w:sz w:val="21"/>
                <w:szCs w:val="21"/>
              </w:rPr>
              <w:fldChar w:fldCharType="end"/>
            </w:r>
            <w:r>
              <w:rPr>
                <w:rFonts w:ascii="Times New Roman" w:hAnsi="Times New Roman"/>
                <w:color w:val="000000"/>
                <w:sz w:val="21"/>
                <w:szCs w:val="21"/>
              </w:rPr>
              <w:t>能</w:t>
            </w:r>
            <w:r>
              <w:rPr>
                <w:rFonts w:hint="eastAsia" w:ascii="Times New Roman" w:hAnsi="Times New Roman"/>
                <w:color w:val="000000"/>
                <w:sz w:val="21"/>
                <w:szCs w:val="21"/>
              </w:rPr>
              <w:t>分析氯喹、甲硝唑、吡喹酮的药理作用、用途、不良反应和注意事项；</w:t>
            </w:r>
          </w:p>
          <w:p w14:paraId="73A56151">
            <w:pPr>
              <w:rPr>
                <w:rFonts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5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⑤</w:t>
            </w:r>
            <w:r>
              <w:rPr>
                <w:rFonts w:ascii="Times New Roman" w:hAnsi="Times New Roman"/>
                <w:color w:val="000000"/>
                <w:sz w:val="21"/>
                <w:szCs w:val="21"/>
              </w:rPr>
              <w:fldChar w:fldCharType="end"/>
            </w:r>
            <w:r>
              <w:rPr>
                <w:rFonts w:hint="eastAsia" w:ascii="Times New Roman" w:hAnsi="Times New Roman"/>
                <w:color w:val="000000"/>
                <w:sz w:val="21"/>
                <w:szCs w:val="21"/>
              </w:rPr>
              <w:t>能说出常用抗恶性肿瘤药物的常见不良反应及注意事项；</w:t>
            </w:r>
          </w:p>
          <w:p w14:paraId="2E9D9B6B">
            <w:pPr>
              <w:rPr>
                <w:rFonts w:hint="eastAsia" w:ascii="Times New Roman" w:hAnsi="Times New Roman"/>
                <w:color w:val="000000"/>
                <w:sz w:val="21"/>
                <w:szCs w:val="21"/>
              </w:rPr>
            </w:pPr>
            <w:r>
              <w:rPr>
                <w:rFonts w:ascii="Times New Roman" w:hAnsi="Times New Roman"/>
                <w:color w:val="000000"/>
                <w:sz w:val="21"/>
                <w:szCs w:val="21"/>
              </w:rPr>
              <w:fldChar w:fldCharType="begin"/>
            </w:r>
            <w:r>
              <w:rPr>
                <w:rFonts w:ascii="Times New Roman" w:hAnsi="Times New Roman"/>
                <w:color w:val="000000"/>
                <w:sz w:val="21"/>
                <w:szCs w:val="21"/>
              </w:rPr>
              <w:instrText xml:space="preserve"> </w:instrText>
            </w:r>
            <w:r>
              <w:rPr>
                <w:rFonts w:hint="eastAsia" w:ascii="Times New Roman" w:hAnsi="Times New Roman"/>
                <w:color w:val="000000"/>
                <w:sz w:val="21"/>
                <w:szCs w:val="21"/>
              </w:rPr>
              <w:instrText xml:space="preserve">= 6 \* GB3</w:instrText>
            </w:r>
            <w:r>
              <w:rPr>
                <w:rFonts w:ascii="Times New Roman" w:hAnsi="Times New Roman"/>
                <w:color w:val="000000"/>
                <w:sz w:val="21"/>
                <w:szCs w:val="21"/>
              </w:rPr>
              <w:instrText xml:space="preserve"> </w:instrText>
            </w:r>
            <w:r>
              <w:rPr>
                <w:rFonts w:ascii="Times New Roman" w:hAnsi="Times New Roman"/>
                <w:color w:val="000000"/>
                <w:sz w:val="21"/>
                <w:szCs w:val="21"/>
              </w:rPr>
              <w:fldChar w:fldCharType="separate"/>
            </w:r>
            <w:r>
              <w:rPr>
                <w:rFonts w:hint="eastAsia" w:ascii="Times New Roman" w:hAnsi="Times New Roman"/>
                <w:color w:val="000000"/>
                <w:sz w:val="21"/>
                <w:szCs w:val="21"/>
              </w:rPr>
              <w:t>⑥</w:t>
            </w:r>
            <w:r>
              <w:rPr>
                <w:rFonts w:ascii="Times New Roman" w:hAnsi="Times New Roman"/>
                <w:color w:val="000000"/>
                <w:sz w:val="21"/>
                <w:szCs w:val="21"/>
              </w:rPr>
              <w:fldChar w:fldCharType="end"/>
            </w:r>
            <w:r>
              <w:rPr>
                <w:rFonts w:hint="eastAsia" w:ascii="Times New Roman" w:hAnsi="Times New Roman"/>
                <w:color w:val="000000"/>
                <w:sz w:val="21"/>
                <w:szCs w:val="21"/>
              </w:rPr>
              <w:t>能说出抗恶性肿瘤药的分类及代表药的用途。</w:t>
            </w:r>
          </w:p>
          <w:p w14:paraId="7EC8052F">
            <w:pPr>
              <w:rPr>
                <w:rFonts w:ascii="Times New Roman" w:hAnsi="Times New Roman"/>
                <w:bCs/>
                <w:color w:val="000000"/>
                <w:sz w:val="21"/>
                <w:szCs w:val="21"/>
              </w:rPr>
            </w:pPr>
            <w:r>
              <w:rPr>
                <w:rFonts w:hint="eastAsia" w:ascii="Times New Roman" w:hAnsi="Times New Roman"/>
                <w:bCs/>
                <w:color w:val="000000"/>
                <w:sz w:val="21"/>
                <w:szCs w:val="21"/>
              </w:rPr>
              <w:t>3</w:t>
            </w:r>
            <w:r>
              <w:rPr>
                <w:rFonts w:ascii="Times New Roman" w:hAnsi="Times New Roman"/>
                <w:bCs/>
                <w:color w:val="000000"/>
                <w:sz w:val="21"/>
                <w:szCs w:val="21"/>
              </w:rPr>
              <w:t>.</w:t>
            </w:r>
            <w:r>
              <w:rPr>
                <w:rFonts w:hint="eastAsia" w:ascii="Times New Roman" w:hAnsi="Times New Roman"/>
                <w:bCs/>
                <w:color w:val="000000"/>
                <w:sz w:val="21"/>
                <w:szCs w:val="21"/>
              </w:rPr>
              <w:t>预期学习成果：</w:t>
            </w:r>
          </w:p>
          <w:p w14:paraId="5309F9B4">
            <w:pPr>
              <w:rPr>
                <w:rFonts w:hint="eastAsia" w:ascii="Times New Roman" w:hAnsi="Times New Roman"/>
                <w:color w:val="000000"/>
                <w:sz w:val="21"/>
                <w:szCs w:val="21"/>
              </w:rPr>
            </w:pPr>
            <w:r>
              <w:rPr>
                <w:rFonts w:hint="eastAsia" w:ascii="Times New Roman" w:hAnsi="Times New Roman"/>
                <w:color w:val="000000"/>
                <w:sz w:val="21"/>
                <w:szCs w:val="21"/>
              </w:rPr>
              <w:t>使学生认识到抗病毒药和抗真菌药、消毒防腐药，抗寄生虫病药、抗恶性肿瘤药的重要性，学会主动学习与知识转化。</w:t>
            </w:r>
          </w:p>
          <w:p w14:paraId="6E9DBA0B">
            <w:pPr>
              <w:rPr>
                <w:rFonts w:ascii="Times New Roman" w:hAnsi="Times New Roman"/>
                <w:bCs/>
                <w:color w:val="000000"/>
                <w:sz w:val="21"/>
                <w:szCs w:val="21"/>
              </w:rPr>
            </w:pPr>
            <w:r>
              <w:rPr>
                <w:rFonts w:hint="eastAsia" w:ascii="Times New Roman" w:hAnsi="Times New Roman"/>
                <w:bCs/>
                <w:color w:val="000000"/>
                <w:sz w:val="21"/>
                <w:szCs w:val="21"/>
              </w:rPr>
              <w:t>4</w:t>
            </w:r>
            <w:r>
              <w:rPr>
                <w:rFonts w:ascii="Times New Roman" w:hAnsi="Times New Roman"/>
                <w:bCs/>
                <w:color w:val="000000"/>
                <w:sz w:val="21"/>
                <w:szCs w:val="21"/>
              </w:rPr>
              <w:t>.</w:t>
            </w:r>
            <w:r>
              <w:rPr>
                <w:rFonts w:hint="eastAsia" w:ascii="Times New Roman" w:hAnsi="Times New Roman"/>
                <w:bCs/>
                <w:color w:val="000000"/>
                <w:sz w:val="21"/>
                <w:szCs w:val="21"/>
              </w:rPr>
              <w:t>教学难点：</w:t>
            </w:r>
          </w:p>
          <w:p w14:paraId="4EC461FD">
            <w:pPr>
              <w:rPr>
                <w:rFonts w:hint="eastAsia" w:ascii="Times New Roman" w:hAnsi="Times New Roman"/>
                <w:color w:val="000000"/>
                <w:sz w:val="21"/>
                <w:szCs w:val="21"/>
              </w:rPr>
            </w:pPr>
            <w:r>
              <w:rPr>
                <w:rFonts w:hint="eastAsia" w:ascii="Times New Roman" w:hAnsi="Times New Roman"/>
                <w:bCs/>
                <w:color w:val="000000"/>
                <w:sz w:val="21"/>
                <w:szCs w:val="21"/>
              </w:rPr>
              <w:t>①</w:t>
            </w:r>
            <w:r>
              <w:rPr>
                <w:rFonts w:hint="eastAsia" w:ascii="Times New Roman" w:hAnsi="Times New Roman"/>
                <w:color w:val="000000"/>
                <w:sz w:val="21"/>
                <w:szCs w:val="21"/>
              </w:rPr>
              <w:t>常用的抗真菌药的药理作用、用途、不良反应和注意事项。</w:t>
            </w:r>
          </w:p>
        </w:tc>
      </w:tr>
    </w:tbl>
    <w:p w14:paraId="420C2657">
      <w:pPr>
        <w:spacing w:before="163" w:beforeLines="50" w:after="163" w:afterLines="50"/>
        <w:outlineLvl w:val="1"/>
        <w:rPr>
          <w:rFonts w:ascii="Times New Roman" w:hAnsi="Times New Roman"/>
          <w:b/>
        </w:rPr>
      </w:pPr>
      <w:r>
        <w:rPr>
          <w:rFonts w:hint="eastAsia" w:ascii="Times New Roman" w:hAnsi="Times New Roman"/>
          <w:b/>
        </w:rPr>
        <w:t>（二）教学单元对课程目标的支撑关系</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931"/>
        <w:gridCol w:w="905"/>
        <w:gridCol w:w="851"/>
        <w:gridCol w:w="793"/>
        <w:gridCol w:w="850"/>
        <w:gridCol w:w="992"/>
        <w:gridCol w:w="993"/>
        <w:gridCol w:w="992"/>
      </w:tblGrid>
      <w:tr w14:paraId="3880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931" w:type="dxa"/>
            <w:tcBorders>
              <w:top w:val="single" w:color="auto" w:sz="12" w:space="0"/>
              <w:left w:val="single" w:color="auto" w:sz="12" w:space="0"/>
              <w:tl2br w:val="single" w:color="auto" w:sz="4" w:space="0"/>
            </w:tcBorders>
            <w:noWrap w:val="0"/>
            <w:vAlign w:val="top"/>
          </w:tcPr>
          <w:p w14:paraId="444CF0DF">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课程目标</w:t>
            </w:r>
          </w:p>
          <w:p w14:paraId="0CDA2A7B">
            <w:pPr>
              <w:snapToGrid w:val="0"/>
              <w:jc w:val="center"/>
              <w:rPr>
                <w:rFonts w:ascii="Times New Roman" w:hAnsi="Times New Roman" w:eastAsia="黑体"/>
                <w:bCs/>
                <w:color w:val="000000"/>
                <w:sz w:val="21"/>
                <w:szCs w:val="20"/>
              </w:rPr>
            </w:pPr>
          </w:p>
          <w:p w14:paraId="724F015C">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教学单元</w:t>
            </w:r>
          </w:p>
        </w:tc>
        <w:tc>
          <w:tcPr>
            <w:tcW w:w="905" w:type="dxa"/>
            <w:tcBorders>
              <w:top w:val="single" w:color="auto" w:sz="12" w:space="0"/>
            </w:tcBorders>
            <w:noWrap w:val="0"/>
            <w:vAlign w:val="center"/>
          </w:tcPr>
          <w:p w14:paraId="41AFB61B">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1</w:t>
            </w:r>
          </w:p>
        </w:tc>
        <w:tc>
          <w:tcPr>
            <w:tcW w:w="851" w:type="dxa"/>
            <w:tcBorders>
              <w:top w:val="single" w:color="auto" w:sz="12" w:space="0"/>
            </w:tcBorders>
            <w:noWrap w:val="0"/>
            <w:vAlign w:val="center"/>
          </w:tcPr>
          <w:p w14:paraId="7D1F24D9">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2</w:t>
            </w:r>
          </w:p>
        </w:tc>
        <w:tc>
          <w:tcPr>
            <w:tcW w:w="793" w:type="dxa"/>
            <w:tcBorders>
              <w:top w:val="single" w:color="auto" w:sz="12" w:space="0"/>
            </w:tcBorders>
            <w:noWrap w:val="0"/>
            <w:vAlign w:val="center"/>
          </w:tcPr>
          <w:p w14:paraId="345C80FB">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3</w:t>
            </w:r>
          </w:p>
        </w:tc>
        <w:tc>
          <w:tcPr>
            <w:tcW w:w="850" w:type="dxa"/>
            <w:tcBorders>
              <w:top w:val="single" w:color="auto" w:sz="12" w:space="0"/>
            </w:tcBorders>
            <w:noWrap w:val="0"/>
            <w:vAlign w:val="center"/>
          </w:tcPr>
          <w:p w14:paraId="3D6E8FD1">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4</w:t>
            </w:r>
          </w:p>
        </w:tc>
        <w:tc>
          <w:tcPr>
            <w:tcW w:w="992" w:type="dxa"/>
            <w:tcBorders>
              <w:top w:val="single" w:color="auto" w:sz="12" w:space="0"/>
            </w:tcBorders>
            <w:noWrap w:val="0"/>
            <w:vAlign w:val="center"/>
          </w:tcPr>
          <w:p w14:paraId="262DC7AE">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5</w:t>
            </w:r>
          </w:p>
        </w:tc>
        <w:tc>
          <w:tcPr>
            <w:tcW w:w="993" w:type="dxa"/>
            <w:tcBorders>
              <w:top w:val="single" w:color="auto" w:sz="12" w:space="0"/>
              <w:bottom w:val="single" w:color="auto" w:sz="4" w:space="0"/>
              <w:right w:val="single" w:color="auto" w:sz="4" w:space="0"/>
            </w:tcBorders>
            <w:noWrap w:val="0"/>
            <w:vAlign w:val="center"/>
          </w:tcPr>
          <w:p w14:paraId="3ED59E2B">
            <w:pPr>
              <w:snapToGrid w:val="0"/>
              <w:jc w:val="center"/>
              <w:rPr>
                <w:rFonts w:ascii="Times New Roman" w:hAnsi="Times New Roman" w:eastAsia="黑体"/>
                <w:b/>
                <w:bCs/>
                <w:color w:val="000000"/>
                <w:sz w:val="21"/>
                <w:szCs w:val="20"/>
              </w:rPr>
            </w:pPr>
            <w:r>
              <w:rPr>
                <w:rFonts w:hint="eastAsia" w:ascii="Times New Roman" w:hAnsi="Times New Roman" w:eastAsia="黑体"/>
                <w:b/>
                <w:bCs/>
                <w:color w:val="000000"/>
                <w:sz w:val="21"/>
                <w:szCs w:val="20"/>
              </w:rPr>
              <w:t>6</w:t>
            </w:r>
          </w:p>
        </w:tc>
        <w:tc>
          <w:tcPr>
            <w:tcW w:w="992" w:type="dxa"/>
            <w:tcBorders>
              <w:top w:val="single" w:color="auto" w:sz="12" w:space="0"/>
              <w:left w:val="single" w:color="auto" w:sz="4" w:space="0"/>
              <w:right w:val="single" w:color="auto" w:sz="12" w:space="0"/>
            </w:tcBorders>
            <w:noWrap w:val="0"/>
            <w:vAlign w:val="center"/>
          </w:tcPr>
          <w:p w14:paraId="378788E9">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7</w:t>
            </w:r>
          </w:p>
        </w:tc>
      </w:tr>
      <w:tr w14:paraId="1B7F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35C127D4">
            <w:pPr>
              <w:rPr>
                <w:color w:val="000000"/>
                <w:sz w:val="21"/>
                <w:szCs w:val="21"/>
              </w:rPr>
            </w:pPr>
            <w:r>
              <w:rPr>
                <w:rFonts w:hint="eastAsia" w:ascii="Times New Roman" w:hAnsi="Times New Roman"/>
                <w:bCs/>
                <w:color w:val="000000"/>
                <w:sz w:val="21"/>
                <w:szCs w:val="21"/>
              </w:rPr>
              <w:t xml:space="preserve">第一单元 </w:t>
            </w:r>
            <w:r>
              <w:rPr>
                <w:rFonts w:hint="eastAsia"/>
                <w:color w:val="000000"/>
                <w:sz w:val="21"/>
                <w:szCs w:val="21"/>
              </w:rPr>
              <w:t>药理学总论</w:t>
            </w:r>
          </w:p>
        </w:tc>
        <w:tc>
          <w:tcPr>
            <w:tcW w:w="905" w:type="dxa"/>
            <w:noWrap w:val="0"/>
            <w:vAlign w:val="center"/>
          </w:tcPr>
          <w:p w14:paraId="522C723D">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232E9516">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6D8628FD">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18BEA18F">
            <w:pPr>
              <w:jc w:val="center"/>
              <w:rPr>
                <w:rFonts w:ascii="Times New Roman" w:hAnsi="Times New Roman"/>
                <w:color w:val="000000"/>
                <w:sz w:val="21"/>
                <w:szCs w:val="21"/>
              </w:rPr>
            </w:pPr>
          </w:p>
        </w:tc>
        <w:tc>
          <w:tcPr>
            <w:tcW w:w="992" w:type="dxa"/>
            <w:noWrap w:val="0"/>
            <w:vAlign w:val="center"/>
          </w:tcPr>
          <w:p w14:paraId="59FC99F6">
            <w:pPr>
              <w:jc w:val="center"/>
              <w:rPr>
                <w:rFonts w:ascii="Times New Roman" w:hAnsi="Times New Roman"/>
                <w:color w:val="000000"/>
                <w:sz w:val="21"/>
                <w:szCs w:val="21"/>
              </w:rPr>
            </w:pPr>
          </w:p>
        </w:tc>
        <w:tc>
          <w:tcPr>
            <w:tcW w:w="993" w:type="dxa"/>
            <w:tcBorders>
              <w:top w:val="single" w:color="auto" w:sz="4" w:space="0"/>
              <w:bottom w:val="single" w:color="auto" w:sz="4" w:space="0"/>
              <w:right w:val="single" w:color="auto" w:sz="4" w:space="0"/>
            </w:tcBorders>
            <w:noWrap w:val="0"/>
            <w:vAlign w:val="center"/>
          </w:tcPr>
          <w:p w14:paraId="3442B40C">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top"/>
          </w:tcPr>
          <w:p w14:paraId="67A25029">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0BA3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7CF3B90C">
            <w:pPr>
              <w:rPr>
                <w:color w:val="000000"/>
                <w:sz w:val="21"/>
                <w:szCs w:val="21"/>
              </w:rPr>
            </w:pPr>
            <w:r>
              <w:rPr>
                <w:rFonts w:hint="eastAsia"/>
                <w:bCs/>
                <w:color w:val="000000"/>
                <w:sz w:val="21"/>
                <w:szCs w:val="21"/>
              </w:rPr>
              <w:t xml:space="preserve">第二单元 </w:t>
            </w:r>
            <w:r>
              <w:rPr>
                <w:rFonts w:hint="eastAsia"/>
                <w:color w:val="000000"/>
                <w:sz w:val="21"/>
                <w:szCs w:val="21"/>
              </w:rPr>
              <w:t>药物效应动力学</w:t>
            </w:r>
          </w:p>
        </w:tc>
        <w:tc>
          <w:tcPr>
            <w:tcW w:w="905" w:type="dxa"/>
            <w:noWrap w:val="0"/>
            <w:vAlign w:val="center"/>
          </w:tcPr>
          <w:p w14:paraId="51B8367F">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20B2525B">
            <w:pPr>
              <w:jc w:val="center"/>
              <w:rPr>
                <w:rFonts w:ascii="Times New Roman" w:hAnsi="Times New Roman"/>
                <w:color w:val="000000"/>
                <w:sz w:val="21"/>
                <w:szCs w:val="21"/>
              </w:rPr>
            </w:pPr>
          </w:p>
        </w:tc>
        <w:tc>
          <w:tcPr>
            <w:tcW w:w="793" w:type="dxa"/>
            <w:noWrap w:val="0"/>
            <w:vAlign w:val="center"/>
          </w:tcPr>
          <w:p w14:paraId="0BB4C96D">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222B4945">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noWrap w:val="0"/>
            <w:vAlign w:val="center"/>
          </w:tcPr>
          <w:p w14:paraId="5C0E8369">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op w:val="single" w:color="auto" w:sz="4" w:space="0"/>
              <w:bottom w:val="single" w:color="auto" w:sz="4" w:space="0"/>
              <w:right w:val="single" w:color="auto" w:sz="4" w:space="0"/>
            </w:tcBorders>
            <w:noWrap w:val="0"/>
            <w:vAlign w:val="center"/>
          </w:tcPr>
          <w:p w14:paraId="6AF4ABF0">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center"/>
          </w:tcPr>
          <w:p w14:paraId="0CC96696">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761A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38815317">
            <w:pPr>
              <w:rPr>
                <w:color w:val="000000"/>
                <w:sz w:val="21"/>
                <w:szCs w:val="21"/>
              </w:rPr>
            </w:pPr>
            <w:r>
              <w:rPr>
                <w:rFonts w:hint="eastAsia"/>
                <w:bCs/>
                <w:color w:val="000000"/>
                <w:sz w:val="21"/>
                <w:szCs w:val="21"/>
              </w:rPr>
              <w:t xml:space="preserve">第三单元 </w:t>
            </w:r>
            <w:r>
              <w:rPr>
                <w:rFonts w:hint="eastAsia"/>
                <w:color w:val="000000"/>
                <w:sz w:val="21"/>
                <w:szCs w:val="21"/>
              </w:rPr>
              <w:t>药物代谢动力学</w:t>
            </w:r>
          </w:p>
        </w:tc>
        <w:tc>
          <w:tcPr>
            <w:tcW w:w="905" w:type="dxa"/>
            <w:noWrap w:val="0"/>
            <w:vAlign w:val="center"/>
          </w:tcPr>
          <w:p w14:paraId="159C52D2">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3B5BB9A5">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43F150B2">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64BDB4D0">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noWrap w:val="0"/>
            <w:vAlign w:val="center"/>
          </w:tcPr>
          <w:p w14:paraId="5210AB2F">
            <w:pPr>
              <w:jc w:val="center"/>
              <w:rPr>
                <w:rFonts w:ascii="Times New Roman" w:hAnsi="Times New Roman"/>
                <w:color w:val="000000"/>
                <w:sz w:val="21"/>
                <w:szCs w:val="21"/>
              </w:rPr>
            </w:pPr>
          </w:p>
        </w:tc>
        <w:tc>
          <w:tcPr>
            <w:tcW w:w="993" w:type="dxa"/>
            <w:tcBorders>
              <w:top w:val="single" w:color="auto" w:sz="4" w:space="0"/>
              <w:bottom w:val="single" w:color="auto" w:sz="4" w:space="0"/>
              <w:right w:val="single" w:color="auto" w:sz="4" w:space="0"/>
            </w:tcBorders>
            <w:noWrap w:val="0"/>
            <w:vAlign w:val="center"/>
          </w:tcPr>
          <w:p w14:paraId="61D876F8">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center"/>
          </w:tcPr>
          <w:p w14:paraId="59694FDA">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18C3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84" w:hRule="atLeast"/>
          <w:jc w:val="center"/>
        </w:trPr>
        <w:tc>
          <w:tcPr>
            <w:tcW w:w="1931" w:type="dxa"/>
            <w:tcBorders>
              <w:left w:val="single" w:color="auto" w:sz="12" w:space="0"/>
            </w:tcBorders>
            <w:noWrap w:val="0"/>
            <w:vAlign w:val="top"/>
          </w:tcPr>
          <w:p w14:paraId="002CEC93">
            <w:pPr>
              <w:rPr>
                <w:color w:val="000000"/>
                <w:sz w:val="21"/>
                <w:szCs w:val="21"/>
              </w:rPr>
            </w:pPr>
            <w:r>
              <w:rPr>
                <w:rFonts w:hint="eastAsia"/>
                <w:bCs/>
                <w:color w:val="000000"/>
                <w:sz w:val="21"/>
                <w:szCs w:val="21"/>
              </w:rPr>
              <w:t xml:space="preserve">第四单元 </w:t>
            </w:r>
            <w:r>
              <w:rPr>
                <w:rFonts w:hint="eastAsia"/>
                <w:color w:val="000000"/>
                <w:sz w:val="21"/>
                <w:szCs w:val="21"/>
              </w:rPr>
              <w:t>影响药物效应的因素及合理用药原则</w:t>
            </w:r>
          </w:p>
        </w:tc>
        <w:tc>
          <w:tcPr>
            <w:tcW w:w="905" w:type="dxa"/>
            <w:noWrap w:val="0"/>
            <w:vAlign w:val="center"/>
          </w:tcPr>
          <w:p w14:paraId="59DCF06F">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494F8356">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3680EB8A">
            <w:pPr>
              <w:jc w:val="center"/>
              <w:rPr>
                <w:rFonts w:ascii="Times New Roman" w:hAnsi="Times New Roman"/>
                <w:color w:val="000000"/>
                <w:sz w:val="21"/>
                <w:szCs w:val="21"/>
              </w:rPr>
            </w:pPr>
          </w:p>
        </w:tc>
        <w:tc>
          <w:tcPr>
            <w:tcW w:w="850" w:type="dxa"/>
            <w:noWrap w:val="0"/>
            <w:vAlign w:val="center"/>
          </w:tcPr>
          <w:p w14:paraId="1A377AF9">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noWrap w:val="0"/>
            <w:vAlign w:val="center"/>
          </w:tcPr>
          <w:p w14:paraId="5D0ED0FF">
            <w:pPr>
              <w:jc w:val="center"/>
              <w:rPr>
                <w:rFonts w:ascii="Times New Roman" w:hAnsi="Times New Roman"/>
                <w:color w:val="000000"/>
                <w:sz w:val="21"/>
                <w:szCs w:val="21"/>
              </w:rPr>
            </w:pPr>
          </w:p>
        </w:tc>
        <w:tc>
          <w:tcPr>
            <w:tcW w:w="993" w:type="dxa"/>
            <w:tcBorders>
              <w:top w:val="single" w:color="auto" w:sz="4" w:space="0"/>
              <w:bottom w:val="single" w:color="auto" w:sz="4" w:space="0"/>
              <w:right w:val="single" w:color="auto" w:sz="4" w:space="0"/>
            </w:tcBorders>
            <w:noWrap w:val="0"/>
            <w:vAlign w:val="center"/>
          </w:tcPr>
          <w:p w14:paraId="48D2E31D">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right w:val="single" w:color="auto" w:sz="12" w:space="0"/>
            </w:tcBorders>
            <w:noWrap w:val="0"/>
            <w:vAlign w:val="center"/>
          </w:tcPr>
          <w:p w14:paraId="524D0D36">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5718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5974EE11">
            <w:pPr>
              <w:rPr>
                <w:color w:val="000000"/>
                <w:sz w:val="21"/>
                <w:szCs w:val="21"/>
              </w:rPr>
            </w:pPr>
            <w:r>
              <w:rPr>
                <w:rFonts w:hint="eastAsia"/>
                <w:bCs/>
                <w:color w:val="000000"/>
                <w:sz w:val="21"/>
                <w:szCs w:val="21"/>
              </w:rPr>
              <w:t xml:space="preserve">第五单元 </w:t>
            </w:r>
            <w:r>
              <w:rPr>
                <w:rFonts w:hint="eastAsia"/>
                <w:color w:val="000000"/>
                <w:sz w:val="21"/>
                <w:szCs w:val="21"/>
              </w:rPr>
              <w:t>传出神经系统药物</w:t>
            </w:r>
          </w:p>
        </w:tc>
        <w:tc>
          <w:tcPr>
            <w:tcW w:w="905" w:type="dxa"/>
            <w:noWrap w:val="0"/>
            <w:vAlign w:val="center"/>
          </w:tcPr>
          <w:p w14:paraId="7AB302C6">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310A55AC">
            <w:pPr>
              <w:jc w:val="center"/>
              <w:rPr>
                <w:rFonts w:ascii="Times New Roman" w:hAnsi="Times New Roman"/>
                <w:color w:val="000000"/>
                <w:sz w:val="21"/>
                <w:szCs w:val="21"/>
              </w:rPr>
            </w:pPr>
          </w:p>
        </w:tc>
        <w:tc>
          <w:tcPr>
            <w:tcW w:w="793" w:type="dxa"/>
            <w:noWrap w:val="0"/>
            <w:vAlign w:val="center"/>
          </w:tcPr>
          <w:p w14:paraId="18C89BB1">
            <w:pPr>
              <w:jc w:val="center"/>
              <w:rPr>
                <w:rFonts w:ascii="Times New Roman" w:hAnsi="Times New Roman"/>
                <w:color w:val="000000"/>
                <w:sz w:val="21"/>
                <w:szCs w:val="21"/>
              </w:rPr>
            </w:pPr>
          </w:p>
        </w:tc>
        <w:tc>
          <w:tcPr>
            <w:tcW w:w="850" w:type="dxa"/>
            <w:noWrap w:val="0"/>
            <w:vAlign w:val="center"/>
          </w:tcPr>
          <w:p w14:paraId="2A405540">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noWrap w:val="0"/>
            <w:vAlign w:val="center"/>
          </w:tcPr>
          <w:p w14:paraId="64422EB5">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top w:val="single" w:color="auto" w:sz="4" w:space="0"/>
              <w:bottom w:val="single" w:color="auto" w:sz="4" w:space="0"/>
              <w:right w:val="single" w:color="auto" w:sz="4" w:space="0"/>
            </w:tcBorders>
            <w:noWrap w:val="0"/>
            <w:vAlign w:val="center"/>
          </w:tcPr>
          <w:p w14:paraId="079F4FDE">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right w:val="single" w:color="auto" w:sz="12" w:space="0"/>
            </w:tcBorders>
            <w:noWrap w:val="0"/>
            <w:vAlign w:val="center"/>
          </w:tcPr>
          <w:p w14:paraId="696A0FA4">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23D4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1EF0586B">
            <w:pPr>
              <w:rPr>
                <w:rFonts w:ascii="Times New Roman" w:hAnsi="Times New Roman"/>
                <w:color w:val="000000"/>
                <w:sz w:val="21"/>
                <w:szCs w:val="21"/>
              </w:rPr>
            </w:pPr>
            <w:r>
              <w:rPr>
                <w:rFonts w:hint="eastAsia" w:ascii="Times New Roman" w:hAnsi="Times New Roman"/>
                <w:bCs/>
                <w:color w:val="000000"/>
                <w:sz w:val="21"/>
                <w:szCs w:val="21"/>
              </w:rPr>
              <w:t xml:space="preserve">第六单元 </w:t>
            </w:r>
            <w:r>
              <w:rPr>
                <w:rFonts w:hint="eastAsia" w:ascii="Times New Roman" w:hAnsi="Times New Roman"/>
                <w:color w:val="000000"/>
                <w:sz w:val="21"/>
                <w:szCs w:val="21"/>
              </w:rPr>
              <w:t xml:space="preserve">麻醉药、镇静催眠药和抗惊厥药、抗癫痫药  </w:t>
            </w:r>
          </w:p>
        </w:tc>
        <w:tc>
          <w:tcPr>
            <w:tcW w:w="905" w:type="dxa"/>
            <w:noWrap w:val="0"/>
            <w:vAlign w:val="center"/>
          </w:tcPr>
          <w:p w14:paraId="18AE76EA">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7A337F4C">
            <w:pPr>
              <w:jc w:val="center"/>
              <w:rPr>
                <w:rFonts w:ascii="Times New Roman" w:hAnsi="Times New Roman"/>
                <w:color w:val="000000"/>
                <w:sz w:val="21"/>
                <w:szCs w:val="21"/>
              </w:rPr>
            </w:pPr>
          </w:p>
        </w:tc>
        <w:tc>
          <w:tcPr>
            <w:tcW w:w="793" w:type="dxa"/>
            <w:noWrap w:val="0"/>
            <w:vAlign w:val="center"/>
          </w:tcPr>
          <w:p w14:paraId="1602B10B">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30115768">
            <w:pPr>
              <w:jc w:val="center"/>
              <w:rPr>
                <w:rFonts w:ascii="Times New Roman" w:hAnsi="Times New Roman"/>
                <w:color w:val="000000"/>
                <w:sz w:val="21"/>
                <w:szCs w:val="21"/>
              </w:rPr>
            </w:pPr>
          </w:p>
        </w:tc>
        <w:tc>
          <w:tcPr>
            <w:tcW w:w="992" w:type="dxa"/>
            <w:noWrap w:val="0"/>
            <w:vAlign w:val="center"/>
          </w:tcPr>
          <w:p w14:paraId="51D52EC9">
            <w:pPr>
              <w:jc w:val="center"/>
              <w:rPr>
                <w:rFonts w:ascii="Times New Roman" w:hAnsi="Times New Roman"/>
                <w:color w:val="000000"/>
                <w:sz w:val="21"/>
                <w:szCs w:val="21"/>
              </w:rPr>
            </w:pPr>
          </w:p>
        </w:tc>
        <w:tc>
          <w:tcPr>
            <w:tcW w:w="993" w:type="dxa"/>
            <w:tcBorders>
              <w:top w:val="single" w:color="auto" w:sz="4" w:space="0"/>
              <w:bottom w:val="single" w:color="auto" w:sz="4" w:space="0"/>
              <w:right w:val="single" w:color="auto" w:sz="4" w:space="0"/>
            </w:tcBorders>
            <w:noWrap w:val="0"/>
            <w:vAlign w:val="center"/>
          </w:tcPr>
          <w:p w14:paraId="1E26B4E4">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top"/>
          </w:tcPr>
          <w:p w14:paraId="10D11975">
            <w:pPr>
              <w:jc w:val="center"/>
              <w:rPr>
                <w:rFonts w:ascii="Times New Roman" w:hAnsi="Times New Roman"/>
                <w:color w:val="000000"/>
                <w:sz w:val="21"/>
                <w:szCs w:val="21"/>
              </w:rPr>
            </w:pPr>
          </w:p>
        </w:tc>
      </w:tr>
      <w:tr w14:paraId="7D29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104A57E2">
            <w:pPr>
              <w:rPr>
                <w:rFonts w:ascii="Times New Roman" w:hAnsi="Times New Roman"/>
                <w:color w:val="000000"/>
                <w:sz w:val="21"/>
                <w:szCs w:val="21"/>
              </w:rPr>
            </w:pPr>
            <w:r>
              <w:rPr>
                <w:rFonts w:hint="eastAsia" w:ascii="Times New Roman" w:hAnsi="Times New Roman"/>
                <w:bCs/>
                <w:color w:val="000000"/>
                <w:sz w:val="21"/>
                <w:szCs w:val="21"/>
              </w:rPr>
              <w:t xml:space="preserve">第七单元 </w:t>
            </w:r>
            <w:r>
              <w:rPr>
                <w:rFonts w:hint="eastAsia" w:ascii="Times New Roman" w:hAnsi="Times New Roman"/>
                <w:color w:val="000000"/>
                <w:sz w:val="21"/>
                <w:szCs w:val="21"/>
              </w:rPr>
              <w:t>抗帕金森病药和治疗阿尔兹海默病药、抗精神失常药</w:t>
            </w:r>
          </w:p>
        </w:tc>
        <w:tc>
          <w:tcPr>
            <w:tcW w:w="905" w:type="dxa"/>
            <w:noWrap w:val="0"/>
            <w:vAlign w:val="center"/>
          </w:tcPr>
          <w:p w14:paraId="622867F3">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20DB4C4E">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33C2487A">
            <w:pPr>
              <w:jc w:val="center"/>
              <w:rPr>
                <w:rFonts w:ascii="Times New Roman" w:hAnsi="Times New Roman"/>
                <w:color w:val="000000"/>
                <w:sz w:val="21"/>
                <w:szCs w:val="21"/>
              </w:rPr>
            </w:pPr>
          </w:p>
        </w:tc>
        <w:tc>
          <w:tcPr>
            <w:tcW w:w="850" w:type="dxa"/>
            <w:noWrap w:val="0"/>
            <w:vAlign w:val="center"/>
          </w:tcPr>
          <w:p w14:paraId="079392FF">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noWrap w:val="0"/>
            <w:vAlign w:val="center"/>
          </w:tcPr>
          <w:p w14:paraId="22C4D612">
            <w:pPr>
              <w:jc w:val="center"/>
              <w:rPr>
                <w:rFonts w:ascii="Times New Roman" w:hAnsi="Times New Roman"/>
                <w:color w:val="000000"/>
                <w:sz w:val="21"/>
                <w:szCs w:val="21"/>
              </w:rPr>
            </w:pPr>
          </w:p>
        </w:tc>
        <w:tc>
          <w:tcPr>
            <w:tcW w:w="993" w:type="dxa"/>
            <w:tcBorders>
              <w:top w:val="single" w:color="auto" w:sz="4" w:space="0"/>
              <w:right w:val="single" w:color="auto" w:sz="4" w:space="0"/>
            </w:tcBorders>
            <w:noWrap w:val="0"/>
            <w:vAlign w:val="center"/>
          </w:tcPr>
          <w:p w14:paraId="748A9B7C">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bottom w:val="single" w:color="auto" w:sz="4" w:space="0"/>
              <w:right w:val="single" w:color="auto" w:sz="12" w:space="0"/>
            </w:tcBorders>
            <w:noWrap w:val="0"/>
            <w:vAlign w:val="top"/>
          </w:tcPr>
          <w:p w14:paraId="5DFE1E5E">
            <w:pPr>
              <w:jc w:val="center"/>
              <w:rPr>
                <w:rFonts w:hint="eastAsia" w:ascii="Times New Roman" w:hAnsi="Times New Roman"/>
                <w:color w:val="000000"/>
                <w:sz w:val="21"/>
                <w:szCs w:val="21"/>
              </w:rPr>
            </w:pPr>
          </w:p>
        </w:tc>
      </w:tr>
      <w:tr w14:paraId="0DE3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58" w:hRule="atLeast"/>
          <w:jc w:val="center"/>
        </w:trPr>
        <w:tc>
          <w:tcPr>
            <w:tcW w:w="1931" w:type="dxa"/>
            <w:tcBorders>
              <w:left w:val="single" w:color="auto" w:sz="12" w:space="0"/>
            </w:tcBorders>
            <w:noWrap w:val="0"/>
            <w:vAlign w:val="top"/>
          </w:tcPr>
          <w:p w14:paraId="18BC270C">
            <w:pPr>
              <w:rPr>
                <w:rFonts w:ascii="Times New Roman" w:hAnsi="Times New Roman"/>
                <w:color w:val="000000"/>
                <w:sz w:val="21"/>
                <w:szCs w:val="21"/>
              </w:rPr>
            </w:pPr>
            <w:r>
              <w:rPr>
                <w:rFonts w:hint="eastAsia" w:ascii="Times New Roman" w:hAnsi="Times New Roman"/>
                <w:bCs/>
                <w:color w:val="000000"/>
                <w:sz w:val="21"/>
                <w:szCs w:val="21"/>
              </w:rPr>
              <w:t xml:space="preserve">第八单元 </w:t>
            </w:r>
            <w:r>
              <w:rPr>
                <w:rFonts w:hint="eastAsia" w:ascii="Times New Roman" w:hAnsi="Times New Roman"/>
                <w:color w:val="000000"/>
                <w:sz w:val="21"/>
                <w:szCs w:val="21"/>
              </w:rPr>
              <w:t>镇痛药、解热镇痛抗炎药、中枢兴奋药</w:t>
            </w:r>
          </w:p>
        </w:tc>
        <w:tc>
          <w:tcPr>
            <w:tcW w:w="905" w:type="dxa"/>
            <w:noWrap w:val="0"/>
            <w:vAlign w:val="center"/>
          </w:tcPr>
          <w:p w14:paraId="62291320">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2411CF4B">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70758ABD">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5607B7C8">
            <w:pPr>
              <w:jc w:val="center"/>
              <w:rPr>
                <w:rFonts w:ascii="Times New Roman" w:hAnsi="Times New Roman"/>
                <w:color w:val="000000"/>
                <w:sz w:val="21"/>
                <w:szCs w:val="21"/>
              </w:rPr>
            </w:pPr>
          </w:p>
        </w:tc>
        <w:tc>
          <w:tcPr>
            <w:tcW w:w="992" w:type="dxa"/>
            <w:noWrap w:val="0"/>
            <w:vAlign w:val="center"/>
          </w:tcPr>
          <w:p w14:paraId="01070C39">
            <w:pPr>
              <w:jc w:val="center"/>
              <w:rPr>
                <w:rFonts w:ascii="Times New Roman" w:hAnsi="Times New Roman"/>
                <w:color w:val="000000"/>
                <w:sz w:val="21"/>
                <w:szCs w:val="21"/>
              </w:rPr>
            </w:pPr>
          </w:p>
        </w:tc>
        <w:tc>
          <w:tcPr>
            <w:tcW w:w="993" w:type="dxa"/>
            <w:tcBorders>
              <w:right w:val="single" w:color="auto" w:sz="4" w:space="0"/>
            </w:tcBorders>
            <w:noWrap w:val="0"/>
            <w:vAlign w:val="center"/>
          </w:tcPr>
          <w:p w14:paraId="628F5F12">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right w:val="single" w:color="auto" w:sz="12" w:space="0"/>
            </w:tcBorders>
            <w:noWrap w:val="0"/>
            <w:vAlign w:val="center"/>
          </w:tcPr>
          <w:p w14:paraId="4A608D1A">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174D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1E8DFFF1">
            <w:pPr>
              <w:rPr>
                <w:rFonts w:ascii="Times New Roman" w:hAnsi="Times New Roman"/>
                <w:color w:val="000000"/>
                <w:sz w:val="21"/>
                <w:szCs w:val="21"/>
              </w:rPr>
            </w:pPr>
            <w:r>
              <w:rPr>
                <w:rFonts w:hint="eastAsia" w:ascii="Times New Roman" w:hAnsi="Times New Roman"/>
                <w:bCs/>
                <w:color w:val="000000"/>
                <w:sz w:val="21"/>
                <w:szCs w:val="21"/>
              </w:rPr>
              <w:t xml:space="preserve">第九单元 </w:t>
            </w:r>
            <w:r>
              <w:rPr>
                <w:rFonts w:hint="eastAsia" w:ascii="Times New Roman" w:hAnsi="Times New Roman"/>
                <w:color w:val="000000"/>
                <w:sz w:val="21"/>
                <w:szCs w:val="21"/>
              </w:rPr>
              <w:t>利尿药及脱水药、抗高血压药</w:t>
            </w:r>
          </w:p>
        </w:tc>
        <w:tc>
          <w:tcPr>
            <w:tcW w:w="905" w:type="dxa"/>
            <w:noWrap w:val="0"/>
            <w:vAlign w:val="center"/>
          </w:tcPr>
          <w:p w14:paraId="09E9394C">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5CC2A952">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63939827">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65D45BB0">
            <w:pPr>
              <w:jc w:val="center"/>
              <w:rPr>
                <w:rFonts w:ascii="Times New Roman" w:hAnsi="Times New Roman"/>
                <w:color w:val="000000"/>
                <w:sz w:val="21"/>
                <w:szCs w:val="21"/>
              </w:rPr>
            </w:pPr>
          </w:p>
        </w:tc>
        <w:tc>
          <w:tcPr>
            <w:tcW w:w="992" w:type="dxa"/>
            <w:noWrap w:val="0"/>
            <w:vAlign w:val="center"/>
          </w:tcPr>
          <w:p w14:paraId="0ECAD84A">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right w:val="single" w:color="auto" w:sz="4" w:space="0"/>
            </w:tcBorders>
            <w:noWrap w:val="0"/>
            <w:vAlign w:val="center"/>
          </w:tcPr>
          <w:p w14:paraId="299D81B1">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center"/>
          </w:tcPr>
          <w:p w14:paraId="71593FEC">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06DF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588E1B26">
            <w:pPr>
              <w:rPr>
                <w:rFonts w:hint="eastAsia" w:ascii="Times New Roman" w:hAnsi="Times New Roman"/>
                <w:bCs/>
                <w:color w:val="000000"/>
                <w:sz w:val="21"/>
                <w:szCs w:val="21"/>
              </w:rPr>
            </w:pPr>
            <w:r>
              <w:rPr>
                <w:rFonts w:hint="eastAsia" w:ascii="Times New Roman" w:hAnsi="Times New Roman"/>
                <w:bCs/>
                <w:color w:val="000000"/>
                <w:sz w:val="21"/>
                <w:szCs w:val="21"/>
              </w:rPr>
              <w:t xml:space="preserve">第十单元 </w:t>
            </w:r>
            <w:r>
              <w:rPr>
                <w:rFonts w:hint="eastAsia" w:ascii="Times New Roman" w:hAnsi="Times New Roman"/>
                <w:color w:val="000000"/>
                <w:sz w:val="21"/>
                <w:szCs w:val="21"/>
              </w:rPr>
              <w:t>抗心绞痛药、抗心律失常药</w:t>
            </w:r>
          </w:p>
        </w:tc>
        <w:tc>
          <w:tcPr>
            <w:tcW w:w="905" w:type="dxa"/>
            <w:noWrap w:val="0"/>
            <w:vAlign w:val="center"/>
          </w:tcPr>
          <w:p w14:paraId="08116457">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03159606">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05151AC7">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32BB5E3A">
            <w:pPr>
              <w:jc w:val="center"/>
              <w:rPr>
                <w:rFonts w:ascii="Times New Roman" w:hAnsi="Times New Roman"/>
                <w:color w:val="000000"/>
                <w:sz w:val="21"/>
                <w:szCs w:val="21"/>
              </w:rPr>
            </w:pPr>
          </w:p>
        </w:tc>
        <w:tc>
          <w:tcPr>
            <w:tcW w:w="992" w:type="dxa"/>
            <w:noWrap w:val="0"/>
            <w:vAlign w:val="center"/>
          </w:tcPr>
          <w:p w14:paraId="755346AA">
            <w:pPr>
              <w:jc w:val="center"/>
              <w:rPr>
                <w:rFonts w:hint="eastAsia" w:ascii="Times New Roman" w:hAnsi="Times New Roman"/>
                <w:color w:val="000000"/>
                <w:sz w:val="21"/>
                <w:szCs w:val="21"/>
              </w:rPr>
            </w:pPr>
          </w:p>
        </w:tc>
        <w:tc>
          <w:tcPr>
            <w:tcW w:w="993" w:type="dxa"/>
            <w:tcBorders>
              <w:right w:val="single" w:color="auto" w:sz="4" w:space="0"/>
            </w:tcBorders>
            <w:noWrap w:val="0"/>
            <w:vAlign w:val="center"/>
          </w:tcPr>
          <w:p w14:paraId="78845347">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top"/>
          </w:tcPr>
          <w:p w14:paraId="303A3FE6">
            <w:pPr>
              <w:jc w:val="center"/>
              <w:rPr>
                <w:rFonts w:ascii="Times New Roman" w:hAnsi="Times New Roman"/>
                <w:color w:val="000000"/>
                <w:sz w:val="21"/>
                <w:szCs w:val="21"/>
              </w:rPr>
            </w:pPr>
          </w:p>
        </w:tc>
      </w:tr>
      <w:tr w14:paraId="28C6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6D61C2CF">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第十一单元 </w:t>
            </w:r>
            <w:r>
              <w:rPr>
                <w:rFonts w:hint="eastAsia" w:ascii="Times New Roman" w:hAnsi="Times New Roman"/>
                <w:color w:val="000000"/>
                <w:sz w:val="21"/>
                <w:szCs w:val="21"/>
              </w:rPr>
              <w:t xml:space="preserve">抗慢性心功能不全药、抗动脉粥样硬化药  </w:t>
            </w:r>
          </w:p>
        </w:tc>
        <w:tc>
          <w:tcPr>
            <w:tcW w:w="905" w:type="dxa"/>
            <w:noWrap w:val="0"/>
            <w:vAlign w:val="center"/>
          </w:tcPr>
          <w:p w14:paraId="54242B3C">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0DE5F7C4">
            <w:pPr>
              <w:jc w:val="center"/>
              <w:rPr>
                <w:rFonts w:hint="eastAsia" w:ascii="Times New Roman" w:hAnsi="Times New Roman"/>
                <w:color w:val="000000"/>
                <w:sz w:val="21"/>
                <w:szCs w:val="21"/>
              </w:rPr>
            </w:pPr>
          </w:p>
        </w:tc>
        <w:tc>
          <w:tcPr>
            <w:tcW w:w="793" w:type="dxa"/>
            <w:noWrap w:val="0"/>
            <w:vAlign w:val="center"/>
          </w:tcPr>
          <w:p w14:paraId="22C30C71">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21BD83BD">
            <w:pPr>
              <w:jc w:val="center"/>
              <w:rPr>
                <w:rFonts w:ascii="Times New Roman" w:hAnsi="Times New Roman"/>
                <w:color w:val="000000"/>
                <w:sz w:val="21"/>
                <w:szCs w:val="21"/>
              </w:rPr>
            </w:pPr>
          </w:p>
        </w:tc>
        <w:tc>
          <w:tcPr>
            <w:tcW w:w="992" w:type="dxa"/>
            <w:noWrap w:val="0"/>
            <w:vAlign w:val="center"/>
          </w:tcPr>
          <w:p w14:paraId="1265B646">
            <w:pPr>
              <w:jc w:val="center"/>
              <w:rPr>
                <w:rFonts w:hint="eastAsia" w:ascii="Times New Roman" w:hAnsi="Times New Roman"/>
                <w:color w:val="000000"/>
                <w:sz w:val="21"/>
                <w:szCs w:val="21"/>
              </w:rPr>
            </w:pPr>
            <w:r>
              <w:rPr>
                <w:rFonts w:hint="eastAsia" w:ascii="Times New Roman" w:hAnsi="Times New Roman"/>
                <w:color w:val="000000"/>
                <w:sz w:val="21"/>
                <w:szCs w:val="21"/>
              </w:rPr>
              <w:t>√</w:t>
            </w:r>
          </w:p>
        </w:tc>
        <w:tc>
          <w:tcPr>
            <w:tcW w:w="993" w:type="dxa"/>
            <w:tcBorders>
              <w:right w:val="single" w:color="auto" w:sz="4" w:space="0"/>
            </w:tcBorders>
            <w:noWrap w:val="0"/>
            <w:vAlign w:val="center"/>
          </w:tcPr>
          <w:p w14:paraId="4B767F96">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top"/>
          </w:tcPr>
          <w:p w14:paraId="6AEF1AA8">
            <w:pPr>
              <w:jc w:val="center"/>
              <w:rPr>
                <w:rFonts w:ascii="Times New Roman" w:hAnsi="Times New Roman"/>
                <w:color w:val="000000"/>
                <w:sz w:val="21"/>
                <w:szCs w:val="21"/>
              </w:rPr>
            </w:pPr>
          </w:p>
        </w:tc>
      </w:tr>
      <w:tr w14:paraId="3C65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4257E8B2">
            <w:pPr>
              <w:rPr>
                <w:rFonts w:hint="eastAsia" w:ascii="Times New Roman" w:hAnsi="Times New Roman"/>
                <w:color w:val="000000"/>
                <w:sz w:val="18"/>
                <w:szCs w:val="18"/>
              </w:rPr>
            </w:pPr>
            <w:r>
              <w:rPr>
                <w:rFonts w:hint="eastAsia" w:ascii="Times New Roman" w:hAnsi="Times New Roman"/>
                <w:bCs/>
                <w:color w:val="000000"/>
                <w:sz w:val="21"/>
                <w:szCs w:val="21"/>
              </w:rPr>
              <w:t xml:space="preserve">第十二单元 </w:t>
            </w:r>
            <w:r>
              <w:rPr>
                <w:rFonts w:hint="eastAsia" w:ascii="Times New Roman" w:hAnsi="Times New Roman"/>
                <w:color w:val="000000"/>
                <w:sz w:val="21"/>
                <w:szCs w:val="21"/>
              </w:rPr>
              <w:t>作用于呼吸系统疾病药物、作用于消化系统疾病药物</w:t>
            </w:r>
          </w:p>
        </w:tc>
        <w:tc>
          <w:tcPr>
            <w:tcW w:w="905" w:type="dxa"/>
            <w:noWrap w:val="0"/>
            <w:vAlign w:val="center"/>
          </w:tcPr>
          <w:p w14:paraId="683A5F16">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08BC4625">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2BBF7E10">
            <w:pPr>
              <w:jc w:val="center"/>
              <w:rPr>
                <w:rFonts w:hint="eastAsia" w:ascii="Times New Roman" w:hAnsi="Times New Roman"/>
                <w:color w:val="000000"/>
                <w:sz w:val="21"/>
                <w:szCs w:val="21"/>
              </w:rPr>
            </w:pPr>
          </w:p>
        </w:tc>
        <w:tc>
          <w:tcPr>
            <w:tcW w:w="850" w:type="dxa"/>
            <w:noWrap w:val="0"/>
            <w:vAlign w:val="center"/>
          </w:tcPr>
          <w:p w14:paraId="7FACF8EA">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noWrap w:val="0"/>
            <w:vAlign w:val="center"/>
          </w:tcPr>
          <w:p w14:paraId="4A8659EB">
            <w:pPr>
              <w:jc w:val="center"/>
              <w:rPr>
                <w:rFonts w:hint="eastAsia" w:ascii="Times New Roman" w:hAnsi="Times New Roman"/>
                <w:color w:val="000000"/>
                <w:sz w:val="21"/>
                <w:szCs w:val="21"/>
              </w:rPr>
            </w:pPr>
            <w:r>
              <w:rPr>
                <w:rFonts w:hint="eastAsia" w:ascii="Times New Roman" w:hAnsi="Times New Roman"/>
                <w:color w:val="000000"/>
                <w:sz w:val="21"/>
                <w:szCs w:val="21"/>
              </w:rPr>
              <w:t>√</w:t>
            </w:r>
          </w:p>
        </w:tc>
        <w:tc>
          <w:tcPr>
            <w:tcW w:w="993" w:type="dxa"/>
            <w:tcBorders>
              <w:right w:val="single" w:color="auto" w:sz="4" w:space="0"/>
            </w:tcBorders>
            <w:noWrap w:val="0"/>
            <w:vAlign w:val="center"/>
          </w:tcPr>
          <w:p w14:paraId="5C0CCC42">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center"/>
          </w:tcPr>
          <w:p w14:paraId="62A88024">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7784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0E5AA482">
            <w:pPr>
              <w:rPr>
                <w:rFonts w:hint="eastAsia" w:ascii="Times New Roman" w:hAnsi="Times New Roman"/>
                <w:color w:val="000000"/>
                <w:sz w:val="21"/>
                <w:szCs w:val="21"/>
              </w:rPr>
            </w:pPr>
            <w:r>
              <w:rPr>
                <w:rFonts w:hint="eastAsia" w:ascii="Times New Roman" w:hAnsi="Times New Roman"/>
                <w:bCs/>
                <w:color w:val="000000"/>
                <w:sz w:val="21"/>
                <w:szCs w:val="21"/>
              </w:rPr>
              <w:t>第十三单元</w:t>
            </w:r>
            <w:r>
              <w:rPr>
                <w:rFonts w:hint="eastAsia" w:ascii="Times New Roman" w:hAnsi="Times New Roman"/>
                <w:color w:val="000000"/>
                <w:sz w:val="21"/>
                <w:szCs w:val="21"/>
              </w:rPr>
              <w:t>作用于血液和造血系统疾病药物、子宫平滑肌兴奋药与抑制药、维生素类药物</w:t>
            </w:r>
          </w:p>
        </w:tc>
        <w:tc>
          <w:tcPr>
            <w:tcW w:w="905" w:type="dxa"/>
            <w:noWrap w:val="0"/>
            <w:vAlign w:val="center"/>
          </w:tcPr>
          <w:p w14:paraId="5F318A8E">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2514A620">
            <w:pPr>
              <w:jc w:val="center"/>
              <w:rPr>
                <w:rFonts w:hint="eastAsia" w:ascii="Times New Roman" w:hAnsi="Times New Roman"/>
                <w:color w:val="000000"/>
                <w:sz w:val="21"/>
                <w:szCs w:val="21"/>
              </w:rPr>
            </w:pPr>
          </w:p>
        </w:tc>
        <w:tc>
          <w:tcPr>
            <w:tcW w:w="793" w:type="dxa"/>
            <w:noWrap w:val="0"/>
            <w:vAlign w:val="center"/>
          </w:tcPr>
          <w:p w14:paraId="64B1BDCB">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0" w:type="dxa"/>
            <w:noWrap w:val="0"/>
            <w:vAlign w:val="center"/>
          </w:tcPr>
          <w:p w14:paraId="726614E5">
            <w:pPr>
              <w:jc w:val="center"/>
              <w:rPr>
                <w:rFonts w:ascii="Times New Roman" w:hAnsi="Times New Roman"/>
                <w:color w:val="000000"/>
                <w:sz w:val="21"/>
                <w:szCs w:val="21"/>
              </w:rPr>
            </w:pPr>
          </w:p>
        </w:tc>
        <w:tc>
          <w:tcPr>
            <w:tcW w:w="992" w:type="dxa"/>
            <w:noWrap w:val="0"/>
            <w:vAlign w:val="center"/>
          </w:tcPr>
          <w:p w14:paraId="2C044D09">
            <w:pPr>
              <w:jc w:val="center"/>
              <w:rPr>
                <w:rFonts w:hint="eastAsia" w:ascii="Times New Roman" w:hAnsi="Times New Roman"/>
                <w:color w:val="000000"/>
                <w:sz w:val="21"/>
                <w:szCs w:val="21"/>
              </w:rPr>
            </w:pPr>
            <w:r>
              <w:rPr>
                <w:rFonts w:hint="eastAsia" w:ascii="Times New Roman" w:hAnsi="Times New Roman"/>
                <w:color w:val="000000"/>
                <w:sz w:val="21"/>
                <w:szCs w:val="21"/>
              </w:rPr>
              <w:t>√</w:t>
            </w:r>
          </w:p>
        </w:tc>
        <w:tc>
          <w:tcPr>
            <w:tcW w:w="993" w:type="dxa"/>
            <w:tcBorders>
              <w:right w:val="single" w:color="auto" w:sz="4" w:space="0"/>
            </w:tcBorders>
            <w:noWrap w:val="0"/>
            <w:vAlign w:val="center"/>
          </w:tcPr>
          <w:p w14:paraId="456F7BDC">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top"/>
          </w:tcPr>
          <w:p w14:paraId="4C3DE2E9">
            <w:pPr>
              <w:jc w:val="center"/>
              <w:rPr>
                <w:rFonts w:ascii="Times New Roman" w:hAnsi="Times New Roman"/>
                <w:color w:val="000000"/>
                <w:sz w:val="21"/>
                <w:szCs w:val="21"/>
              </w:rPr>
            </w:pPr>
          </w:p>
        </w:tc>
      </w:tr>
      <w:tr w14:paraId="45AA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61B533CC">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第十四单元 </w:t>
            </w:r>
            <w:r>
              <w:rPr>
                <w:rFonts w:hint="eastAsia" w:ascii="Times New Roman" w:hAnsi="Times New Roman"/>
                <w:color w:val="000000"/>
                <w:sz w:val="21"/>
                <w:szCs w:val="21"/>
              </w:rPr>
              <w:t>性激素与避孕药、抗变态反应药物</w:t>
            </w:r>
          </w:p>
        </w:tc>
        <w:tc>
          <w:tcPr>
            <w:tcW w:w="905" w:type="dxa"/>
            <w:noWrap w:val="0"/>
            <w:vAlign w:val="center"/>
          </w:tcPr>
          <w:p w14:paraId="2D751746">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185A0B31">
            <w:pPr>
              <w:jc w:val="center"/>
              <w:rPr>
                <w:rFonts w:hint="eastAsia" w:ascii="Times New Roman" w:hAnsi="Times New Roman"/>
                <w:color w:val="000000"/>
                <w:sz w:val="21"/>
                <w:szCs w:val="21"/>
              </w:rPr>
            </w:pPr>
          </w:p>
        </w:tc>
        <w:tc>
          <w:tcPr>
            <w:tcW w:w="793" w:type="dxa"/>
            <w:noWrap w:val="0"/>
            <w:vAlign w:val="center"/>
          </w:tcPr>
          <w:p w14:paraId="469E07AC">
            <w:pPr>
              <w:jc w:val="center"/>
              <w:rPr>
                <w:rFonts w:hint="eastAsia" w:ascii="Times New Roman" w:hAnsi="Times New Roman"/>
                <w:color w:val="000000"/>
                <w:sz w:val="21"/>
                <w:szCs w:val="21"/>
              </w:rPr>
            </w:pPr>
          </w:p>
        </w:tc>
        <w:tc>
          <w:tcPr>
            <w:tcW w:w="850" w:type="dxa"/>
            <w:noWrap w:val="0"/>
            <w:vAlign w:val="center"/>
          </w:tcPr>
          <w:p w14:paraId="14BE3769">
            <w:pPr>
              <w:jc w:val="center"/>
              <w:rPr>
                <w:rFonts w:ascii="Times New Roman" w:hAnsi="Times New Roman"/>
                <w:color w:val="000000"/>
                <w:sz w:val="21"/>
                <w:szCs w:val="21"/>
              </w:rPr>
            </w:pPr>
          </w:p>
        </w:tc>
        <w:tc>
          <w:tcPr>
            <w:tcW w:w="992" w:type="dxa"/>
            <w:noWrap w:val="0"/>
            <w:vAlign w:val="center"/>
          </w:tcPr>
          <w:p w14:paraId="2BA573AC">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right w:val="single" w:color="auto" w:sz="4" w:space="0"/>
            </w:tcBorders>
            <w:noWrap w:val="0"/>
            <w:vAlign w:val="center"/>
          </w:tcPr>
          <w:p w14:paraId="0316A02A">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right w:val="single" w:color="auto" w:sz="12" w:space="0"/>
            </w:tcBorders>
            <w:noWrap w:val="0"/>
            <w:vAlign w:val="top"/>
          </w:tcPr>
          <w:p w14:paraId="12D7CB37">
            <w:pPr>
              <w:jc w:val="center"/>
              <w:rPr>
                <w:rFonts w:ascii="Times New Roman" w:hAnsi="Times New Roman"/>
                <w:color w:val="000000"/>
                <w:sz w:val="21"/>
                <w:szCs w:val="21"/>
              </w:rPr>
            </w:pPr>
          </w:p>
        </w:tc>
      </w:tr>
      <w:tr w14:paraId="184E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6DFE8A5B">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第十五单元 </w:t>
            </w:r>
            <w:r>
              <w:rPr>
                <w:rFonts w:hint="eastAsia" w:ascii="Times New Roman" w:hAnsi="Times New Roman"/>
                <w:color w:val="000000"/>
                <w:sz w:val="21"/>
                <w:szCs w:val="21"/>
              </w:rPr>
              <w:t>肾上腺皮质激素类药物、甲状腺激素类药和抗甲状腺药、降血糖药</w:t>
            </w:r>
          </w:p>
        </w:tc>
        <w:tc>
          <w:tcPr>
            <w:tcW w:w="905" w:type="dxa"/>
            <w:noWrap w:val="0"/>
            <w:vAlign w:val="center"/>
          </w:tcPr>
          <w:p w14:paraId="47CA46D7">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0816E6CF">
            <w:pPr>
              <w:jc w:val="center"/>
              <w:rPr>
                <w:rFonts w:hint="eastAsia" w:ascii="Times New Roman" w:hAnsi="Times New Roman"/>
                <w:color w:val="000000"/>
                <w:sz w:val="21"/>
                <w:szCs w:val="21"/>
              </w:rPr>
            </w:pPr>
          </w:p>
        </w:tc>
        <w:tc>
          <w:tcPr>
            <w:tcW w:w="793" w:type="dxa"/>
            <w:noWrap w:val="0"/>
            <w:vAlign w:val="center"/>
          </w:tcPr>
          <w:p w14:paraId="394FABEE">
            <w:pPr>
              <w:jc w:val="center"/>
              <w:rPr>
                <w:rFonts w:hint="eastAsia" w:ascii="Times New Roman" w:hAnsi="Times New Roman"/>
                <w:color w:val="000000"/>
                <w:sz w:val="21"/>
                <w:szCs w:val="21"/>
              </w:rPr>
            </w:pPr>
          </w:p>
        </w:tc>
        <w:tc>
          <w:tcPr>
            <w:tcW w:w="850" w:type="dxa"/>
            <w:noWrap w:val="0"/>
            <w:vAlign w:val="center"/>
          </w:tcPr>
          <w:p w14:paraId="4408F954">
            <w:pPr>
              <w:jc w:val="center"/>
              <w:rPr>
                <w:rFonts w:ascii="Times New Roman" w:hAnsi="Times New Roman"/>
                <w:color w:val="000000"/>
                <w:sz w:val="21"/>
                <w:szCs w:val="21"/>
              </w:rPr>
            </w:pPr>
          </w:p>
        </w:tc>
        <w:tc>
          <w:tcPr>
            <w:tcW w:w="992" w:type="dxa"/>
            <w:noWrap w:val="0"/>
            <w:vAlign w:val="center"/>
          </w:tcPr>
          <w:p w14:paraId="7DD68D7A">
            <w:pPr>
              <w:jc w:val="center"/>
              <w:rPr>
                <w:rFonts w:hint="eastAsia" w:ascii="Times New Roman" w:hAnsi="Times New Roman"/>
                <w:color w:val="000000"/>
                <w:sz w:val="21"/>
                <w:szCs w:val="21"/>
              </w:rPr>
            </w:pPr>
          </w:p>
        </w:tc>
        <w:tc>
          <w:tcPr>
            <w:tcW w:w="993" w:type="dxa"/>
            <w:tcBorders>
              <w:right w:val="single" w:color="auto" w:sz="4" w:space="0"/>
            </w:tcBorders>
            <w:noWrap w:val="0"/>
            <w:vAlign w:val="center"/>
          </w:tcPr>
          <w:p w14:paraId="7B7CEA0D">
            <w:pPr>
              <w:jc w:val="center"/>
              <w:rPr>
                <w:rFonts w:ascii="Times New Roman" w:hAnsi="Times New Roman"/>
                <w:color w:val="000000"/>
                <w:sz w:val="21"/>
                <w:szCs w:val="21"/>
              </w:rPr>
            </w:pPr>
          </w:p>
        </w:tc>
        <w:tc>
          <w:tcPr>
            <w:tcW w:w="992" w:type="dxa"/>
            <w:tcBorders>
              <w:left w:val="single" w:color="auto" w:sz="4" w:space="0"/>
              <w:right w:val="single" w:color="auto" w:sz="12" w:space="0"/>
            </w:tcBorders>
            <w:noWrap w:val="0"/>
            <w:vAlign w:val="top"/>
          </w:tcPr>
          <w:p w14:paraId="0B4B619F">
            <w:pPr>
              <w:jc w:val="center"/>
              <w:rPr>
                <w:rFonts w:ascii="Times New Roman" w:hAnsi="Times New Roman"/>
                <w:color w:val="000000"/>
                <w:sz w:val="21"/>
                <w:szCs w:val="21"/>
              </w:rPr>
            </w:pPr>
          </w:p>
        </w:tc>
      </w:tr>
      <w:tr w14:paraId="74EC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4EBB2017">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第十六单元 </w:t>
            </w:r>
            <w:r>
              <w:rPr>
                <w:rFonts w:hint="eastAsia" w:ascii="Times New Roman" w:hAnsi="Times New Roman"/>
                <w:color w:val="000000"/>
                <w:sz w:val="21"/>
                <w:szCs w:val="21"/>
              </w:rPr>
              <w:t>影响免疫功能药物、抗菌药物概论、 β-内酰胺类抗生素</w:t>
            </w:r>
          </w:p>
        </w:tc>
        <w:tc>
          <w:tcPr>
            <w:tcW w:w="905" w:type="dxa"/>
            <w:noWrap w:val="0"/>
            <w:vAlign w:val="center"/>
          </w:tcPr>
          <w:p w14:paraId="1767BD43">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1A9C345E">
            <w:pPr>
              <w:jc w:val="center"/>
              <w:rPr>
                <w:rFonts w:hint="eastAsia" w:ascii="Times New Roman" w:hAnsi="Times New Roman"/>
                <w:color w:val="000000"/>
                <w:sz w:val="21"/>
                <w:szCs w:val="21"/>
              </w:rPr>
            </w:pPr>
          </w:p>
        </w:tc>
        <w:tc>
          <w:tcPr>
            <w:tcW w:w="793" w:type="dxa"/>
            <w:noWrap w:val="0"/>
            <w:vAlign w:val="center"/>
          </w:tcPr>
          <w:p w14:paraId="22BFDC1D">
            <w:pPr>
              <w:jc w:val="center"/>
              <w:rPr>
                <w:rFonts w:hint="eastAsia" w:ascii="Times New Roman" w:hAnsi="Times New Roman"/>
                <w:color w:val="000000"/>
                <w:sz w:val="21"/>
                <w:szCs w:val="21"/>
              </w:rPr>
            </w:pPr>
          </w:p>
        </w:tc>
        <w:tc>
          <w:tcPr>
            <w:tcW w:w="850" w:type="dxa"/>
            <w:noWrap w:val="0"/>
            <w:vAlign w:val="center"/>
          </w:tcPr>
          <w:p w14:paraId="6FCF6917">
            <w:pPr>
              <w:jc w:val="center"/>
              <w:rPr>
                <w:rFonts w:ascii="Times New Roman" w:hAnsi="Times New Roman"/>
                <w:color w:val="000000"/>
                <w:sz w:val="21"/>
                <w:szCs w:val="21"/>
              </w:rPr>
            </w:pPr>
          </w:p>
        </w:tc>
        <w:tc>
          <w:tcPr>
            <w:tcW w:w="992" w:type="dxa"/>
            <w:noWrap w:val="0"/>
            <w:vAlign w:val="center"/>
          </w:tcPr>
          <w:p w14:paraId="3E086609">
            <w:pPr>
              <w:jc w:val="center"/>
              <w:rPr>
                <w:rFonts w:hint="eastAsia" w:ascii="Times New Roman" w:hAnsi="Times New Roman"/>
                <w:color w:val="000000"/>
                <w:sz w:val="21"/>
                <w:szCs w:val="21"/>
              </w:rPr>
            </w:pPr>
          </w:p>
        </w:tc>
        <w:tc>
          <w:tcPr>
            <w:tcW w:w="993" w:type="dxa"/>
            <w:tcBorders>
              <w:right w:val="single" w:color="auto" w:sz="4" w:space="0"/>
            </w:tcBorders>
            <w:noWrap w:val="0"/>
            <w:vAlign w:val="center"/>
          </w:tcPr>
          <w:p w14:paraId="3B03D770">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right w:val="single" w:color="auto" w:sz="12" w:space="0"/>
            </w:tcBorders>
            <w:noWrap w:val="0"/>
            <w:vAlign w:val="top"/>
          </w:tcPr>
          <w:p w14:paraId="69EBF0BF">
            <w:pPr>
              <w:jc w:val="center"/>
              <w:rPr>
                <w:rFonts w:ascii="Times New Roman" w:hAnsi="Times New Roman"/>
                <w:color w:val="000000"/>
                <w:sz w:val="21"/>
                <w:szCs w:val="21"/>
              </w:rPr>
            </w:pPr>
          </w:p>
        </w:tc>
      </w:tr>
      <w:tr w14:paraId="46DB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27B1CC6D">
            <w:pPr>
              <w:rPr>
                <w:rFonts w:hint="eastAsia" w:ascii="Times New Roman" w:hAnsi="Times New Roman"/>
                <w:color w:val="000000"/>
                <w:sz w:val="21"/>
                <w:szCs w:val="21"/>
              </w:rPr>
            </w:pPr>
            <w:r>
              <w:rPr>
                <w:rFonts w:hint="eastAsia" w:ascii="Times New Roman" w:hAnsi="Times New Roman"/>
                <w:color w:val="000000"/>
                <w:sz w:val="21"/>
                <w:szCs w:val="21"/>
              </w:rPr>
              <w:t xml:space="preserve">第十七单元 </w:t>
            </w:r>
          </w:p>
          <w:p w14:paraId="03CF187F">
            <w:pPr>
              <w:rPr>
                <w:rFonts w:hint="eastAsia" w:ascii="Times New Roman" w:hAnsi="Times New Roman"/>
                <w:color w:val="000000"/>
                <w:sz w:val="21"/>
                <w:szCs w:val="21"/>
              </w:rPr>
            </w:pPr>
            <w:r>
              <w:rPr>
                <w:rFonts w:hint="eastAsia" w:ascii="Times New Roman" w:hAnsi="Times New Roman"/>
                <w:color w:val="000000"/>
                <w:sz w:val="21"/>
                <w:szCs w:val="21"/>
              </w:rPr>
              <w:t>大环内酯类抗生素</w:t>
            </w:r>
          </w:p>
          <w:p w14:paraId="27FBF104">
            <w:pPr>
              <w:rPr>
                <w:rFonts w:hint="eastAsia" w:ascii="Times New Roman" w:hAnsi="Times New Roman"/>
                <w:color w:val="000000"/>
                <w:sz w:val="21"/>
                <w:szCs w:val="21"/>
              </w:rPr>
            </w:pPr>
            <w:r>
              <w:rPr>
                <w:rFonts w:hint="eastAsia" w:ascii="Times New Roman" w:hAnsi="Times New Roman"/>
                <w:color w:val="000000"/>
                <w:sz w:val="21"/>
                <w:szCs w:val="21"/>
              </w:rPr>
              <w:t>、氨基糖苷类抗生素、四环素类及氯霉素类抗生素、其他类抗生素，化学合成抗菌药、抗结核病药及抗麻风病药</w:t>
            </w:r>
          </w:p>
        </w:tc>
        <w:tc>
          <w:tcPr>
            <w:tcW w:w="905" w:type="dxa"/>
            <w:noWrap w:val="0"/>
            <w:vAlign w:val="center"/>
          </w:tcPr>
          <w:p w14:paraId="4FF163D9">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5E34B135">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793" w:type="dxa"/>
            <w:noWrap w:val="0"/>
            <w:vAlign w:val="center"/>
          </w:tcPr>
          <w:p w14:paraId="18061940">
            <w:pPr>
              <w:jc w:val="center"/>
              <w:rPr>
                <w:rFonts w:hint="eastAsia" w:ascii="Times New Roman" w:hAnsi="Times New Roman"/>
                <w:color w:val="000000"/>
                <w:sz w:val="21"/>
                <w:szCs w:val="21"/>
              </w:rPr>
            </w:pPr>
          </w:p>
        </w:tc>
        <w:tc>
          <w:tcPr>
            <w:tcW w:w="850" w:type="dxa"/>
            <w:noWrap w:val="0"/>
            <w:vAlign w:val="center"/>
          </w:tcPr>
          <w:p w14:paraId="1839C26E">
            <w:pPr>
              <w:jc w:val="center"/>
              <w:rPr>
                <w:rFonts w:ascii="Times New Roman" w:hAnsi="Times New Roman"/>
                <w:color w:val="000000"/>
                <w:sz w:val="21"/>
                <w:szCs w:val="21"/>
              </w:rPr>
            </w:pPr>
          </w:p>
        </w:tc>
        <w:tc>
          <w:tcPr>
            <w:tcW w:w="992" w:type="dxa"/>
            <w:noWrap w:val="0"/>
            <w:vAlign w:val="center"/>
          </w:tcPr>
          <w:p w14:paraId="53E544E0">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right w:val="single" w:color="auto" w:sz="4" w:space="0"/>
            </w:tcBorders>
            <w:noWrap w:val="0"/>
            <w:vAlign w:val="center"/>
          </w:tcPr>
          <w:p w14:paraId="2530E5EF">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right w:val="single" w:color="auto" w:sz="12" w:space="0"/>
            </w:tcBorders>
            <w:noWrap w:val="0"/>
            <w:vAlign w:val="center"/>
          </w:tcPr>
          <w:p w14:paraId="0F17E1E4">
            <w:pPr>
              <w:jc w:val="center"/>
              <w:rPr>
                <w:rFonts w:ascii="Times New Roman" w:hAnsi="Times New Roman"/>
                <w:color w:val="000000"/>
                <w:sz w:val="21"/>
                <w:szCs w:val="21"/>
              </w:rPr>
            </w:pPr>
            <w:r>
              <w:rPr>
                <w:rFonts w:hint="eastAsia" w:ascii="Times New Roman" w:hAnsi="Times New Roman"/>
                <w:color w:val="000000"/>
                <w:sz w:val="21"/>
                <w:szCs w:val="21"/>
              </w:rPr>
              <w:t>√</w:t>
            </w:r>
          </w:p>
        </w:tc>
      </w:tr>
      <w:tr w14:paraId="507A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931" w:type="dxa"/>
            <w:tcBorders>
              <w:left w:val="single" w:color="auto" w:sz="12" w:space="0"/>
            </w:tcBorders>
            <w:noWrap w:val="0"/>
            <w:vAlign w:val="top"/>
          </w:tcPr>
          <w:p w14:paraId="5C8C6796">
            <w:pPr>
              <w:rPr>
                <w:rFonts w:hint="eastAsia" w:ascii="Times New Roman" w:hAnsi="Times New Roman"/>
                <w:color w:val="000000"/>
                <w:sz w:val="21"/>
                <w:szCs w:val="21"/>
              </w:rPr>
            </w:pPr>
            <w:r>
              <w:rPr>
                <w:rFonts w:hint="eastAsia" w:ascii="Times New Roman" w:hAnsi="Times New Roman"/>
                <w:bCs/>
                <w:color w:val="000000"/>
                <w:sz w:val="21"/>
                <w:szCs w:val="21"/>
              </w:rPr>
              <w:t xml:space="preserve">第十八单元 </w:t>
            </w:r>
            <w:r>
              <w:rPr>
                <w:rFonts w:hint="eastAsia" w:ascii="Times New Roman" w:hAnsi="Times New Roman"/>
                <w:color w:val="000000"/>
                <w:sz w:val="21"/>
                <w:szCs w:val="21"/>
              </w:rPr>
              <w:t xml:space="preserve">抗病毒药和抗真菌药、消毒防腐药，抗寄生虫病药、抗恶性肿瘤药 </w:t>
            </w:r>
          </w:p>
        </w:tc>
        <w:tc>
          <w:tcPr>
            <w:tcW w:w="905" w:type="dxa"/>
            <w:noWrap w:val="0"/>
            <w:vAlign w:val="center"/>
          </w:tcPr>
          <w:p w14:paraId="1D94AEFA">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851" w:type="dxa"/>
            <w:noWrap w:val="0"/>
            <w:vAlign w:val="center"/>
          </w:tcPr>
          <w:p w14:paraId="2030DC19">
            <w:pPr>
              <w:jc w:val="center"/>
              <w:rPr>
                <w:rFonts w:hint="eastAsia" w:ascii="Times New Roman" w:hAnsi="Times New Roman"/>
                <w:color w:val="000000"/>
                <w:sz w:val="21"/>
                <w:szCs w:val="21"/>
              </w:rPr>
            </w:pPr>
          </w:p>
        </w:tc>
        <w:tc>
          <w:tcPr>
            <w:tcW w:w="793" w:type="dxa"/>
            <w:noWrap w:val="0"/>
            <w:vAlign w:val="center"/>
          </w:tcPr>
          <w:p w14:paraId="64B3F8ED">
            <w:pPr>
              <w:jc w:val="center"/>
              <w:rPr>
                <w:rFonts w:hint="eastAsia" w:ascii="Times New Roman" w:hAnsi="Times New Roman"/>
                <w:color w:val="000000"/>
                <w:sz w:val="21"/>
                <w:szCs w:val="21"/>
              </w:rPr>
            </w:pPr>
          </w:p>
        </w:tc>
        <w:tc>
          <w:tcPr>
            <w:tcW w:w="850" w:type="dxa"/>
            <w:noWrap w:val="0"/>
            <w:vAlign w:val="center"/>
          </w:tcPr>
          <w:p w14:paraId="551AD1AF">
            <w:pPr>
              <w:jc w:val="center"/>
              <w:rPr>
                <w:rFonts w:ascii="Times New Roman" w:hAnsi="Times New Roman"/>
                <w:color w:val="000000"/>
                <w:sz w:val="21"/>
                <w:szCs w:val="21"/>
              </w:rPr>
            </w:pPr>
          </w:p>
        </w:tc>
        <w:tc>
          <w:tcPr>
            <w:tcW w:w="992" w:type="dxa"/>
            <w:noWrap w:val="0"/>
            <w:vAlign w:val="center"/>
          </w:tcPr>
          <w:p w14:paraId="1873A552">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3" w:type="dxa"/>
            <w:tcBorders>
              <w:right w:val="single" w:color="auto" w:sz="4" w:space="0"/>
            </w:tcBorders>
            <w:noWrap w:val="0"/>
            <w:vAlign w:val="center"/>
          </w:tcPr>
          <w:p w14:paraId="7E4073E8">
            <w:pPr>
              <w:jc w:val="center"/>
              <w:rPr>
                <w:rFonts w:ascii="Times New Roman" w:hAnsi="Times New Roman"/>
                <w:color w:val="000000"/>
                <w:sz w:val="21"/>
                <w:szCs w:val="21"/>
              </w:rPr>
            </w:pPr>
            <w:r>
              <w:rPr>
                <w:rFonts w:hint="eastAsia" w:ascii="Times New Roman" w:hAnsi="Times New Roman"/>
                <w:color w:val="000000"/>
                <w:sz w:val="21"/>
                <w:szCs w:val="21"/>
              </w:rPr>
              <w:t>√</w:t>
            </w:r>
          </w:p>
        </w:tc>
        <w:tc>
          <w:tcPr>
            <w:tcW w:w="992" w:type="dxa"/>
            <w:tcBorders>
              <w:left w:val="single" w:color="auto" w:sz="4" w:space="0"/>
              <w:right w:val="single" w:color="auto" w:sz="12" w:space="0"/>
            </w:tcBorders>
            <w:noWrap w:val="0"/>
            <w:vAlign w:val="center"/>
          </w:tcPr>
          <w:p w14:paraId="0AD17ED5">
            <w:pPr>
              <w:jc w:val="center"/>
              <w:rPr>
                <w:rFonts w:ascii="Times New Roman" w:hAnsi="Times New Roman"/>
                <w:color w:val="000000"/>
                <w:sz w:val="21"/>
                <w:szCs w:val="21"/>
              </w:rPr>
            </w:pPr>
            <w:r>
              <w:rPr>
                <w:rFonts w:hint="eastAsia" w:ascii="Times New Roman" w:hAnsi="Times New Roman"/>
                <w:color w:val="000000"/>
                <w:sz w:val="21"/>
                <w:szCs w:val="21"/>
              </w:rPr>
              <w:t>√</w:t>
            </w:r>
          </w:p>
        </w:tc>
      </w:tr>
    </w:tbl>
    <w:p w14:paraId="296FBF39">
      <w:pPr>
        <w:spacing w:before="163" w:beforeLines="50" w:after="163" w:afterLines="50"/>
        <w:outlineLvl w:val="1"/>
        <w:rPr>
          <w:rFonts w:ascii="Times New Roman" w:hAnsi="Times New Roman"/>
          <w:b/>
        </w:rPr>
      </w:pPr>
      <w:r>
        <w:rPr>
          <w:rFonts w:hint="eastAsia" w:ascii="Times New Roman" w:hAnsi="Times New Roman"/>
          <w:b/>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212"/>
        <w:gridCol w:w="2415"/>
        <w:gridCol w:w="1738"/>
        <w:gridCol w:w="725"/>
        <w:gridCol w:w="669"/>
        <w:gridCol w:w="717"/>
      </w:tblGrid>
      <w:tr w14:paraId="7E38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212" w:type="dxa"/>
            <w:vMerge w:val="restart"/>
            <w:tcBorders>
              <w:top w:val="single" w:color="auto" w:sz="12" w:space="0"/>
              <w:left w:val="single" w:color="auto" w:sz="12" w:space="0"/>
            </w:tcBorders>
            <w:noWrap w:val="0"/>
            <w:vAlign w:val="center"/>
          </w:tcPr>
          <w:p w14:paraId="25BBA6BE">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教学单元</w:t>
            </w:r>
          </w:p>
        </w:tc>
        <w:tc>
          <w:tcPr>
            <w:tcW w:w="2415" w:type="dxa"/>
            <w:vMerge w:val="restart"/>
            <w:tcBorders>
              <w:top w:val="single" w:color="auto" w:sz="12" w:space="0"/>
            </w:tcBorders>
            <w:noWrap w:val="0"/>
            <w:vAlign w:val="center"/>
          </w:tcPr>
          <w:p w14:paraId="02A04AC5">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教与学方式</w:t>
            </w:r>
          </w:p>
        </w:tc>
        <w:tc>
          <w:tcPr>
            <w:tcW w:w="1738" w:type="dxa"/>
            <w:vMerge w:val="restart"/>
            <w:tcBorders>
              <w:top w:val="single" w:color="auto" w:sz="12" w:space="0"/>
            </w:tcBorders>
            <w:noWrap w:val="0"/>
            <w:vAlign w:val="center"/>
          </w:tcPr>
          <w:p w14:paraId="03A3533A">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考核方式</w:t>
            </w:r>
          </w:p>
        </w:tc>
        <w:tc>
          <w:tcPr>
            <w:tcW w:w="2111" w:type="dxa"/>
            <w:gridSpan w:val="3"/>
            <w:tcBorders>
              <w:top w:val="single" w:color="auto" w:sz="12" w:space="0"/>
              <w:right w:val="single" w:color="auto" w:sz="12" w:space="0"/>
            </w:tcBorders>
            <w:noWrap w:val="0"/>
            <w:vAlign w:val="center"/>
          </w:tcPr>
          <w:p w14:paraId="10DAFC04">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学时分配</w:t>
            </w:r>
          </w:p>
        </w:tc>
      </w:tr>
      <w:tr w14:paraId="3F87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212" w:type="dxa"/>
            <w:vMerge w:val="continue"/>
            <w:tcBorders>
              <w:left w:val="single" w:color="auto" w:sz="12" w:space="0"/>
            </w:tcBorders>
            <w:noWrap w:val="0"/>
            <w:vAlign w:val="top"/>
          </w:tcPr>
          <w:p w14:paraId="3A872E06">
            <w:pPr>
              <w:snapToGrid w:val="0"/>
              <w:jc w:val="center"/>
              <w:rPr>
                <w:rFonts w:hint="eastAsia" w:ascii="宋体" w:hAnsi="宋体" w:eastAsia="宋体" w:cs="宋体"/>
                <w:bCs/>
                <w:color w:val="000000"/>
                <w:sz w:val="21"/>
                <w:szCs w:val="21"/>
              </w:rPr>
            </w:pPr>
          </w:p>
        </w:tc>
        <w:tc>
          <w:tcPr>
            <w:tcW w:w="2415" w:type="dxa"/>
            <w:vMerge w:val="continue"/>
            <w:noWrap w:val="0"/>
            <w:vAlign w:val="top"/>
          </w:tcPr>
          <w:p w14:paraId="224DC16A">
            <w:pPr>
              <w:snapToGrid w:val="0"/>
              <w:jc w:val="center"/>
              <w:rPr>
                <w:rFonts w:hint="eastAsia" w:ascii="宋体" w:hAnsi="宋体" w:eastAsia="宋体" w:cs="宋体"/>
                <w:bCs/>
                <w:color w:val="000000"/>
                <w:sz w:val="21"/>
                <w:szCs w:val="21"/>
              </w:rPr>
            </w:pPr>
          </w:p>
        </w:tc>
        <w:tc>
          <w:tcPr>
            <w:tcW w:w="1738" w:type="dxa"/>
            <w:vMerge w:val="continue"/>
            <w:noWrap w:val="0"/>
            <w:vAlign w:val="top"/>
          </w:tcPr>
          <w:p w14:paraId="68CCD437">
            <w:pPr>
              <w:snapToGrid w:val="0"/>
              <w:jc w:val="center"/>
              <w:rPr>
                <w:rFonts w:hint="eastAsia" w:ascii="宋体" w:hAnsi="宋体" w:eastAsia="宋体" w:cs="宋体"/>
                <w:bCs/>
                <w:color w:val="000000"/>
                <w:sz w:val="21"/>
                <w:szCs w:val="21"/>
              </w:rPr>
            </w:pPr>
          </w:p>
        </w:tc>
        <w:tc>
          <w:tcPr>
            <w:tcW w:w="725" w:type="dxa"/>
            <w:noWrap w:val="0"/>
            <w:vAlign w:val="center"/>
          </w:tcPr>
          <w:p w14:paraId="3A0EE98B">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理论</w:t>
            </w:r>
          </w:p>
        </w:tc>
        <w:tc>
          <w:tcPr>
            <w:tcW w:w="669" w:type="dxa"/>
            <w:noWrap w:val="0"/>
            <w:vAlign w:val="center"/>
          </w:tcPr>
          <w:p w14:paraId="165AED5A">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实践</w:t>
            </w:r>
          </w:p>
        </w:tc>
        <w:tc>
          <w:tcPr>
            <w:tcW w:w="717" w:type="dxa"/>
            <w:tcBorders>
              <w:right w:val="single" w:color="auto" w:sz="12" w:space="0"/>
            </w:tcBorders>
            <w:noWrap w:val="0"/>
            <w:vAlign w:val="center"/>
          </w:tcPr>
          <w:p w14:paraId="72F4AA75">
            <w:pPr>
              <w:snapToGrid w:val="0"/>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小计</w:t>
            </w:r>
          </w:p>
        </w:tc>
      </w:tr>
      <w:tr w14:paraId="0CD6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3D0AD963">
            <w:pPr>
              <w:rPr>
                <w:rFonts w:hint="eastAsia" w:ascii="宋体" w:hAnsi="宋体" w:eastAsia="宋体" w:cs="宋体"/>
                <w:color w:val="000000"/>
                <w:sz w:val="21"/>
                <w:szCs w:val="21"/>
              </w:rPr>
            </w:pPr>
            <w:r>
              <w:rPr>
                <w:rFonts w:hint="eastAsia" w:ascii="宋体" w:hAnsi="宋体" w:eastAsia="宋体" w:cs="宋体"/>
                <w:color w:val="000000"/>
                <w:sz w:val="21"/>
                <w:szCs w:val="21"/>
              </w:rPr>
              <w:t>第一单元 药理学总论</w:t>
            </w:r>
          </w:p>
        </w:tc>
        <w:tc>
          <w:tcPr>
            <w:tcW w:w="2415" w:type="dxa"/>
            <w:noWrap w:val="0"/>
            <w:vAlign w:val="center"/>
          </w:tcPr>
          <w:p w14:paraId="0C20DB49">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35351899">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7A25D346">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529D97C5">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71BAA18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noWrap w:val="0"/>
            <w:vAlign w:val="center"/>
          </w:tcPr>
          <w:p w14:paraId="2AF2A48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6D0AF7C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r>
      <w:tr w14:paraId="09FF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45072BED">
            <w:pPr>
              <w:rPr>
                <w:rFonts w:hint="eastAsia" w:ascii="宋体" w:hAnsi="宋体" w:eastAsia="宋体" w:cs="宋体"/>
                <w:color w:val="000000"/>
                <w:sz w:val="21"/>
                <w:szCs w:val="21"/>
              </w:rPr>
            </w:pPr>
            <w:r>
              <w:rPr>
                <w:rFonts w:hint="eastAsia" w:ascii="宋体" w:hAnsi="宋体" w:eastAsia="宋体" w:cs="宋体"/>
                <w:color w:val="000000"/>
                <w:sz w:val="21"/>
                <w:szCs w:val="21"/>
              </w:rPr>
              <w:t>第二单元 药物效应动力学</w:t>
            </w:r>
          </w:p>
        </w:tc>
        <w:tc>
          <w:tcPr>
            <w:tcW w:w="2415" w:type="dxa"/>
            <w:noWrap w:val="0"/>
            <w:vAlign w:val="center"/>
          </w:tcPr>
          <w:p w14:paraId="7B6C40AF">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4B0E0D76">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noWrap w:val="0"/>
            <w:vAlign w:val="top"/>
          </w:tcPr>
          <w:p w14:paraId="4459C1E8">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7F96794C">
            <w:pPr>
              <w:rPr>
                <w:rFonts w:hint="eastAsia" w:ascii="宋体" w:hAnsi="宋体" w:eastAsia="宋体" w:cs="宋体"/>
                <w:color w:val="000000"/>
                <w:sz w:val="21"/>
                <w:szCs w:val="21"/>
              </w:rPr>
            </w:pPr>
            <w:r>
              <w:rPr>
                <w:rFonts w:hint="eastAsia" w:ascii="宋体" w:hAnsi="宋体" w:eastAsia="宋体" w:cs="宋体"/>
                <w:color w:val="000000"/>
                <w:sz w:val="21"/>
                <w:szCs w:val="21"/>
              </w:rPr>
              <w:t>实验报告</w:t>
            </w:r>
          </w:p>
          <w:p w14:paraId="2FE4122E">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16ECE90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4B389D1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717" w:type="dxa"/>
            <w:tcBorders>
              <w:right w:val="single" w:color="auto" w:sz="12" w:space="0"/>
            </w:tcBorders>
            <w:noWrap w:val="0"/>
            <w:vAlign w:val="center"/>
          </w:tcPr>
          <w:p w14:paraId="22D9BDE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r>
      <w:tr w14:paraId="43B7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20128481">
            <w:pPr>
              <w:rPr>
                <w:rFonts w:hint="eastAsia" w:ascii="宋体" w:hAnsi="宋体" w:eastAsia="宋体" w:cs="宋体"/>
                <w:color w:val="000000"/>
                <w:sz w:val="21"/>
                <w:szCs w:val="21"/>
              </w:rPr>
            </w:pPr>
            <w:r>
              <w:rPr>
                <w:rFonts w:hint="eastAsia" w:ascii="宋体" w:hAnsi="宋体" w:eastAsia="宋体" w:cs="宋体"/>
                <w:color w:val="000000"/>
                <w:sz w:val="21"/>
                <w:szCs w:val="21"/>
              </w:rPr>
              <w:t>第三单元 药物代谢动力学</w:t>
            </w:r>
          </w:p>
        </w:tc>
        <w:tc>
          <w:tcPr>
            <w:tcW w:w="2415" w:type="dxa"/>
            <w:noWrap w:val="0"/>
            <w:vAlign w:val="center"/>
          </w:tcPr>
          <w:p w14:paraId="7649D226">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2F36C64A">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noWrap w:val="0"/>
            <w:vAlign w:val="top"/>
          </w:tcPr>
          <w:p w14:paraId="01CFAD91">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6D5F52FF">
            <w:pPr>
              <w:rPr>
                <w:rFonts w:hint="eastAsia" w:ascii="宋体" w:hAnsi="宋体" w:eastAsia="宋体" w:cs="宋体"/>
                <w:color w:val="000000"/>
                <w:sz w:val="21"/>
                <w:szCs w:val="21"/>
              </w:rPr>
            </w:pPr>
            <w:r>
              <w:rPr>
                <w:rFonts w:hint="eastAsia" w:ascii="宋体" w:hAnsi="宋体" w:eastAsia="宋体" w:cs="宋体"/>
                <w:color w:val="000000"/>
                <w:sz w:val="21"/>
                <w:szCs w:val="21"/>
              </w:rPr>
              <w:t>实验报告</w:t>
            </w:r>
          </w:p>
          <w:p w14:paraId="2F1B0DC5">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37BA76C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638F829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717" w:type="dxa"/>
            <w:tcBorders>
              <w:right w:val="single" w:color="auto" w:sz="12" w:space="0"/>
            </w:tcBorders>
            <w:noWrap w:val="0"/>
            <w:vAlign w:val="center"/>
          </w:tcPr>
          <w:p w14:paraId="38AF789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r>
      <w:tr w14:paraId="4841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167366F5">
            <w:pPr>
              <w:rPr>
                <w:rFonts w:hint="eastAsia" w:ascii="宋体" w:hAnsi="宋体" w:eastAsia="宋体" w:cs="宋体"/>
                <w:color w:val="000000"/>
                <w:sz w:val="21"/>
                <w:szCs w:val="21"/>
              </w:rPr>
            </w:pPr>
            <w:r>
              <w:rPr>
                <w:rFonts w:hint="eastAsia" w:ascii="宋体" w:hAnsi="宋体" w:eastAsia="宋体" w:cs="宋体"/>
                <w:color w:val="000000"/>
                <w:sz w:val="21"/>
                <w:szCs w:val="21"/>
              </w:rPr>
              <w:t>第四单元 影响药物效应的因素及合理用药原则</w:t>
            </w:r>
          </w:p>
        </w:tc>
        <w:tc>
          <w:tcPr>
            <w:tcW w:w="2415" w:type="dxa"/>
            <w:noWrap w:val="0"/>
            <w:vAlign w:val="center"/>
          </w:tcPr>
          <w:p w14:paraId="5C9B01B1">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4D6D7570">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noWrap w:val="0"/>
            <w:vAlign w:val="top"/>
          </w:tcPr>
          <w:p w14:paraId="3CEEF71D">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1B4C9DF5">
            <w:pPr>
              <w:rPr>
                <w:rFonts w:hint="eastAsia" w:ascii="宋体" w:hAnsi="宋体" w:eastAsia="宋体" w:cs="宋体"/>
                <w:color w:val="000000"/>
                <w:sz w:val="21"/>
                <w:szCs w:val="21"/>
              </w:rPr>
            </w:pPr>
            <w:r>
              <w:rPr>
                <w:rFonts w:hint="eastAsia" w:ascii="宋体" w:hAnsi="宋体" w:eastAsia="宋体" w:cs="宋体"/>
                <w:color w:val="000000"/>
                <w:sz w:val="21"/>
                <w:szCs w:val="21"/>
              </w:rPr>
              <w:t>实验报告</w:t>
            </w:r>
          </w:p>
          <w:p w14:paraId="4DD5BEA7">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21E6CA9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0.5</w:t>
            </w:r>
          </w:p>
        </w:tc>
        <w:tc>
          <w:tcPr>
            <w:tcW w:w="669" w:type="dxa"/>
            <w:noWrap w:val="0"/>
            <w:vAlign w:val="center"/>
          </w:tcPr>
          <w:p w14:paraId="7691F57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717" w:type="dxa"/>
            <w:tcBorders>
              <w:right w:val="single" w:color="auto" w:sz="12" w:space="0"/>
            </w:tcBorders>
            <w:noWrap w:val="0"/>
            <w:vAlign w:val="center"/>
          </w:tcPr>
          <w:p w14:paraId="34AFB4C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3.5</w:t>
            </w:r>
          </w:p>
        </w:tc>
      </w:tr>
      <w:tr w14:paraId="7F2E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65986C79">
            <w:pPr>
              <w:rPr>
                <w:rFonts w:hint="eastAsia" w:ascii="宋体" w:hAnsi="宋体" w:eastAsia="宋体" w:cs="宋体"/>
                <w:color w:val="000000"/>
                <w:sz w:val="21"/>
                <w:szCs w:val="21"/>
              </w:rPr>
            </w:pPr>
            <w:r>
              <w:rPr>
                <w:rFonts w:hint="eastAsia" w:ascii="宋体" w:hAnsi="宋体" w:eastAsia="宋体" w:cs="宋体"/>
                <w:color w:val="000000"/>
                <w:sz w:val="21"/>
                <w:szCs w:val="21"/>
              </w:rPr>
              <w:t>第五单元 传出神经系统药物</w:t>
            </w:r>
          </w:p>
        </w:tc>
        <w:tc>
          <w:tcPr>
            <w:tcW w:w="2415" w:type="dxa"/>
            <w:noWrap w:val="0"/>
            <w:vAlign w:val="center"/>
          </w:tcPr>
          <w:p w14:paraId="1FA36085">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00E0F0D3">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noWrap w:val="0"/>
            <w:vAlign w:val="top"/>
          </w:tcPr>
          <w:p w14:paraId="4BA7DA32">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124C809A">
            <w:pPr>
              <w:rPr>
                <w:rFonts w:hint="eastAsia" w:ascii="宋体" w:hAnsi="宋体" w:eastAsia="宋体" w:cs="宋体"/>
                <w:color w:val="000000"/>
                <w:sz w:val="21"/>
                <w:szCs w:val="21"/>
              </w:rPr>
            </w:pPr>
            <w:r>
              <w:rPr>
                <w:rFonts w:hint="eastAsia" w:ascii="宋体" w:hAnsi="宋体" w:eastAsia="宋体" w:cs="宋体"/>
                <w:color w:val="000000"/>
                <w:sz w:val="21"/>
                <w:szCs w:val="21"/>
              </w:rPr>
              <w:t>实验报告</w:t>
            </w:r>
          </w:p>
          <w:p w14:paraId="477D1AF3">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1A3C89F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669" w:type="dxa"/>
            <w:noWrap w:val="0"/>
            <w:vAlign w:val="center"/>
          </w:tcPr>
          <w:p w14:paraId="04E3726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6</w:t>
            </w:r>
          </w:p>
        </w:tc>
        <w:tc>
          <w:tcPr>
            <w:tcW w:w="717" w:type="dxa"/>
            <w:tcBorders>
              <w:right w:val="single" w:color="auto" w:sz="12" w:space="0"/>
            </w:tcBorders>
            <w:noWrap w:val="0"/>
            <w:vAlign w:val="center"/>
          </w:tcPr>
          <w:p w14:paraId="67BDF3F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8</w:t>
            </w:r>
          </w:p>
        </w:tc>
      </w:tr>
      <w:tr w14:paraId="3E94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0A7F0F33">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第六单元 麻醉药、镇静催眠药和抗惊厥药、抗癫痫药  </w:t>
            </w:r>
          </w:p>
        </w:tc>
        <w:tc>
          <w:tcPr>
            <w:tcW w:w="2415" w:type="dxa"/>
            <w:noWrap w:val="0"/>
            <w:vAlign w:val="center"/>
          </w:tcPr>
          <w:p w14:paraId="3AF73C23">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4A052806">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66B172D2">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559690C1">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070B3A1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05046B4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2DF62BD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5514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54A198C3">
            <w:pPr>
              <w:rPr>
                <w:rFonts w:hint="eastAsia" w:ascii="宋体" w:hAnsi="宋体" w:eastAsia="宋体" w:cs="宋体"/>
                <w:color w:val="000000"/>
                <w:sz w:val="21"/>
                <w:szCs w:val="21"/>
              </w:rPr>
            </w:pPr>
            <w:r>
              <w:rPr>
                <w:rFonts w:hint="eastAsia" w:ascii="宋体" w:hAnsi="宋体" w:eastAsia="宋体" w:cs="宋体"/>
                <w:color w:val="000000"/>
                <w:sz w:val="21"/>
                <w:szCs w:val="21"/>
              </w:rPr>
              <w:t>第七单元 抗帕金森病药和治疗阿尔兹海默病药、抗精神失常药</w:t>
            </w:r>
          </w:p>
        </w:tc>
        <w:tc>
          <w:tcPr>
            <w:tcW w:w="2415" w:type="dxa"/>
            <w:noWrap w:val="0"/>
            <w:vAlign w:val="center"/>
          </w:tcPr>
          <w:p w14:paraId="35026BCE">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39C57E31">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6FC1C709">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331A1A19">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51785BA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68A6949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45BC29F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5FB1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42A67F89">
            <w:pPr>
              <w:rPr>
                <w:rFonts w:hint="eastAsia" w:ascii="宋体" w:hAnsi="宋体" w:eastAsia="宋体" w:cs="宋体"/>
                <w:color w:val="000000"/>
                <w:sz w:val="21"/>
                <w:szCs w:val="21"/>
              </w:rPr>
            </w:pPr>
            <w:r>
              <w:rPr>
                <w:rFonts w:hint="eastAsia" w:ascii="宋体" w:hAnsi="宋体" w:eastAsia="宋体" w:cs="宋体"/>
                <w:color w:val="000000"/>
                <w:sz w:val="21"/>
                <w:szCs w:val="21"/>
              </w:rPr>
              <w:t>第八单元 镇痛药、解热镇痛抗炎药、中枢兴奋药</w:t>
            </w:r>
          </w:p>
        </w:tc>
        <w:tc>
          <w:tcPr>
            <w:tcW w:w="2415" w:type="dxa"/>
            <w:noWrap w:val="0"/>
            <w:vAlign w:val="center"/>
          </w:tcPr>
          <w:p w14:paraId="2348C639">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51C82E04">
            <w:pPr>
              <w:rPr>
                <w:rFonts w:hint="eastAsia" w:ascii="宋体" w:hAnsi="宋体" w:eastAsia="宋体" w:cs="宋体"/>
                <w:color w:val="000000"/>
                <w:sz w:val="21"/>
                <w:szCs w:val="21"/>
              </w:rPr>
            </w:pPr>
            <w:r>
              <w:rPr>
                <w:rFonts w:hint="eastAsia" w:ascii="宋体" w:hAnsi="宋体" w:eastAsia="宋体" w:cs="宋体"/>
                <w:color w:val="000000"/>
                <w:sz w:val="21"/>
                <w:szCs w:val="21"/>
              </w:rPr>
              <w:t>探究教学法</w:t>
            </w:r>
          </w:p>
        </w:tc>
        <w:tc>
          <w:tcPr>
            <w:tcW w:w="1738" w:type="dxa"/>
            <w:noWrap w:val="0"/>
            <w:vAlign w:val="top"/>
          </w:tcPr>
          <w:p w14:paraId="2E95BA78">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1E60DDF1">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26BB90E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669" w:type="dxa"/>
            <w:noWrap w:val="0"/>
            <w:vAlign w:val="center"/>
          </w:tcPr>
          <w:p w14:paraId="6E7A76E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11B8831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r>
      <w:tr w14:paraId="1208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32A59A01">
            <w:pPr>
              <w:rPr>
                <w:rFonts w:hint="eastAsia" w:ascii="宋体" w:hAnsi="宋体" w:eastAsia="宋体" w:cs="宋体"/>
                <w:color w:val="000000"/>
                <w:sz w:val="21"/>
                <w:szCs w:val="21"/>
              </w:rPr>
            </w:pPr>
            <w:r>
              <w:rPr>
                <w:rFonts w:hint="eastAsia" w:ascii="宋体" w:hAnsi="宋体" w:eastAsia="宋体" w:cs="宋体"/>
                <w:color w:val="000000"/>
                <w:sz w:val="21"/>
                <w:szCs w:val="21"/>
              </w:rPr>
              <w:t>第九单元 利尿药及脱水药、抗高血压药</w:t>
            </w:r>
          </w:p>
        </w:tc>
        <w:tc>
          <w:tcPr>
            <w:tcW w:w="2415" w:type="dxa"/>
            <w:noWrap w:val="0"/>
            <w:vAlign w:val="center"/>
          </w:tcPr>
          <w:p w14:paraId="5DA1404B">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25A153FA">
            <w:pPr>
              <w:rPr>
                <w:rFonts w:hint="eastAsia" w:ascii="宋体" w:hAnsi="宋体" w:eastAsia="宋体" w:cs="宋体"/>
                <w:color w:val="000000"/>
                <w:sz w:val="21"/>
                <w:szCs w:val="21"/>
              </w:rPr>
            </w:pPr>
            <w:r>
              <w:rPr>
                <w:rFonts w:hint="eastAsia" w:ascii="宋体" w:hAnsi="宋体" w:eastAsia="宋体" w:cs="宋体"/>
                <w:color w:val="000000"/>
                <w:sz w:val="21"/>
                <w:szCs w:val="21"/>
              </w:rPr>
              <w:t>探究教学法</w:t>
            </w:r>
          </w:p>
        </w:tc>
        <w:tc>
          <w:tcPr>
            <w:tcW w:w="1738" w:type="dxa"/>
            <w:noWrap w:val="0"/>
            <w:vAlign w:val="top"/>
          </w:tcPr>
          <w:p w14:paraId="21EB51CD">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593C06EC">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55C0294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669" w:type="dxa"/>
            <w:noWrap w:val="0"/>
            <w:vAlign w:val="center"/>
          </w:tcPr>
          <w:p w14:paraId="6E25538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41A1483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r>
      <w:tr w14:paraId="1AA7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55DBF47A">
            <w:pPr>
              <w:rPr>
                <w:rFonts w:hint="eastAsia" w:ascii="宋体" w:hAnsi="宋体" w:eastAsia="宋体" w:cs="宋体"/>
                <w:color w:val="000000"/>
                <w:sz w:val="21"/>
                <w:szCs w:val="21"/>
              </w:rPr>
            </w:pPr>
            <w:r>
              <w:rPr>
                <w:rFonts w:hint="eastAsia" w:ascii="宋体" w:hAnsi="宋体" w:eastAsia="宋体" w:cs="宋体"/>
                <w:color w:val="000000"/>
                <w:sz w:val="21"/>
                <w:szCs w:val="21"/>
              </w:rPr>
              <w:t>第十单元 抗心绞痛药、抗心律失常药</w:t>
            </w:r>
          </w:p>
        </w:tc>
        <w:tc>
          <w:tcPr>
            <w:tcW w:w="2415" w:type="dxa"/>
            <w:noWrap w:val="0"/>
            <w:vAlign w:val="center"/>
          </w:tcPr>
          <w:p w14:paraId="5F45AABF">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549ACEA4">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noWrap w:val="0"/>
            <w:vAlign w:val="top"/>
          </w:tcPr>
          <w:p w14:paraId="56912FFF">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6EC1ED4F">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047E162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669" w:type="dxa"/>
            <w:noWrap w:val="0"/>
            <w:vAlign w:val="center"/>
          </w:tcPr>
          <w:p w14:paraId="3AA121C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68167A8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r>
      <w:tr w14:paraId="4CBF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0363DBFA">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第十一单元 抗慢性心功能不全药、抗动脉粥样硬化药  </w:t>
            </w:r>
          </w:p>
        </w:tc>
        <w:tc>
          <w:tcPr>
            <w:tcW w:w="2415" w:type="dxa"/>
            <w:noWrap w:val="0"/>
            <w:vAlign w:val="center"/>
          </w:tcPr>
          <w:p w14:paraId="04B353E1">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0E02E492">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195E0373">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7446AEF8">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3B48E79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669" w:type="dxa"/>
            <w:noWrap w:val="0"/>
            <w:vAlign w:val="center"/>
          </w:tcPr>
          <w:p w14:paraId="312E4B9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2CEB640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r>
      <w:tr w14:paraId="0FF5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010353E0">
            <w:pPr>
              <w:rPr>
                <w:rFonts w:hint="eastAsia" w:ascii="宋体" w:hAnsi="宋体" w:eastAsia="宋体" w:cs="宋体"/>
                <w:color w:val="000000"/>
                <w:sz w:val="21"/>
                <w:szCs w:val="21"/>
              </w:rPr>
            </w:pPr>
            <w:r>
              <w:rPr>
                <w:rFonts w:hint="eastAsia" w:ascii="宋体" w:hAnsi="宋体" w:eastAsia="宋体" w:cs="宋体"/>
                <w:color w:val="000000"/>
                <w:sz w:val="21"/>
                <w:szCs w:val="21"/>
              </w:rPr>
              <w:t>第十二单元 作用于呼吸系统疾病药物、作用于消化系统疾病药物</w:t>
            </w:r>
          </w:p>
        </w:tc>
        <w:tc>
          <w:tcPr>
            <w:tcW w:w="2415" w:type="dxa"/>
            <w:noWrap w:val="0"/>
            <w:vAlign w:val="center"/>
          </w:tcPr>
          <w:p w14:paraId="58C22C57">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1D8A1D67">
            <w:pPr>
              <w:rPr>
                <w:rFonts w:hint="eastAsia" w:ascii="宋体" w:hAnsi="宋体" w:eastAsia="宋体" w:cs="宋体"/>
                <w:color w:val="000000"/>
                <w:sz w:val="21"/>
                <w:szCs w:val="21"/>
              </w:rPr>
            </w:pPr>
            <w:r>
              <w:rPr>
                <w:rFonts w:hint="eastAsia" w:ascii="宋体" w:hAnsi="宋体" w:eastAsia="宋体" w:cs="宋体"/>
                <w:color w:val="000000"/>
                <w:sz w:val="21"/>
                <w:szCs w:val="21"/>
              </w:rPr>
              <w:t>示范教学法</w:t>
            </w:r>
          </w:p>
        </w:tc>
        <w:tc>
          <w:tcPr>
            <w:tcW w:w="1738" w:type="dxa"/>
            <w:noWrap w:val="0"/>
            <w:vAlign w:val="top"/>
          </w:tcPr>
          <w:p w14:paraId="37C95865">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2AA586E5">
            <w:pPr>
              <w:rPr>
                <w:rFonts w:hint="eastAsia" w:ascii="宋体" w:hAnsi="宋体" w:eastAsia="宋体" w:cs="宋体"/>
                <w:color w:val="000000"/>
                <w:sz w:val="21"/>
                <w:szCs w:val="21"/>
              </w:rPr>
            </w:pPr>
            <w:r>
              <w:rPr>
                <w:rFonts w:hint="eastAsia" w:ascii="宋体" w:hAnsi="宋体" w:eastAsia="宋体" w:cs="宋体"/>
                <w:color w:val="000000"/>
                <w:sz w:val="21"/>
                <w:szCs w:val="21"/>
              </w:rPr>
              <w:t>实验报告</w:t>
            </w:r>
          </w:p>
          <w:p w14:paraId="6693F632">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45431B7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669" w:type="dxa"/>
            <w:noWrap w:val="0"/>
            <w:vAlign w:val="center"/>
          </w:tcPr>
          <w:p w14:paraId="6890876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717" w:type="dxa"/>
            <w:tcBorders>
              <w:right w:val="single" w:color="auto" w:sz="12" w:space="0"/>
            </w:tcBorders>
            <w:noWrap w:val="0"/>
            <w:vAlign w:val="center"/>
          </w:tcPr>
          <w:p w14:paraId="4ACC10C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6</w:t>
            </w:r>
          </w:p>
        </w:tc>
      </w:tr>
      <w:tr w14:paraId="631F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5702FE7A">
            <w:pPr>
              <w:rPr>
                <w:rFonts w:hint="eastAsia" w:ascii="宋体" w:hAnsi="宋体" w:eastAsia="宋体" w:cs="宋体"/>
                <w:color w:val="000000"/>
                <w:sz w:val="21"/>
                <w:szCs w:val="21"/>
              </w:rPr>
            </w:pPr>
            <w:r>
              <w:rPr>
                <w:rFonts w:hint="eastAsia" w:ascii="宋体" w:hAnsi="宋体" w:eastAsia="宋体" w:cs="宋体"/>
                <w:color w:val="000000"/>
                <w:sz w:val="21"/>
                <w:szCs w:val="21"/>
              </w:rPr>
              <w:t>第十三单元作用于血液和造血系统疾病药物、子宫平滑肌兴奋药与抑制药、维生素类药物</w:t>
            </w:r>
          </w:p>
        </w:tc>
        <w:tc>
          <w:tcPr>
            <w:tcW w:w="2415" w:type="dxa"/>
            <w:noWrap w:val="0"/>
            <w:vAlign w:val="center"/>
          </w:tcPr>
          <w:p w14:paraId="410F2E44">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6F60CACE">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26F42840">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0B80E40E">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10B3194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669" w:type="dxa"/>
            <w:noWrap w:val="0"/>
            <w:vAlign w:val="center"/>
          </w:tcPr>
          <w:p w14:paraId="338FA99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1F94F74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r>
      <w:tr w14:paraId="7840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14178303">
            <w:pPr>
              <w:rPr>
                <w:rFonts w:hint="eastAsia" w:ascii="宋体" w:hAnsi="宋体" w:eastAsia="宋体" w:cs="宋体"/>
                <w:color w:val="000000"/>
                <w:sz w:val="21"/>
                <w:szCs w:val="21"/>
              </w:rPr>
            </w:pPr>
            <w:r>
              <w:rPr>
                <w:rFonts w:hint="eastAsia" w:ascii="宋体" w:hAnsi="宋体" w:eastAsia="宋体" w:cs="宋体"/>
                <w:color w:val="000000"/>
                <w:sz w:val="21"/>
                <w:szCs w:val="21"/>
              </w:rPr>
              <w:t>第十四单元 性激素与避孕药、抗变态反应药物</w:t>
            </w:r>
          </w:p>
        </w:tc>
        <w:tc>
          <w:tcPr>
            <w:tcW w:w="2415" w:type="dxa"/>
            <w:noWrap w:val="0"/>
            <w:vAlign w:val="center"/>
          </w:tcPr>
          <w:p w14:paraId="1AA0D855">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0951583F">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086765D4">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794BD91C">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7068833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28AACF4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31014C4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6F83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05C08E57">
            <w:pPr>
              <w:rPr>
                <w:rFonts w:hint="eastAsia" w:ascii="宋体" w:hAnsi="宋体" w:eastAsia="宋体" w:cs="宋体"/>
                <w:color w:val="000000"/>
                <w:sz w:val="21"/>
                <w:szCs w:val="21"/>
              </w:rPr>
            </w:pPr>
            <w:r>
              <w:rPr>
                <w:rFonts w:hint="eastAsia" w:ascii="宋体" w:hAnsi="宋体" w:eastAsia="宋体" w:cs="宋体"/>
                <w:color w:val="000000"/>
                <w:sz w:val="21"/>
                <w:szCs w:val="21"/>
              </w:rPr>
              <w:t>第十五单元 肾上腺皮质激素类药物、甲状腺激素类药和抗甲状腺药、降血糖药</w:t>
            </w:r>
          </w:p>
        </w:tc>
        <w:tc>
          <w:tcPr>
            <w:tcW w:w="2415" w:type="dxa"/>
            <w:noWrap w:val="0"/>
            <w:vAlign w:val="center"/>
          </w:tcPr>
          <w:p w14:paraId="5A8EA65D">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39C98586">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2EF80370">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0C94D4E7">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634F380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669" w:type="dxa"/>
            <w:noWrap w:val="0"/>
            <w:vAlign w:val="center"/>
          </w:tcPr>
          <w:p w14:paraId="0B6FB68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3861077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r>
      <w:tr w14:paraId="33BF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672D2660">
            <w:pPr>
              <w:rPr>
                <w:rFonts w:hint="eastAsia" w:ascii="宋体" w:hAnsi="宋体" w:eastAsia="宋体" w:cs="宋体"/>
                <w:color w:val="000000"/>
                <w:sz w:val="21"/>
                <w:szCs w:val="21"/>
              </w:rPr>
            </w:pPr>
            <w:r>
              <w:rPr>
                <w:rFonts w:hint="eastAsia" w:ascii="宋体" w:hAnsi="宋体" w:eastAsia="宋体" w:cs="宋体"/>
                <w:color w:val="000000"/>
                <w:sz w:val="21"/>
                <w:szCs w:val="21"/>
              </w:rPr>
              <w:t>第十六单元 影响免疫功能药物、抗菌药物概论、 β-内酰胺类抗生素</w:t>
            </w:r>
          </w:p>
        </w:tc>
        <w:tc>
          <w:tcPr>
            <w:tcW w:w="2415" w:type="dxa"/>
            <w:noWrap w:val="0"/>
            <w:vAlign w:val="center"/>
          </w:tcPr>
          <w:p w14:paraId="591E3749">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0EB7F4D0">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5B320697">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6F7D504A">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6D040A6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1CB57A1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6F76FA5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6A75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645DAF8A">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第十七单元 </w:t>
            </w:r>
          </w:p>
          <w:p w14:paraId="5FD6703E">
            <w:pPr>
              <w:rPr>
                <w:rFonts w:hint="eastAsia" w:ascii="宋体" w:hAnsi="宋体" w:eastAsia="宋体" w:cs="宋体"/>
                <w:color w:val="000000"/>
                <w:sz w:val="21"/>
                <w:szCs w:val="21"/>
              </w:rPr>
            </w:pPr>
            <w:r>
              <w:rPr>
                <w:rFonts w:hint="eastAsia" w:ascii="宋体" w:hAnsi="宋体" w:eastAsia="宋体" w:cs="宋体"/>
                <w:color w:val="000000"/>
                <w:sz w:val="21"/>
                <w:szCs w:val="21"/>
              </w:rPr>
              <w:t>大环内酯类抗生素</w:t>
            </w:r>
          </w:p>
          <w:p w14:paraId="458D1CAA">
            <w:pPr>
              <w:rPr>
                <w:rFonts w:hint="eastAsia" w:ascii="宋体" w:hAnsi="宋体" w:eastAsia="宋体" w:cs="宋体"/>
                <w:color w:val="000000"/>
                <w:sz w:val="21"/>
                <w:szCs w:val="21"/>
              </w:rPr>
            </w:pPr>
            <w:r>
              <w:rPr>
                <w:rFonts w:hint="eastAsia" w:ascii="宋体" w:hAnsi="宋体" w:eastAsia="宋体" w:cs="宋体"/>
                <w:color w:val="000000"/>
                <w:sz w:val="21"/>
                <w:szCs w:val="21"/>
              </w:rPr>
              <w:t>、氨基糖苷类抗生素、四环素类及氯霉素类抗生素、其他类抗生素，化学合成抗菌药、抗结核病药及抗麻风病药</w:t>
            </w:r>
          </w:p>
        </w:tc>
        <w:tc>
          <w:tcPr>
            <w:tcW w:w="2415" w:type="dxa"/>
            <w:noWrap w:val="0"/>
            <w:vAlign w:val="center"/>
          </w:tcPr>
          <w:p w14:paraId="383C0410">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0217A3F5">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28B5FFBA">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64B7DF96">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48E3593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551507C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37714E8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7DD1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212" w:type="dxa"/>
            <w:tcBorders>
              <w:left w:val="single" w:color="auto" w:sz="12" w:space="0"/>
            </w:tcBorders>
            <w:noWrap w:val="0"/>
            <w:vAlign w:val="top"/>
          </w:tcPr>
          <w:p w14:paraId="16B908B2">
            <w:pP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第十八单元 抗病毒药和抗真菌药、消毒防腐药，抗寄生虫病药、抗恶性肿瘤药 </w:t>
            </w:r>
          </w:p>
        </w:tc>
        <w:tc>
          <w:tcPr>
            <w:tcW w:w="2415" w:type="dxa"/>
            <w:noWrap w:val="0"/>
            <w:vAlign w:val="center"/>
          </w:tcPr>
          <w:p w14:paraId="207BC7E5">
            <w:pPr>
              <w:rPr>
                <w:rFonts w:hint="eastAsia" w:ascii="宋体" w:hAnsi="宋体" w:eastAsia="宋体" w:cs="宋体"/>
                <w:color w:val="000000"/>
                <w:sz w:val="21"/>
                <w:szCs w:val="21"/>
              </w:rPr>
            </w:pPr>
            <w:r>
              <w:rPr>
                <w:rFonts w:hint="eastAsia" w:ascii="宋体" w:hAnsi="宋体" w:eastAsia="宋体" w:cs="宋体"/>
                <w:color w:val="000000"/>
                <w:sz w:val="21"/>
                <w:szCs w:val="21"/>
              </w:rPr>
              <w:t>直接教学法</w:t>
            </w:r>
          </w:p>
          <w:p w14:paraId="68262FFB">
            <w:pPr>
              <w:rPr>
                <w:rFonts w:hint="eastAsia" w:ascii="宋体" w:hAnsi="宋体" w:eastAsia="宋体" w:cs="宋体"/>
                <w:color w:val="000000"/>
                <w:sz w:val="21"/>
                <w:szCs w:val="21"/>
              </w:rPr>
            </w:pPr>
            <w:r>
              <w:rPr>
                <w:rFonts w:hint="eastAsia" w:ascii="宋体" w:hAnsi="宋体" w:eastAsia="宋体" w:cs="宋体"/>
                <w:color w:val="000000"/>
                <w:sz w:val="21"/>
                <w:szCs w:val="21"/>
              </w:rPr>
              <w:t>讨论教学法</w:t>
            </w:r>
          </w:p>
        </w:tc>
        <w:tc>
          <w:tcPr>
            <w:tcW w:w="1738" w:type="dxa"/>
            <w:noWrap w:val="0"/>
            <w:vAlign w:val="top"/>
          </w:tcPr>
          <w:p w14:paraId="1E0C910A">
            <w:pPr>
              <w:rPr>
                <w:rFonts w:hint="eastAsia" w:ascii="宋体" w:hAnsi="宋体" w:eastAsia="宋体" w:cs="宋体"/>
                <w:color w:val="000000"/>
                <w:sz w:val="21"/>
                <w:szCs w:val="21"/>
              </w:rPr>
            </w:pPr>
            <w:r>
              <w:rPr>
                <w:rFonts w:hint="eastAsia" w:ascii="宋体" w:hAnsi="宋体" w:eastAsia="宋体" w:cs="宋体"/>
                <w:color w:val="000000"/>
                <w:sz w:val="21"/>
                <w:szCs w:val="21"/>
              </w:rPr>
              <w:t>期末闭卷考试</w:t>
            </w:r>
          </w:p>
          <w:p w14:paraId="237851C4">
            <w:pPr>
              <w:rPr>
                <w:rFonts w:hint="eastAsia" w:ascii="宋体" w:hAnsi="宋体" w:eastAsia="宋体" w:cs="宋体"/>
                <w:color w:val="000000"/>
                <w:sz w:val="21"/>
                <w:szCs w:val="21"/>
              </w:rPr>
            </w:pPr>
            <w:r>
              <w:rPr>
                <w:rFonts w:hint="eastAsia" w:ascii="宋体" w:hAnsi="宋体" w:eastAsia="宋体" w:cs="宋体"/>
                <w:color w:val="000000"/>
                <w:sz w:val="21"/>
                <w:szCs w:val="21"/>
              </w:rPr>
              <w:t>阶段测验</w:t>
            </w:r>
          </w:p>
        </w:tc>
        <w:tc>
          <w:tcPr>
            <w:tcW w:w="725" w:type="dxa"/>
            <w:noWrap w:val="0"/>
            <w:vAlign w:val="center"/>
          </w:tcPr>
          <w:p w14:paraId="43BF0E3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669" w:type="dxa"/>
            <w:noWrap w:val="0"/>
            <w:vAlign w:val="center"/>
          </w:tcPr>
          <w:p w14:paraId="6766A4F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0</w:t>
            </w:r>
          </w:p>
        </w:tc>
        <w:tc>
          <w:tcPr>
            <w:tcW w:w="717" w:type="dxa"/>
            <w:tcBorders>
              <w:right w:val="single" w:color="auto" w:sz="12" w:space="0"/>
            </w:tcBorders>
            <w:noWrap w:val="0"/>
            <w:vAlign w:val="center"/>
          </w:tcPr>
          <w:p w14:paraId="2EC7DFC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r>
      <w:tr w14:paraId="1390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noWrap w:val="0"/>
            <w:vAlign w:val="center"/>
          </w:tcPr>
          <w:p w14:paraId="68462EE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合计</w:t>
            </w:r>
          </w:p>
        </w:tc>
        <w:tc>
          <w:tcPr>
            <w:tcW w:w="725" w:type="dxa"/>
            <w:tcBorders>
              <w:bottom w:val="single" w:color="auto" w:sz="12" w:space="0"/>
            </w:tcBorders>
            <w:noWrap w:val="0"/>
            <w:vAlign w:val="center"/>
          </w:tcPr>
          <w:p w14:paraId="3BF987B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32</w:t>
            </w:r>
          </w:p>
        </w:tc>
        <w:tc>
          <w:tcPr>
            <w:tcW w:w="669" w:type="dxa"/>
            <w:tcBorders>
              <w:bottom w:val="single" w:color="auto" w:sz="12" w:space="0"/>
            </w:tcBorders>
            <w:noWrap w:val="0"/>
            <w:vAlign w:val="center"/>
          </w:tcPr>
          <w:p w14:paraId="302927A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16</w:t>
            </w:r>
          </w:p>
        </w:tc>
        <w:tc>
          <w:tcPr>
            <w:tcW w:w="717" w:type="dxa"/>
            <w:tcBorders>
              <w:bottom w:val="single" w:color="auto" w:sz="12" w:space="0"/>
              <w:right w:val="single" w:color="auto" w:sz="12" w:space="0"/>
            </w:tcBorders>
            <w:noWrap w:val="0"/>
            <w:vAlign w:val="center"/>
          </w:tcPr>
          <w:p w14:paraId="2E0D072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48</w:t>
            </w:r>
          </w:p>
        </w:tc>
      </w:tr>
    </w:tbl>
    <w:p w14:paraId="71F58C65">
      <w:pPr>
        <w:spacing w:before="163" w:beforeLines="50" w:after="163" w:afterLines="50"/>
        <w:outlineLvl w:val="1"/>
        <w:rPr>
          <w:rFonts w:ascii="Times New Roman" w:hAnsi="Times New Roman"/>
          <w:b/>
        </w:rPr>
      </w:pPr>
      <w:r>
        <w:rPr>
          <w:rFonts w:hint="eastAsia" w:ascii="Times New Roman" w:hAnsi="Times New Roman"/>
          <w:b/>
        </w:rPr>
        <w:t>（四）课内实验项目与基本要求</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1"/>
        <w:gridCol w:w="2168"/>
        <w:gridCol w:w="3775"/>
        <w:gridCol w:w="862"/>
        <w:gridCol w:w="950"/>
      </w:tblGrid>
      <w:tr w14:paraId="3CF9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12" w:space="0"/>
              <w:left w:val="single" w:color="auto" w:sz="12" w:space="0"/>
              <w:bottom w:val="single" w:color="auto" w:sz="4" w:space="0"/>
              <w:right w:val="single" w:color="auto" w:sz="4" w:space="0"/>
            </w:tcBorders>
            <w:noWrap w:val="0"/>
            <w:vAlign w:val="center"/>
          </w:tcPr>
          <w:p w14:paraId="4F3F03AA">
            <w:pPr>
              <w:pStyle w:val="19"/>
              <w:rPr>
                <w:szCs w:val="16"/>
              </w:rPr>
            </w:pPr>
            <w:r>
              <w:rPr>
                <w:rFonts w:hint="eastAsia"/>
                <w:szCs w:val="16"/>
              </w:rPr>
              <w:t>序号</w:t>
            </w:r>
          </w:p>
        </w:tc>
        <w:tc>
          <w:tcPr>
            <w:tcW w:w="2168" w:type="dxa"/>
            <w:tcBorders>
              <w:top w:val="single" w:color="auto" w:sz="12" w:space="0"/>
              <w:left w:val="single" w:color="auto" w:sz="4" w:space="0"/>
              <w:bottom w:val="single" w:color="auto" w:sz="4" w:space="0"/>
              <w:right w:val="single" w:color="auto" w:sz="4" w:space="0"/>
            </w:tcBorders>
            <w:noWrap w:val="0"/>
            <w:vAlign w:val="center"/>
          </w:tcPr>
          <w:p w14:paraId="077FBB69">
            <w:pPr>
              <w:pStyle w:val="19"/>
              <w:rPr>
                <w:szCs w:val="16"/>
              </w:rPr>
            </w:pPr>
            <w:r>
              <w:rPr>
                <w:rFonts w:hint="eastAsia"/>
                <w:szCs w:val="16"/>
              </w:rPr>
              <w:t>实验项目名称</w:t>
            </w:r>
          </w:p>
        </w:tc>
        <w:tc>
          <w:tcPr>
            <w:tcW w:w="3775" w:type="dxa"/>
            <w:tcBorders>
              <w:top w:val="single" w:color="auto" w:sz="12" w:space="0"/>
              <w:left w:val="single" w:color="auto" w:sz="4" w:space="0"/>
              <w:bottom w:val="single" w:color="auto" w:sz="4" w:space="0"/>
              <w:right w:val="single" w:color="auto" w:sz="4" w:space="0"/>
            </w:tcBorders>
            <w:noWrap w:val="0"/>
            <w:vAlign w:val="center"/>
          </w:tcPr>
          <w:p w14:paraId="09319E96">
            <w:pPr>
              <w:pStyle w:val="19"/>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noWrap w:val="0"/>
            <w:vAlign w:val="center"/>
          </w:tcPr>
          <w:p w14:paraId="05C43817">
            <w:pPr>
              <w:pStyle w:val="19"/>
              <w:rPr>
                <w:szCs w:val="16"/>
              </w:rPr>
            </w:pPr>
            <w:r>
              <w:rPr>
                <w:rFonts w:hint="eastAsia"/>
                <w:szCs w:val="16"/>
              </w:rPr>
              <w:t>实验</w:t>
            </w:r>
          </w:p>
          <w:p w14:paraId="758C8542">
            <w:pPr>
              <w:pStyle w:val="19"/>
              <w:rPr>
                <w:szCs w:val="16"/>
              </w:rPr>
            </w:pPr>
            <w:r>
              <w:rPr>
                <w:rFonts w:hint="eastAsia"/>
                <w:szCs w:val="16"/>
              </w:rPr>
              <w:t>时数</w:t>
            </w:r>
          </w:p>
        </w:tc>
        <w:tc>
          <w:tcPr>
            <w:tcW w:w="950" w:type="dxa"/>
            <w:tcBorders>
              <w:top w:val="single" w:color="auto" w:sz="12" w:space="0"/>
              <w:left w:val="single" w:color="auto" w:sz="4" w:space="0"/>
              <w:right w:val="single" w:color="auto" w:sz="12" w:space="0"/>
            </w:tcBorders>
            <w:noWrap w:val="0"/>
            <w:vAlign w:val="center"/>
          </w:tcPr>
          <w:p w14:paraId="2C5AA7C9">
            <w:pPr>
              <w:pStyle w:val="19"/>
              <w:rPr>
                <w:szCs w:val="16"/>
              </w:rPr>
            </w:pPr>
            <w:r>
              <w:rPr>
                <w:rFonts w:hint="eastAsia"/>
                <w:szCs w:val="16"/>
              </w:rPr>
              <w:t>实验</w:t>
            </w:r>
          </w:p>
          <w:p w14:paraId="48BCBBFE">
            <w:pPr>
              <w:pStyle w:val="19"/>
              <w:rPr>
                <w:szCs w:val="16"/>
              </w:rPr>
            </w:pPr>
            <w:r>
              <w:rPr>
                <w:rFonts w:hint="eastAsia"/>
                <w:szCs w:val="16"/>
              </w:rPr>
              <w:t>类型</w:t>
            </w:r>
          </w:p>
        </w:tc>
      </w:tr>
      <w:tr w14:paraId="6C5A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68C415BD">
            <w:pPr>
              <w:pStyle w:val="20"/>
            </w:pPr>
            <w:r>
              <w:rPr>
                <w:rFonts w:hint="eastAsia"/>
              </w:rPr>
              <w:t>1</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6E591432">
            <w:pPr>
              <w:snapToGrid w:val="0"/>
              <w:spacing w:line="360" w:lineRule="atLeast"/>
              <w:rPr>
                <w:rFonts w:hint="eastAsia"/>
                <w:sz w:val="20"/>
                <w:szCs w:val="20"/>
              </w:rPr>
            </w:pPr>
            <w:r>
              <w:rPr>
                <w:rFonts w:hint="eastAsia"/>
                <w:sz w:val="20"/>
                <w:szCs w:val="20"/>
              </w:rPr>
              <w:t>实验一：给药剂量对药物血浓度的影响</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4EFCFD7D">
            <w:pPr>
              <w:snapToGrid w:val="0"/>
              <w:spacing w:line="360" w:lineRule="atLeast"/>
              <w:rPr>
                <w:rFonts w:hint="default" w:eastAsia="宋体"/>
                <w:sz w:val="20"/>
                <w:szCs w:val="20"/>
                <w:lang w:val="en-US" w:eastAsia="zh-CN"/>
              </w:rPr>
            </w:pPr>
            <w:r>
              <w:rPr>
                <w:rFonts w:hint="eastAsia"/>
                <w:sz w:val="20"/>
                <w:szCs w:val="20"/>
              </w:rPr>
              <w:t>观察不同给药剂量对药物血药浓度的影响。</w:t>
            </w:r>
            <w:r>
              <w:rPr>
                <w:rFonts w:hint="eastAsia"/>
                <w:sz w:val="20"/>
                <w:szCs w:val="20"/>
                <w:lang w:val="en-US" w:eastAsia="zh-CN"/>
              </w:rPr>
              <w:t>培养临床药物护理思维。</w:t>
            </w:r>
          </w:p>
        </w:tc>
        <w:tc>
          <w:tcPr>
            <w:tcW w:w="862" w:type="dxa"/>
            <w:tcBorders>
              <w:left w:val="single" w:color="auto" w:sz="4" w:space="0"/>
              <w:right w:val="single" w:color="auto" w:sz="4" w:space="0"/>
            </w:tcBorders>
            <w:noWrap w:val="0"/>
            <w:vAlign w:val="center"/>
          </w:tcPr>
          <w:p w14:paraId="37ECFA6D">
            <w:pPr>
              <w:pStyle w:val="20"/>
            </w:pPr>
            <w:r>
              <w:rPr>
                <w:rFonts w:hint="eastAsia"/>
              </w:rPr>
              <w:t>2</w:t>
            </w:r>
          </w:p>
        </w:tc>
        <w:tc>
          <w:tcPr>
            <w:tcW w:w="950" w:type="dxa"/>
            <w:tcBorders>
              <w:left w:val="single" w:color="auto" w:sz="4" w:space="0"/>
              <w:right w:val="single" w:color="auto" w:sz="12" w:space="0"/>
            </w:tcBorders>
            <w:noWrap w:val="0"/>
            <w:vAlign w:val="center"/>
          </w:tcPr>
          <w:p w14:paraId="7D0886EA">
            <w:pPr>
              <w:pStyle w:val="20"/>
            </w:pPr>
            <w:r>
              <w:rPr>
                <w:rFonts w:hint="eastAsia"/>
              </w:rPr>
              <w:t>④</w:t>
            </w:r>
          </w:p>
        </w:tc>
      </w:tr>
      <w:tr w14:paraId="7209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75BF9F67">
            <w:pPr>
              <w:pStyle w:val="20"/>
            </w:pPr>
            <w:r>
              <w:rPr>
                <w:rFonts w:hint="eastAsia"/>
              </w:rPr>
              <w:t>2</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7822815D">
            <w:pPr>
              <w:pStyle w:val="3"/>
              <w:spacing w:before="0" w:after="0" w:line="240" w:lineRule="auto"/>
              <w:ind w:firstLine="0" w:firstLineChars="0"/>
              <w:jc w:val="left"/>
              <w:rPr>
                <w:rFonts w:hint="eastAsia" w:ascii="宋体" w:hAnsi="宋体" w:eastAsia="宋体" w:cs="宋体"/>
                <w:b w:val="0"/>
                <w:kern w:val="2"/>
                <w:sz w:val="20"/>
                <w:szCs w:val="20"/>
              </w:rPr>
            </w:pPr>
            <w:r>
              <w:rPr>
                <w:rFonts w:hint="eastAsia" w:ascii="宋体" w:hAnsi="宋体" w:eastAsia="宋体" w:cs="宋体"/>
                <w:b w:val="0"/>
                <w:kern w:val="2"/>
                <w:sz w:val="20"/>
                <w:szCs w:val="20"/>
              </w:rPr>
              <w:t>实验二：给药途径对药物血浓度的影响</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3B67FBAD">
            <w:pPr>
              <w:rPr>
                <w:rFonts w:hint="eastAsia"/>
                <w:sz w:val="20"/>
                <w:szCs w:val="20"/>
              </w:rPr>
            </w:pPr>
            <w:r>
              <w:rPr>
                <w:rFonts w:hint="eastAsia"/>
                <w:sz w:val="20"/>
                <w:szCs w:val="20"/>
              </w:rPr>
              <w:t>观察不同给药途径对药物血药浓度的影响，</w:t>
            </w:r>
            <w:r>
              <w:rPr>
                <w:rFonts w:hint="eastAsia"/>
                <w:sz w:val="20"/>
                <w:szCs w:val="20"/>
                <w:lang w:val="en-US" w:eastAsia="zh-CN"/>
              </w:rPr>
              <w:t>培养临床药物护理思维。</w:t>
            </w:r>
            <w:r>
              <w:rPr>
                <w:rFonts w:hint="eastAsia"/>
                <w:sz w:val="20"/>
                <w:szCs w:val="20"/>
              </w:rPr>
              <w:t>掌握小白鼠的口服给药法及尾静脉注射法。</w:t>
            </w:r>
          </w:p>
        </w:tc>
        <w:tc>
          <w:tcPr>
            <w:tcW w:w="862" w:type="dxa"/>
            <w:tcBorders>
              <w:left w:val="single" w:color="auto" w:sz="4" w:space="0"/>
              <w:bottom w:val="single" w:color="auto" w:sz="4" w:space="0"/>
              <w:right w:val="single" w:color="auto" w:sz="4" w:space="0"/>
            </w:tcBorders>
            <w:noWrap w:val="0"/>
            <w:vAlign w:val="center"/>
          </w:tcPr>
          <w:p w14:paraId="670F3455">
            <w:pPr>
              <w:pStyle w:val="20"/>
            </w:pPr>
            <w:r>
              <w:rPr>
                <w:rFonts w:hint="eastAsia"/>
              </w:rPr>
              <w:t>2</w:t>
            </w:r>
          </w:p>
        </w:tc>
        <w:tc>
          <w:tcPr>
            <w:tcW w:w="950" w:type="dxa"/>
            <w:tcBorders>
              <w:left w:val="single" w:color="auto" w:sz="4" w:space="0"/>
              <w:bottom w:val="single" w:color="auto" w:sz="4" w:space="0"/>
              <w:right w:val="single" w:color="auto" w:sz="12" w:space="0"/>
            </w:tcBorders>
            <w:noWrap w:val="0"/>
            <w:vAlign w:val="center"/>
          </w:tcPr>
          <w:p w14:paraId="337F20AC">
            <w:pPr>
              <w:pStyle w:val="20"/>
            </w:pPr>
            <w:r>
              <w:rPr>
                <w:rFonts w:hint="eastAsia"/>
              </w:rPr>
              <w:t>④</w:t>
            </w:r>
          </w:p>
        </w:tc>
      </w:tr>
      <w:tr w14:paraId="0DE7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3F19B88D">
            <w:pPr>
              <w:pStyle w:val="20"/>
              <w:rPr>
                <w:rFonts w:hint="eastAsia"/>
              </w:rPr>
            </w:pPr>
            <w:r>
              <w:rPr>
                <w:rFonts w:hint="eastAsia"/>
              </w:rPr>
              <w:t>3</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71D6060F">
            <w:pPr>
              <w:snapToGrid w:val="0"/>
              <w:spacing w:line="360" w:lineRule="atLeast"/>
              <w:rPr>
                <w:rFonts w:hint="eastAsia"/>
                <w:sz w:val="20"/>
                <w:szCs w:val="20"/>
              </w:rPr>
            </w:pPr>
            <w:r>
              <w:rPr>
                <w:rFonts w:hint="eastAsia" w:ascii="宋体" w:hAnsi="宋体" w:eastAsia="宋体" w:cs="宋体"/>
                <w:b w:val="0"/>
                <w:kern w:val="2"/>
                <w:sz w:val="20"/>
                <w:szCs w:val="20"/>
                <w:lang w:val="en-US" w:eastAsia="zh-CN" w:bidi="ar-SA"/>
              </w:rPr>
              <w:t>实验三：药物在体内的分布</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379A9576">
            <w:pPr>
              <w:snapToGrid w:val="0"/>
              <w:spacing w:line="360" w:lineRule="atLeast"/>
              <w:rPr>
                <w:rFonts w:hint="eastAsia"/>
                <w:sz w:val="20"/>
                <w:szCs w:val="20"/>
              </w:rPr>
            </w:pPr>
            <w:r>
              <w:rPr>
                <w:rFonts w:hint="eastAsia"/>
                <w:sz w:val="20"/>
                <w:szCs w:val="20"/>
              </w:rPr>
              <w:t>观</w:t>
            </w:r>
            <w:r>
              <w:rPr>
                <w:rFonts w:hint="eastAsia"/>
                <w:sz w:val="20"/>
                <w:szCs w:val="20"/>
                <w:lang w:val="en-US" w:eastAsia="zh-CN"/>
              </w:rPr>
              <w:t>察磺胺类</w:t>
            </w:r>
            <w:r>
              <w:rPr>
                <w:rFonts w:hint="eastAsia" w:ascii="Times New Roman" w:hAnsi="Times New Roman"/>
                <w:color w:val="000000"/>
                <w:sz w:val="21"/>
                <w:szCs w:val="21"/>
              </w:rPr>
              <w:t>药物在体内的分布</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学习药物在体内分布的临床意义。</w:t>
            </w:r>
          </w:p>
        </w:tc>
        <w:tc>
          <w:tcPr>
            <w:tcW w:w="862" w:type="dxa"/>
            <w:tcBorders>
              <w:left w:val="single" w:color="auto" w:sz="4" w:space="0"/>
              <w:bottom w:val="single" w:color="auto" w:sz="4" w:space="0"/>
              <w:right w:val="single" w:color="auto" w:sz="4" w:space="0"/>
            </w:tcBorders>
            <w:noWrap w:val="0"/>
            <w:vAlign w:val="center"/>
          </w:tcPr>
          <w:p w14:paraId="33168CCD">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25BC98A9">
            <w:pPr>
              <w:pStyle w:val="20"/>
            </w:pPr>
            <w:r>
              <w:rPr>
                <w:rFonts w:hint="eastAsia"/>
              </w:rPr>
              <w:t>④</w:t>
            </w:r>
          </w:p>
        </w:tc>
      </w:tr>
      <w:tr w14:paraId="08BD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4A6A5960">
            <w:pPr>
              <w:pStyle w:val="20"/>
              <w:rPr>
                <w:rFonts w:hint="eastAsia"/>
              </w:rPr>
            </w:pPr>
            <w:r>
              <w:rPr>
                <w:rFonts w:hint="eastAsia"/>
              </w:rPr>
              <w:t>4</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71248EFD">
            <w:pPr>
              <w:snapToGrid w:val="0"/>
              <w:spacing w:line="360" w:lineRule="atLeast"/>
              <w:rPr>
                <w:rFonts w:hint="eastAsia"/>
                <w:sz w:val="20"/>
                <w:szCs w:val="20"/>
              </w:rPr>
            </w:pPr>
            <w:r>
              <w:rPr>
                <w:rFonts w:hint="eastAsia"/>
                <w:sz w:val="20"/>
                <w:szCs w:val="20"/>
              </w:rPr>
              <w:t>实验四：传出神经系统药物对血压的影响</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39881E2A">
            <w:pPr>
              <w:snapToGrid w:val="0"/>
              <w:spacing w:line="360" w:lineRule="atLeast"/>
              <w:rPr>
                <w:rFonts w:hint="eastAsia"/>
                <w:sz w:val="20"/>
                <w:szCs w:val="20"/>
              </w:rPr>
            </w:pPr>
            <w:r>
              <w:rPr>
                <w:rFonts w:hint="eastAsia"/>
                <w:sz w:val="20"/>
                <w:szCs w:val="20"/>
              </w:rPr>
              <w:t>观察神经体液因素及药物对心血管活动的影响；学习哺乳动物动脉血压的直接测量方法。</w:t>
            </w:r>
          </w:p>
        </w:tc>
        <w:tc>
          <w:tcPr>
            <w:tcW w:w="862" w:type="dxa"/>
            <w:tcBorders>
              <w:left w:val="single" w:color="auto" w:sz="4" w:space="0"/>
              <w:bottom w:val="single" w:color="auto" w:sz="4" w:space="0"/>
              <w:right w:val="single" w:color="auto" w:sz="4" w:space="0"/>
            </w:tcBorders>
            <w:noWrap w:val="0"/>
            <w:vAlign w:val="center"/>
          </w:tcPr>
          <w:p w14:paraId="1A17D65A">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6EFD63DC">
            <w:pPr>
              <w:pStyle w:val="20"/>
            </w:pPr>
            <w:r>
              <w:rPr>
                <w:rFonts w:hint="eastAsia"/>
              </w:rPr>
              <w:t>④</w:t>
            </w:r>
          </w:p>
        </w:tc>
      </w:tr>
      <w:tr w14:paraId="371B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693C85D6">
            <w:pPr>
              <w:pStyle w:val="20"/>
              <w:rPr>
                <w:rFonts w:hint="eastAsia"/>
              </w:rPr>
            </w:pPr>
            <w:r>
              <w:rPr>
                <w:rFonts w:hint="eastAsia"/>
              </w:rPr>
              <w:t>5</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44517506">
            <w:pPr>
              <w:snapToGrid w:val="0"/>
              <w:spacing w:line="360" w:lineRule="atLeast"/>
              <w:rPr>
                <w:rFonts w:hint="eastAsia"/>
                <w:sz w:val="20"/>
                <w:szCs w:val="20"/>
              </w:rPr>
            </w:pPr>
            <w:r>
              <w:rPr>
                <w:rFonts w:hint="eastAsia"/>
                <w:sz w:val="20"/>
                <w:szCs w:val="20"/>
              </w:rPr>
              <w:t>实验五：去甲肾上腺素的缩血管作用</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3266AD45">
            <w:pPr>
              <w:snapToGrid w:val="0"/>
              <w:spacing w:line="360" w:lineRule="atLeast"/>
              <w:rPr>
                <w:rFonts w:hint="eastAsia"/>
                <w:sz w:val="20"/>
                <w:szCs w:val="20"/>
              </w:rPr>
            </w:pPr>
            <w:r>
              <w:rPr>
                <w:rFonts w:hint="eastAsia"/>
                <w:sz w:val="20"/>
                <w:szCs w:val="20"/>
              </w:rPr>
              <w:t>观察去甲肾上腺素的缩血管作用；练习蛙的捉拿及破坏其脑脊髓的方法。</w:t>
            </w:r>
          </w:p>
        </w:tc>
        <w:tc>
          <w:tcPr>
            <w:tcW w:w="862" w:type="dxa"/>
            <w:tcBorders>
              <w:left w:val="single" w:color="auto" w:sz="4" w:space="0"/>
              <w:bottom w:val="single" w:color="auto" w:sz="4" w:space="0"/>
              <w:right w:val="single" w:color="auto" w:sz="4" w:space="0"/>
            </w:tcBorders>
            <w:noWrap w:val="0"/>
            <w:vAlign w:val="center"/>
          </w:tcPr>
          <w:p w14:paraId="76654A46">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0C64D434">
            <w:pPr>
              <w:pStyle w:val="20"/>
            </w:pPr>
            <w:r>
              <w:rPr>
                <w:rFonts w:hint="eastAsia"/>
              </w:rPr>
              <w:t>④</w:t>
            </w:r>
          </w:p>
        </w:tc>
      </w:tr>
      <w:tr w14:paraId="0F56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1" w:type="dxa"/>
            <w:tcBorders>
              <w:top w:val="single" w:color="auto" w:sz="4" w:space="0"/>
              <w:left w:val="single" w:color="auto" w:sz="12" w:space="0"/>
              <w:bottom w:val="single" w:color="auto" w:sz="4" w:space="0"/>
              <w:right w:val="single" w:color="auto" w:sz="4" w:space="0"/>
            </w:tcBorders>
            <w:noWrap w:val="0"/>
            <w:vAlign w:val="center"/>
          </w:tcPr>
          <w:p w14:paraId="00AA6CFB">
            <w:pPr>
              <w:pStyle w:val="20"/>
              <w:rPr>
                <w:rFonts w:hint="eastAsia"/>
              </w:rPr>
            </w:pPr>
            <w:r>
              <w:rPr>
                <w:rFonts w:hint="eastAsia"/>
              </w:rPr>
              <w:t>6</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7CEBB427">
            <w:pPr>
              <w:snapToGrid w:val="0"/>
              <w:spacing w:line="360" w:lineRule="atLeast"/>
              <w:rPr>
                <w:rFonts w:hint="eastAsia"/>
                <w:sz w:val="20"/>
                <w:szCs w:val="20"/>
              </w:rPr>
            </w:pPr>
            <w:r>
              <w:rPr>
                <w:rFonts w:hint="eastAsia"/>
                <w:sz w:val="20"/>
                <w:szCs w:val="20"/>
              </w:rPr>
              <w:t>实验六：氨茶碱和异丙肾上腺素的平喘作用</w:t>
            </w:r>
          </w:p>
        </w:tc>
        <w:tc>
          <w:tcPr>
            <w:tcW w:w="3775" w:type="dxa"/>
            <w:tcBorders>
              <w:top w:val="single" w:color="auto" w:sz="4" w:space="0"/>
              <w:left w:val="single" w:color="auto" w:sz="4" w:space="0"/>
              <w:bottom w:val="single" w:color="auto" w:sz="4" w:space="0"/>
              <w:right w:val="single" w:color="auto" w:sz="4" w:space="0"/>
            </w:tcBorders>
            <w:noWrap w:val="0"/>
            <w:vAlign w:val="center"/>
          </w:tcPr>
          <w:p w14:paraId="135904ED">
            <w:pPr>
              <w:snapToGrid w:val="0"/>
              <w:spacing w:line="360" w:lineRule="atLeast"/>
              <w:rPr>
                <w:rFonts w:hint="eastAsia"/>
                <w:sz w:val="20"/>
                <w:szCs w:val="20"/>
              </w:rPr>
            </w:pPr>
            <w:r>
              <w:rPr>
                <w:rFonts w:hint="eastAsia"/>
                <w:sz w:val="20"/>
                <w:szCs w:val="20"/>
              </w:rPr>
              <w:t>学习喷雾乙酰胆碱和组胺引起豚鼠支气管哮喘的实验方法，观察氨茶碱和异丙肾上腺素的平喘作用。</w:t>
            </w:r>
          </w:p>
        </w:tc>
        <w:tc>
          <w:tcPr>
            <w:tcW w:w="862" w:type="dxa"/>
            <w:tcBorders>
              <w:left w:val="single" w:color="auto" w:sz="4" w:space="0"/>
              <w:bottom w:val="single" w:color="auto" w:sz="4" w:space="0"/>
              <w:right w:val="single" w:color="auto" w:sz="4" w:space="0"/>
            </w:tcBorders>
            <w:noWrap w:val="0"/>
            <w:vAlign w:val="center"/>
          </w:tcPr>
          <w:p w14:paraId="2D09B66D">
            <w:pPr>
              <w:pStyle w:val="20"/>
              <w:rPr>
                <w:rFonts w:hint="eastAsia" w:eastAsia="宋体"/>
                <w:lang w:val="en-US" w:eastAsia="zh-CN"/>
              </w:rPr>
            </w:pPr>
            <w:r>
              <w:rPr>
                <w:rFonts w:hint="eastAsia"/>
                <w:lang w:val="en-US" w:eastAsia="zh-CN"/>
              </w:rPr>
              <w:t>3</w:t>
            </w:r>
          </w:p>
        </w:tc>
        <w:tc>
          <w:tcPr>
            <w:tcW w:w="950" w:type="dxa"/>
            <w:tcBorders>
              <w:left w:val="single" w:color="auto" w:sz="4" w:space="0"/>
              <w:bottom w:val="single" w:color="auto" w:sz="4" w:space="0"/>
              <w:right w:val="single" w:color="auto" w:sz="12" w:space="0"/>
            </w:tcBorders>
            <w:noWrap w:val="0"/>
            <w:vAlign w:val="center"/>
          </w:tcPr>
          <w:p w14:paraId="75B47AC7">
            <w:pPr>
              <w:pStyle w:val="20"/>
            </w:pPr>
            <w:r>
              <w:rPr>
                <w:rFonts w:hint="eastAsia"/>
              </w:rPr>
              <w:t>④</w:t>
            </w:r>
          </w:p>
        </w:tc>
      </w:tr>
      <w:tr w14:paraId="7CA8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6" w:type="dxa"/>
            <w:gridSpan w:val="5"/>
            <w:tcBorders>
              <w:top w:val="single" w:color="auto" w:sz="12" w:space="0"/>
              <w:left w:val="nil"/>
              <w:bottom w:val="nil"/>
              <w:right w:val="nil"/>
            </w:tcBorders>
            <w:noWrap w:val="0"/>
            <w:vAlign w:val="center"/>
          </w:tcPr>
          <w:p w14:paraId="208F0EA9">
            <w:pPr>
              <w:pStyle w:val="19"/>
            </w:pPr>
            <w:r>
              <w:rPr>
                <w:rFonts w:hint="eastAsia"/>
              </w:rPr>
              <w:t>实验类型：①演示型②验证型③设计型④综合型</w:t>
            </w:r>
          </w:p>
        </w:tc>
      </w:tr>
    </w:tbl>
    <w:p w14:paraId="579AD01B">
      <w:pPr>
        <w:spacing w:before="326" w:beforeLines="100"/>
        <w:outlineLvl w:val="0"/>
        <w:rPr>
          <w:rFonts w:ascii="Arial" w:hAnsi="Arial" w:eastAsia="黑体"/>
          <w:sz w:val="28"/>
        </w:rPr>
      </w:pPr>
      <w:r>
        <w:rPr>
          <w:rFonts w:hint="eastAsia" w:ascii="Arial" w:hAnsi="Arial" w:eastAsia="黑体"/>
          <w:sz w:val="28"/>
        </w:rPr>
        <w:t>四、课程思政教学设计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120"/>
        <w:gridCol w:w="1186"/>
        <w:gridCol w:w="6170"/>
      </w:tblGrid>
      <w:tr w14:paraId="5F4B31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75061133">
            <w:pPr>
              <w:snapToGrid w:val="0"/>
              <w:jc w:val="left"/>
              <w:rPr>
                <w:rFonts w:hint="eastAsia" w:ascii="Times New Roman" w:hAnsi="Times New Roman" w:eastAsia="黑体"/>
                <w:bCs/>
                <w:color w:val="000000"/>
                <w:sz w:val="21"/>
                <w:szCs w:val="20"/>
              </w:rPr>
            </w:pPr>
            <w:r>
              <w:rPr>
                <w:rFonts w:hint="eastAsia" w:ascii="Times New Roman" w:hAnsi="Times New Roman" w:eastAsia="黑体"/>
                <w:bCs/>
                <w:color w:val="000000"/>
                <w:sz w:val="21"/>
                <w:szCs w:val="20"/>
              </w:rPr>
              <w:t>序号</w:t>
            </w:r>
          </w:p>
        </w:tc>
        <w:tc>
          <w:tcPr>
            <w:tcW w:w="1186" w:type="dxa"/>
            <w:noWrap w:val="0"/>
            <w:vAlign w:val="center"/>
          </w:tcPr>
          <w:p w14:paraId="6B380692">
            <w:pPr>
              <w:snapToGrid w:val="0"/>
              <w:jc w:val="left"/>
              <w:rPr>
                <w:rFonts w:ascii="Times New Roman" w:hAnsi="Times New Roman" w:eastAsia="黑体"/>
                <w:bCs/>
                <w:color w:val="000000"/>
                <w:sz w:val="21"/>
                <w:szCs w:val="20"/>
              </w:rPr>
            </w:pPr>
            <w:r>
              <w:rPr>
                <w:rFonts w:hint="eastAsia" w:ascii="Times New Roman" w:hAnsi="Times New Roman" w:eastAsia="黑体"/>
                <w:bCs/>
                <w:color w:val="000000"/>
                <w:sz w:val="21"/>
                <w:szCs w:val="20"/>
              </w:rPr>
              <w:t>教学模块</w:t>
            </w:r>
          </w:p>
        </w:tc>
        <w:tc>
          <w:tcPr>
            <w:tcW w:w="6170" w:type="dxa"/>
            <w:noWrap w:val="0"/>
            <w:vAlign w:val="center"/>
          </w:tcPr>
          <w:p w14:paraId="0B35DCDE">
            <w:pPr>
              <w:snapToGrid w:val="0"/>
              <w:jc w:val="left"/>
              <w:rPr>
                <w:rFonts w:ascii="Times New Roman" w:hAnsi="Times New Roman" w:eastAsia="黑体"/>
                <w:bCs/>
                <w:color w:val="000000"/>
                <w:sz w:val="21"/>
                <w:szCs w:val="20"/>
              </w:rPr>
            </w:pPr>
            <w:r>
              <w:rPr>
                <w:rFonts w:hint="eastAsia" w:ascii="Times New Roman" w:hAnsi="Times New Roman" w:eastAsia="黑体"/>
                <w:bCs/>
                <w:color w:val="000000"/>
                <w:sz w:val="21"/>
                <w:szCs w:val="20"/>
              </w:rPr>
              <w:t>课程思政教学要点</w:t>
            </w:r>
          </w:p>
        </w:tc>
      </w:tr>
      <w:tr w14:paraId="22A2D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09AAA89C">
            <w:pPr>
              <w:jc w:val="center"/>
              <w:rPr>
                <w:rFonts w:hint="eastAsia"/>
                <w:bCs/>
                <w:color w:val="000000"/>
                <w:sz w:val="21"/>
                <w:szCs w:val="21"/>
              </w:rPr>
            </w:pPr>
            <w:r>
              <w:rPr>
                <w:rFonts w:hint="eastAsia"/>
                <w:bCs/>
                <w:color w:val="000000"/>
                <w:sz w:val="21"/>
                <w:szCs w:val="21"/>
              </w:rPr>
              <w:t>1</w:t>
            </w:r>
          </w:p>
        </w:tc>
        <w:tc>
          <w:tcPr>
            <w:tcW w:w="1186" w:type="dxa"/>
            <w:noWrap w:val="0"/>
            <w:vAlign w:val="center"/>
          </w:tcPr>
          <w:p w14:paraId="32447A4A">
            <w:pPr>
              <w:jc w:val="center"/>
              <w:rPr>
                <w:bCs/>
                <w:color w:val="000000"/>
                <w:sz w:val="21"/>
                <w:szCs w:val="21"/>
              </w:rPr>
            </w:pPr>
            <w:r>
              <w:rPr>
                <w:rFonts w:hint="eastAsia"/>
                <w:bCs/>
                <w:color w:val="000000"/>
                <w:sz w:val="21"/>
                <w:szCs w:val="21"/>
              </w:rPr>
              <w:t>药理学总论</w:t>
            </w:r>
          </w:p>
        </w:tc>
        <w:tc>
          <w:tcPr>
            <w:tcW w:w="6170" w:type="dxa"/>
            <w:noWrap w:val="0"/>
            <w:vAlign w:val="center"/>
          </w:tcPr>
          <w:p w14:paraId="3C2F6A1D">
            <w:pPr>
              <w:jc w:val="left"/>
              <w:rPr>
                <w:rFonts w:hint="eastAsia" w:ascii="Times New Roman" w:hAnsi="Times New Roman"/>
                <w:color w:val="000000"/>
                <w:sz w:val="21"/>
                <w:szCs w:val="21"/>
              </w:rPr>
            </w:pPr>
            <w:r>
              <w:rPr>
                <w:rFonts w:hint="eastAsia" w:ascii="Times New Roman" w:hAnsi="Times New Roman"/>
                <w:color w:val="000000"/>
                <w:sz w:val="21"/>
                <w:szCs w:val="21"/>
              </w:rPr>
              <w:t>1.药物和药理学的发展简史，国内外药理学的发展近况。屠呦呦教授获得诺贝尔奖</w:t>
            </w:r>
            <w:r>
              <w:rPr>
                <w:rFonts w:ascii="Times New Roman" w:hAnsi="Times New Roman"/>
                <w:color w:val="000000"/>
                <w:sz w:val="21"/>
                <w:szCs w:val="21"/>
              </w:rPr>
              <w:t>；</w:t>
            </w:r>
            <w:r>
              <w:rPr>
                <w:rFonts w:hint="eastAsia" w:ascii="Times New Roman" w:hAnsi="Times New Roman"/>
                <w:color w:val="000000"/>
                <w:sz w:val="21"/>
                <w:szCs w:val="21"/>
              </w:rPr>
              <w:t>反应停事件</w:t>
            </w:r>
            <w:r>
              <w:rPr>
                <w:rFonts w:ascii="Times New Roman" w:hAnsi="Times New Roman"/>
                <w:color w:val="000000"/>
                <w:sz w:val="21"/>
                <w:szCs w:val="21"/>
              </w:rPr>
              <w:t>。</w:t>
            </w:r>
          </w:p>
          <w:p w14:paraId="76AF5D07">
            <w:pPr>
              <w:jc w:val="left"/>
              <w:rPr>
                <w:rFonts w:ascii="Times New Roman" w:hAnsi="Times New Roman"/>
                <w:color w:val="000000"/>
                <w:sz w:val="21"/>
                <w:szCs w:val="21"/>
              </w:rPr>
            </w:pPr>
            <w:r>
              <w:rPr>
                <w:rFonts w:hint="eastAsia" w:ascii="Times New Roman" w:hAnsi="Times New Roman"/>
                <w:color w:val="000000"/>
                <w:sz w:val="21"/>
                <w:szCs w:val="21"/>
              </w:rPr>
              <w:t>2.这些事件增强爱国情怀及民族自豪感</w:t>
            </w:r>
            <w:r>
              <w:rPr>
                <w:rFonts w:ascii="Times New Roman" w:hAnsi="Times New Roman"/>
                <w:color w:val="000000"/>
                <w:sz w:val="21"/>
                <w:szCs w:val="21"/>
              </w:rPr>
              <w:t>;学生的时代紧迫感</w:t>
            </w:r>
            <w:r>
              <w:rPr>
                <w:rFonts w:hint="eastAsia" w:ascii="Times New Roman" w:hAnsi="Times New Roman"/>
                <w:color w:val="000000"/>
                <w:sz w:val="21"/>
                <w:szCs w:val="21"/>
              </w:rPr>
              <w:t>和责任感</w:t>
            </w:r>
            <w:r>
              <w:rPr>
                <w:rFonts w:ascii="Times New Roman" w:hAnsi="Times New Roman"/>
                <w:color w:val="000000"/>
                <w:sz w:val="21"/>
                <w:szCs w:val="21"/>
              </w:rPr>
              <w:t>；警示学生养成</w:t>
            </w:r>
            <w:r>
              <w:rPr>
                <w:rFonts w:hint="eastAsia" w:ascii="Times New Roman" w:hAnsi="Times New Roman"/>
                <w:color w:val="000000"/>
                <w:sz w:val="21"/>
                <w:szCs w:val="21"/>
              </w:rPr>
              <w:t>良好的职业道德和职业素养</w:t>
            </w:r>
            <w:r>
              <w:rPr>
                <w:rFonts w:ascii="Times New Roman" w:hAnsi="Times New Roman"/>
                <w:color w:val="000000"/>
                <w:sz w:val="21"/>
                <w:szCs w:val="21"/>
              </w:rPr>
              <w:t>。</w:t>
            </w:r>
          </w:p>
        </w:tc>
      </w:tr>
      <w:tr w14:paraId="244099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0EB93A37">
            <w:pPr>
              <w:jc w:val="center"/>
              <w:rPr>
                <w:rFonts w:hint="eastAsia"/>
                <w:bCs/>
                <w:color w:val="000000"/>
                <w:sz w:val="21"/>
                <w:szCs w:val="21"/>
              </w:rPr>
            </w:pPr>
            <w:r>
              <w:rPr>
                <w:rFonts w:hint="eastAsia"/>
                <w:bCs/>
                <w:color w:val="000000"/>
                <w:sz w:val="21"/>
                <w:szCs w:val="21"/>
              </w:rPr>
              <w:t>2</w:t>
            </w:r>
          </w:p>
        </w:tc>
        <w:tc>
          <w:tcPr>
            <w:tcW w:w="1186" w:type="dxa"/>
            <w:noWrap w:val="0"/>
            <w:vAlign w:val="center"/>
          </w:tcPr>
          <w:p w14:paraId="66614575">
            <w:pPr>
              <w:jc w:val="center"/>
              <w:rPr>
                <w:bCs/>
                <w:color w:val="000000"/>
                <w:sz w:val="21"/>
                <w:szCs w:val="21"/>
              </w:rPr>
            </w:pPr>
            <w:r>
              <w:rPr>
                <w:rFonts w:hint="eastAsia"/>
                <w:bCs/>
                <w:color w:val="000000"/>
                <w:sz w:val="21"/>
                <w:szCs w:val="21"/>
              </w:rPr>
              <w:t>传出神经</w:t>
            </w:r>
          </w:p>
          <w:p w14:paraId="441837A2">
            <w:pPr>
              <w:jc w:val="center"/>
              <w:rPr>
                <w:color w:val="000000"/>
                <w:sz w:val="20"/>
                <w:szCs w:val="20"/>
              </w:rPr>
            </w:pPr>
            <w:r>
              <w:rPr>
                <w:rFonts w:hint="eastAsia"/>
                <w:bCs/>
                <w:color w:val="000000"/>
                <w:sz w:val="21"/>
                <w:szCs w:val="21"/>
              </w:rPr>
              <w:t>系统药理</w:t>
            </w:r>
          </w:p>
        </w:tc>
        <w:tc>
          <w:tcPr>
            <w:tcW w:w="6170" w:type="dxa"/>
            <w:noWrap w:val="0"/>
            <w:vAlign w:val="center"/>
          </w:tcPr>
          <w:p w14:paraId="69229FB4">
            <w:pPr>
              <w:jc w:val="left"/>
              <w:rPr>
                <w:rFonts w:hint="eastAsia" w:ascii="Times New Roman" w:hAnsi="Times New Roman"/>
                <w:color w:val="000000"/>
                <w:sz w:val="21"/>
                <w:szCs w:val="21"/>
              </w:rPr>
            </w:pPr>
            <w:r>
              <w:rPr>
                <w:rFonts w:hint="eastAsia" w:ascii="Times New Roman" w:hAnsi="Times New Roman"/>
                <w:color w:val="000000"/>
                <w:sz w:val="21"/>
                <w:szCs w:val="21"/>
              </w:rPr>
              <w:t>1. 将课堂内容与生活中的实际例子相结合</w:t>
            </w:r>
            <w:r>
              <w:rPr>
                <w:rFonts w:ascii="Times New Roman" w:hAnsi="Times New Roman"/>
                <w:color w:val="000000"/>
                <w:sz w:val="21"/>
                <w:szCs w:val="21"/>
              </w:rPr>
              <w:t>：青霉素导致的过敏性休克说明皮</w:t>
            </w:r>
            <w:r>
              <w:rPr>
                <w:rFonts w:hint="eastAsia" w:ascii="Times New Roman" w:hAnsi="Times New Roman"/>
                <w:color w:val="000000"/>
                <w:sz w:val="21"/>
                <w:szCs w:val="21"/>
              </w:rPr>
              <w:t>试的重要性</w:t>
            </w:r>
            <w:r>
              <w:rPr>
                <w:rFonts w:ascii="Times New Roman" w:hAnsi="Times New Roman"/>
                <w:color w:val="000000"/>
                <w:sz w:val="21"/>
                <w:szCs w:val="21"/>
              </w:rPr>
              <w:t>；在用药护理讲解中引出</w:t>
            </w:r>
            <w:r>
              <w:rPr>
                <w:rFonts w:hint="eastAsia" w:ascii="Times New Roman" w:hAnsi="Times New Roman"/>
                <w:color w:val="000000"/>
                <w:sz w:val="21"/>
                <w:szCs w:val="21"/>
              </w:rPr>
              <w:t>医疗机构不按护理流程致死等严重后果的案例</w:t>
            </w:r>
            <w:r>
              <w:rPr>
                <w:rFonts w:ascii="Times New Roman" w:hAnsi="Times New Roman"/>
                <w:color w:val="000000"/>
                <w:sz w:val="21"/>
                <w:szCs w:val="21"/>
              </w:rPr>
              <w:t>;陈克恢在中药麻黄中分离</w:t>
            </w:r>
            <w:r>
              <w:rPr>
                <w:rFonts w:hint="eastAsia" w:ascii="Times New Roman" w:hAnsi="Times New Roman"/>
                <w:color w:val="000000"/>
                <w:sz w:val="21"/>
                <w:szCs w:val="21"/>
              </w:rPr>
              <w:t>麻黄碱，研究其药理作用，做出巨大贡献</w:t>
            </w:r>
            <w:r>
              <w:rPr>
                <w:rFonts w:ascii="Times New Roman" w:hAnsi="Times New Roman"/>
                <w:color w:val="000000"/>
                <w:sz w:val="21"/>
                <w:szCs w:val="21"/>
              </w:rPr>
              <w:t>；麻黄碱与冰毒结构相似导致被限</w:t>
            </w:r>
            <w:r>
              <w:rPr>
                <w:rFonts w:hint="eastAsia" w:ascii="Times New Roman" w:hAnsi="Times New Roman"/>
                <w:color w:val="000000"/>
                <w:sz w:val="21"/>
                <w:szCs w:val="21"/>
              </w:rPr>
              <w:t>制销售。</w:t>
            </w:r>
          </w:p>
          <w:p w14:paraId="60A39C0C">
            <w:pPr>
              <w:jc w:val="left"/>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 xml:space="preserve"> </w:t>
            </w:r>
            <w:r>
              <w:rPr>
                <w:rFonts w:hint="eastAsia" w:ascii="Times New Roman" w:hAnsi="Times New Roman"/>
                <w:color w:val="000000"/>
                <w:sz w:val="21"/>
                <w:szCs w:val="21"/>
              </w:rPr>
              <w:t>培养学生的学习兴趣的同时，警示学生养成良好的职业道德和职业素养</w:t>
            </w:r>
            <w:r>
              <w:rPr>
                <w:rFonts w:ascii="Times New Roman" w:hAnsi="Times New Roman"/>
                <w:color w:val="000000"/>
                <w:sz w:val="21"/>
                <w:szCs w:val="21"/>
              </w:rPr>
              <w:t>；</w:t>
            </w:r>
            <w:r>
              <w:rPr>
                <w:rFonts w:hint="eastAsia" w:ascii="Times New Roman" w:hAnsi="Times New Roman"/>
                <w:color w:val="000000"/>
                <w:sz w:val="21"/>
                <w:szCs w:val="21"/>
              </w:rPr>
              <w:t>引发学生的法制意识</w:t>
            </w:r>
            <w:r>
              <w:rPr>
                <w:rFonts w:ascii="Times New Roman" w:hAnsi="Times New Roman"/>
                <w:color w:val="000000"/>
                <w:sz w:val="21"/>
                <w:szCs w:val="21"/>
              </w:rPr>
              <w:t>;增</w:t>
            </w:r>
            <w:r>
              <w:rPr>
                <w:rFonts w:hint="eastAsia" w:ascii="Times New Roman" w:hAnsi="Times New Roman"/>
                <w:color w:val="000000"/>
                <w:sz w:val="21"/>
                <w:szCs w:val="21"/>
              </w:rPr>
              <w:t>强爱国情怀和民族自豪感</w:t>
            </w:r>
            <w:r>
              <w:rPr>
                <w:rFonts w:ascii="Times New Roman" w:hAnsi="Times New Roman"/>
                <w:color w:val="000000"/>
                <w:sz w:val="21"/>
                <w:szCs w:val="21"/>
              </w:rPr>
              <w:t>。</w:t>
            </w:r>
          </w:p>
        </w:tc>
      </w:tr>
      <w:tr w14:paraId="16F7E5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4A119DA6">
            <w:pPr>
              <w:jc w:val="center"/>
              <w:rPr>
                <w:rFonts w:hint="eastAsia"/>
                <w:bCs/>
                <w:color w:val="000000"/>
                <w:sz w:val="21"/>
                <w:szCs w:val="21"/>
              </w:rPr>
            </w:pPr>
            <w:r>
              <w:rPr>
                <w:rFonts w:hint="eastAsia"/>
                <w:bCs/>
                <w:color w:val="000000"/>
                <w:sz w:val="21"/>
                <w:szCs w:val="21"/>
              </w:rPr>
              <w:t>3</w:t>
            </w:r>
          </w:p>
        </w:tc>
        <w:tc>
          <w:tcPr>
            <w:tcW w:w="1186" w:type="dxa"/>
            <w:noWrap w:val="0"/>
            <w:vAlign w:val="center"/>
          </w:tcPr>
          <w:p w14:paraId="2735BB46">
            <w:pPr>
              <w:jc w:val="center"/>
              <w:rPr>
                <w:bCs/>
                <w:color w:val="000000"/>
                <w:sz w:val="21"/>
                <w:szCs w:val="21"/>
              </w:rPr>
            </w:pPr>
            <w:r>
              <w:rPr>
                <w:rFonts w:hint="eastAsia"/>
                <w:bCs/>
                <w:color w:val="000000"/>
                <w:sz w:val="21"/>
                <w:szCs w:val="21"/>
              </w:rPr>
              <w:t>中枢神经</w:t>
            </w:r>
          </w:p>
          <w:p w14:paraId="48562088">
            <w:pPr>
              <w:jc w:val="center"/>
              <w:rPr>
                <w:color w:val="000000"/>
                <w:sz w:val="20"/>
                <w:szCs w:val="20"/>
              </w:rPr>
            </w:pPr>
            <w:r>
              <w:rPr>
                <w:rFonts w:hint="eastAsia"/>
                <w:bCs/>
                <w:color w:val="000000"/>
                <w:sz w:val="21"/>
                <w:szCs w:val="21"/>
              </w:rPr>
              <w:t>系统药理</w:t>
            </w:r>
          </w:p>
        </w:tc>
        <w:tc>
          <w:tcPr>
            <w:tcW w:w="6170" w:type="dxa"/>
            <w:noWrap w:val="0"/>
            <w:vAlign w:val="center"/>
          </w:tcPr>
          <w:p w14:paraId="24D84574">
            <w:pPr>
              <w:jc w:val="left"/>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运用案例讲解麻醉药品滥用导致的后果</w:t>
            </w:r>
            <w:r>
              <w:rPr>
                <w:rFonts w:ascii="Times New Roman" w:hAnsi="Times New Roman"/>
                <w:color w:val="000000"/>
                <w:sz w:val="21"/>
                <w:szCs w:val="21"/>
              </w:rPr>
              <w:t>;前脑叶白质切除术治疗精神分类</w:t>
            </w:r>
            <w:r>
              <w:rPr>
                <w:rFonts w:hint="eastAsia" w:ascii="Times New Roman" w:hAnsi="Times New Roman"/>
                <w:color w:val="000000"/>
                <w:sz w:val="21"/>
                <w:szCs w:val="21"/>
              </w:rPr>
              <w:t>症案例引出氯丙嗪是精神分类症治疗史上的里程碑</w:t>
            </w:r>
            <w:r>
              <w:rPr>
                <w:rFonts w:ascii="Times New Roman" w:hAnsi="Times New Roman"/>
                <w:color w:val="000000"/>
                <w:sz w:val="21"/>
                <w:szCs w:val="21"/>
              </w:rPr>
              <w:t>;英国画家路易斯·韦</w:t>
            </w:r>
            <w:r>
              <w:rPr>
                <w:rFonts w:hint="eastAsia" w:ascii="Times New Roman" w:hAnsi="Times New Roman"/>
                <w:color w:val="000000"/>
                <w:sz w:val="21"/>
                <w:szCs w:val="21"/>
              </w:rPr>
              <w:t>恩案例讲解罹患精神分裂症眼中的世界。</w:t>
            </w:r>
          </w:p>
          <w:p w14:paraId="65ED7F67">
            <w:pPr>
              <w:jc w:val="left"/>
              <w:rPr>
                <w:rFonts w:ascii="Times New Roman" w:hAnsi="Times New Roman"/>
                <w:color w:val="000000"/>
                <w:sz w:val="21"/>
                <w:szCs w:val="21"/>
              </w:rPr>
            </w:pPr>
            <w:r>
              <w:rPr>
                <w:rFonts w:hint="eastAsia" w:ascii="Times New Roman" w:hAnsi="Times New Roman"/>
                <w:color w:val="000000"/>
                <w:sz w:val="21"/>
                <w:szCs w:val="21"/>
              </w:rPr>
              <w:t>2. 吗啡是我国法律上明确定义的毒品，也是世界卫生组织推荐癌症晚期患者缓解病痛的止痛药，人类因为吗啡才能免受各种剧烈疼痛的折磨，因此也被称为现代医学史上最伟大的发明之一。学生通过查阅资料和翻转课堂讨论，求同存异。吗啡究竟是天使还是恶魔，完全取决于使用途径，临床合理使用是救命的天使，滥用享乐则是害人的恶魔。进而培育学生辩证唯物主义思维，实现知识传授与价值引领功能的深度融合。</w:t>
            </w:r>
          </w:p>
        </w:tc>
      </w:tr>
      <w:tr w14:paraId="261B17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61D00AFF">
            <w:pPr>
              <w:jc w:val="center"/>
              <w:rPr>
                <w:rFonts w:hint="eastAsia"/>
                <w:bCs/>
                <w:color w:val="000000"/>
                <w:sz w:val="21"/>
                <w:szCs w:val="21"/>
              </w:rPr>
            </w:pPr>
            <w:r>
              <w:rPr>
                <w:rFonts w:hint="eastAsia"/>
                <w:bCs/>
                <w:color w:val="000000"/>
                <w:sz w:val="21"/>
                <w:szCs w:val="21"/>
              </w:rPr>
              <w:t>4</w:t>
            </w:r>
          </w:p>
        </w:tc>
        <w:tc>
          <w:tcPr>
            <w:tcW w:w="1186" w:type="dxa"/>
            <w:noWrap w:val="0"/>
            <w:vAlign w:val="center"/>
          </w:tcPr>
          <w:p w14:paraId="41271026">
            <w:pPr>
              <w:jc w:val="center"/>
              <w:rPr>
                <w:bCs/>
                <w:color w:val="000000"/>
                <w:sz w:val="21"/>
                <w:szCs w:val="21"/>
              </w:rPr>
            </w:pPr>
            <w:r>
              <w:rPr>
                <w:rFonts w:hint="eastAsia"/>
                <w:bCs/>
                <w:color w:val="000000"/>
                <w:sz w:val="21"/>
                <w:szCs w:val="21"/>
              </w:rPr>
              <w:t>心血管</w:t>
            </w:r>
          </w:p>
          <w:p w14:paraId="44AE671A">
            <w:pPr>
              <w:jc w:val="center"/>
              <w:rPr>
                <w:color w:val="000000"/>
                <w:sz w:val="20"/>
                <w:szCs w:val="20"/>
              </w:rPr>
            </w:pPr>
            <w:r>
              <w:rPr>
                <w:rFonts w:hint="eastAsia"/>
                <w:bCs/>
                <w:color w:val="000000"/>
                <w:sz w:val="21"/>
                <w:szCs w:val="21"/>
              </w:rPr>
              <w:t>系统药物</w:t>
            </w:r>
          </w:p>
        </w:tc>
        <w:tc>
          <w:tcPr>
            <w:tcW w:w="6170" w:type="dxa"/>
            <w:noWrap w:val="0"/>
            <w:vAlign w:val="center"/>
          </w:tcPr>
          <w:p w14:paraId="4C44A93B">
            <w:pPr>
              <w:jc w:val="left"/>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 xml:space="preserve"> 普萘洛尔是治疗冠心病和高血压的经典药物，而后该药物被发现可用于骨质疏松症和黑色素瘤的治疗。培育学生科学精神，形成批判思维，厚植科研创新沃土。</w:t>
            </w:r>
          </w:p>
          <w:p w14:paraId="5F8DFCD2">
            <w:pPr>
              <w:jc w:val="left"/>
              <w:rPr>
                <w:rFonts w:hint="eastAsia" w:ascii="Times New Roman" w:hAnsi="Times New Roman"/>
                <w:color w:val="000000"/>
                <w:sz w:val="21"/>
                <w:szCs w:val="21"/>
              </w:rPr>
            </w:pPr>
            <w:r>
              <w:rPr>
                <w:rFonts w:hint="eastAsia" w:ascii="Times New Roman" w:hAnsi="Times New Roman"/>
                <w:color w:val="000000"/>
                <w:sz w:val="21"/>
                <w:szCs w:val="21"/>
              </w:rPr>
              <w:t>2.</w:t>
            </w:r>
            <w:r>
              <w:rPr>
                <w:rFonts w:hint="eastAsia" w:ascii="Microsoft YaHei UI" w:hAnsi="Microsoft YaHei UI" w:eastAsia="Microsoft YaHei UI"/>
                <w:color w:val="000000"/>
                <w:spacing w:val="5"/>
                <w:sz w:val="15"/>
                <w:szCs w:val="15"/>
                <w:shd w:val="clear" w:color="auto" w:fill="FFFFFF"/>
              </w:rPr>
              <w:t xml:space="preserve"> </w:t>
            </w:r>
            <w:r>
              <w:rPr>
                <w:rFonts w:hint="eastAsia" w:ascii="Times New Roman" w:hAnsi="Times New Roman"/>
                <w:color w:val="000000"/>
                <w:sz w:val="21"/>
                <w:szCs w:val="21"/>
              </w:rPr>
              <w:t>围绕国际性的疾病节日，如世界高血压日等，设计案例，通过案例中的疾病</w:t>
            </w:r>
            <w:r>
              <w:rPr>
                <w:rFonts w:ascii="Times New Roman" w:hAnsi="Times New Roman"/>
                <w:color w:val="000000"/>
                <w:sz w:val="21"/>
                <w:szCs w:val="21"/>
              </w:rPr>
              <w:t>-药物相关元素，系统化培育医德精神及人文素养。</w:t>
            </w:r>
          </w:p>
          <w:p w14:paraId="303E327D">
            <w:pPr>
              <w:jc w:val="left"/>
              <w:rPr>
                <w:rFonts w:ascii="Times New Roman" w:hAnsi="Times New Roman"/>
                <w:color w:val="000000"/>
                <w:sz w:val="21"/>
                <w:szCs w:val="21"/>
              </w:rPr>
            </w:pPr>
            <w:r>
              <w:rPr>
                <w:rFonts w:hint="eastAsia" w:ascii="Times New Roman" w:hAnsi="Times New Roman"/>
                <w:color w:val="000000"/>
                <w:sz w:val="21"/>
                <w:szCs w:val="21"/>
              </w:rPr>
              <w:t>3. 当代我国葛均波院士在全球首次发现心肌桥在</w:t>
            </w:r>
            <w:r>
              <w:rPr>
                <w:rFonts w:ascii="Times New Roman" w:hAnsi="Times New Roman"/>
                <w:color w:val="000000"/>
                <w:sz w:val="21"/>
                <w:szCs w:val="21"/>
              </w:rPr>
              <w:t>IVUS影像中的“半月征”，展现中华民族上下五千年的无尽魅力，提高学生的民族自豪感和文化自信。</w:t>
            </w:r>
          </w:p>
        </w:tc>
      </w:tr>
      <w:tr w14:paraId="1607E0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1F2387DC">
            <w:pPr>
              <w:jc w:val="center"/>
              <w:rPr>
                <w:rFonts w:hint="eastAsia"/>
                <w:bCs/>
                <w:color w:val="000000"/>
                <w:sz w:val="21"/>
                <w:szCs w:val="21"/>
              </w:rPr>
            </w:pPr>
            <w:r>
              <w:rPr>
                <w:rFonts w:hint="eastAsia"/>
                <w:bCs/>
                <w:color w:val="000000"/>
                <w:sz w:val="21"/>
                <w:szCs w:val="21"/>
              </w:rPr>
              <w:t>5</w:t>
            </w:r>
          </w:p>
        </w:tc>
        <w:tc>
          <w:tcPr>
            <w:tcW w:w="1186" w:type="dxa"/>
            <w:noWrap w:val="0"/>
            <w:vAlign w:val="center"/>
          </w:tcPr>
          <w:p w14:paraId="4D3937EC">
            <w:pPr>
              <w:jc w:val="center"/>
              <w:rPr>
                <w:bCs/>
                <w:color w:val="000000"/>
                <w:sz w:val="21"/>
                <w:szCs w:val="21"/>
              </w:rPr>
            </w:pPr>
            <w:r>
              <w:rPr>
                <w:rFonts w:hint="eastAsia"/>
                <w:bCs/>
                <w:color w:val="000000"/>
                <w:sz w:val="21"/>
                <w:szCs w:val="21"/>
              </w:rPr>
              <w:t>内脏</w:t>
            </w:r>
          </w:p>
          <w:p w14:paraId="16F1B572">
            <w:pPr>
              <w:jc w:val="center"/>
              <w:rPr>
                <w:color w:val="000000"/>
                <w:sz w:val="20"/>
                <w:szCs w:val="20"/>
              </w:rPr>
            </w:pPr>
            <w:r>
              <w:rPr>
                <w:rFonts w:hint="eastAsia"/>
                <w:bCs/>
                <w:color w:val="000000"/>
                <w:sz w:val="21"/>
                <w:szCs w:val="21"/>
              </w:rPr>
              <w:t>系统药理</w:t>
            </w:r>
          </w:p>
        </w:tc>
        <w:tc>
          <w:tcPr>
            <w:tcW w:w="6170" w:type="dxa"/>
            <w:noWrap w:val="0"/>
            <w:vAlign w:val="center"/>
          </w:tcPr>
          <w:p w14:paraId="4D0710B5">
            <w:pPr>
              <w:jc w:val="left"/>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结合中药剂的发展使学生认识到中药有效成分提取越来越受到行业重视</w:t>
            </w:r>
            <w:r>
              <w:rPr>
                <w:rFonts w:ascii="Times New Roman" w:hAnsi="Times New Roman"/>
                <w:color w:val="000000"/>
                <w:sz w:val="21"/>
                <w:szCs w:val="21"/>
              </w:rPr>
              <w:t>；消化道</w:t>
            </w:r>
            <w:r>
              <w:rPr>
                <w:rFonts w:hint="eastAsia" w:ascii="Times New Roman" w:hAnsi="Times New Roman"/>
                <w:color w:val="000000"/>
                <w:sz w:val="21"/>
                <w:szCs w:val="21"/>
              </w:rPr>
              <w:t>溃疡的防治中号召大家聚餐用公筷，避免出现幽门螺旋杆菌的交叉感染</w:t>
            </w:r>
            <w:r>
              <w:rPr>
                <w:rFonts w:ascii="Times New Roman" w:hAnsi="Times New Roman"/>
                <w:color w:val="000000"/>
                <w:sz w:val="21"/>
                <w:szCs w:val="21"/>
              </w:rPr>
              <w:t>。</w:t>
            </w:r>
          </w:p>
          <w:p w14:paraId="428745A3">
            <w:pPr>
              <w:jc w:val="left"/>
              <w:rPr>
                <w:rFonts w:ascii="Times New Roman" w:hAnsi="Times New Roman"/>
                <w:color w:val="000000"/>
                <w:sz w:val="21"/>
                <w:szCs w:val="21"/>
              </w:rPr>
            </w:pPr>
            <w:r>
              <w:rPr>
                <w:rFonts w:hint="eastAsia" w:ascii="Times New Roman" w:hAnsi="Times New Roman"/>
                <w:color w:val="000000"/>
                <w:sz w:val="21"/>
                <w:szCs w:val="21"/>
              </w:rPr>
              <w:t>2. 西咪替丁是治疗消化性胃溃疡的革命性药物，随着深入研究，发现可用于治疗慢性阻塞性肺疾病、</w:t>
            </w:r>
            <w:r>
              <w:rPr>
                <w:rFonts w:ascii="Times New Roman" w:hAnsi="Times New Roman"/>
                <w:color w:val="000000"/>
                <w:sz w:val="21"/>
                <w:szCs w:val="21"/>
              </w:rPr>
              <w:t>HIV病毒感染等。深入剖析客观事物辩证发展的过程，培养学生勇于探索、不断创新的科学精神。</w:t>
            </w:r>
          </w:p>
        </w:tc>
      </w:tr>
      <w:tr w14:paraId="0927DC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41BC2081">
            <w:pPr>
              <w:jc w:val="center"/>
              <w:rPr>
                <w:rFonts w:hint="eastAsia" w:ascii="Times New Roman" w:hAnsi="Times New Roman"/>
                <w:bCs/>
                <w:color w:val="000000"/>
                <w:sz w:val="21"/>
                <w:szCs w:val="21"/>
              </w:rPr>
            </w:pPr>
            <w:r>
              <w:rPr>
                <w:rFonts w:hint="eastAsia" w:ascii="Times New Roman" w:hAnsi="Times New Roman"/>
                <w:bCs/>
                <w:color w:val="000000"/>
                <w:sz w:val="21"/>
                <w:szCs w:val="21"/>
              </w:rPr>
              <w:t>6</w:t>
            </w:r>
          </w:p>
        </w:tc>
        <w:tc>
          <w:tcPr>
            <w:tcW w:w="1186" w:type="dxa"/>
            <w:noWrap w:val="0"/>
            <w:vAlign w:val="center"/>
          </w:tcPr>
          <w:p w14:paraId="6D54F1B3">
            <w:pPr>
              <w:jc w:val="center"/>
              <w:rPr>
                <w:rFonts w:ascii="Times New Roman" w:hAnsi="Times New Roman"/>
                <w:bCs/>
                <w:color w:val="000000"/>
                <w:sz w:val="21"/>
                <w:szCs w:val="21"/>
              </w:rPr>
            </w:pPr>
            <w:r>
              <w:rPr>
                <w:rFonts w:hint="eastAsia" w:ascii="Times New Roman" w:hAnsi="Times New Roman"/>
                <w:bCs/>
                <w:color w:val="000000"/>
                <w:sz w:val="21"/>
                <w:szCs w:val="21"/>
              </w:rPr>
              <w:t>内分泌</w:t>
            </w:r>
          </w:p>
          <w:p w14:paraId="16135550">
            <w:pPr>
              <w:jc w:val="center"/>
              <w:rPr>
                <w:rFonts w:ascii="Times New Roman" w:hAnsi="Times New Roman"/>
                <w:color w:val="000000"/>
                <w:sz w:val="20"/>
                <w:szCs w:val="20"/>
              </w:rPr>
            </w:pPr>
            <w:r>
              <w:rPr>
                <w:rFonts w:hint="eastAsia" w:ascii="Times New Roman" w:hAnsi="Times New Roman"/>
                <w:bCs/>
                <w:color w:val="000000"/>
                <w:sz w:val="21"/>
                <w:szCs w:val="21"/>
              </w:rPr>
              <w:t>系统药理</w:t>
            </w:r>
          </w:p>
        </w:tc>
        <w:tc>
          <w:tcPr>
            <w:tcW w:w="6170" w:type="dxa"/>
            <w:noWrap w:val="0"/>
            <w:vAlign w:val="center"/>
          </w:tcPr>
          <w:p w14:paraId="12DAFFA5">
            <w:pPr>
              <w:jc w:val="left"/>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糖皮质激素的治疗案例，消除学生对激素使用误解</w:t>
            </w:r>
            <w:r>
              <w:rPr>
                <w:rFonts w:ascii="Times New Roman" w:hAnsi="Times New Roman"/>
                <w:color w:val="000000"/>
                <w:sz w:val="21"/>
                <w:szCs w:val="21"/>
              </w:rPr>
              <w:t>；</w:t>
            </w:r>
            <w:r>
              <w:rPr>
                <w:rFonts w:hint="eastAsia" w:ascii="Times New Roman" w:hAnsi="Times New Roman"/>
                <w:color w:val="000000"/>
                <w:sz w:val="21"/>
                <w:szCs w:val="21"/>
                <w:lang w:eastAsia="zh-CN"/>
              </w:rPr>
              <w:t>“</w:t>
            </w:r>
            <w:r>
              <w:rPr>
                <w:rFonts w:ascii="Times New Roman" w:hAnsi="Times New Roman"/>
                <w:color w:val="000000"/>
                <w:sz w:val="21"/>
                <w:szCs w:val="21"/>
              </w:rPr>
              <w:t>激素宝宝霜</w:t>
            </w:r>
            <w:r>
              <w:rPr>
                <w:rFonts w:hint="eastAsia" w:ascii="Times New Roman" w:hAnsi="Times New Roman"/>
                <w:color w:val="000000"/>
                <w:sz w:val="21"/>
                <w:szCs w:val="21"/>
                <w:lang w:eastAsia="zh-CN"/>
              </w:rPr>
              <w:t>”</w:t>
            </w:r>
            <w:r>
              <w:rPr>
                <w:rFonts w:ascii="Times New Roman" w:hAnsi="Times New Roman"/>
                <w:color w:val="000000"/>
                <w:sz w:val="21"/>
                <w:szCs w:val="21"/>
              </w:rPr>
              <w:t>案例。</w:t>
            </w:r>
          </w:p>
          <w:p w14:paraId="16B1CF9E">
            <w:pPr>
              <w:jc w:val="left"/>
              <w:rPr>
                <w:rFonts w:ascii="Times New Roman" w:hAnsi="Times New Roman"/>
                <w:color w:val="000000"/>
                <w:sz w:val="21"/>
                <w:szCs w:val="21"/>
              </w:rPr>
            </w:pPr>
            <w:r>
              <w:rPr>
                <w:rFonts w:hint="eastAsia" w:ascii="Times New Roman" w:hAnsi="Times New Roman"/>
                <w:color w:val="000000"/>
                <w:sz w:val="21"/>
                <w:szCs w:val="21"/>
              </w:rPr>
              <w:t>2. 提升学生职业自豪感</w:t>
            </w:r>
            <w:r>
              <w:rPr>
                <w:rFonts w:ascii="Times New Roman" w:hAnsi="Times New Roman"/>
                <w:color w:val="000000"/>
                <w:sz w:val="21"/>
                <w:szCs w:val="21"/>
              </w:rPr>
              <w:t>；培</w:t>
            </w:r>
            <w:r>
              <w:rPr>
                <w:rFonts w:hint="eastAsia" w:ascii="Times New Roman" w:hAnsi="Times New Roman"/>
                <w:color w:val="000000"/>
                <w:sz w:val="21"/>
                <w:szCs w:val="21"/>
              </w:rPr>
              <w:t>养学生社会责任感、医学伦理、形成正确的价值观。</w:t>
            </w:r>
          </w:p>
        </w:tc>
      </w:tr>
      <w:tr w14:paraId="153E83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25103CD8">
            <w:pPr>
              <w:jc w:val="center"/>
              <w:rPr>
                <w:rFonts w:hint="eastAsia" w:ascii="Times New Roman" w:hAnsi="Times New Roman"/>
                <w:bCs/>
                <w:color w:val="000000"/>
                <w:sz w:val="21"/>
                <w:szCs w:val="21"/>
              </w:rPr>
            </w:pPr>
            <w:r>
              <w:rPr>
                <w:rFonts w:hint="eastAsia" w:ascii="Times New Roman" w:hAnsi="Times New Roman"/>
                <w:bCs/>
                <w:color w:val="000000"/>
                <w:sz w:val="21"/>
                <w:szCs w:val="21"/>
              </w:rPr>
              <w:t>7</w:t>
            </w:r>
          </w:p>
        </w:tc>
        <w:tc>
          <w:tcPr>
            <w:tcW w:w="1186" w:type="dxa"/>
            <w:noWrap w:val="0"/>
            <w:vAlign w:val="center"/>
          </w:tcPr>
          <w:p w14:paraId="61C80D08">
            <w:pPr>
              <w:jc w:val="center"/>
              <w:rPr>
                <w:rFonts w:ascii="Times New Roman" w:hAnsi="Times New Roman"/>
                <w:bCs/>
                <w:color w:val="000000"/>
                <w:sz w:val="21"/>
                <w:szCs w:val="21"/>
              </w:rPr>
            </w:pPr>
            <w:r>
              <w:rPr>
                <w:rFonts w:hint="eastAsia" w:ascii="Times New Roman" w:hAnsi="Times New Roman"/>
                <w:bCs/>
                <w:color w:val="000000"/>
                <w:sz w:val="21"/>
                <w:szCs w:val="21"/>
              </w:rPr>
              <w:t>抗病原微</w:t>
            </w:r>
          </w:p>
          <w:p w14:paraId="7B858156">
            <w:pPr>
              <w:jc w:val="center"/>
              <w:rPr>
                <w:rFonts w:ascii="Times New Roman" w:hAnsi="Times New Roman"/>
                <w:color w:val="000000"/>
                <w:sz w:val="20"/>
                <w:szCs w:val="20"/>
              </w:rPr>
            </w:pPr>
            <w:r>
              <w:rPr>
                <w:rFonts w:hint="eastAsia" w:ascii="Times New Roman" w:hAnsi="Times New Roman"/>
                <w:bCs/>
                <w:color w:val="000000"/>
                <w:sz w:val="21"/>
                <w:szCs w:val="21"/>
              </w:rPr>
              <w:t>生物药物</w:t>
            </w:r>
          </w:p>
        </w:tc>
        <w:tc>
          <w:tcPr>
            <w:tcW w:w="6170" w:type="dxa"/>
            <w:noWrap w:val="0"/>
            <w:vAlign w:val="center"/>
          </w:tcPr>
          <w:p w14:paraId="1E7C0C07">
            <w:pPr>
              <w:jc w:val="left"/>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 xml:space="preserve"> 青霉素的发现</w:t>
            </w:r>
            <w:r>
              <w:rPr>
                <w:rFonts w:ascii="Times New Roman" w:hAnsi="Times New Roman"/>
                <w:color w:val="000000"/>
                <w:sz w:val="21"/>
                <w:szCs w:val="21"/>
              </w:rPr>
              <w:t>；抗生素的滥用案例，超</w:t>
            </w:r>
            <w:r>
              <w:rPr>
                <w:rFonts w:hint="eastAsia" w:ascii="Times New Roman" w:hAnsi="Times New Roman"/>
                <w:color w:val="000000"/>
                <w:sz w:val="21"/>
                <w:szCs w:val="21"/>
              </w:rPr>
              <w:t>级细菌的出现</w:t>
            </w:r>
            <w:r>
              <w:rPr>
                <w:rFonts w:ascii="Times New Roman" w:hAnsi="Times New Roman"/>
                <w:color w:val="000000"/>
                <w:sz w:val="21"/>
                <w:szCs w:val="21"/>
              </w:rPr>
              <w:t>；布置任务在亲朋好友</w:t>
            </w:r>
            <w:r>
              <w:rPr>
                <w:rFonts w:hint="eastAsia" w:ascii="Times New Roman" w:hAnsi="Times New Roman"/>
                <w:color w:val="000000"/>
                <w:sz w:val="21"/>
                <w:szCs w:val="21"/>
              </w:rPr>
              <w:t>中进行健康宣讲。</w:t>
            </w:r>
          </w:p>
          <w:p w14:paraId="33C04504">
            <w:pPr>
              <w:jc w:val="left"/>
              <w:rPr>
                <w:rFonts w:ascii="Times New Roman" w:hAnsi="Times New Roman"/>
                <w:color w:val="000000"/>
                <w:sz w:val="21"/>
                <w:szCs w:val="21"/>
              </w:rPr>
            </w:pPr>
            <w:r>
              <w:rPr>
                <w:rFonts w:hint="eastAsia" w:ascii="Times New Roman" w:hAnsi="Times New Roman"/>
                <w:color w:val="000000"/>
                <w:sz w:val="21"/>
                <w:szCs w:val="21"/>
              </w:rPr>
              <w:t>2. 培养学生社会责任感，严谨的工作态度</w:t>
            </w:r>
            <w:r>
              <w:rPr>
                <w:rFonts w:ascii="Times New Roman" w:hAnsi="Times New Roman"/>
                <w:color w:val="000000"/>
                <w:sz w:val="21"/>
                <w:szCs w:val="21"/>
              </w:rPr>
              <w:t>；提升学生</w:t>
            </w:r>
            <w:r>
              <w:rPr>
                <w:rFonts w:hint="eastAsia" w:ascii="Times New Roman" w:hAnsi="Times New Roman"/>
                <w:color w:val="000000"/>
                <w:sz w:val="21"/>
                <w:szCs w:val="21"/>
              </w:rPr>
              <w:t>的职业自豪感。</w:t>
            </w:r>
          </w:p>
        </w:tc>
      </w:tr>
      <w:tr w14:paraId="5C09A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120" w:type="dxa"/>
            <w:noWrap w:val="0"/>
            <w:vAlign w:val="center"/>
          </w:tcPr>
          <w:p w14:paraId="70DEA1AB">
            <w:pPr>
              <w:jc w:val="center"/>
              <w:rPr>
                <w:rFonts w:hint="eastAsia" w:ascii="Times New Roman" w:hAnsi="Times New Roman"/>
                <w:bCs/>
                <w:color w:val="000000"/>
                <w:sz w:val="21"/>
                <w:szCs w:val="21"/>
              </w:rPr>
            </w:pPr>
            <w:r>
              <w:rPr>
                <w:rFonts w:hint="eastAsia" w:ascii="Times New Roman" w:hAnsi="Times New Roman"/>
                <w:bCs/>
                <w:color w:val="000000"/>
                <w:sz w:val="21"/>
                <w:szCs w:val="21"/>
              </w:rPr>
              <w:t>8</w:t>
            </w:r>
          </w:p>
        </w:tc>
        <w:tc>
          <w:tcPr>
            <w:tcW w:w="1186" w:type="dxa"/>
            <w:noWrap w:val="0"/>
            <w:vAlign w:val="center"/>
          </w:tcPr>
          <w:p w14:paraId="6D72EA31">
            <w:pPr>
              <w:jc w:val="center"/>
              <w:rPr>
                <w:rFonts w:ascii="Times New Roman" w:hAnsi="Times New Roman"/>
                <w:color w:val="000000"/>
                <w:sz w:val="20"/>
                <w:szCs w:val="20"/>
              </w:rPr>
            </w:pPr>
            <w:r>
              <w:rPr>
                <w:rFonts w:hint="eastAsia" w:ascii="Times New Roman" w:hAnsi="Times New Roman"/>
                <w:bCs/>
                <w:color w:val="000000"/>
                <w:sz w:val="21"/>
                <w:szCs w:val="21"/>
              </w:rPr>
              <w:t>药理实验</w:t>
            </w:r>
          </w:p>
        </w:tc>
        <w:tc>
          <w:tcPr>
            <w:tcW w:w="6170" w:type="dxa"/>
            <w:noWrap w:val="0"/>
            <w:vAlign w:val="center"/>
          </w:tcPr>
          <w:p w14:paraId="12AF2665">
            <w:pPr>
              <w:jc w:val="left"/>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 xml:space="preserve">. </w:t>
            </w:r>
            <w:r>
              <w:rPr>
                <w:rFonts w:hint="eastAsia" w:ascii="Times New Roman" w:hAnsi="Times New Roman"/>
                <w:color w:val="000000"/>
                <w:sz w:val="21"/>
                <w:szCs w:val="21"/>
              </w:rPr>
              <w:t>讲解实验设计原则，空白对照组原则</w:t>
            </w:r>
            <w:r>
              <w:rPr>
                <w:rFonts w:ascii="Times New Roman" w:hAnsi="Times New Roman"/>
                <w:color w:val="000000"/>
                <w:sz w:val="21"/>
                <w:szCs w:val="21"/>
              </w:rPr>
              <w:t>。</w:t>
            </w:r>
          </w:p>
          <w:p w14:paraId="3B72B55B">
            <w:pPr>
              <w:jc w:val="left"/>
              <w:rPr>
                <w:rFonts w:ascii="Times New Roman" w:hAnsi="Times New Roman"/>
                <w:color w:val="000000"/>
                <w:sz w:val="21"/>
                <w:szCs w:val="21"/>
              </w:rPr>
            </w:pPr>
            <w:r>
              <w:rPr>
                <w:rFonts w:hint="eastAsia" w:ascii="Times New Roman" w:hAnsi="Times New Roman"/>
                <w:color w:val="000000"/>
                <w:sz w:val="21"/>
                <w:szCs w:val="21"/>
              </w:rPr>
              <w:t>2. 培养学生严谨的科研素养，训练学生逻辑思维能力。</w:t>
            </w:r>
          </w:p>
        </w:tc>
      </w:tr>
    </w:tbl>
    <w:p w14:paraId="0AED72B7">
      <w:pPr>
        <w:spacing w:before="326" w:beforeLines="100"/>
        <w:outlineLvl w:val="0"/>
        <w:rPr>
          <w:rFonts w:ascii="Arial" w:hAnsi="Arial" w:eastAsia="黑体"/>
          <w:sz w:val="28"/>
        </w:rPr>
      </w:pPr>
      <w:r>
        <w:rPr>
          <w:rFonts w:hint="eastAsia" w:ascii="Arial" w:eastAsia="黑体"/>
          <w:sz w:val="28"/>
        </w:rPr>
        <w:t>五、</w:t>
      </w:r>
      <w:r>
        <w:rPr>
          <w:rFonts w:ascii="Arial" w:hAnsi="Arial" w:eastAsia="黑体"/>
          <w:sz w:val="28"/>
        </w:rPr>
        <w:t>文理融合、医工融合教学设计</w:t>
      </w:r>
    </w:p>
    <w:tbl>
      <w:tblPr>
        <w:tblStyle w:val="9"/>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300"/>
        <w:gridCol w:w="7173"/>
      </w:tblGrid>
      <w:tr w14:paraId="0DC1BF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1300" w:type="dxa"/>
            <w:noWrap w:val="0"/>
            <w:vAlign w:val="center"/>
          </w:tcPr>
          <w:p w14:paraId="1CD5EE39">
            <w:pPr>
              <w:snapToGrid w:val="0"/>
              <w:jc w:val="center"/>
              <w:rPr>
                <w:rFonts w:ascii="Arial" w:hAnsi="Arial" w:eastAsia="黑体"/>
                <w:bCs/>
                <w:color w:val="000000"/>
                <w:sz w:val="21"/>
                <w:szCs w:val="20"/>
              </w:rPr>
            </w:pPr>
            <w:r>
              <w:rPr>
                <w:rFonts w:hint="eastAsia" w:ascii="Arial" w:hAnsi="Arial" w:eastAsia="黑体"/>
                <w:bCs/>
                <w:color w:val="000000"/>
                <w:sz w:val="21"/>
                <w:szCs w:val="20"/>
              </w:rPr>
              <w:t>教学单元</w:t>
            </w:r>
          </w:p>
        </w:tc>
        <w:tc>
          <w:tcPr>
            <w:tcW w:w="7174" w:type="dxa"/>
            <w:noWrap w:val="0"/>
            <w:vAlign w:val="center"/>
          </w:tcPr>
          <w:p w14:paraId="291FD1A3">
            <w:pPr>
              <w:snapToGrid w:val="0"/>
              <w:jc w:val="center"/>
              <w:rPr>
                <w:rFonts w:ascii="Arial" w:hAnsi="Arial" w:eastAsia="黑体"/>
                <w:bCs/>
                <w:color w:val="000000"/>
                <w:sz w:val="21"/>
                <w:szCs w:val="20"/>
              </w:rPr>
            </w:pPr>
            <w:r>
              <w:rPr>
                <w:rFonts w:ascii="Arial" w:hAnsi="Arial" w:eastAsia="黑体"/>
                <w:bCs/>
                <w:color w:val="000000"/>
                <w:sz w:val="21"/>
                <w:szCs w:val="20"/>
              </w:rPr>
              <w:t>文理融合、医工融合</w:t>
            </w:r>
            <w:r>
              <w:rPr>
                <w:rFonts w:hint="eastAsia" w:ascii="Arial" w:hAnsi="Arial" w:eastAsia="黑体"/>
                <w:bCs/>
                <w:color w:val="000000"/>
                <w:sz w:val="21"/>
                <w:szCs w:val="20"/>
              </w:rPr>
              <w:t>教学要点</w:t>
            </w:r>
          </w:p>
        </w:tc>
      </w:tr>
      <w:tr w14:paraId="44D069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47CFA30F">
            <w:pPr>
              <w:rPr>
                <w:rFonts w:hint="eastAsia" w:ascii="Times New Roman" w:hAnsi="Times New Roman"/>
                <w:color w:val="000000"/>
                <w:sz w:val="21"/>
                <w:szCs w:val="21"/>
              </w:rPr>
            </w:pPr>
            <w:r>
              <w:rPr>
                <w:rFonts w:hint="eastAsia" w:ascii="Times New Roman" w:hAnsi="Times New Roman"/>
                <w:color w:val="000000"/>
                <w:sz w:val="21"/>
                <w:szCs w:val="21"/>
              </w:rPr>
              <w:t>实验一：</w:t>
            </w:r>
            <w:r>
              <w:rPr>
                <w:rFonts w:hint="eastAsia" w:ascii="Times New Roman" w:hAnsi="Times New Roman"/>
                <w:color w:val="000000"/>
                <w:sz w:val="21"/>
                <w:szCs w:val="21"/>
                <w:lang w:val="en-US" w:eastAsia="zh-CN"/>
              </w:rPr>
              <w:t>不同</w:t>
            </w:r>
            <w:r>
              <w:rPr>
                <w:rFonts w:hint="eastAsia" w:ascii="Times New Roman" w:hAnsi="Times New Roman"/>
                <w:color w:val="000000"/>
                <w:sz w:val="21"/>
                <w:szCs w:val="21"/>
              </w:rPr>
              <w:t>给药剂量对药物血浓度的影响</w:t>
            </w:r>
          </w:p>
        </w:tc>
        <w:tc>
          <w:tcPr>
            <w:tcW w:w="7174" w:type="dxa"/>
            <w:noWrap w:val="0"/>
            <w:vAlign w:val="center"/>
          </w:tcPr>
          <w:p w14:paraId="65AE2873">
            <w:pPr>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离心机的使用。</w:t>
            </w:r>
          </w:p>
          <w:p w14:paraId="56E59C52">
            <w:pPr>
              <w:rPr>
                <w:rFonts w:hint="eastAsia" w:ascii="Times New Roman" w:hAnsi="Times New Roman"/>
                <w:color w:val="000000"/>
                <w:sz w:val="21"/>
                <w:szCs w:val="21"/>
              </w:rPr>
            </w:pPr>
            <w:r>
              <w:rPr>
                <w:rFonts w:hint="eastAsia" w:ascii="Times New Roman" w:hAnsi="Times New Roman"/>
                <w:color w:val="000000"/>
                <w:sz w:val="21"/>
                <w:szCs w:val="19"/>
                <w:shd w:val="clear" w:color="auto" w:fill="FFFFFF"/>
              </w:rPr>
              <w:t>2.分光光度计</w:t>
            </w:r>
            <w:r>
              <w:rPr>
                <w:rFonts w:ascii="Times New Roman" w:hAnsi="Times New Roman"/>
                <w:color w:val="000000"/>
                <w:sz w:val="21"/>
                <w:szCs w:val="21"/>
              </w:rPr>
              <w:t>。</w:t>
            </w:r>
          </w:p>
          <w:p w14:paraId="2DC9388A">
            <w:pPr>
              <w:rPr>
                <w:rFonts w:ascii="Times New Roman" w:hAnsi="Times New Roman"/>
                <w:color w:val="000000"/>
                <w:sz w:val="21"/>
                <w:szCs w:val="21"/>
              </w:rPr>
            </w:pPr>
            <w:r>
              <w:rPr>
                <w:rFonts w:hint="eastAsia" w:ascii="Times New Roman" w:hAnsi="Times New Roman"/>
                <w:color w:val="000000"/>
                <w:sz w:val="21"/>
                <w:szCs w:val="21"/>
              </w:rPr>
              <w:t>3. 精准分剂量配药机的介绍。</w:t>
            </w:r>
          </w:p>
        </w:tc>
      </w:tr>
      <w:tr w14:paraId="47C2D6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4049A59E">
            <w:pPr>
              <w:rPr>
                <w:rFonts w:hint="eastAsia" w:ascii="Times New Roman" w:hAnsi="Times New Roman"/>
                <w:color w:val="000000"/>
                <w:sz w:val="21"/>
                <w:szCs w:val="21"/>
              </w:rPr>
            </w:pPr>
            <w:r>
              <w:rPr>
                <w:rFonts w:hint="eastAsia" w:ascii="Times New Roman" w:hAnsi="Times New Roman"/>
                <w:color w:val="000000"/>
                <w:sz w:val="21"/>
                <w:szCs w:val="21"/>
              </w:rPr>
              <w:t>实验二：</w:t>
            </w:r>
            <w:r>
              <w:rPr>
                <w:rFonts w:hint="eastAsia" w:ascii="Times New Roman" w:hAnsi="Times New Roman"/>
                <w:color w:val="000000"/>
                <w:sz w:val="21"/>
                <w:szCs w:val="21"/>
                <w:lang w:val="en-US" w:eastAsia="zh-CN"/>
              </w:rPr>
              <w:t>不同</w:t>
            </w:r>
            <w:r>
              <w:rPr>
                <w:rFonts w:hint="eastAsia" w:ascii="Times New Roman" w:hAnsi="Times New Roman"/>
                <w:color w:val="000000"/>
                <w:sz w:val="21"/>
                <w:szCs w:val="21"/>
              </w:rPr>
              <w:t>给药途径对药物血浓度的影响</w:t>
            </w:r>
          </w:p>
        </w:tc>
        <w:tc>
          <w:tcPr>
            <w:tcW w:w="7174" w:type="dxa"/>
            <w:noWrap w:val="0"/>
            <w:vAlign w:val="center"/>
          </w:tcPr>
          <w:p w14:paraId="2E634336">
            <w:pPr>
              <w:rPr>
                <w:rFonts w:hint="eastAsia" w:ascii="Times New Roman" w:hAnsi="Times New Roman"/>
                <w:color w:val="000000"/>
                <w:sz w:val="21"/>
                <w:szCs w:val="21"/>
              </w:rPr>
            </w:pPr>
            <w:r>
              <w:rPr>
                <w:rFonts w:hint="eastAsia" w:ascii="Times New Roman" w:hAnsi="Times New Roman"/>
                <w:color w:val="000000"/>
                <w:sz w:val="21"/>
                <w:szCs w:val="21"/>
              </w:rPr>
              <w:t>1</w:t>
            </w:r>
            <w:r>
              <w:rPr>
                <w:rFonts w:ascii="Times New Roman" w:hAnsi="Times New Roman"/>
                <w:color w:val="000000"/>
                <w:sz w:val="21"/>
                <w:szCs w:val="21"/>
              </w:rPr>
              <w:t>.</w:t>
            </w:r>
            <w:r>
              <w:rPr>
                <w:rFonts w:hint="eastAsia" w:ascii="Times New Roman" w:hAnsi="Times New Roman"/>
                <w:color w:val="000000"/>
                <w:sz w:val="21"/>
                <w:szCs w:val="21"/>
              </w:rPr>
              <w:t>离心机的使用。</w:t>
            </w:r>
          </w:p>
          <w:p w14:paraId="7476B11E">
            <w:pPr>
              <w:rPr>
                <w:rFonts w:hint="eastAsia" w:ascii="Times New Roman" w:hAnsi="Times New Roman"/>
                <w:color w:val="000000"/>
                <w:sz w:val="21"/>
                <w:szCs w:val="21"/>
              </w:rPr>
            </w:pPr>
            <w:r>
              <w:rPr>
                <w:rFonts w:hint="eastAsia" w:ascii="Times New Roman" w:hAnsi="Times New Roman"/>
                <w:color w:val="000000"/>
                <w:sz w:val="21"/>
                <w:szCs w:val="19"/>
                <w:shd w:val="clear" w:color="auto" w:fill="FFFFFF"/>
              </w:rPr>
              <w:t>2.分光光度计的介绍及使用注意事项。</w:t>
            </w:r>
            <w:r>
              <w:rPr>
                <w:rFonts w:ascii="Times New Roman" w:hAnsi="Times New Roman"/>
                <w:color w:val="000000"/>
                <w:sz w:val="21"/>
                <w:szCs w:val="21"/>
              </w:rPr>
              <w:t xml:space="preserve"> </w:t>
            </w:r>
          </w:p>
          <w:p w14:paraId="72C39778">
            <w:pPr>
              <w:rPr>
                <w:rFonts w:ascii="Times New Roman" w:hAnsi="Times New Roman"/>
                <w:color w:val="000000"/>
                <w:sz w:val="21"/>
                <w:szCs w:val="21"/>
              </w:rPr>
            </w:pPr>
            <w:r>
              <w:rPr>
                <w:rFonts w:hint="eastAsia" w:ascii="Times New Roman" w:hAnsi="Times New Roman"/>
                <w:color w:val="000000"/>
                <w:sz w:val="21"/>
                <w:szCs w:val="21"/>
              </w:rPr>
              <w:t>3.灌胃器的分类介绍。</w:t>
            </w:r>
          </w:p>
        </w:tc>
      </w:tr>
      <w:tr w14:paraId="3D364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1A39EDA2">
            <w:pPr>
              <w:rPr>
                <w:rFonts w:hint="eastAsia" w:ascii="Times New Roman" w:hAnsi="Times New Roman"/>
                <w:color w:val="000000"/>
                <w:sz w:val="21"/>
                <w:szCs w:val="21"/>
              </w:rPr>
            </w:pPr>
            <w:r>
              <w:rPr>
                <w:rFonts w:hint="eastAsia" w:ascii="Times New Roman" w:hAnsi="Times New Roman"/>
                <w:color w:val="000000"/>
                <w:sz w:val="21"/>
                <w:szCs w:val="21"/>
              </w:rPr>
              <w:t>实验三：药物在体内的分布</w:t>
            </w:r>
          </w:p>
        </w:tc>
        <w:tc>
          <w:tcPr>
            <w:tcW w:w="7174" w:type="dxa"/>
            <w:noWrap w:val="0"/>
            <w:vAlign w:val="center"/>
          </w:tcPr>
          <w:p w14:paraId="46A6ACB0">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灌胃器的介绍。</w:t>
            </w:r>
          </w:p>
          <w:p w14:paraId="26B28102">
            <w:pPr>
              <w:rPr>
                <w:rFonts w:hint="eastAsia" w:ascii="Times New Roman" w:hAnsi="Times New Roman"/>
                <w:color w:val="000000"/>
                <w:sz w:val="21"/>
                <w:szCs w:val="21"/>
              </w:rPr>
            </w:pPr>
            <w:r>
              <w:rPr>
                <w:rFonts w:hint="eastAsia" w:ascii="Times New Roman" w:hAnsi="Times New Roman"/>
                <w:color w:val="000000"/>
                <w:sz w:val="21"/>
                <w:szCs w:val="21"/>
              </w:rPr>
              <w:t>2. 离心机的使用。</w:t>
            </w:r>
          </w:p>
          <w:p w14:paraId="300D277B">
            <w:pPr>
              <w:rPr>
                <w:rFonts w:hint="eastAsia" w:ascii="Times New Roman" w:hAnsi="Times New Roman"/>
                <w:color w:val="000000"/>
                <w:sz w:val="21"/>
                <w:szCs w:val="21"/>
              </w:rPr>
            </w:pPr>
            <w:r>
              <w:rPr>
                <w:rFonts w:hint="eastAsia" w:ascii="Times New Roman" w:hAnsi="Times New Roman"/>
                <w:color w:val="000000"/>
                <w:sz w:val="21"/>
                <w:szCs w:val="21"/>
              </w:rPr>
              <w:t>3. 组织匀浆器的使用。</w:t>
            </w:r>
          </w:p>
          <w:p w14:paraId="532B4BB8">
            <w:pPr>
              <w:rPr>
                <w:rFonts w:hint="eastAsia" w:ascii="Times New Roman" w:hAnsi="Times New Roman"/>
                <w:color w:val="000000"/>
                <w:sz w:val="21"/>
                <w:szCs w:val="19"/>
                <w:shd w:val="clear" w:color="auto" w:fill="FFFFFF"/>
              </w:rPr>
            </w:pPr>
            <w:r>
              <w:rPr>
                <w:rFonts w:hint="eastAsia" w:ascii="Times New Roman" w:hAnsi="Times New Roman"/>
                <w:color w:val="000000"/>
                <w:sz w:val="21"/>
                <w:szCs w:val="21"/>
              </w:rPr>
              <w:t>4.</w:t>
            </w:r>
            <w:r>
              <w:rPr>
                <w:rFonts w:hint="eastAsia" w:ascii="Times New Roman" w:hAnsi="Times New Roman"/>
                <w:color w:val="000000"/>
                <w:sz w:val="21"/>
                <w:szCs w:val="19"/>
                <w:shd w:val="clear" w:color="auto" w:fill="FFFFFF"/>
              </w:rPr>
              <w:t xml:space="preserve"> 分光光度计的介绍及使用注意事项。</w:t>
            </w:r>
          </w:p>
          <w:p w14:paraId="334293B9">
            <w:pPr>
              <w:rPr>
                <w:rFonts w:ascii="Times New Roman" w:hAnsi="Times New Roman"/>
                <w:color w:val="000000"/>
                <w:sz w:val="21"/>
                <w:szCs w:val="21"/>
              </w:rPr>
            </w:pPr>
            <w:r>
              <w:rPr>
                <w:rFonts w:hint="eastAsia" w:ascii="Times New Roman" w:hAnsi="Times New Roman"/>
                <w:color w:val="000000"/>
                <w:sz w:val="21"/>
                <w:szCs w:val="19"/>
                <w:shd w:val="clear" w:color="auto" w:fill="FFFFFF"/>
              </w:rPr>
              <w:t>5.培养皿的分类介绍及使用方法。</w:t>
            </w:r>
          </w:p>
        </w:tc>
      </w:tr>
      <w:tr w14:paraId="3CB1AB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60E7FCCA">
            <w:pPr>
              <w:rPr>
                <w:rFonts w:hint="eastAsia" w:ascii="Times New Roman" w:hAnsi="Times New Roman"/>
                <w:color w:val="000000"/>
                <w:sz w:val="21"/>
                <w:szCs w:val="21"/>
              </w:rPr>
            </w:pPr>
            <w:r>
              <w:rPr>
                <w:rFonts w:hint="eastAsia" w:ascii="Times New Roman" w:hAnsi="Times New Roman"/>
                <w:color w:val="000000"/>
                <w:sz w:val="21"/>
                <w:szCs w:val="21"/>
              </w:rPr>
              <w:t>实验四：传出神经系统药物对血压的影响</w:t>
            </w:r>
          </w:p>
        </w:tc>
        <w:tc>
          <w:tcPr>
            <w:tcW w:w="7174" w:type="dxa"/>
            <w:noWrap w:val="0"/>
            <w:vAlign w:val="center"/>
          </w:tcPr>
          <w:p w14:paraId="49EEBD2C">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BL-420生物机能实验系统的使用。</w:t>
            </w:r>
          </w:p>
          <w:p w14:paraId="06FBF8A4">
            <w:pPr>
              <w:rPr>
                <w:rFonts w:hint="eastAsia" w:ascii="Times New Roman" w:hAnsi="Times New Roman"/>
                <w:color w:val="000000"/>
                <w:sz w:val="21"/>
                <w:szCs w:val="21"/>
              </w:rPr>
            </w:pPr>
            <w:r>
              <w:rPr>
                <w:rFonts w:hint="eastAsia" w:ascii="Times New Roman" w:hAnsi="Times New Roman"/>
                <w:color w:val="000000"/>
                <w:sz w:val="21"/>
                <w:szCs w:val="21"/>
              </w:rPr>
              <w:t>2. 压力换能器的使用。</w:t>
            </w:r>
          </w:p>
          <w:p w14:paraId="7C071126">
            <w:pPr>
              <w:rPr>
                <w:rFonts w:hint="eastAsia" w:ascii="Times New Roman" w:hAnsi="Times New Roman"/>
                <w:color w:val="000000"/>
                <w:sz w:val="21"/>
                <w:szCs w:val="21"/>
              </w:rPr>
            </w:pPr>
            <w:r>
              <w:rPr>
                <w:rFonts w:hint="eastAsia" w:ascii="Times New Roman" w:hAnsi="Times New Roman"/>
                <w:color w:val="000000"/>
                <w:sz w:val="21"/>
                <w:szCs w:val="21"/>
              </w:rPr>
              <w:t>3. 动脉夹和三通管的适用范围和注意事项。</w:t>
            </w:r>
          </w:p>
          <w:p w14:paraId="53B1AFED">
            <w:pPr>
              <w:rPr>
                <w:rFonts w:ascii="Times New Roman" w:hAnsi="Times New Roman"/>
                <w:color w:val="000000"/>
                <w:sz w:val="21"/>
                <w:szCs w:val="21"/>
              </w:rPr>
            </w:pPr>
            <w:r>
              <w:rPr>
                <w:rFonts w:hint="eastAsia" w:ascii="Times New Roman" w:hAnsi="Times New Roman"/>
                <w:color w:val="000000"/>
                <w:sz w:val="21"/>
                <w:szCs w:val="21"/>
              </w:rPr>
              <w:t>4. 动脉插管的操作注意事项。</w:t>
            </w:r>
          </w:p>
          <w:p w14:paraId="232C6ED5">
            <w:pPr>
              <w:rPr>
                <w:rFonts w:ascii="Times New Roman" w:hAnsi="Times New Roman"/>
                <w:color w:val="000000"/>
                <w:sz w:val="21"/>
                <w:szCs w:val="21"/>
              </w:rPr>
            </w:pPr>
            <w:r>
              <w:rPr>
                <w:rFonts w:hint="eastAsia" w:ascii="Times New Roman" w:hAnsi="Times New Roman"/>
                <w:color w:val="000000"/>
                <w:sz w:val="21"/>
                <w:szCs w:val="21"/>
              </w:rPr>
              <w:t>5. 手术灯的介绍。</w:t>
            </w:r>
          </w:p>
        </w:tc>
      </w:tr>
      <w:tr w14:paraId="07DBE5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1300" w:type="dxa"/>
            <w:noWrap w:val="0"/>
            <w:vAlign w:val="center"/>
          </w:tcPr>
          <w:p w14:paraId="2E8EE974">
            <w:pPr>
              <w:rPr>
                <w:rFonts w:hint="eastAsia" w:ascii="Times New Roman" w:hAnsi="Times New Roman"/>
                <w:color w:val="000000"/>
                <w:sz w:val="21"/>
                <w:szCs w:val="21"/>
              </w:rPr>
            </w:pPr>
            <w:r>
              <w:rPr>
                <w:rFonts w:hint="eastAsia" w:ascii="Times New Roman" w:hAnsi="Times New Roman"/>
                <w:color w:val="000000"/>
                <w:sz w:val="21"/>
                <w:szCs w:val="21"/>
              </w:rPr>
              <w:t>实验五：去甲肾上腺素的缩血管作用</w:t>
            </w:r>
          </w:p>
        </w:tc>
        <w:tc>
          <w:tcPr>
            <w:tcW w:w="7174" w:type="dxa"/>
            <w:noWrap w:val="0"/>
            <w:vAlign w:val="center"/>
          </w:tcPr>
          <w:p w14:paraId="2B47BD05">
            <w:pPr>
              <w:rPr>
                <w:rFonts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毁髓针的介绍和使用注意事项。</w:t>
            </w:r>
          </w:p>
          <w:p w14:paraId="525BD79D">
            <w:pPr>
              <w:rPr>
                <w:rFonts w:hint="eastAsia" w:ascii="Times New Roman" w:hAnsi="Times New Roman"/>
                <w:color w:val="000000"/>
                <w:sz w:val="21"/>
                <w:szCs w:val="21"/>
              </w:rPr>
            </w:pPr>
            <w:r>
              <w:rPr>
                <w:rFonts w:hint="eastAsia" w:ascii="Times New Roman" w:hAnsi="Times New Roman"/>
                <w:color w:val="000000"/>
                <w:sz w:val="21"/>
                <w:szCs w:val="21"/>
              </w:rPr>
              <w:t>2. 手术剪的分类介绍和适用范围。</w:t>
            </w:r>
          </w:p>
          <w:p w14:paraId="45AD98CA">
            <w:pPr>
              <w:rPr>
                <w:rFonts w:hint="eastAsia" w:ascii="Times New Roman" w:hAnsi="Times New Roman"/>
                <w:color w:val="000000"/>
                <w:sz w:val="21"/>
                <w:szCs w:val="21"/>
              </w:rPr>
            </w:pPr>
            <w:r>
              <w:rPr>
                <w:rFonts w:hint="eastAsia" w:ascii="Times New Roman" w:hAnsi="Times New Roman"/>
                <w:color w:val="000000"/>
                <w:sz w:val="21"/>
                <w:szCs w:val="21"/>
              </w:rPr>
              <w:t>3. 镊子的分类和选取原则。</w:t>
            </w:r>
          </w:p>
          <w:p w14:paraId="594ED035">
            <w:pPr>
              <w:rPr>
                <w:rFonts w:ascii="Times New Roman" w:hAnsi="Times New Roman"/>
                <w:color w:val="000000"/>
                <w:sz w:val="21"/>
                <w:szCs w:val="21"/>
              </w:rPr>
            </w:pPr>
            <w:r>
              <w:rPr>
                <w:rFonts w:hint="eastAsia" w:ascii="Times New Roman" w:hAnsi="Times New Roman"/>
                <w:color w:val="000000"/>
                <w:sz w:val="21"/>
                <w:szCs w:val="21"/>
              </w:rPr>
              <w:t>4. 医用图像分析仪的介绍。</w:t>
            </w:r>
          </w:p>
        </w:tc>
      </w:tr>
      <w:tr w14:paraId="690567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325" w:hRule="atLeast"/>
        </w:trPr>
        <w:tc>
          <w:tcPr>
            <w:tcW w:w="1300" w:type="dxa"/>
            <w:noWrap w:val="0"/>
            <w:vAlign w:val="center"/>
          </w:tcPr>
          <w:p w14:paraId="0F3BF9B6">
            <w:pPr>
              <w:rPr>
                <w:rFonts w:hint="eastAsia" w:ascii="Times New Roman" w:hAnsi="Times New Roman"/>
                <w:color w:val="000000"/>
                <w:sz w:val="21"/>
                <w:szCs w:val="21"/>
              </w:rPr>
            </w:pPr>
            <w:r>
              <w:rPr>
                <w:rFonts w:hint="eastAsia" w:ascii="Times New Roman" w:hAnsi="Times New Roman"/>
                <w:color w:val="000000"/>
                <w:sz w:val="21"/>
                <w:szCs w:val="21"/>
              </w:rPr>
              <w:t>实验六：氨茶碱和异丙肾上腺素的平喘作用</w:t>
            </w:r>
          </w:p>
        </w:tc>
        <w:tc>
          <w:tcPr>
            <w:tcW w:w="7174" w:type="dxa"/>
            <w:noWrap w:val="0"/>
            <w:vAlign w:val="center"/>
          </w:tcPr>
          <w:p w14:paraId="61B1E8E4">
            <w:pPr>
              <w:rPr>
                <w:rFonts w:hint="eastAsia" w:ascii="Times New Roman" w:hAnsi="Times New Roman"/>
                <w:color w:val="000000"/>
                <w:sz w:val="21"/>
                <w:szCs w:val="21"/>
              </w:rPr>
            </w:pPr>
            <w:r>
              <w:rPr>
                <w:rFonts w:ascii="Times New Roman" w:hAnsi="Times New Roman"/>
                <w:color w:val="000000"/>
                <w:sz w:val="21"/>
                <w:szCs w:val="21"/>
              </w:rPr>
              <w:t>1.</w:t>
            </w:r>
            <w:r>
              <w:rPr>
                <w:rFonts w:hint="eastAsia" w:ascii="Times New Roman" w:hAnsi="Times New Roman"/>
                <w:color w:val="000000"/>
                <w:sz w:val="21"/>
                <w:szCs w:val="21"/>
              </w:rPr>
              <w:t xml:space="preserve"> 临床上雾化机的分类使用方法及注意事项。</w:t>
            </w:r>
          </w:p>
          <w:p w14:paraId="12AA9E42">
            <w:pPr>
              <w:rPr>
                <w:rFonts w:ascii="Times New Roman" w:hAnsi="Times New Roman"/>
                <w:color w:val="000000"/>
                <w:sz w:val="21"/>
                <w:szCs w:val="21"/>
              </w:rPr>
            </w:pPr>
            <w:r>
              <w:rPr>
                <w:rFonts w:hint="eastAsia" w:ascii="Times New Roman" w:hAnsi="Times New Roman"/>
                <w:color w:val="000000"/>
                <w:sz w:val="21"/>
                <w:szCs w:val="21"/>
              </w:rPr>
              <w:t>2.让护生们意识到根据不同的治疗对象采取不同的医疗器械。</w:t>
            </w:r>
          </w:p>
        </w:tc>
      </w:tr>
    </w:tbl>
    <w:p w14:paraId="314365F3">
      <w:pPr>
        <w:spacing w:before="326" w:beforeLines="100"/>
        <w:outlineLvl w:val="0"/>
        <w:rPr>
          <w:rFonts w:ascii="Arial" w:hAnsi="Arial" w:eastAsia="黑体"/>
          <w:sz w:val="28"/>
        </w:rPr>
      </w:pPr>
      <w:r>
        <w:rPr>
          <w:rFonts w:hint="eastAsia" w:ascii="Arial" w:hAnsi="Arial" w:eastAsia="黑体"/>
          <w:sz w:val="28"/>
        </w:rPr>
        <w:t>六、课程考核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08"/>
        <w:gridCol w:w="1701"/>
        <w:gridCol w:w="717"/>
        <w:gridCol w:w="591"/>
        <w:gridCol w:w="591"/>
        <w:gridCol w:w="591"/>
        <w:gridCol w:w="591"/>
        <w:gridCol w:w="591"/>
        <w:gridCol w:w="653"/>
        <w:gridCol w:w="687"/>
      </w:tblGrid>
      <w:tr w14:paraId="14F9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tcBorders>
              <w:top w:val="single" w:color="auto" w:sz="12" w:space="0"/>
              <w:left w:val="single" w:color="auto" w:sz="12" w:space="0"/>
            </w:tcBorders>
            <w:noWrap w:val="0"/>
            <w:vAlign w:val="center"/>
          </w:tcPr>
          <w:p w14:paraId="4B88A2EC">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总评构成（1+X）</w:t>
            </w:r>
          </w:p>
        </w:tc>
        <w:tc>
          <w:tcPr>
            <w:tcW w:w="708" w:type="dxa"/>
            <w:vMerge w:val="restart"/>
            <w:tcBorders>
              <w:top w:val="single" w:color="auto" w:sz="12" w:space="0"/>
            </w:tcBorders>
            <w:noWrap w:val="0"/>
            <w:vAlign w:val="center"/>
          </w:tcPr>
          <w:p w14:paraId="67AD6FB3">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占比</w:t>
            </w:r>
          </w:p>
        </w:tc>
        <w:tc>
          <w:tcPr>
            <w:tcW w:w="1701" w:type="dxa"/>
            <w:vMerge w:val="restart"/>
            <w:tcBorders>
              <w:top w:val="single" w:color="auto" w:sz="12" w:space="0"/>
              <w:right w:val="double" w:color="auto" w:sz="4" w:space="0"/>
            </w:tcBorders>
            <w:noWrap w:val="0"/>
            <w:vAlign w:val="center"/>
          </w:tcPr>
          <w:p w14:paraId="0FC7A981">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考核方式</w:t>
            </w:r>
          </w:p>
        </w:tc>
        <w:tc>
          <w:tcPr>
            <w:tcW w:w="4325" w:type="dxa"/>
            <w:gridSpan w:val="7"/>
            <w:tcBorders>
              <w:top w:val="single" w:color="auto" w:sz="12" w:space="0"/>
              <w:left w:val="double" w:color="auto" w:sz="4" w:space="0"/>
            </w:tcBorders>
            <w:noWrap w:val="0"/>
            <w:vAlign w:val="center"/>
          </w:tcPr>
          <w:p w14:paraId="5D25A325">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课程目标</w:t>
            </w:r>
          </w:p>
        </w:tc>
        <w:tc>
          <w:tcPr>
            <w:tcW w:w="687" w:type="dxa"/>
            <w:vMerge w:val="restart"/>
            <w:tcBorders>
              <w:top w:val="single" w:color="auto" w:sz="12" w:space="0"/>
              <w:right w:val="single" w:color="auto" w:sz="12" w:space="0"/>
            </w:tcBorders>
            <w:noWrap w:val="0"/>
            <w:vAlign w:val="center"/>
          </w:tcPr>
          <w:p w14:paraId="538542D6">
            <w:pPr>
              <w:snapToGrid w:val="0"/>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合计</w:t>
            </w:r>
          </w:p>
        </w:tc>
      </w:tr>
      <w:tr w14:paraId="4B87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tcBorders>
              <w:left w:val="single" w:color="auto" w:sz="12" w:space="0"/>
            </w:tcBorders>
            <w:noWrap w:val="0"/>
            <w:vAlign w:val="top"/>
          </w:tcPr>
          <w:p w14:paraId="38433D5E">
            <w:pPr>
              <w:rPr>
                <w:rFonts w:hint="default" w:ascii="Times New Roman" w:hAnsi="Times New Roman" w:eastAsia="宋体" w:cs="Times New Roman"/>
                <w:bCs/>
                <w:color w:val="000000"/>
                <w:sz w:val="21"/>
                <w:szCs w:val="21"/>
              </w:rPr>
            </w:pPr>
          </w:p>
        </w:tc>
        <w:tc>
          <w:tcPr>
            <w:tcW w:w="708" w:type="dxa"/>
            <w:vMerge w:val="continue"/>
            <w:noWrap w:val="0"/>
            <w:vAlign w:val="top"/>
          </w:tcPr>
          <w:p w14:paraId="60ECB92D">
            <w:pPr>
              <w:rPr>
                <w:rFonts w:hint="default" w:ascii="Times New Roman" w:hAnsi="Times New Roman" w:eastAsia="宋体" w:cs="Times New Roman"/>
                <w:bCs/>
                <w:color w:val="000000"/>
                <w:sz w:val="21"/>
                <w:szCs w:val="21"/>
              </w:rPr>
            </w:pPr>
          </w:p>
        </w:tc>
        <w:tc>
          <w:tcPr>
            <w:tcW w:w="1701" w:type="dxa"/>
            <w:vMerge w:val="continue"/>
            <w:tcBorders>
              <w:right w:val="double" w:color="auto" w:sz="4" w:space="0"/>
            </w:tcBorders>
            <w:noWrap w:val="0"/>
            <w:vAlign w:val="top"/>
          </w:tcPr>
          <w:p w14:paraId="59784D3A">
            <w:pPr>
              <w:rPr>
                <w:rFonts w:hint="default" w:ascii="Times New Roman" w:hAnsi="Times New Roman" w:eastAsia="宋体" w:cs="Times New Roman"/>
                <w:bCs/>
                <w:color w:val="000000"/>
                <w:sz w:val="21"/>
                <w:szCs w:val="21"/>
              </w:rPr>
            </w:pPr>
          </w:p>
        </w:tc>
        <w:tc>
          <w:tcPr>
            <w:tcW w:w="717" w:type="dxa"/>
            <w:tcBorders>
              <w:left w:val="double" w:color="auto" w:sz="4" w:space="0"/>
            </w:tcBorders>
            <w:noWrap w:val="0"/>
            <w:vAlign w:val="center"/>
          </w:tcPr>
          <w:p w14:paraId="54B447A1">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1</w:t>
            </w:r>
          </w:p>
        </w:tc>
        <w:tc>
          <w:tcPr>
            <w:tcW w:w="591" w:type="dxa"/>
            <w:noWrap w:val="0"/>
            <w:vAlign w:val="center"/>
          </w:tcPr>
          <w:p w14:paraId="783A94AE">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2</w:t>
            </w:r>
          </w:p>
        </w:tc>
        <w:tc>
          <w:tcPr>
            <w:tcW w:w="591" w:type="dxa"/>
            <w:noWrap w:val="0"/>
            <w:vAlign w:val="center"/>
          </w:tcPr>
          <w:p w14:paraId="19494409">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3</w:t>
            </w:r>
          </w:p>
        </w:tc>
        <w:tc>
          <w:tcPr>
            <w:tcW w:w="591" w:type="dxa"/>
            <w:noWrap w:val="0"/>
            <w:vAlign w:val="center"/>
          </w:tcPr>
          <w:p w14:paraId="1FD890C8">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4</w:t>
            </w:r>
          </w:p>
        </w:tc>
        <w:tc>
          <w:tcPr>
            <w:tcW w:w="591" w:type="dxa"/>
            <w:noWrap w:val="0"/>
            <w:vAlign w:val="center"/>
          </w:tcPr>
          <w:p w14:paraId="1BED7F12">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5</w:t>
            </w:r>
          </w:p>
        </w:tc>
        <w:tc>
          <w:tcPr>
            <w:tcW w:w="591" w:type="dxa"/>
            <w:noWrap w:val="0"/>
            <w:vAlign w:val="center"/>
          </w:tcPr>
          <w:p w14:paraId="79476007">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6</w:t>
            </w:r>
          </w:p>
        </w:tc>
        <w:tc>
          <w:tcPr>
            <w:tcW w:w="653" w:type="dxa"/>
            <w:noWrap w:val="0"/>
            <w:vAlign w:val="center"/>
          </w:tcPr>
          <w:p w14:paraId="71F6228E">
            <w:pPr>
              <w:jc w:val="center"/>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7</w:t>
            </w:r>
          </w:p>
        </w:tc>
        <w:tc>
          <w:tcPr>
            <w:tcW w:w="687" w:type="dxa"/>
            <w:vMerge w:val="continue"/>
            <w:tcBorders>
              <w:right w:val="single" w:color="auto" w:sz="12" w:space="0"/>
            </w:tcBorders>
            <w:noWrap w:val="0"/>
            <w:vAlign w:val="top"/>
          </w:tcPr>
          <w:p w14:paraId="1C0BAA34">
            <w:pPr>
              <w:jc w:val="center"/>
              <w:rPr>
                <w:rFonts w:hint="default" w:ascii="Times New Roman" w:hAnsi="Times New Roman" w:eastAsia="宋体" w:cs="Times New Roman"/>
                <w:bCs/>
                <w:color w:val="000000"/>
                <w:sz w:val="21"/>
                <w:szCs w:val="21"/>
              </w:rPr>
            </w:pPr>
          </w:p>
        </w:tc>
      </w:tr>
      <w:tr w14:paraId="2318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noWrap w:val="0"/>
            <w:vAlign w:val="top"/>
          </w:tcPr>
          <w:p w14:paraId="4839599F">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w:t>
            </w:r>
          </w:p>
        </w:tc>
        <w:tc>
          <w:tcPr>
            <w:tcW w:w="708" w:type="dxa"/>
            <w:noWrap w:val="0"/>
            <w:vAlign w:val="top"/>
          </w:tcPr>
          <w:p w14:paraId="7983F5CA">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60%</w:t>
            </w:r>
          </w:p>
        </w:tc>
        <w:tc>
          <w:tcPr>
            <w:tcW w:w="1701" w:type="dxa"/>
            <w:tcBorders>
              <w:right w:val="double" w:color="auto" w:sz="4" w:space="0"/>
            </w:tcBorders>
            <w:noWrap w:val="0"/>
            <w:vAlign w:val="top"/>
          </w:tcPr>
          <w:p w14:paraId="7EB76532">
            <w:pP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期末闭卷考试</w:t>
            </w:r>
          </w:p>
        </w:tc>
        <w:tc>
          <w:tcPr>
            <w:tcW w:w="717" w:type="dxa"/>
            <w:tcBorders>
              <w:left w:val="double" w:color="auto" w:sz="4" w:space="0"/>
            </w:tcBorders>
            <w:noWrap w:val="0"/>
            <w:vAlign w:val="center"/>
          </w:tcPr>
          <w:p w14:paraId="1A507511">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77EE4BAD">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5CA14068">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02824E3F">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00F6E885">
            <w:pPr>
              <w:jc w:val="center"/>
              <w:rPr>
                <w:rFonts w:hint="default" w:ascii="Times New Roman" w:hAnsi="Times New Roman" w:eastAsia="宋体" w:cs="Times New Roman"/>
                <w:color w:val="000000"/>
                <w:sz w:val="21"/>
                <w:szCs w:val="21"/>
              </w:rPr>
            </w:pPr>
            <w:r>
              <w:rPr>
                <w:rFonts w:hint="eastAsia" w:ascii="Times New Roman" w:hAnsi="Times New Roman" w:eastAsia="宋体" w:cs="Times New Roman"/>
                <w:color w:val="000000"/>
                <w:sz w:val="21"/>
                <w:szCs w:val="21"/>
                <w:lang w:val="en-US" w:eastAsia="zh-CN"/>
              </w:rPr>
              <w:t>1</w:t>
            </w:r>
            <w:r>
              <w:rPr>
                <w:rFonts w:hint="default" w:ascii="Times New Roman" w:hAnsi="Times New Roman" w:eastAsia="宋体" w:cs="Times New Roman"/>
                <w:color w:val="000000"/>
                <w:sz w:val="21"/>
                <w:szCs w:val="21"/>
              </w:rPr>
              <w:t>0</w:t>
            </w:r>
          </w:p>
        </w:tc>
        <w:tc>
          <w:tcPr>
            <w:tcW w:w="591" w:type="dxa"/>
            <w:noWrap w:val="0"/>
            <w:vAlign w:val="center"/>
          </w:tcPr>
          <w:p w14:paraId="02215AF1">
            <w:pPr>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10</w:t>
            </w:r>
          </w:p>
        </w:tc>
        <w:tc>
          <w:tcPr>
            <w:tcW w:w="653" w:type="dxa"/>
            <w:noWrap w:val="0"/>
            <w:vAlign w:val="center"/>
          </w:tcPr>
          <w:p w14:paraId="32949C1D">
            <w:pPr>
              <w:jc w:val="center"/>
              <w:rPr>
                <w:rFonts w:hint="default" w:ascii="Times New Roman" w:hAnsi="Times New Roman" w:eastAsia="宋体" w:cs="Times New Roman"/>
                <w:bCs/>
                <w:color w:val="000000"/>
                <w:sz w:val="21"/>
                <w:szCs w:val="21"/>
              </w:rPr>
            </w:pPr>
          </w:p>
        </w:tc>
        <w:tc>
          <w:tcPr>
            <w:tcW w:w="687" w:type="dxa"/>
            <w:tcBorders>
              <w:right w:val="single" w:color="auto" w:sz="12" w:space="0"/>
            </w:tcBorders>
            <w:noWrap w:val="0"/>
            <w:vAlign w:val="center"/>
          </w:tcPr>
          <w:p w14:paraId="436D5761">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100</w:t>
            </w:r>
          </w:p>
        </w:tc>
      </w:tr>
      <w:tr w14:paraId="704E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noWrap w:val="0"/>
            <w:vAlign w:val="top"/>
          </w:tcPr>
          <w:p w14:paraId="4914EC0A">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X1</w:t>
            </w:r>
          </w:p>
        </w:tc>
        <w:tc>
          <w:tcPr>
            <w:tcW w:w="708" w:type="dxa"/>
            <w:noWrap w:val="0"/>
            <w:vAlign w:val="top"/>
          </w:tcPr>
          <w:p w14:paraId="4D8BD8BB">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1701" w:type="dxa"/>
            <w:tcBorders>
              <w:right w:val="double" w:color="auto" w:sz="4" w:space="0"/>
            </w:tcBorders>
            <w:noWrap w:val="0"/>
            <w:vAlign w:val="top"/>
          </w:tcPr>
          <w:p w14:paraId="408C5A3B">
            <w:pPr>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期中小论文</w:t>
            </w:r>
          </w:p>
        </w:tc>
        <w:tc>
          <w:tcPr>
            <w:tcW w:w="717" w:type="dxa"/>
            <w:tcBorders>
              <w:left w:val="double" w:color="auto" w:sz="4" w:space="0"/>
            </w:tcBorders>
            <w:noWrap w:val="0"/>
            <w:vAlign w:val="center"/>
          </w:tcPr>
          <w:p w14:paraId="4A339AB3">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10EDE29D">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64D7AF50">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591" w:type="dxa"/>
            <w:noWrap w:val="0"/>
            <w:vAlign w:val="center"/>
          </w:tcPr>
          <w:p w14:paraId="7C50D691">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69C51DAF">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591" w:type="dxa"/>
            <w:noWrap w:val="0"/>
            <w:vAlign w:val="center"/>
          </w:tcPr>
          <w:p w14:paraId="524BF029">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653" w:type="dxa"/>
            <w:noWrap w:val="0"/>
            <w:vAlign w:val="center"/>
          </w:tcPr>
          <w:p w14:paraId="2D6E2D66">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687" w:type="dxa"/>
            <w:tcBorders>
              <w:right w:val="single" w:color="auto" w:sz="12" w:space="0"/>
            </w:tcBorders>
            <w:noWrap w:val="0"/>
            <w:vAlign w:val="center"/>
          </w:tcPr>
          <w:p w14:paraId="18101D9A">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100</w:t>
            </w:r>
          </w:p>
        </w:tc>
      </w:tr>
      <w:tr w14:paraId="45FA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noWrap w:val="0"/>
            <w:vAlign w:val="top"/>
          </w:tcPr>
          <w:p w14:paraId="504409B3">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X2</w:t>
            </w:r>
          </w:p>
        </w:tc>
        <w:tc>
          <w:tcPr>
            <w:tcW w:w="708" w:type="dxa"/>
            <w:noWrap w:val="0"/>
            <w:vAlign w:val="top"/>
          </w:tcPr>
          <w:p w14:paraId="343CF64F">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1701" w:type="dxa"/>
            <w:tcBorders>
              <w:right w:val="double" w:color="auto" w:sz="4" w:space="0"/>
            </w:tcBorders>
            <w:noWrap w:val="0"/>
            <w:vAlign w:val="top"/>
          </w:tcPr>
          <w:p w14:paraId="792CD2A4">
            <w:pP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实验报告</w:t>
            </w:r>
          </w:p>
        </w:tc>
        <w:tc>
          <w:tcPr>
            <w:tcW w:w="717" w:type="dxa"/>
            <w:tcBorders>
              <w:left w:val="double" w:color="auto" w:sz="4" w:space="0"/>
            </w:tcBorders>
            <w:noWrap w:val="0"/>
            <w:vAlign w:val="center"/>
          </w:tcPr>
          <w:p w14:paraId="31A8AFB5">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591" w:type="dxa"/>
            <w:noWrap w:val="0"/>
            <w:vAlign w:val="center"/>
          </w:tcPr>
          <w:p w14:paraId="2E2319D7">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2E878B05">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591" w:type="dxa"/>
            <w:noWrap w:val="0"/>
            <w:vAlign w:val="center"/>
          </w:tcPr>
          <w:p w14:paraId="0FE39757">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591" w:type="dxa"/>
            <w:noWrap w:val="0"/>
            <w:vAlign w:val="center"/>
          </w:tcPr>
          <w:p w14:paraId="61291A49">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6DF8ECBE">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653" w:type="dxa"/>
            <w:noWrap w:val="0"/>
            <w:vAlign w:val="center"/>
          </w:tcPr>
          <w:p w14:paraId="231DAA52">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687" w:type="dxa"/>
            <w:tcBorders>
              <w:right w:val="single" w:color="auto" w:sz="12" w:space="0"/>
            </w:tcBorders>
            <w:noWrap w:val="0"/>
            <w:vAlign w:val="center"/>
          </w:tcPr>
          <w:p w14:paraId="7D2BEDC8">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100</w:t>
            </w:r>
          </w:p>
        </w:tc>
      </w:tr>
      <w:tr w14:paraId="6715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tcBorders>
              <w:left w:val="single" w:color="auto" w:sz="12" w:space="0"/>
            </w:tcBorders>
            <w:noWrap w:val="0"/>
            <w:vAlign w:val="top"/>
          </w:tcPr>
          <w:p w14:paraId="1CC954FF">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X3</w:t>
            </w:r>
          </w:p>
        </w:tc>
        <w:tc>
          <w:tcPr>
            <w:tcW w:w="708" w:type="dxa"/>
            <w:noWrap w:val="0"/>
            <w:vAlign w:val="top"/>
          </w:tcPr>
          <w:p w14:paraId="1F31AAFA">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w:t>
            </w:r>
          </w:p>
        </w:tc>
        <w:tc>
          <w:tcPr>
            <w:tcW w:w="1701" w:type="dxa"/>
            <w:tcBorders>
              <w:right w:val="double" w:color="auto" w:sz="4" w:space="0"/>
            </w:tcBorders>
            <w:noWrap w:val="0"/>
            <w:vAlign w:val="top"/>
          </w:tcPr>
          <w:p w14:paraId="16F1A6DB">
            <w:pP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出勤率</w:t>
            </w:r>
            <w:bookmarkStart w:id="0" w:name="_GoBack"/>
            <w:bookmarkEnd w:id="0"/>
            <w:r>
              <w:rPr>
                <w:rFonts w:hint="default" w:ascii="Times New Roman" w:hAnsi="Times New Roman" w:eastAsia="宋体" w:cs="Times New Roman"/>
                <w:color w:val="000000"/>
                <w:sz w:val="21"/>
                <w:szCs w:val="21"/>
              </w:rPr>
              <w:t>、课堂表现</w:t>
            </w:r>
          </w:p>
        </w:tc>
        <w:tc>
          <w:tcPr>
            <w:tcW w:w="717" w:type="dxa"/>
            <w:tcBorders>
              <w:left w:val="double" w:color="auto" w:sz="4" w:space="0"/>
            </w:tcBorders>
            <w:noWrap w:val="0"/>
            <w:vAlign w:val="center"/>
          </w:tcPr>
          <w:p w14:paraId="00AFB332">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387A2A22">
            <w:pPr>
              <w:jc w:val="center"/>
              <w:rPr>
                <w:rFonts w:hint="default" w:ascii="Times New Roman" w:hAnsi="Times New Roman" w:eastAsia="宋体" w:cs="Times New Roman"/>
                <w:color w:val="000000"/>
                <w:sz w:val="21"/>
                <w:szCs w:val="21"/>
              </w:rPr>
            </w:pPr>
          </w:p>
        </w:tc>
        <w:tc>
          <w:tcPr>
            <w:tcW w:w="591" w:type="dxa"/>
            <w:noWrap w:val="0"/>
            <w:vAlign w:val="center"/>
          </w:tcPr>
          <w:p w14:paraId="569563AC">
            <w:pPr>
              <w:jc w:val="center"/>
              <w:rPr>
                <w:rFonts w:hint="default" w:ascii="Times New Roman" w:hAnsi="Times New Roman" w:eastAsia="宋体" w:cs="Times New Roman"/>
                <w:color w:val="000000"/>
                <w:sz w:val="21"/>
                <w:szCs w:val="21"/>
              </w:rPr>
            </w:pPr>
          </w:p>
        </w:tc>
        <w:tc>
          <w:tcPr>
            <w:tcW w:w="591" w:type="dxa"/>
            <w:noWrap w:val="0"/>
            <w:vAlign w:val="center"/>
          </w:tcPr>
          <w:p w14:paraId="378FD7D5">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20</w:t>
            </w:r>
          </w:p>
        </w:tc>
        <w:tc>
          <w:tcPr>
            <w:tcW w:w="591" w:type="dxa"/>
            <w:noWrap w:val="0"/>
            <w:vAlign w:val="center"/>
          </w:tcPr>
          <w:p w14:paraId="4AFBEE85">
            <w:pPr>
              <w:jc w:val="center"/>
              <w:rPr>
                <w:rFonts w:hint="default" w:ascii="Times New Roman" w:hAnsi="Times New Roman" w:eastAsia="宋体" w:cs="Times New Roman"/>
                <w:color w:val="000000"/>
                <w:sz w:val="21"/>
                <w:szCs w:val="21"/>
              </w:rPr>
            </w:pPr>
          </w:p>
        </w:tc>
        <w:tc>
          <w:tcPr>
            <w:tcW w:w="591" w:type="dxa"/>
            <w:noWrap w:val="0"/>
            <w:vAlign w:val="center"/>
          </w:tcPr>
          <w:p w14:paraId="67E6B259">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30</w:t>
            </w:r>
          </w:p>
        </w:tc>
        <w:tc>
          <w:tcPr>
            <w:tcW w:w="653" w:type="dxa"/>
            <w:noWrap w:val="0"/>
            <w:vAlign w:val="center"/>
          </w:tcPr>
          <w:p w14:paraId="40307D81">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30</w:t>
            </w:r>
          </w:p>
        </w:tc>
        <w:tc>
          <w:tcPr>
            <w:tcW w:w="687" w:type="dxa"/>
            <w:tcBorders>
              <w:right w:val="single" w:color="auto" w:sz="12" w:space="0"/>
            </w:tcBorders>
            <w:noWrap w:val="0"/>
            <w:vAlign w:val="center"/>
          </w:tcPr>
          <w:p w14:paraId="2C16EE2E">
            <w:pPr>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100</w:t>
            </w:r>
          </w:p>
        </w:tc>
      </w:tr>
    </w:tbl>
    <w:p w14:paraId="56DFB649">
      <w:pPr>
        <w:spacing w:before="326" w:beforeLines="100" w:after="163" w:afterLines="50"/>
        <w:jc w:val="center"/>
        <w:outlineLvl w:val="1"/>
        <w:rPr>
          <w:rFonts w:ascii="Times New Roman" w:hAnsi="Times New Roman"/>
          <w:b/>
        </w:rPr>
      </w:pPr>
      <w:r>
        <w:rPr>
          <w:rFonts w:hint="eastAsia" w:ascii="Times New Roman" w:hAnsi="Times New Roman"/>
          <w:b/>
        </w:rPr>
        <w:t>评价标准细则（选填）</w:t>
      </w:r>
    </w:p>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2449E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noWrap w:val="0"/>
            <w:vAlign w:val="center"/>
          </w:tcPr>
          <w:p w14:paraId="78D0899E">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考核项目</w:t>
            </w:r>
          </w:p>
        </w:tc>
        <w:tc>
          <w:tcPr>
            <w:tcW w:w="648" w:type="dxa"/>
            <w:vMerge w:val="restart"/>
            <w:noWrap w:val="0"/>
            <w:vAlign w:val="top"/>
          </w:tcPr>
          <w:p w14:paraId="530C525A">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课</w:t>
            </w:r>
          </w:p>
          <w:p w14:paraId="1710582F">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程</w:t>
            </w:r>
          </w:p>
          <w:p w14:paraId="12C7B2DE">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目</w:t>
            </w:r>
          </w:p>
          <w:p w14:paraId="63992D96">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标</w:t>
            </w:r>
          </w:p>
        </w:tc>
        <w:tc>
          <w:tcPr>
            <w:tcW w:w="1403" w:type="dxa"/>
            <w:vMerge w:val="restart"/>
            <w:noWrap w:val="0"/>
            <w:vAlign w:val="center"/>
          </w:tcPr>
          <w:p w14:paraId="0C6CA7DC">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考核要求</w:t>
            </w:r>
          </w:p>
        </w:tc>
        <w:tc>
          <w:tcPr>
            <w:tcW w:w="5612" w:type="dxa"/>
            <w:gridSpan w:val="4"/>
            <w:noWrap w:val="0"/>
            <w:vAlign w:val="center"/>
          </w:tcPr>
          <w:p w14:paraId="45288A99">
            <w:pPr>
              <w:snapToGrid w:val="0"/>
              <w:jc w:val="center"/>
              <w:rPr>
                <w:rFonts w:ascii="Times New Roman" w:hAnsi="Times New Roman" w:eastAsia="黑体"/>
                <w:bCs/>
                <w:color w:val="000000"/>
                <w:sz w:val="21"/>
                <w:szCs w:val="20"/>
              </w:rPr>
            </w:pPr>
            <w:r>
              <w:rPr>
                <w:rFonts w:hint="eastAsia" w:ascii="Times New Roman" w:hAnsi="Times New Roman" w:eastAsia="黑体"/>
                <w:bCs/>
                <w:color w:val="000000"/>
                <w:sz w:val="21"/>
                <w:szCs w:val="20"/>
              </w:rPr>
              <w:t>评价标准</w:t>
            </w:r>
          </w:p>
        </w:tc>
      </w:tr>
      <w:tr w14:paraId="62630D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noWrap w:val="0"/>
            <w:vAlign w:val="top"/>
          </w:tcPr>
          <w:p w14:paraId="1032FFF9">
            <w:pPr>
              <w:snapToGrid w:val="0"/>
              <w:jc w:val="center"/>
              <w:rPr>
                <w:rFonts w:ascii="Times New Roman" w:hAnsi="Times New Roman" w:eastAsia="黑体"/>
                <w:bCs/>
                <w:color w:val="000000"/>
                <w:sz w:val="21"/>
                <w:szCs w:val="20"/>
              </w:rPr>
            </w:pPr>
          </w:p>
        </w:tc>
        <w:tc>
          <w:tcPr>
            <w:tcW w:w="648" w:type="dxa"/>
            <w:vMerge w:val="continue"/>
            <w:noWrap w:val="0"/>
            <w:vAlign w:val="top"/>
          </w:tcPr>
          <w:p w14:paraId="138FF7FF">
            <w:pPr>
              <w:snapToGrid w:val="0"/>
              <w:jc w:val="center"/>
              <w:rPr>
                <w:rFonts w:ascii="Times New Roman" w:hAnsi="Times New Roman" w:eastAsia="黑体"/>
                <w:bCs/>
                <w:color w:val="000000"/>
                <w:sz w:val="21"/>
                <w:szCs w:val="20"/>
              </w:rPr>
            </w:pPr>
          </w:p>
        </w:tc>
        <w:tc>
          <w:tcPr>
            <w:tcW w:w="1403" w:type="dxa"/>
            <w:vMerge w:val="continue"/>
            <w:noWrap w:val="0"/>
            <w:vAlign w:val="top"/>
          </w:tcPr>
          <w:p w14:paraId="3A14EFD4">
            <w:pPr>
              <w:snapToGrid w:val="0"/>
              <w:jc w:val="center"/>
              <w:rPr>
                <w:rFonts w:ascii="Times New Roman" w:hAnsi="Times New Roman" w:eastAsia="黑体"/>
                <w:bCs/>
                <w:color w:val="000000"/>
                <w:sz w:val="21"/>
                <w:szCs w:val="20"/>
              </w:rPr>
            </w:pPr>
          </w:p>
        </w:tc>
        <w:tc>
          <w:tcPr>
            <w:tcW w:w="1403" w:type="dxa"/>
            <w:noWrap w:val="0"/>
            <w:vAlign w:val="center"/>
          </w:tcPr>
          <w:p w14:paraId="57D016DF">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优</w:t>
            </w:r>
          </w:p>
          <w:p w14:paraId="4AA3DEEF">
            <w:pPr>
              <w:snapToGrid w:val="0"/>
              <w:jc w:val="center"/>
              <w:rPr>
                <w:rFonts w:ascii="Arial" w:hAnsi="Arial" w:eastAsia="黑体" w:cs="Arial"/>
                <w:bCs/>
                <w:color w:val="000000"/>
                <w:sz w:val="21"/>
                <w:szCs w:val="20"/>
              </w:rPr>
            </w:pPr>
            <w:r>
              <w:rPr>
                <w:rFonts w:ascii="Arial" w:hAnsi="Arial" w:eastAsia="黑体" w:cs="Arial"/>
                <w:bCs/>
                <w:color w:val="000000"/>
                <w:sz w:val="21"/>
                <w:szCs w:val="20"/>
              </w:rPr>
              <w:t>100-90</w:t>
            </w:r>
          </w:p>
        </w:tc>
        <w:tc>
          <w:tcPr>
            <w:tcW w:w="1403" w:type="dxa"/>
            <w:noWrap w:val="0"/>
            <w:vAlign w:val="center"/>
          </w:tcPr>
          <w:p w14:paraId="66D92F93">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良</w:t>
            </w:r>
          </w:p>
          <w:p w14:paraId="2CF49E8F">
            <w:pPr>
              <w:snapToGrid w:val="0"/>
              <w:jc w:val="center"/>
              <w:rPr>
                <w:rFonts w:ascii="Arial" w:hAnsi="Arial" w:eastAsia="黑体" w:cs="Arial"/>
                <w:bCs/>
                <w:color w:val="000000"/>
                <w:sz w:val="21"/>
                <w:szCs w:val="20"/>
              </w:rPr>
            </w:pPr>
            <w:r>
              <w:rPr>
                <w:rFonts w:ascii="Arial" w:hAnsi="Arial" w:eastAsia="黑体" w:cs="Arial"/>
                <w:bCs/>
                <w:color w:val="000000"/>
                <w:sz w:val="21"/>
                <w:szCs w:val="20"/>
              </w:rPr>
              <w:t>89-75</w:t>
            </w:r>
          </w:p>
        </w:tc>
        <w:tc>
          <w:tcPr>
            <w:tcW w:w="1403" w:type="dxa"/>
            <w:noWrap w:val="0"/>
            <w:vAlign w:val="center"/>
          </w:tcPr>
          <w:p w14:paraId="4742C64B">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中</w:t>
            </w:r>
          </w:p>
          <w:p w14:paraId="4A0F085A">
            <w:pPr>
              <w:snapToGrid w:val="0"/>
              <w:jc w:val="center"/>
              <w:rPr>
                <w:rFonts w:ascii="Arial" w:hAnsi="Arial" w:eastAsia="黑体" w:cs="Arial"/>
                <w:bCs/>
                <w:color w:val="000000"/>
                <w:sz w:val="21"/>
                <w:szCs w:val="20"/>
              </w:rPr>
            </w:pPr>
            <w:r>
              <w:rPr>
                <w:rFonts w:ascii="Arial" w:hAnsi="Arial" w:eastAsia="黑体" w:cs="Arial"/>
                <w:bCs/>
                <w:color w:val="000000"/>
                <w:sz w:val="21"/>
                <w:szCs w:val="20"/>
              </w:rPr>
              <w:t>74-60</w:t>
            </w:r>
          </w:p>
        </w:tc>
        <w:tc>
          <w:tcPr>
            <w:tcW w:w="1403" w:type="dxa"/>
            <w:noWrap w:val="0"/>
            <w:vAlign w:val="center"/>
          </w:tcPr>
          <w:p w14:paraId="4B82FA44">
            <w:pPr>
              <w:snapToGrid w:val="0"/>
              <w:jc w:val="center"/>
              <w:rPr>
                <w:rFonts w:ascii="Arial" w:hAnsi="Arial" w:eastAsia="黑体" w:cs="Arial"/>
                <w:bCs/>
                <w:color w:val="000000"/>
                <w:sz w:val="21"/>
                <w:szCs w:val="20"/>
              </w:rPr>
            </w:pPr>
            <w:r>
              <w:rPr>
                <w:rFonts w:hint="eastAsia" w:ascii="Arial" w:hAnsi="Arial" w:eastAsia="黑体" w:cs="Arial"/>
                <w:bCs/>
                <w:color w:val="000000"/>
                <w:sz w:val="21"/>
                <w:szCs w:val="20"/>
              </w:rPr>
              <w:t>不及格</w:t>
            </w:r>
          </w:p>
          <w:p w14:paraId="1CA07E3F">
            <w:pPr>
              <w:snapToGrid w:val="0"/>
              <w:jc w:val="center"/>
              <w:rPr>
                <w:rFonts w:ascii="Arial" w:hAnsi="Arial" w:eastAsia="黑体" w:cs="Arial"/>
                <w:bCs/>
                <w:color w:val="000000"/>
                <w:sz w:val="21"/>
                <w:szCs w:val="20"/>
              </w:rPr>
            </w:pPr>
            <w:r>
              <w:rPr>
                <w:rFonts w:ascii="Arial" w:hAnsi="Arial" w:eastAsia="黑体" w:cs="Arial"/>
                <w:bCs/>
                <w:color w:val="000000"/>
                <w:sz w:val="21"/>
                <w:szCs w:val="20"/>
              </w:rPr>
              <w:t>59-0</w:t>
            </w:r>
          </w:p>
        </w:tc>
      </w:tr>
      <w:tr w14:paraId="16C40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noWrap w:val="0"/>
            <w:vAlign w:val="center"/>
          </w:tcPr>
          <w:p w14:paraId="4760BA5C">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1</w:t>
            </w:r>
          </w:p>
        </w:tc>
        <w:tc>
          <w:tcPr>
            <w:tcW w:w="648" w:type="dxa"/>
            <w:noWrap w:val="0"/>
            <w:vAlign w:val="center"/>
          </w:tcPr>
          <w:p w14:paraId="1A22CC25">
            <w:pPr>
              <w:widowControl w:val="0"/>
              <w:snapToGrid w:val="0"/>
              <w:jc w:val="center"/>
              <w:rPr>
                <w:rFonts w:ascii="Arial" w:hAnsi="Arial" w:eastAsia="黑体" w:cs="Arial"/>
                <w:bCs/>
                <w:sz w:val="21"/>
                <w:szCs w:val="21"/>
              </w:rPr>
            </w:pPr>
          </w:p>
        </w:tc>
        <w:tc>
          <w:tcPr>
            <w:tcW w:w="1403" w:type="dxa"/>
            <w:noWrap w:val="0"/>
            <w:vAlign w:val="top"/>
          </w:tcPr>
          <w:p w14:paraId="68B7A7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top"/>
          </w:tcPr>
          <w:p w14:paraId="750791A1">
            <w:pPr>
              <w:widowControl w:val="0"/>
              <w:jc w:val="both"/>
              <w:rPr>
                <w:rFonts w:ascii="Times New Roman" w:hAnsi="Times New Roman"/>
                <w:color w:val="000000"/>
                <w:sz w:val="21"/>
                <w:szCs w:val="21"/>
              </w:rPr>
            </w:pPr>
          </w:p>
        </w:tc>
        <w:tc>
          <w:tcPr>
            <w:tcW w:w="1403" w:type="dxa"/>
            <w:noWrap w:val="0"/>
            <w:vAlign w:val="top"/>
          </w:tcPr>
          <w:p w14:paraId="16CBFF77">
            <w:pPr>
              <w:widowControl w:val="0"/>
              <w:jc w:val="both"/>
              <w:rPr>
                <w:rFonts w:ascii="Times New Roman" w:hAnsi="Times New Roman"/>
                <w:color w:val="000000"/>
                <w:sz w:val="21"/>
                <w:szCs w:val="21"/>
              </w:rPr>
            </w:pPr>
          </w:p>
        </w:tc>
        <w:tc>
          <w:tcPr>
            <w:tcW w:w="1403" w:type="dxa"/>
            <w:noWrap w:val="0"/>
            <w:vAlign w:val="top"/>
          </w:tcPr>
          <w:p w14:paraId="7F9336B5">
            <w:pPr>
              <w:widowControl w:val="0"/>
              <w:jc w:val="both"/>
              <w:rPr>
                <w:rFonts w:ascii="Times New Roman" w:hAnsi="Times New Roman"/>
                <w:color w:val="000000"/>
                <w:sz w:val="21"/>
                <w:szCs w:val="21"/>
              </w:rPr>
            </w:pPr>
          </w:p>
        </w:tc>
        <w:tc>
          <w:tcPr>
            <w:tcW w:w="1403" w:type="dxa"/>
            <w:noWrap w:val="0"/>
            <w:vAlign w:val="top"/>
          </w:tcPr>
          <w:p w14:paraId="6A8328B8">
            <w:pPr>
              <w:shd w:val="clear" w:color="auto" w:fill="FFFFFF"/>
              <w:spacing w:before="100" w:beforeAutospacing="1" w:after="100" w:afterAutospacing="1"/>
              <w:jc w:val="both"/>
              <w:rPr>
                <w:rFonts w:eastAsia="黑体"/>
                <w:sz w:val="32"/>
              </w:rPr>
            </w:pPr>
          </w:p>
        </w:tc>
      </w:tr>
      <w:tr w14:paraId="148F0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noWrap w:val="0"/>
            <w:vAlign w:val="center"/>
          </w:tcPr>
          <w:p w14:paraId="1D4FBA90">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X1</w:t>
            </w:r>
          </w:p>
        </w:tc>
        <w:tc>
          <w:tcPr>
            <w:tcW w:w="648" w:type="dxa"/>
            <w:noWrap w:val="0"/>
            <w:vAlign w:val="center"/>
          </w:tcPr>
          <w:p w14:paraId="58942A67">
            <w:pPr>
              <w:widowControl w:val="0"/>
              <w:snapToGrid w:val="0"/>
              <w:jc w:val="center"/>
              <w:rPr>
                <w:rFonts w:ascii="Arial" w:hAnsi="Arial" w:eastAsia="黑体" w:cs="Arial"/>
                <w:bCs/>
                <w:sz w:val="21"/>
                <w:szCs w:val="21"/>
              </w:rPr>
            </w:pPr>
          </w:p>
        </w:tc>
        <w:tc>
          <w:tcPr>
            <w:tcW w:w="1403" w:type="dxa"/>
            <w:noWrap w:val="0"/>
            <w:vAlign w:val="center"/>
          </w:tcPr>
          <w:p w14:paraId="228D75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58335A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70C225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45CB58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329330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r>
      <w:tr w14:paraId="1EEF5A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noWrap w:val="0"/>
            <w:vAlign w:val="center"/>
          </w:tcPr>
          <w:p w14:paraId="132D6B6B">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X2</w:t>
            </w:r>
          </w:p>
        </w:tc>
        <w:tc>
          <w:tcPr>
            <w:tcW w:w="648" w:type="dxa"/>
            <w:noWrap w:val="0"/>
            <w:vAlign w:val="center"/>
          </w:tcPr>
          <w:p w14:paraId="73819EE6">
            <w:pPr>
              <w:widowControl w:val="0"/>
              <w:snapToGrid w:val="0"/>
              <w:jc w:val="center"/>
              <w:rPr>
                <w:rFonts w:ascii="Arial" w:hAnsi="Arial" w:eastAsia="黑体" w:cs="Arial"/>
                <w:bCs/>
                <w:sz w:val="21"/>
                <w:szCs w:val="21"/>
              </w:rPr>
            </w:pPr>
          </w:p>
        </w:tc>
        <w:tc>
          <w:tcPr>
            <w:tcW w:w="1403" w:type="dxa"/>
            <w:noWrap w:val="0"/>
            <w:vAlign w:val="center"/>
          </w:tcPr>
          <w:p w14:paraId="440DDA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799964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6DF3D4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4C8E0F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32C333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r>
      <w:tr w14:paraId="20534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noWrap w:val="0"/>
            <w:vAlign w:val="center"/>
          </w:tcPr>
          <w:p w14:paraId="70082DC6">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X3</w:t>
            </w:r>
          </w:p>
        </w:tc>
        <w:tc>
          <w:tcPr>
            <w:tcW w:w="648" w:type="dxa"/>
            <w:noWrap w:val="0"/>
            <w:vAlign w:val="center"/>
          </w:tcPr>
          <w:p w14:paraId="015394F5">
            <w:pPr>
              <w:widowControl w:val="0"/>
              <w:snapToGrid w:val="0"/>
              <w:jc w:val="center"/>
              <w:rPr>
                <w:rFonts w:ascii="Arial" w:hAnsi="Arial" w:eastAsia="黑体" w:cs="Arial"/>
                <w:bCs/>
                <w:sz w:val="21"/>
                <w:szCs w:val="21"/>
              </w:rPr>
            </w:pPr>
          </w:p>
        </w:tc>
        <w:tc>
          <w:tcPr>
            <w:tcW w:w="1403" w:type="dxa"/>
            <w:noWrap w:val="0"/>
            <w:vAlign w:val="center"/>
          </w:tcPr>
          <w:p w14:paraId="6F6E45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4C606C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3CCD23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42D56C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3DEAF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r>
      <w:tr w14:paraId="24AAC4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noWrap w:val="0"/>
            <w:vAlign w:val="center"/>
          </w:tcPr>
          <w:p w14:paraId="0B416824">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X4</w:t>
            </w:r>
          </w:p>
        </w:tc>
        <w:tc>
          <w:tcPr>
            <w:tcW w:w="648" w:type="dxa"/>
            <w:noWrap w:val="0"/>
            <w:vAlign w:val="center"/>
          </w:tcPr>
          <w:p w14:paraId="1ECBD721">
            <w:pPr>
              <w:widowControl w:val="0"/>
              <w:snapToGrid w:val="0"/>
              <w:jc w:val="center"/>
              <w:rPr>
                <w:rFonts w:ascii="Arial" w:hAnsi="Arial" w:eastAsia="黑体" w:cs="Arial"/>
                <w:bCs/>
                <w:sz w:val="21"/>
                <w:szCs w:val="21"/>
              </w:rPr>
            </w:pPr>
          </w:p>
        </w:tc>
        <w:tc>
          <w:tcPr>
            <w:tcW w:w="1403" w:type="dxa"/>
            <w:noWrap w:val="0"/>
            <w:vAlign w:val="center"/>
          </w:tcPr>
          <w:p w14:paraId="2B0CC6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6F615A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65DF2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57794A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53A8DD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r>
      <w:tr w14:paraId="7A3B6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noWrap w:val="0"/>
            <w:vAlign w:val="center"/>
          </w:tcPr>
          <w:p w14:paraId="517DFC17">
            <w:pPr>
              <w:snapToGrid w:val="0"/>
              <w:jc w:val="center"/>
              <w:rPr>
                <w:rFonts w:ascii="Times New Roman" w:hAnsi="Times New Roman" w:eastAsia="黑体"/>
                <w:bCs/>
                <w:color w:val="000000"/>
                <w:sz w:val="21"/>
                <w:szCs w:val="20"/>
              </w:rPr>
            </w:pPr>
            <w:r>
              <w:rPr>
                <w:rFonts w:ascii="Times New Roman" w:hAnsi="Times New Roman" w:eastAsia="黑体"/>
                <w:bCs/>
                <w:color w:val="000000"/>
                <w:sz w:val="21"/>
                <w:szCs w:val="20"/>
              </w:rPr>
              <w:t>X5</w:t>
            </w:r>
          </w:p>
        </w:tc>
        <w:tc>
          <w:tcPr>
            <w:tcW w:w="648" w:type="dxa"/>
            <w:noWrap w:val="0"/>
            <w:vAlign w:val="center"/>
          </w:tcPr>
          <w:p w14:paraId="2252174F">
            <w:pPr>
              <w:widowControl w:val="0"/>
              <w:snapToGrid w:val="0"/>
              <w:jc w:val="center"/>
              <w:rPr>
                <w:rFonts w:ascii="Arial" w:hAnsi="Arial" w:eastAsia="黑体" w:cs="Arial"/>
                <w:bCs/>
                <w:sz w:val="21"/>
                <w:szCs w:val="21"/>
              </w:rPr>
            </w:pPr>
          </w:p>
        </w:tc>
        <w:tc>
          <w:tcPr>
            <w:tcW w:w="1403" w:type="dxa"/>
            <w:noWrap w:val="0"/>
            <w:vAlign w:val="center"/>
          </w:tcPr>
          <w:p w14:paraId="15D297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0A0A1A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0EDB06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107189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c>
          <w:tcPr>
            <w:tcW w:w="1403" w:type="dxa"/>
            <w:noWrap w:val="0"/>
            <w:vAlign w:val="center"/>
          </w:tcPr>
          <w:p w14:paraId="29BA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黑体" w:cs="Helvetica"/>
                <w:color w:val="000000"/>
                <w:sz w:val="19"/>
                <w:szCs w:val="19"/>
              </w:rPr>
            </w:pPr>
          </w:p>
        </w:tc>
      </w:tr>
    </w:tbl>
    <w:p w14:paraId="437A83B7">
      <w:pPr>
        <w:spacing w:before="326" w:beforeLines="100"/>
        <w:outlineLvl w:val="0"/>
        <w:rPr>
          <w:rFonts w:ascii="Arial" w:hAnsi="Arial" w:eastAsia="黑体"/>
          <w:sz w:val="28"/>
        </w:rPr>
      </w:pPr>
      <w:r>
        <w:rPr>
          <w:rFonts w:hint="eastAsia" w:ascii="Arial" w:hAnsi="Arial" w:eastAsia="黑体"/>
          <w:sz w:val="28"/>
        </w:rPr>
        <w:t xml:space="preserve">七、其他需要说明的问题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0199C00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noWrap w:val="0"/>
            <w:vAlign w:val="top"/>
          </w:tcPr>
          <w:p w14:paraId="4776E4ED">
            <w:pPr>
              <w:rPr>
                <w:rFonts w:ascii="Times New Roman" w:hAnsi="Times New Roman"/>
                <w:color w:val="000000"/>
                <w:sz w:val="21"/>
                <w:szCs w:val="21"/>
              </w:rPr>
            </w:pPr>
            <w:r>
              <w:rPr>
                <w:rFonts w:hint="eastAsia" w:ascii="Times New Roman" w:hAnsi="Times New Roman"/>
                <w:color w:val="000000"/>
                <w:sz w:val="21"/>
                <w:szCs w:val="21"/>
              </w:rPr>
              <w:t>无</w:t>
            </w:r>
          </w:p>
          <w:p w14:paraId="28219E6F">
            <w:pPr>
              <w:rPr>
                <w:rFonts w:ascii="Times New Roman" w:hAnsi="Times New Roman"/>
                <w:color w:val="000000"/>
                <w:sz w:val="21"/>
                <w:szCs w:val="21"/>
              </w:rPr>
            </w:pPr>
          </w:p>
          <w:p w14:paraId="525F1DFF">
            <w:pPr>
              <w:rPr>
                <w:rFonts w:ascii="Times New Roman" w:hAnsi="Times New Roman"/>
                <w:color w:val="000000"/>
                <w:sz w:val="21"/>
                <w:szCs w:val="21"/>
              </w:rPr>
            </w:pPr>
          </w:p>
        </w:tc>
      </w:tr>
    </w:tbl>
    <w:p w14:paraId="64C27795">
      <w:pPr>
        <w:spacing w:before="326" w:beforeLines="100"/>
        <w:outlineLvl w:val="0"/>
        <w:rPr>
          <w:rFonts w:hint="eastAsia" w:ascii="黑体" w:eastAsia="黑体"/>
          <w:sz w:val="18"/>
          <w:szCs w:val="16"/>
        </w:rPr>
      </w:pPr>
    </w:p>
    <w:p w14:paraId="05C83060">
      <w:pPr>
        <w:spacing w:before="326" w:beforeLines="100"/>
        <w:outlineLvl w:val="0"/>
        <w:rPr>
          <w:rFonts w:hint="eastAsia" w:ascii="黑体" w:eastAsia="黑体"/>
          <w:sz w:val="18"/>
          <w:szCs w:val="16"/>
        </w:rPr>
      </w:pPr>
    </w:p>
    <w:p w14:paraId="49156E32">
      <w:pPr>
        <w:spacing w:before="326" w:beforeLines="100"/>
        <w:outlineLvl w:val="0"/>
        <w:rPr>
          <w:rFonts w:hint="eastAsia" w:ascii="黑体" w:eastAsia="黑体"/>
          <w:sz w:val="18"/>
          <w:szCs w:val="16"/>
        </w:rPr>
      </w:pPr>
    </w:p>
    <w:p w14:paraId="3FFF9ECF">
      <w:pPr>
        <w:spacing w:before="326" w:beforeLines="100"/>
        <w:outlineLvl w:val="0"/>
        <w:rPr>
          <w:rFonts w:hint="eastAsia" w:ascii="黑体" w:eastAsia="黑体"/>
          <w:sz w:val="18"/>
          <w:szCs w:val="16"/>
        </w:rPr>
      </w:pPr>
    </w:p>
    <w:p w14:paraId="50841649">
      <w:pPr>
        <w:spacing w:before="326" w:beforeLines="100"/>
        <w:outlineLvl w:val="0"/>
        <w:rPr>
          <w:rFonts w:hint="eastAsia" w:ascii="黑体" w:eastAsia="黑体"/>
          <w:sz w:val="18"/>
          <w:szCs w:val="16"/>
        </w:rPr>
      </w:pPr>
    </w:p>
    <w:p w14:paraId="14394C93">
      <w:pPr>
        <w:pStyle w:val="22"/>
        <w:rPr>
          <w:rFonts w:ascii="黑体" w:hAnsi="宋体"/>
          <w:sz w:val="18"/>
          <w:szCs w:val="16"/>
        </w:rPr>
      </w:pPr>
    </w:p>
    <w:sectPr>
      <w:headerReference r:id="rId3" w:type="default"/>
      <w:pgSz w:w="11906" w:h="16838"/>
      <w:pgMar w:top="1440" w:right="1800" w:bottom="1440" w:left="1800" w:header="397" w:footer="992" w:gutter="0"/>
      <w:pgBorders w:offsetFrom="page">
        <w:top w:val="single" w:color="auto" w:sz="4" w:space="24"/>
      </w:pgBorders>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BBFF03A-1CA9-49EC-9842-EA3FF96FF105}"/>
  </w:font>
  <w:font w:name="黑体">
    <w:panose1 w:val="02010609060101010101"/>
    <w:charset w:val="86"/>
    <w:family w:val="auto"/>
    <w:pitch w:val="default"/>
    <w:sig w:usb0="800002BF" w:usb1="38CF7CFA" w:usb2="00000016" w:usb3="00000000" w:csb0="00040001" w:csb1="00000000"/>
    <w:embedRegular r:id="rId2" w:fontKey="{32E8A94A-A086-42F0-91DF-8BDC74D36A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C2D15E2-061F-46E9-AD84-8FBE754BA243}"/>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embedRegular r:id="rId4" w:fontKey="{D2CC030A-3AE1-45A2-A330-402DB1595AEB}"/>
  </w:font>
  <w:font w:name="Helvetica">
    <w:altName w:val="Arial"/>
    <w:panose1 w:val="020B0604020202020204"/>
    <w:charset w:val="00"/>
    <w:family w:val="swiss"/>
    <w:pitch w:val="default"/>
    <w:sig w:usb0="00000000" w:usb1="00000000" w:usb2="00000000" w:usb3="00000000" w:csb0="00000001" w:csb1="00000000"/>
    <w:embedRegular r:id="rId5" w:fontKey="{DB0E245C-B988-43ED-A301-439B8956D142}"/>
  </w:font>
  <w:font w:name="方正小标宋简体">
    <w:panose1 w:val="03000509000000000000"/>
    <w:charset w:val="86"/>
    <w:family w:val="script"/>
    <w:pitch w:val="default"/>
    <w:sig w:usb0="00000001" w:usb1="080E0000" w:usb2="00000000" w:usb3="00000000" w:csb0="00040000" w:csb1="00000000"/>
    <w:embedRegular r:id="rId6" w:fontKey="{D272888E-BA34-4B67-8E2E-20D6CC00AB8C}"/>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8A6DC">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6350" b="11430"/>
              <wp:wrapNone/>
              <wp:docPr id="4"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EE09606">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BY8vxSVgIAAJ0EAAAOAAAAZHJzL2Uyb0RvYy54bWytVMFuEzEQ&#10;vSPxD5bvdJOQlhJ1U4VWQUgVrVQQZ8frzVryeoztZLd8APwBJy7c+a5+B8/epC2FQw/k4Mx4xm9m&#10;3szsyWnfGrZVPmiyJR8fjDhTVlKl7brkHz8sXxxzFqKwlTBkVclvVOCn8+fPTjo3UxNqyFTKM4DY&#10;MOtcyZsY3awogmxUK8IBOWVhrMm3IkL166LyogN6a4rJaHRUdOQr50mqEHB7Phj5DtE/BZDqWkt1&#10;TnLTKhsHVK+MiCgpNNoFPs/Z1rWS8bKug4rMlByVxnwiCORVOov5iZitvXCNlrsUxFNSeFRTK7RF&#10;0DuocxEF23j9F1SrpadAdTyQ1BZDIZkRVDEePeLmuhFO5VpAdXB3pIf/Byvfb68801XJp5xZ0aLh&#10;t9+/3f74dfvzKxsnejoXZvC6dvCL/RvqMTT7+4DLVHVf+zb9ox4GO8i9uSNX9ZFJXE6OXh5ODmGS&#10;sE2OR0evMvvF/WvnQ3yrqGVJKLlH8zKnYnsRIjKB694lBQtkdLXUxmTFr1dnxrOtQKOX+ZeSxJM/&#10;3IxlXcmRySgjW0rvBz9jE47KM7OLl0ofSkxS7Ff9jo8VVTegw9MwT8HJpUbOFyLEK+ExQCgTKxYv&#10;cdSGEJJ2EmcN+S//uk/+6CusnHUYyJKHzxvhFWfmnUXHX4+nU8DGrEwPX02g+IeW1UOL3bRnBCrG&#10;WGYns5j8o9mLtaf2EzZxkaLCJKxE7JLHvXgWhzXBJku1WGQnzKwT8cJeO5mgE2GWFptItc4NSjQN&#10;3ID6pGBqcxN2G5bW4qGeve6/Kv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uGSmdQAAAAJAQAA&#10;DwAAAAAAAAABACAAAAAiAAAAZHJzL2Rvd25yZXYueG1sUEsBAhQAFAAAAAgAh07iQFjy/FJWAgAA&#10;nQQAAA4AAAAAAAAAAQAgAAAAIwEAAGRycy9lMm9Eb2MueG1sUEsFBgAAAAAGAAYAWQEAAOsFAAAA&#10;AA==&#10;">
              <v:fill on="t" focussize="0,0"/>
              <v:stroke on="f" weight="0.5pt"/>
              <v:imagedata o:title=""/>
              <o:lock v:ext="edit" aspectratio="f"/>
              <v:textbox>
                <w:txbxContent>
                  <w:p w14:paraId="1EE09606">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CC4870"/>
    <w:multiLevelType w:val="singleLevel"/>
    <w:tmpl w:val="D9CC4870"/>
    <w:lvl w:ilvl="0" w:tentative="0">
      <w:start w:val="7"/>
      <w:numFmt w:val="decimal"/>
      <w:suff w:val="space"/>
      <w:lvlText w:val="%1."/>
      <w:lvlJc w:val="left"/>
    </w:lvl>
  </w:abstractNum>
  <w:abstractNum w:abstractNumId="1">
    <w:nsid w:val="F2367442"/>
    <w:multiLevelType w:val="singleLevel"/>
    <w:tmpl w:val="F2367442"/>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hyphenationZone w:val="360"/>
  <w:drawingGridHorizontalSpacing w:val="120"/>
  <w:drawingGridVerticalSpacing w:val="163"/>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zNTQzNzkzZmU2NDJkNjU5ODg1ZWQ0MTQzNWIyMDcifQ=="/>
  </w:docVars>
  <w:rsids>
    <w:rsidRoot w:val="00B7651F"/>
    <w:rsid w:val="0001013A"/>
    <w:rsid w:val="000203E0"/>
    <w:rsid w:val="000210E0"/>
    <w:rsid w:val="00033082"/>
    <w:rsid w:val="00044088"/>
    <w:rsid w:val="00053590"/>
    <w:rsid w:val="0006001D"/>
    <w:rsid w:val="00066041"/>
    <w:rsid w:val="00076794"/>
    <w:rsid w:val="0008122A"/>
    <w:rsid w:val="00087488"/>
    <w:rsid w:val="0009050A"/>
    <w:rsid w:val="00093B18"/>
    <w:rsid w:val="0009721F"/>
    <w:rsid w:val="000A4E73"/>
    <w:rsid w:val="000B1BD2"/>
    <w:rsid w:val="000B7BB8"/>
    <w:rsid w:val="000C0744"/>
    <w:rsid w:val="000C0F0D"/>
    <w:rsid w:val="000C13BC"/>
    <w:rsid w:val="000D28E5"/>
    <w:rsid w:val="000D34D7"/>
    <w:rsid w:val="00100633"/>
    <w:rsid w:val="001069CB"/>
    <w:rsid w:val="001072BC"/>
    <w:rsid w:val="00113FB5"/>
    <w:rsid w:val="00114BD6"/>
    <w:rsid w:val="001164CC"/>
    <w:rsid w:val="00130F6D"/>
    <w:rsid w:val="00133554"/>
    <w:rsid w:val="00144082"/>
    <w:rsid w:val="001450C9"/>
    <w:rsid w:val="0016381F"/>
    <w:rsid w:val="00163A48"/>
    <w:rsid w:val="0016438B"/>
    <w:rsid w:val="00164E36"/>
    <w:rsid w:val="001678A2"/>
    <w:rsid w:val="001800D7"/>
    <w:rsid w:val="00182910"/>
    <w:rsid w:val="00183AA1"/>
    <w:rsid w:val="0018767C"/>
    <w:rsid w:val="001A0475"/>
    <w:rsid w:val="001A135C"/>
    <w:rsid w:val="001B0D49"/>
    <w:rsid w:val="001B546F"/>
    <w:rsid w:val="001C16FC"/>
    <w:rsid w:val="001C2E3E"/>
    <w:rsid w:val="001C388D"/>
    <w:rsid w:val="001E0494"/>
    <w:rsid w:val="001E1D2D"/>
    <w:rsid w:val="001E2A27"/>
    <w:rsid w:val="001E5A17"/>
    <w:rsid w:val="001F284E"/>
    <w:rsid w:val="001F332E"/>
    <w:rsid w:val="00217861"/>
    <w:rsid w:val="002204E4"/>
    <w:rsid w:val="002211BF"/>
    <w:rsid w:val="0022142B"/>
    <w:rsid w:val="00233F15"/>
    <w:rsid w:val="00233F6E"/>
    <w:rsid w:val="002420F1"/>
    <w:rsid w:val="00253AC8"/>
    <w:rsid w:val="00256B39"/>
    <w:rsid w:val="0026033C"/>
    <w:rsid w:val="0027339A"/>
    <w:rsid w:val="00274E82"/>
    <w:rsid w:val="002757AB"/>
    <w:rsid w:val="0027777C"/>
    <w:rsid w:val="00277FE7"/>
    <w:rsid w:val="002877FA"/>
    <w:rsid w:val="00290962"/>
    <w:rsid w:val="00290D66"/>
    <w:rsid w:val="0029110B"/>
    <w:rsid w:val="002A4649"/>
    <w:rsid w:val="002A7227"/>
    <w:rsid w:val="002B0773"/>
    <w:rsid w:val="002B0C48"/>
    <w:rsid w:val="002B13CA"/>
    <w:rsid w:val="002B2B67"/>
    <w:rsid w:val="002B3650"/>
    <w:rsid w:val="002B7322"/>
    <w:rsid w:val="002C58B6"/>
    <w:rsid w:val="002D0E86"/>
    <w:rsid w:val="002D7C47"/>
    <w:rsid w:val="002D7FA4"/>
    <w:rsid w:val="002E33CE"/>
    <w:rsid w:val="002E3721"/>
    <w:rsid w:val="002E4B0A"/>
    <w:rsid w:val="002E6F95"/>
    <w:rsid w:val="002E764D"/>
    <w:rsid w:val="002F3157"/>
    <w:rsid w:val="002F6BD5"/>
    <w:rsid w:val="00305F23"/>
    <w:rsid w:val="00313BBA"/>
    <w:rsid w:val="00317E29"/>
    <w:rsid w:val="00321515"/>
    <w:rsid w:val="003237A5"/>
    <w:rsid w:val="0032602E"/>
    <w:rsid w:val="00327B8C"/>
    <w:rsid w:val="00331638"/>
    <w:rsid w:val="003344A7"/>
    <w:rsid w:val="00334623"/>
    <w:rsid w:val="00336121"/>
    <w:rsid w:val="003367AE"/>
    <w:rsid w:val="00340439"/>
    <w:rsid w:val="00344EF2"/>
    <w:rsid w:val="00347EB8"/>
    <w:rsid w:val="00347F80"/>
    <w:rsid w:val="00353F74"/>
    <w:rsid w:val="003557DE"/>
    <w:rsid w:val="00356647"/>
    <w:rsid w:val="00361BEB"/>
    <w:rsid w:val="003639E3"/>
    <w:rsid w:val="00364618"/>
    <w:rsid w:val="00370184"/>
    <w:rsid w:val="00373C8A"/>
    <w:rsid w:val="00377C10"/>
    <w:rsid w:val="00384A1F"/>
    <w:rsid w:val="00384D60"/>
    <w:rsid w:val="00385D41"/>
    <w:rsid w:val="003861BA"/>
    <w:rsid w:val="003A1680"/>
    <w:rsid w:val="003A373C"/>
    <w:rsid w:val="003A447E"/>
    <w:rsid w:val="003A5874"/>
    <w:rsid w:val="003B1258"/>
    <w:rsid w:val="003B4A81"/>
    <w:rsid w:val="003B66D0"/>
    <w:rsid w:val="003C1F8D"/>
    <w:rsid w:val="003C61A5"/>
    <w:rsid w:val="003C6FA2"/>
    <w:rsid w:val="003D1968"/>
    <w:rsid w:val="003D4994"/>
    <w:rsid w:val="003E10A5"/>
    <w:rsid w:val="003E59F1"/>
    <w:rsid w:val="003E7D72"/>
    <w:rsid w:val="003F2E66"/>
    <w:rsid w:val="003F3923"/>
    <w:rsid w:val="003F43F6"/>
    <w:rsid w:val="004019DB"/>
    <w:rsid w:val="00402B67"/>
    <w:rsid w:val="00403C91"/>
    <w:rsid w:val="0040433E"/>
    <w:rsid w:val="00404974"/>
    <w:rsid w:val="0040726A"/>
    <w:rsid w:val="004100B0"/>
    <w:rsid w:val="0041267F"/>
    <w:rsid w:val="00424BA5"/>
    <w:rsid w:val="00425431"/>
    <w:rsid w:val="0042732A"/>
    <w:rsid w:val="00431829"/>
    <w:rsid w:val="00437B60"/>
    <w:rsid w:val="004405E6"/>
    <w:rsid w:val="00441913"/>
    <w:rsid w:val="00443C84"/>
    <w:rsid w:val="00443C89"/>
    <w:rsid w:val="004540AA"/>
    <w:rsid w:val="00456BD8"/>
    <w:rsid w:val="00456DC8"/>
    <w:rsid w:val="0046549D"/>
    <w:rsid w:val="004663F1"/>
    <w:rsid w:val="00471668"/>
    <w:rsid w:val="004732E7"/>
    <w:rsid w:val="00481F98"/>
    <w:rsid w:val="004852BF"/>
    <w:rsid w:val="00487A46"/>
    <w:rsid w:val="00493504"/>
    <w:rsid w:val="00494579"/>
    <w:rsid w:val="00497334"/>
    <w:rsid w:val="004A4645"/>
    <w:rsid w:val="004A6F3A"/>
    <w:rsid w:val="004B408D"/>
    <w:rsid w:val="004B6F68"/>
    <w:rsid w:val="004B73F7"/>
    <w:rsid w:val="004C2DE0"/>
    <w:rsid w:val="004D4FB3"/>
    <w:rsid w:val="004D75A6"/>
    <w:rsid w:val="004E1EAD"/>
    <w:rsid w:val="004E3456"/>
    <w:rsid w:val="004F3DF0"/>
    <w:rsid w:val="005074E1"/>
    <w:rsid w:val="005126F1"/>
    <w:rsid w:val="00513F2F"/>
    <w:rsid w:val="00514043"/>
    <w:rsid w:val="0051612A"/>
    <w:rsid w:val="00517176"/>
    <w:rsid w:val="0052192E"/>
    <w:rsid w:val="00524300"/>
    <w:rsid w:val="00541F72"/>
    <w:rsid w:val="00542388"/>
    <w:rsid w:val="00544523"/>
    <w:rsid w:val="00545BB5"/>
    <w:rsid w:val="005467DC"/>
    <w:rsid w:val="00546A82"/>
    <w:rsid w:val="00547C51"/>
    <w:rsid w:val="00551335"/>
    <w:rsid w:val="005519BB"/>
    <w:rsid w:val="005523FD"/>
    <w:rsid w:val="00553D03"/>
    <w:rsid w:val="00555BA0"/>
    <w:rsid w:val="00556E41"/>
    <w:rsid w:val="0057496F"/>
    <w:rsid w:val="00575C5D"/>
    <w:rsid w:val="005770A6"/>
    <w:rsid w:val="0058348D"/>
    <w:rsid w:val="0059045B"/>
    <w:rsid w:val="00592622"/>
    <w:rsid w:val="005952FE"/>
    <w:rsid w:val="00597EC2"/>
    <w:rsid w:val="005A13AB"/>
    <w:rsid w:val="005B1150"/>
    <w:rsid w:val="005B12AC"/>
    <w:rsid w:val="005B1FFC"/>
    <w:rsid w:val="005B2B6D"/>
    <w:rsid w:val="005B4B4E"/>
    <w:rsid w:val="005C3A76"/>
    <w:rsid w:val="005D5B6F"/>
    <w:rsid w:val="005E38A5"/>
    <w:rsid w:val="005F5185"/>
    <w:rsid w:val="00607F95"/>
    <w:rsid w:val="0062115C"/>
    <w:rsid w:val="0062265B"/>
    <w:rsid w:val="00624B5C"/>
    <w:rsid w:val="00624FE1"/>
    <w:rsid w:val="0062577D"/>
    <w:rsid w:val="0063249D"/>
    <w:rsid w:val="006331EE"/>
    <w:rsid w:val="00634464"/>
    <w:rsid w:val="006355E6"/>
    <w:rsid w:val="00635796"/>
    <w:rsid w:val="00637E00"/>
    <w:rsid w:val="0064038A"/>
    <w:rsid w:val="0065167D"/>
    <w:rsid w:val="00652D13"/>
    <w:rsid w:val="0066595A"/>
    <w:rsid w:val="00666206"/>
    <w:rsid w:val="0066676A"/>
    <w:rsid w:val="00670523"/>
    <w:rsid w:val="00670B19"/>
    <w:rsid w:val="0067199D"/>
    <w:rsid w:val="00672788"/>
    <w:rsid w:val="00673789"/>
    <w:rsid w:val="00674A25"/>
    <w:rsid w:val="00676183"/>
    <w:rsid w:val="00680DA3"/>
    <w:rsid w:val="0068377F"/>
    <w:rsid w:val="00691B24"/>
    <w:rsid w:val="00693F1A"/>
    <w:rsid w:val="00695B93"/>
    <w:rsid w:val="00697C16"/>
    <w:rsid w:val="006A13C7"/>
    <w:rsid w:val="006A5A89"/>
    <w:rsid w:val="006A79FB"/>
    <w:rsid w:val="006B3BB9"/>
    <w:rsid w:val="006B48AC"/>
    <w:rsid w:val="006B5977"/>
    <w:rsid w:val="006C1D59"/>
    <w:rsid w:val="006D1B59"/>
    <w:rsid w:val="006D2F9C"/>
    <w:rsid w:val="006D4351"/>
    <w:rsid w:val="006D5424"/>
    <w:rsid w:val="006E5CA9"/>
    <w:rsid w:val="006E5E98"/>
    <w:rsid w:val="006E7A37"/>
    <w:rsid w:val="006F3151"/>
    <w:rsid w:val="006F67C9"/>
    <w:rsid w:val="007011CA"/>
    <w:rsid w:val="007056DE"/>
    <w:rsid w:val="00706121"/>
    <w:rsid w:val="00710B6B"/>
    <w:rsid w:val="00712A2C"/>
    <w:rsid w:val="00712E84"/>
    <w:rsid w:val="00714914"/>
    <w:rsid w:val="007208D6"/>
    <w:rsid w:val="007226AF"/>
    <w:rsid w:val="00726786"/>
    <w:rsid w:val="00732152"/>
    <w:rsid w:val="00735A4E"/>
    <w:rsid w:val="007428DF"/>
    <w:rsid w:val="00742BD1"/>
    <w:rsid w:val="00742E7A"/>
    <w:rsid w:val="0074424F"/>
    <w:rsid w:val="007569A9"/>
    <w:rsid w:val="00764FD9"/>
    <w:rsid w:val="007740B2"/>
    <w:rsid w:val="00774C1F"/>
    <w:rsid w:val="0078194F"/>
    <w:rsid w:val="00791975"/>
    <w:rsid w:val="007934A4"/>
    <w:rsid w:val="007A0AC9"/>
    <w:rsid w:val="007A1B70"/>
    <w:rsid w:val="007A356D"/>
    <w:rsid w:val="007A57F6"/>
    <w:rsid w:val="007B13D7"/>
    <w:rsid w:val="007B4FFB"/>
    <w:rsid w:val="007C0BCE"/>
    <w:rsid w:val="007C1D1B"/>
    <w:rsid w:val="007C3566"/>
    <w:rsid w:val="007C794A"/>
    <w:rsid w:val="007D5326"/>
    <w:rsid w:val="007D5A33"/>
    <w:rsid w:val="007E4F3A"/>
    <w:rsid w:val="007E620F"/>
    <w:rsid w:val="007E663C"/>
    <w:rsid w:val="007E7795"/>
    <w:rsid w:val="0080066B"/>
    <w:rsid w:val="00803578"/>
    <w:rsid w:val="00810FD9"/>
    <w:rsid w:val="00814C3F"/>
    <w:rsid w:val="00815B8D"/>
    <w:rsid w:val="00815B8E"/>
    <w:rsid w:val="00816D99"/>
    <w:rsid w:val="0082324C"/>
    <w:rsid w:val="00823D71"/>
    <w:rsid w:val="008245AF"/>
    <w:rsid w:val="008256B9"/>
    <w:rsid w:val="00827FE1"/>
    <w:rsid w:val="008320E4"/>
    <w:rsid w:val="0083705D"/>
    <w:rsid w:val="0084242F"/>
    <w:rsid w:val="00845795"/>
    <w:rsid w:val="00847437"/>
    <w:rsid w:val="00852B4F"/>
    <w:rsid w:val="00867CDD"/>
    <w:rsid w:val="00882E15"/>
    <w:rsid w:val="00883C73"/>
    <w:rsid w:val="008901A2"/>
    <w:rsid w:val="00893072"/>
    <w:rsid w:val="00897B8F"/>
    <w:rsid w:val="008A08B0"/>
    <w:rsid w:val="008B0385"/>
    <w:rsid w:val="008B1082"/>
    <w:rsid w:val="008B188E"/>
    <w:rsid w:val="008B397C"/>
    <w:rsid w:val="008B47F4"/>
    <w:rsid w:val="008B6A60"/>
    <w:rsid w:val="008B7448"/>
    <w:rsid w:val="008B7E1E"/>
    <w:rsid w:val="008C2AE6"/>
    <w:rsid w:val="008C2DE8"/>
    <w:rsid w:val="008C4EA5"/>
    <w:rsid w:val="008C5113"/>
    <w:rsid w:val="008C5B8A"/>
    <w:rsid w:val="008C6645"/>
    <w:rsid w:val="008D1865"/>
    <w:rsid w:val="008D3D5F"/>
    <w:rsid w:val="008D4E81"/>
    <w:rsid w:val="008D505F"/>
    <w:rsid w:val="008E0F55"/>
    <w:rsid w:val="008E7A99"/>
    <w:rsid w:val="008F253F"/>
    <w:rsid w:val="008F7F31"/>
    <w:rsid w:val="00900019"/>
    <w:rsid w:val="00901621"/>
    <w:rsid w:val="009023B1"/>
    <w:rsid w:val="009146BB"/>
    <w:rsid w:val="009147D6"/>
    <w:rsid w:val="00914D98"/>
    <w:rsid w:val="00925F8C"/>
    <w:rsid w:val="00927324"/>
    <w:rsid w:val="00932ED7"/>
    <w:rsid w:val="00933990"/>
    <w:rsid w:val="00941B89"/>
    <w:rsid w:val="00941DEA"/>
    <w:rsid w:val="00944F1B"/>
    <w:rsid w:val="009656CC"/>
    <w:rsid w:val="00970E8C"/>
    <w:rsid w:val="00971671"/>
    <w:rsid w:val="00981A37"/>
    <w:rsid w:val="009830B2"/>
    <w:rsid w:val="0099063E"/>
    <w:rsid w:val="00992356"/>
    <w:rsid w:val="00992674"/>
    <w:rsid w:val="00994172"/>
    <w:rsid w:val="00994793"/>
    <w:rsid w:val="00996AE3"/>
    <w:rsid w:val="009A0450"/>
    <w:rsid w:val="009A1E27"/>
    <w:rsid w:val="009A307B"/>
    <w:rsid w:val="009B04E7"/>
    <w:rsid w:val="009B14E8"/>
    <w:rsid w:val="009B4D21"/>
    <w:rsid w:val="009B4D65"/>
    <w:rsid w:val="009B5A73"/>
    <w:rsid w:val="009B7E8F"/>
    <w:rsid w:val="009C54C9"/>
    <w:rsid w:val="009C589C"/>
    <w:rsid w:val="009D192B"/>
    <w:rsid w:val="009D2582"/>
    <w:rsid w:val="009D33E1"/>
    <w:rsid w:val="009D3B45"/>
    <w:rsid w:val="009D7CF9"/>
    <w:rsid w:val="009E2CCC"/>
    <w:rsid w:val="009E2CDD"/>
    <w:rsid w:val="009E366E"/>
    <w:rsid w:val="009E6097"/>
    <w:rsid w:val="009E6FC4"/>
    <w:rsid w:val="009F00DC"/>
    <w:rsid w:val="009F3199"/>
    <w:rsid w:val="009F3355"/>
    <w:rsid w:val="009F3648"/>
    <w:rsid w:val="009F3B7A"/>
    <w:rsid w:val="009F54D0"/>
    <w:rsid w:val="00A04523"/>
    <w:rsid w:val="00A06E9F"/>
    <w:rsid w:val="00A16159"/>
    <w:rsid w:val="00A161E6"/>
    <w:rsid w:val="00A17885"/>
    <w:rsid w:val="00A2337D"/>
    <w:rsid w:val="00A25A31"/>
    <w:rsid w:val="00A31BBE"/>
    <w:rsid w:val="00A31D34"/>
    <w:rsid w:val="00A324D7"/>
    <w:rsid w:val="00A333EF"/>
    <w:rsid w:val="00A33F85"/>
    <w:rsid w:val="00A40645"/>
    <w:rsid w:val="00A44E7D"/>
    <w:rsid w:val="00A6016C"/>
    <w:rsid w:val="00A619BD"/>
    <w:rsid w:val="00A71698"/>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1DE3"/>
    <w:rsid w:val="00AD5B40"/>
    <w:rsid w:val="00AF289F"/>
    <w:rsid w:val="00AF30B9"/>
    <w:rsid w:val="00AF392F"/>
    <w:rsid w:val="00AF43DF"/>
    <w:rsid w:val="00AF67A4"/>
    <w:rsid w:val="00AF7510"/>
    <w:rsid w:val="00B02668"/>
    <w:rsid w:val="00B12D31"/>
    <w:rsid w:val="00B15F6E"/>
    <w:rsid w:val="00B21BEE"/>
    <w:rsid w:val="00B23284"/>
    <w:rsid w:val="00B37D43"/>
    <w:rsid w:val="00B45614"/>
    <w:rsid w:val="00B46F21"/>
    <w:rsid w:val="00B511A5"/>
    <w:rsid w:val="00B51CDE"/>
    <w:rsid w:val="00B56541"/>
    <w:rsid w:val="00B605ED"/>
    <w:rsid w:val="00B71F97"/>
    <w:rsid w:val="00B72538"/>
    <w:rsid w:val="00B736A7"/>
    <w:rsid w:val="00B73CC8"/>
    <w:rsid w:val="00B7651F"/>
    <w:rsid w:val="00B919FA"/>
    <w:rsid w:val="00B94A16"/>
    <w:rsid w:val="00BA6044"/>
    <w:rsid w:val="00BB1A93"/>
    <w:rsid w:val="00BC14BF"/>
    <w:rsid w:val="00BC2625"/>
    <w:rsid w:val="00BC3200"/>
    <w:rsid w:val="00BC338A"/>
    <w:rsid w:val="00BD7AB0"/>
    <w:rsid w:val="00BE04C4"/>
    <w:rsid w:val="00BE53E8"/>
    <w:rsid w:val="00BF3C20"/>
    <w:rsid w:val="00C011BC"/>
    <w:rsid w:val="00C03DBA"/>
    <w:rsid w:val="00C112E7"/>
    <w:rsid w:val="00C11C78"/>
    <w:rsid w:val="00C11CD4"/>
    <w:rsid w:val="00C14B1C"/>
    <w:rsid w:val="00C15061"/>
    <w:rsid w:val="00C15BD4"/>
    <w:rsid w:val="00C1713D"/>
    <w:rsid w:val="00C20D9D"/>
    <w:rsid w:val="00C2134F"/>
    <w:rsid w:val="00C23570"/>
    <w:rsid w:val="00C24718"/>
    <w:rsid w:val="00C2675D"/>
    <w:rsid w:val="00C30AEE"/>
    <w:rsid w:val="00C33362"/>
    <w:rsid w:val="00C353AE"/>
    <w:rsid w:val="00C35628"/>
    <w:rsid w:val="00C4194E"/>
    <w:rsid w:val="00C516B1"/>
    <w:rsid w:val="00C5350C"/>
    <w:rsid w:val="00C56E09"/>
    <w:rsid w:val="00C61B1B"/>
    <w:rsid w:val="00C66AB7"/>
    <w:rsid w:val="00C673D1"/>
    <w:rsid w:val="00C746CB"/>
    <w:rsid w:val="00C77BBF"/>
    <w:rsid w:val="00C77D64"/>
    <w:rsid w:val="00C81564"/>
    <w:rsid w:val="00C82D17"/>
    <w:rsid w:val="00C9080C"/>
    <w:rsid w:val="00C94429"/>
    <w:rsid w:val="00CA18FD"/>
    <w:rsid w:val="00CA27E5"/>
    <w:rsid w:val="00CA4897"/>
    <w:rsid w:val="00CA6928"/>
    <w:rsid w:val="00CB3176"/>
    <w:rsid w:val="00CB3D3F"/>
    <w:rsid w:val="00CB5850"/>
    <w:rsid w:val="00CB5A1A"/>
    <w:rsid w:val="00CC59E6"/>
    <w:rsid w:val="00CD5BDD"/>
    <w:rsid w:val="00CF096B"/>
    <w:rsid w:val="00CF10F7"/>
    <w:rsid w:val="00CF5EE3"/>
    <w:rsid w:val="00CF691F"/>
    <w:rsid w:val="00D00D99"/>
    <w:rsid w:val="00D013A4"/>
    <w:rsid w:val="00D026DC"/>
    <w:rsid w:val="00D15595"/>
    <w:rsid w:val="00D325BD"/>
    <w:rsid w:val="00D343A8"/>
    <w:rsid w:val="00D37832"/>
    <w:rsid w:val="00D44860"/>
    <w:rsid w:val="00D47689"/>
    <w:rsid w:val="00D50C42"/>
    <w:rsid w:val="00D57CF5"/>
    <w:rsid w:val="00D612BC"/>
    <w:rsid w:val="00D62F98"/>
    <w:rsid w:val="00D66FD6"/>
    <w:rsid w:val="00D8285B"/>
    <w:rsid w:val="00D862EB"/>
    <w:rsid w:val="00D86619"/>
    <w:rsid w:val="00D93E7C"/>
    <w:rsid w:val="00DA4C8D"/>
    <w:rsid w:val="00DB2BE6"/>
    <w:rsid w:val="00DB76B3"/>
    <w:rsid w:val="00DD1052"/>
    <w:rsid w:val="00DD3C7B"/>
    <w:rsid w:val="00DD7052"/>
    <w:rsid w:val="00DE2B21"/>
    <w:rsid w:val="00DE48DE"/>
    <w:rsid w:val="00DF25F2"/>
    <w:rsid w:val="00DF4166"/>
    <w:rsid w:val="00E000F4"/>
    <w:rsid w:val="00E01231"/>
    <w:rsid w:val="00E04279"/>
    <w:rsid w:val="00E059D2"/>
    <w:rsid w:val="00E11393"/>
    <w:rsid w:val="00E125D9"/>
    <w:rsid w:val="00E16D30"/>
    <w:rsid w:val="00E26EE2"/>
    <w:rsid w:val="00E31E69"/>
    <w:rsid w:val="00E33169"/>
    <w:rsid w:val="00E34A7B"/>
    <w:rsid w:val="00E40973"/>
    <w:rsid w:val="00E519F7"/>
    <w:rsid w:val="00E535F3"/>
    <w:rsid w:val="00E545FF"/>
    <w:rsid w:val="00E6080E"/>
    <w:rsid w:val="00E6132A"/>
    <w:rsid w:val="00E64168"/>
    <w:rsid w:val="00E655B3"/>
    <w:rsid w:val="00E7081D"/>
    <w:rsid w:val="00E70904"/>
    <w:rsid w:val="00E71319"/>
    <w:rsid w:val="00E72FDA"/>
    <w:rsid w:val="00E75171"/>
    <w:rsid w:val="00E804B0"/>
    <w:rsid w:val="00E86772"/>
    <w:rsid w:val="00E90B8B"/>
    <w:rsid w:val="00E93ADD"/>
    <w:rsid w:val="00E952D8"/>
    <w:rsid w:val="00EA4298"/>
    <w:rsid w:val="00EA66AE"/>
    <w:rsid w:val="00EB00E4"/>
    <w:rsid w:val="00EB28DA"/>
    <w:rsid w:val="00EB3812"/>
    <w:rsid w:val="00EB44EB"/>
    <w:rsid w:val="00EB66B8"/>
    <w:rsid w:val="00EB791E"/>
    <w:rsid w:val="00EC70A9"/>
    <w:rsid w:val="00ED1364"/>
    <w:rsid w:val="00ED4C3A"/>
    <w:rsid w:val="00EE1C85"/>
    <w:rsid w:val="00EF21D9"/>
    <w:rsid w:val="00EF2A94"/>
    <w:rsid w:val="00EF32FB"/>
    <w:rsid w:val="00EF44B1"/>
    <w:rsid w:val="00EF4865"/>
    <w:rsid w:val="00EF5954"/>
    <w:rsid w:val="00F014EE"/>
    <w:rsid w:val="00F100D2"/>
    <w:rsid w:val="00F12942"/>
    <w:rsid w:val="00F13C41"/>
    <w:rsid w:val="00F14886"/>
    <w:rsid w:val="00F16421"/>
    <w:rsid w:val="00F201EE"/>
    <w:rsid w:val="00F32718"/>
    <w:rsid w:val="00F35AA0"/>
    <w:rsid w:val="00F42DAC"/>
    <w:rsid w:val="00F43C49"/>
    <w:rsid w:val="00F45C12"/>
    <w:rsid w:val="00F544A2"/>
    <w:rsid w:val="00F668B3"/>
    <w:rsid w:val="00F66C89"/>
    <w:rsid w:val="00F73D03"/>
    <w:rsid w:val="00F76CB9"/>
    <w:rsid w:val="00F77A73"/>
    <w:rsid w:val="00F80E46"/>
    <w:rsid w:val="00F81C8D"/>
    <w:rsid w:val="00F93F3A"/>
    <w:rsid w:val="00F96236"/>
    <w:rsid w:val="00FA10CE"/>
    <w:rsid w:val="00FA222F"/>
    <w:rsid w:val="00FA2891"/>
    <w:rsid w:val="00FB14FE"/>
    <w:rsid w:val="00FB693D"/>
    <w:rsid w:val="00FB7768"/>
    <w:rsid w:val="00FC7489"/>
    <w:rsid w:val="00FD1BA8"/>
    <w:rsid w:val="00FD218F"/>
    <w:rsid w:val="00FD5663"/>
    <w:rsid w:val="00FD56C6"/>
    <w:rsid w:val="00FE3221"/>
    <w:rsid w:val="00FE48EA"/>
    <w:rsid w:val="00FE571F"/>
    <w:rsid w:val="00FF47F6"/>
    <w:rsid w:val="016E63C2"/>
    <w:rsid w:val="024B0C39"/>
    <w:rsid w:val="033755DF"/>
    <w:rsid w:val="035D6DC5"/>
    <w:rsid w:val="05B9052D"/>
    <w:rsid w:val="0A8128A6"/>
    <w:rsid w:val="0B0C510D"/>
    <w:rsid w:val="0BF32A1B"/>
    <w:rsid w:val="0C4B49F5"/>
    <w:rsid w:val="0C5D60B6"/>
    <w:rsid w:val="0F8F35E7"/>
    <w:rsid w:val="10BD2C22"/>
    <w:rsid w:val="15932B49"/>
    <w:rsid w:val="1BBA678A"/>
    <w:rsid w:val="1CDC2C56"/>
    <w:rsid w:val="201605FE"/>
    <w:rsid w:val="22987C80"/>
    <w:rsid w:val="24192CCC"/>
    <w:rsid w:val="242006EB"/>
    <w:rsid w:val="274F2647"/>
    <w:rsid w:val="2DAC25A2"/>
    <w:rsid w:val="2F5702EB"/>
    <w:rsid w:val="300250A2"/>
    <w:rsid w:val="32A63A63"/>
    <w:rsid w:val="36714388"/>
    <w:rsid w:val="39A66CD4"/>
    <w:rsid w:val="39CD64AB"/>
    <w:rsid w:val="3A6F6E31"/>
    <w:rsid w:val="3A7A0766"/>
    <w:rsid w:val="3A7C5471"/>
    <w:rsid w:val="3CD52CE1"/>
    <w:rsid w:val="3E2B12C1"/>
    <w:rsid w:val="3EF45B57"/>
    <w:rsid w:val="410F2E6A"/>
    <w:rsid w:val="41D1217F"/>
    <w:rsid w:val="4430136C"/>
    <w:rsid w:val="44AA23B5"/>
    <w:rsid w:val="46B502C1"/>
    <w:rsid w:val="48BC412E"/>
    <w:rsid w:val="4AB0382B"/>
    <w:rsid w:val="4B8464B4"/>
    <w:rsid w:val="4DB467AD"/>
    <w:rsid w:val="4DD6231B"/>
    <w:rsid w:val="4FB70CC6"/>
    <w:rsid w:val="4FF43C08"/>
    <w:rsid w:val="534E7AD3"/>
    <w:rsid w:val="55AE2AAB"/>
    <w:rsid w:val="56725887"/>
    <w:rsid w:val="569868B5"/>
    <w:rsid w:val="56C504B5"/>
    <w:rsid w:val="56EF512A"/>
    <w:rsid w:val="571B7CCD"/>
    <w:rsid w:val="5C2515ED"/>
    <w:rsid w:val="60746221"/>
    <w:rsid w:val="611F6817"/>
    <w:rsid w:val="612C0D28"/>
    <w:rsid w:val="63097573"/>
    <w:rsid w:val="634070DF"/>
    <w:rsid w:val="66CA1754"/>
    <w:rsid w:val="6B00125C"/>
    <w:rsid w:val="6F1E65D4"/>
    <w:rsid w:val="6F266C86"/>
    <w:rsid w:val="6F5042C2"/>
    <w:rsid w:val="72534367"/>
    <w:rsid w:val="740735EA"/>
    <w:rsid w:val="74316312"/>
    <w:rsid w:val="750B0F29"/>
    <w:rsid w:val="76830F93"/>
    <w:rsid w:val="769C5855"/>
    <w:rsid w:val="77BC29AE"/>
    <w:rsid w:val="77CD6969"/>
    <w:rsid w:val="780F13C8"/>
    <w:rsid w:val="7C385448"/>
    <w:rsid w:val="7CB3663D"/>
    <w:rsid w:val="7D3905FD"/>
    <w:rsid w:val="7F6F65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widowControl w:val="0"/>
      <w:snapToGrid w:val="0"/>
      <w:spacing w:before="260" w:after="260" w:line="413" w:lineRule="auto"/>
      <w:ind w:firstLine="560" w:firstLineChars="200"/>
      <w:jc w:val="both"/>
      <w:outlineLvl w:val="1"/>
    </w:pPr>
    <w:rPr>
      <w:rFonts w:ascii="Arial" w:hAnsi="Arial" w:eastAsia="黑体" w:cs="微软雅黑"/>
      <w:b/>
      <w:sz w:val="32"/>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annotation text"/>
    <w:basedOn w:val="1"/>
    <w:link w:val="15"/>
    <w:qFormat/>
    <w:uiPriority w:val="99"/>
    <w:pPr>
      <w:widowControl w:val="0"/>
    </w:pPr>
    <w:rPr>
      <w:rFonts w:ascii="Times New Roman" w:hAnsi="Times New Roman" w:cs="Times New Roman"/>
      <w:kern w:val="2"/>
      <w:sz w:val="21"/>
    </w:rPr>
  </w:style>
  <w:style w:type="paragraph" w:styleId="5">
    <w:name w:val="Balloon Text"/>
    <w:basedOn w:val="1"/>
    <w:link w:val="16"/>
    <w:unhideWhenUsed/>
    <w:uiPriority w:val="99"/>
    <w:rPr>
      <w:sz w:val="18"/>
      <w:szCs w:val="18"/>
    </w:rPr>
  </w:style>
  <w:style w:type="paragraph" w:styleId="6">
    <w:name w:val="footer"/>
    <w:basedOn w:val="1"/>
    <w:link w:val="17"/>
    <w:unhideWhenUsed/>
    <w:qFormat/>
    <w:uiPriority w:val="99"/>
    <w:pPr>
      <w:tabs>
        <w:tab w:val="center" w:pos="4153"/>
        <w:tab w:val="right" w:pos="8306"/>
      </w:tabs>
      <w:snapToGrid w:val="0"/>
    </w:pPr>
    <w:rPr>
      <w:rFonts w:ascii="Calibri" w:hAnsi="Calibri" w:eastAsia="宋体" w:cs="Times New Roman"/>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8">
    <w:name w:val="Normal (Web)"/>
    <w:basedOn w:val="1"/>
    <w:unhideWhenUsed/>
    <w:qFormat/>
    <w:uiPriority w:val="99"/>
    <w:pPr>
      <w:spacing w:before="100" w:beforeAutospacing="1" w:after="100" w:afterAutospacing="1"/>
    </w:p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customStyle="1" w:styleId="13">
    <w:name w:val="标题 1 Char"/>
    <w:basedOn w:val="11"/>
    <w:link w:val="2"/>
    <w:qFormat/>
    <w:uiPriority w:val="9"/>
    <w:rPr>
      <w:rFonts w:ascii="Calibri" w:hAnsi="Calibri" w:eastAsia="宋体" w:cs="Times New Roman"/>
      <w:b/>
      <w:bCs/>
      <w:kern w:val="44"/>
      <w:sz w:val="44"/>
      <w:szCs w:val="44"/>
    </w:rPr>
  </w:style>
  <w:style w:type="character" w:customStyle="1" w:styleId="14">
    <w:name w:val="标题 2 Char"/>
    <w:basedOn w:val="11"/>
    <w:link w:val="3"/>
    <w:uiPriority w:val="0"/>
    <w:rPr>
      <w:rFonts w:ascii="Arial" w:hAnsi="Arial" w:eastAsia="黑体" w:cs="微软雅黑"/>
      <w:b/>
      <w:sz w:val="32"/>
      <w:szCs w:val="24"/>
    </w:rPr>
  </w:style>
  <w:style w:type="character" w:customStyle="1" w:styleId="15">
    <w:name w:val="批注文字 Char"/>
    <w:basedOn w:val="11"/>
    <w:link w:val="4"/>
    <w:qFormat/>
    <w:uiPriority w:val="99"/>
    <w:rPr>
      <w:rFonts w:ascii="Times New Roman" w:hAnsi="Times New Roman" w:eastAsia="宋体" w:cs="Times New Roman"/>
      <w:kern w:val="2"/>
      <w:sz w:val="21"/>
      <w:szCs w:val="24"/>
    </w:rPr>
  </w:style>
  <w:style w:type="character" w:customStyle="1" w:styleId="16">
    <w:name w:val="批注框文本 Char"/>
    <w:basedOn w:val="11"/>
    <w:link w:val="5"/>
    <w:semiHidden/>
    <w:qFormat/>
    <w:uiPriority w:val="99"/>
    <w:rPr>
      <w:rFonts w:ascii="宋体" w:hAnsi="宋体" w:eastAsia="宋体" w:cs="宋体"/>
      <w:sz w:val="18"/>
      <w:szCs w:val="18"/>
    </w:rPr>
  </w:style>
  <w:style w:type="character" w:customStyle="1" w:styleId="17">
    <w:name w:val="页脚 Char"/>
    <w:basedOn w:val="11"/>
    <w:link w:val="6"/>
    <w:semiHidden/>
    <w:qFormat/>
    <w:uiPriority w:val="99"/>
    <w:rPr>
      <w:sz w:val="18"/>
      <w:szCs w:val="18"/>
    </w:rPr>
  </w:style>
  <w:style w:type="character" w:customStyle="1" w:styleId="18">
    <w:name w:val="页眉 Char"/>
    <w:basedOn w:val="11"/>
    <w:link w:val="7"/>
    <w:semiHidden/>
    <w:qFormat/>
    <w:uiPriority w:val="99"/>
    <w:rPr>
      <w:sz w:val="18"/>
      <w:szCs w:val="18"/>
    </w:rPr>
  </w:style>
  <w:style w:type="paragraph" w:customStyle="1" w:styleId="19">
    <w:name w:val="表格标题DG"/>
    <w:basedOn w:val="1"/>
    <w:qFormat/>
    <w:uiPriority w:val="0"/>
    <w:pPr>
      <w:snapToGrid w:val="0"/>
      <w:jc w:val="center"/>
    </w:pPr>
    <w:rPr>
      <w:rFonts w:ascii="Arial" w:hAnsi="Arial" w:eastAsia="黑体"/>
      <w:bCs/>
      <w:color w:val="000000"/>
      <w:sz w:val="21"/>
      <w:szCs w:val="20"/>
    </w:rPr>
  </w:style>
  <w:style w:type="paragraph" w:customStyle="1" w:styleId="20">
    <w:name w:val="表格正文DG"/>
    <w:basedOn w:val="1"/>
    <w:qFormat/>
    <w:uiPriority w:val="0"/>
    <w:pPr>
      <w:jc w:val="center"/>
    </w:pPr>
    <w:rPr>
      <w:rFonts w:ascii="Times New Roman" w:hAnsi="Times New Roman"/>
      <w:color w:val="000000"/>
      <w:sz w:val="21"/>
      <w:szCs w:val="21"/>
    </w:rPr>
  </w:style>
  <w:style w:type="paragraph" w:styleId="21">
    <w:name w:val="List Paragraph"/>
    <w:basedOn w:val="1"/>
    <w:unhideWhenUsed/>
    <w:qFormat/>
    <w:uiPriority w:val="99"/>
    <w:pPr>
      <w:ind w:firstLine="420" w:firstLineChars="200"/>
    </w:pPr>
  </w:style>
  <w:style w:type="paragraph" w:customStyle="1" w:styleId="22">
    <w:name w:val="一级标题DG"/>
    <w:basedOn w:val="1"/>
    <w:qFormat/>
    <w:uiPriority w:val="0"/>
    <w:pPr>
      <w:spacing w:line="480" w:lineRule="auto"/>
      <w:outlineLvl w:val="0"/>
    </w:pPr>
    <w:rPr>
      <w:rFonts w:ascii="Arial" w:hAnsi="Arial" w:eastAsia="黑体"/>
      <w:sz w:val="28"/>
    </w:rPr>
  </w:style>
  <w:style w:type="paragraph" w:customStyle="1" w:styleId="23">
    <w:name w:val="二级标题DG"/>
    <w:basedOn w:val="8"/>
    <w:qFormat/>
    <w:uiPriority w:val="0"/>
    <w:pPr>
      <w:spacing w:beforeLines="25" w:beforeAutospacing="0" w:afterLines="50" w:afterAutospacing="0" w:line="440" w:lineRule="exact"/>
      <w:outlineLvl w:val="1"/>
    </w:pPr>
    <w:rPr>
      <w:rFonts w:ascii="Times New Roman" w:hAnsi="Times New Roman"/>
      <w:b/>
    </w:rPr>
  </w:style>
  <w:style w:type="paragraph" w:customStyle="1" w:styleId="24">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5">
    <w:name w:val="editor-text-node"/>
    <w:basedOn w:val="11"/>
    <w:qFormat/>
    <w:uiPriority w:val="0"/>
  </w:style>
  <w:style w:type="character" w:styleId="26">
    <w:name w:val="Placeholder Text"/>
    <w:basedOn w:val="11"/>
    <w:unhideWhenUsed/>
    <w:qFormat/>
    <w:uiPriority w:val="99"/>
    <w:rPr>
      <w:color w:val="808080"/>
    </w:rPr>
  </w:style>
  <w:style w:type="paragraph" w:customStyle="1" w:styleId="27">
    <w:name w:val="表格标题"/>
    <w:basedOn w:val="1"/>
    <w:qFormat/>
    <w:uiPriority w:val="0"/>
    <w:pPr>
      <w:snapToGrid w:val="0"/>
      <w:jc w:val="center"/>
    </w:pPr>
    <w:rPr>
      <w:rFonts w:ascii="Times New Roman" w:hAnsi="Times New Roman" w:eastAsia="黑体"/>
      <w:bCs/>
      <w:color w:val="000000"/>
      <w:sz w:val="21"/>
      <w:szCs w:val="20"/>
    </w:rPr>
  </w:style>
  <w:style w:type="paragraph" w:customStyle="1" w:styleId="28">
    <w:name w:val="一级标题"/>
    <w:basedOn w:val="1"/>
    <w:qFormat/>
    <w:uiPriority w:val="0"/>
    <w:pPr>
      <w:spacing w:before="100" w:beforeLines="100"/>
      <w:outlineLvl w:val="0"/>
    </w:pPr>
    <w:rPr>
      <w:rFonts w:ascii="Arial" w:hAnsi="Arial" w:eastAsia="黑体"/>
      <w:sz w:val="28"/>
    </w:rPr>
  </w:style>
  <w:style w:type="paragraph" w:customStyle="1" w:styleId="29">
    <w:name w:val="二级标题"/>
    <w:basedOn w:val="8"/>
    <w:qFormat/>
    <w:uiPriority w:val="0"/>
    <w:pPr>
      <w:spacing w:before="50" w:beforeLines="50" w:beforeAutospacing="0" w:after="50" w:afterLines="50" w:afterAutospacing="0"/>
      <w:outlineLvl w:val="1"/>
    </w:pPr>
    <w:rPr>
      <w:rFonts w:ascii="Times New Roman" w:hAnsi="Times New Roman"/>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825</Words>
  <Characters>884</Characters>
  <Lines>109</Lines>
  <Paragraphs>30</Paragraphs>
  <TotalTime>5</TotalTime>
  <ScaleCrop>false</ScaleCrop>
  <LinksUpToDate>false</LinksUpToDate>
  <CharactersWithSpaces>884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2024-02-23T07:19:00Z</dcterms:created>
  <dc:creator>juvg</dc:creator>
  <cp:lastModifiedBy>原味小芈</cp:lastModifiedBy>
  <cp:lastPrinted>2023-11-21T00:52:00Z</cp:lastPrinted>
  <dcterms:modified xsi:type="dcterms:W3CDTF">2026-09-15T00:50:36Z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0B30002EB8C04CBFA9FB3484BB92CECA_13</vt:lpwstr>
  </property>
  <property fmtid="{D5CDD505-2E9C-101B-9397-08002B2CF9AE}" pid="4" name="KSOTemplateDocerSaveRecord">
    <vt:lpwstr>eyJoZGlkIjoiNzJhNjUxM2Y5YjIzNWNjYTBmZjI4MzY5ZmVjMzI3ZDkiLCJ1c2VySWQiOiI0NTA4ODAxMzUifQ==</vt:lpwstr>
  </property>
</Properties>
</file>