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314F9">
      <w:pPr>
        <w:jc w:val="center"/>
        <w:rPr>
          <w:rFonts w:hint="eastAsia" w:ascii="黑体" w:hAnsi="黑体" w:eastAsia="黑体"/>
          <w:bCs/>
          <w:sz w:val="32"/>
          <w:szCs w:val="32"/>
        </w:rPr>
      </w:pPr>
      <w:r>
        <w:rPr>
          <w:rFonts w:hint="eastAsia" w:ascii="黑体" w:hAnsi="黑体" w:eastAsia="黑体"/>
          <w:bCs/>
          <w:sz w:val="32"/>
          <w:szCs w:val="32"/>
        </w:rPr>
        <w:t>《 环境卫生学</w:t>
      </w:r>
      <w:r>
        <w:rPr>
          <w:rFonts w:ascii="黑体" w:hAnsi="黑体" w:eastAsia="黑体"/>
          <w:bCs/>
          <w:sz w:val="32"/>
          <w:szCs w:val="32"/>
        </w:rPr>
        <w:t xml:space="preserve">  </w:t>
      </w:r>
      <w:r>
        <w:rPr>
          <w:rFonts w:hint="eastAsia" w:ascii="黑体" w:hAnsi="黑体" w:eastAsia="黑体"/>
          <w:bCs/>
          <w:sz w:val="32"/>
          <w:szCs w:val="32"/>
        </w:rPr>
        <w:t>》本科课程教学大纲</w:t>
      </w:r>
    </w:p>
    <w:p w14:paraId="45A88DC4">
      <w:pPr>
        <w:pStyle w:val="18"/>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8C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vAlign w:val="center"/>
          </w:tcPr>
          <w:p w14:paraId="6E53750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2BDDC7F">
            <w:pPr>
              <w:widowControl w:val="0"/>
              <w:jc w:val="left"/>
              <w:rPr>
                <w:rFonts w:hint="eastAsia"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（中文）《环境卫生学》</w:t>
            </w:r>
          </w:p>
        </w:tc>
      </w:tr>
      <w:tr w14:paraId="6D69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vAlign w:val="center"/>
          </w:tcPr>
          <w:p w14:paraId="35EA55AB">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E5513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（英文）Environmental  Hygiene</w:t>
            </w:r>
          </w:p>
        </w:tc>
      </w:tr>
      <w:tr w14:paraId="39B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0AD8D03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AB9781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sz w:val="20"/>
                <w:szCs w:val="20"/>
              </w:rPr>
              <w:t>2170018</w:t>
            </w:r>
            <w:r>
              <w:rPr>
                <w:color w:val="000000"/>
                <w:sz w:val="20"/>
                <w:szCs w:val="20"/>
              </w:rPr>
              <w:t xml:space="preserve"> </w:t>
            </w:r>
          </w:p>
        </w:tc>
        <w:tc>
          <w:tcPr>
            <w:tcW w:w="2126" w:type="dxa"/>
            <w:gridSpan w:val="2"/>
            <w:vAlign w:val="center"/>
          </w:tcPr>
          <w:p w14:paraId="78420D6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90A42C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2学分</w:t>
            </w:r>
          </w:p>
        </w:tc>
      </w:tr>
      <w:tr w14:paraId="7906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6A8074D2">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0E843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10F3095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6BA6D3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48FD385D">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568300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203D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10997E8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B970AB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1C83890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D2D2E0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w:t>
            </w:r>
          </w:p>
          <w:p w14:paraId="494CBEB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2025级</w:t>
            </w:r>
          </w:p>
        </w:tc>
      </w:tr>
      <w:tr w14:paraId="245A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7F9F45E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C48AF0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26" w:type="dxa"/>
            <w:gridSpan w:val="2"/>
            <w:vAlign w:val="center"/>
          </w:tcPr>
          <w:p w14:paraId="2B6F040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CFB00C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65F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3D228CF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18761DB">
            <w:pPr>
              <w:widowControl w:val="0"/>
              <w:jc w:val="center"/>
              <w:rPr>
                <w:rFonts w:ascii="Times New Roman" w:hAnsi="Times New Roman"/>
                <w:color w:val="000000" w:themeColor="text1"/>
                <w:sz w:val="21"/>
                <w:szCs w:val="21"/>
                <w14:textFill>
                  <w14:solidFill>
                    <w14:schemeClr w14:val="tx1"/>
                  </w14:solidFill>
                </w14:textFill>
              </w:rPr>
            </w:pPr>
            <w:r>
              <w:rPr>
                <w:rFonts w:hint="eastAsia" w:cs="仿宋"/>
                <w:sz w:val="20"/>
                <w:szCs w:val="20"/>
              </w:rPr>
              <w:t>《环境卫生学》，杨克敌，人民卫生出版社，2022年第8版</w:t>
            </w:r>
          </w:p>
        </w:tc>
        <w:tc>
          <w:tcPr>
            <w:tcW w:w="1413" w:type="dxa"/>
            <w:gridSpan w:val="2"/>
            <w:vAlign w:val="center"/>
          </w:tcPr>
          <w:p w14:paraId="71C2053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B5010F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9A692F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A6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vAlign w:val="center"/>
          </w:tcPr>
          <w:p w14:paraId="3A0E62E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4F5F29E">
            <w:pPr>
              <w:pStyle w:val="16"/>
              <w:widowControl w:val="0"/>
              <w:jc w:val="both"/>
            </w:pPr>
            <w:r>
              <w:rPr>
                <w:rFonts w:hint="eastAsia"/>
              </w:rPr>
              <w:t>高中地理、高中化学、高中生物</w:t>
            </w:r>
          </w:p>
        </w:tc>
      </w:tr>
      <w:tr w14:paraId="44F2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8" w:hRule="atLeast"/>
        </w:trPr>
        <w:tc>
          <w:tcPr>
            <w:tcW w:w="1691" w:type="dxa"/>
            <w:tcBorders>
              <w:left w:val="single" w:color="auto" w:sz="12" w:space="0"/>
            </w:tcBorders>
            <w:vAlign w:val="center"/>
          </w:tcPr>
          <w:p w14:paraId="39890A1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477039D">
            <w:pPr>
              <w:widowControl w:val="0"/>
              <w:spacing w:line="312" w:lineRule="auto"/>
              <w:ind w:firstLine="400" w:firstLineChars="200"/>
              <w:jc w:val="both"/>
              <w:rPr>
                <w:rFonts w:hint="eastAsia"/>
                <w:sz w:val="20"/>
                <w:szCs w:val="20"/>
              </w:rPr>
            </w:pPr>
            <w:r>
              <w:rPr>
                <w:rFonts w:hint="eastAsia"/>
                <w:sz w:val="20"/>
                <w:szCs w:val="20"/>
              </w:rPr>
              <w:t>《环境卫生学》课程是健康服务与管理专业的专业选修课程。通过本课程的学习，使学生具备在环境卫生以及环境相关疾病预防等相关知识，从而以高度责任感和事业心开展人群健康服务工作。</w:t>
            </w:r>
          </w:p>
          <w:p w14:paraId="7766FC87">
            <w:pPr>
              <w:widowControl w:val="0"/>
              <w:spacing w:line="312" w:lineRule="auto"/>
              <w:jc w:val="both"/>
              <w:rPr>
                <w:rFonts w:hint="eastAsia"/>
              </w:rPr>
            </w:pPr>
            <w:r>
              <w:rPr>
                <w:rFonts w:hint="eastAsia"/>
                <w:sz w:val="20"/>
                <w:szCs w:val="20"/>
              </w:rPr>
              <w:t xml:space="preserve">   《环境卫生学》是研究自然环境和生活环境与人群健康关系的科学。它既是预防医学的一个重要分支学科，又是环境科学的重要组成部分，也是健康服务与管理专业的一门专业选修课。通过本课程的学习,使学生能运用环境卫生学的有关知识，了解环境中不良因素及其对人体健康的影响规律，可以提出防治环境污染的原则和措施，为将来从事健康管理事业打下良好的基础。</w:t>
            </w:r>
            <w:r>
              <w:rPr>
                <w:rFonts w:hint="eastAsia"/>
              </w:rPr>
              <w:tab/>
            </w:r>
          </w:p>
        </w:tc>
      </w:tr>
      <w:tr w14:paraId="5CFC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9" w:hRule="atLeast"/>
        </w:trPr>
        <w:tc>
          <w:tcPr>
            <w:tcW w:w="1691" w:type="dxa"/>
            <w:tcBorders>
              <w:left w:val="single" w:color="auto" w:sz="12" w:space="0"/>
              <w:bottom w:val="double" w:color="auto" w:sz="4" w:space="0"/>
            </w:tcBorders>
            <w:vAlign w:val="center"/>
          </w:tcPr>
          <w:p w14:paraId="2D4076C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D18D6FB">
            <w:pPr>
              <w:widowControl w:val="0"/>
              <w:spacing w:line="312" w:lineRule="auto"/>
              <w:ind w:firstLine="392" w:firstLineChars="196"/>
              <w:jc w:val="both"/>
              <w:rPr>
                <w:rFonts w:hint="eastAsia"/>
              </w:rPr>
            </w:pPr>
            <w:r>
              <w:rPr>
                <w:rFonts w:hint="eastAsia" w:cs="仿宋"/>
                <w:sz w:val="20"/>
                <w:szCs w:val="20"/>
              </w:rPr>
              <w:t>学习</w:t>
            </w:r>
            <w:r>
              <w:rPr>
                <w:rFonts w:hint="eastAsia"/>
                <w:sz w:val="20"/>
                <w:szCs w:val="20"/>
              </w:rPr>
              <w:t>《环境卫生学》</w:t>
            </w:r>
            <w:r>
              <w:rPr>
                <w:rFonts w:hint="eastAsia" w:cs="仿宋"/>
                <w:sz w:val="20"/>
                <w:szCs w:val="20"/>
              </w:rPr>
              <w:t>需要具备基本的生活常识，有高中生物、地理和化学的基础，具有良好的理解和表达能力。建议在健康</w:t>
            </w:r>
            <w:r>
              <w:rPr>
                <w:rFonts w:hint="eastAsia" w:cs="仿宋"/>
                <w:sz w:val="20"/>
                <w:szCs w:val="20"/>
                <w:lang w:eastAsia="zh-Hans"/>
              </w:rPr>
              <w:t>服务</w:t>
            </w:r>
            <w:r>
              <w:rPr>
                <w:rFonts w:hint="eastAsia" w:cs="仿宋"/>
                <w:sz w:val="20"/>
                <w:szCs w:val="20"/>
              </w:rPr>
              <w:t>与</w:t>
            </w:r>
            <w:r>
              <w:rPr>
                <w:rFonts w:hint="eastAsia" w:cs="仿宋"/>
                <w:sz w:val="20"/>
                <w:szCs w:val="20"/>
                <w:lang w:eastAsia="zh-Hans"/>
              </w:rPr>
              <w:t>管理</w:t>
            </w:r>
            <w:r>
              <w:rPr>
                <w:rFonts w:hint="eastAsia" w:cs="仿宋"/>
                <w:sz w:val="20"/>
                <w:szCs w:val="20"/>
              </w:rPr>
              <w:t>专业第一学年第一学期开设。</w:t>
            </w:r>
          </w:p>
        </w:tc>
      </w:tr>
      <w:tr w14:paraId="106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4" w:hRule="atLeast"/>
        </w:trPr>
        <w:tc>
          <w:tcPr>
            <w:tcW w:w="1691" w:type="dxa"/>
            <w:tcBorders>
              <w:top w:val="double" w:color="auto" w:sz="4" w:space="0"/>
              <w:left w:val="single" w:color="auto" w:sz="12" w:space="0"/>
            </w:tcBorders>
            <w:vAlign w:val="center"/>
          </w:tcPr>
          <w:p w14:paraId="4F941AF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FDC6972">
            <w:pPr>
              <w:widowControl w:val="0"/>
              <w:jc w:val="right"/>
              <w:rPr>
                <w:rFonts w:hint="eastAsia" w:ascii="黑体" w:hAnsi="黑体" w:eastAsia="黑体"/>
                <w:color w:val="000000" w:themeColor="text1"/>
                <w:sz w:val="21"/>
                <w:szCs w:val="21"/>
                <w14:textFill>
                  <w14:solidFill>
                    <w14:schemeClr w14:val="tx1"/>
                  </w14:solidFill>
                </w14:textFill>
              </w:rPr>
            </w:pPr>
            <w:r>
              <w:rPr>
                <w:sz w:val="28"/>
                <w:szCs w:val="28"/>
              </w:rPr>
              <w:drawing>
                <wp:anchor distT="0" distB="0" distL="114300" distR="114300" simplePos="0" relativeHeight="251660288" behindDoc="0" locked="0" layoutInCell="1" allowOverlap="1">
                  <wp:simplePos x="0" y="0"/>
                  <wp:positionH relativeFrom="column">
                    <wp:posOffset>595630</wp:posOffset>
                  </wp:positionH>
                  <wp:positionV relativeFrom="paragraph">
                    <wp:posOffset>38735</wp:posOffset>
                  </wp:positionV>
                  <wp:extent cx="650240" cy="348615"/>
                  <wp:effectExtent l="0" t="0" r="10160" b="698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50240" cy="348615"/>
                          </a:xfrm>
                          <a:prstGeom prst="rect">
                            <a:avLst/>
                          </a:prstGeom>
                          <a:noFill/>
                          <a:ln>
                            <a:noFill/>
                          </a:ln>
                        </pic:spPr>
                      </pic:pic>
                    </a:graphicData>
                  </a:graphic>
                </wp:anchor>
              </w:drawing>
            </w:r>
          </w:p>
        </w:tc>
        <w:tc>
          <w:tcPr>
            <w:tcW w:w="1425" w:type="dxa"/>
            <w:gridSpan w:val="2"/>
            <w:tcBorders>
              <w:top w:val="double" w:color="auto" w:sz="4" w:space="0"/>
            </w:tcBorders>
            <w:vAlign w:val="center"/>
          </w:tcPr>
          <w:p w14:paraId="45C63F30">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172E92E">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r w14:paraId="3F05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vAlign w:val="center"/>
          </w:tcPr>
          <w:p w14:paraId="1240ED0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FD30D32">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61312" behindDoc="0" locked="0" layoutInCell="1" allowOverlap="1">
                  <wp:simplePos x="0" y="0"/>
                  <wp:positionH relativeFrom="column">
                    <wp:posOffset>666750</wp:posOffset>
                  </wp:positionH>
                  <wp:positionV relativeFrom="paragraph">
                    <wp:posOffset>-2540</wp:posOffset>
                  </wp:positionV>
                  <wp:extent cx="516890" cy="363855"/>
                  <wp:effectExtent l="0" t="0" r="0" b="0"/>
                  <wp:wrapNone/>
                  <wp:docPr id="6801167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16708"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6890" cy="36385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3EAE329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BD6EB19">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r w14:paraId="3A65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vAlign w:val="center"/>
          </w:tcPr>
          <w:p w14:paraId="623BB37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7607CD3">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1" name="图片 1"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9ed76ef2dbecfda16606be9c529c7"/>
                          <pic:cNvPicPr>
                            <a:picLocks noChangeAspect="1"/>
                          </pic:cNvPicPr>
                        </pic:nvPicPr>
                        <pic:blipFill>
                          <a:blip r:embed="rId8"/>
                          <a:stretch>
                            <a:fillRect/>
                          </a:stretch>
                        </pic:blipFill>
                        <pic:spPr>
                          <a:xfrm>
                            <a:off x="0" y="0"/>
                            <a:ext cx="523875" cy="325755"/>
                          </a:xfrm>
                          <a:prstGeom prst="rect">
                            <a:avLst/>
                          </a:prstGeom>
                        </pic:spPr>
                      </pic:pic>
                    </a:graphicData>
                  </a:graphic>
                </wp:inline>
              </w:drawing>
            </w:r>
            <w:r>
              <w:rPr>
                <w:rFonts w:hint="eastAsia"/>
                <w:sz w:val="21"/>
                <w:szCs w:val="21"/>
                <w:lang w:val="en-US" w:eastAsia="zh-CN"/>
              </w:rPr>
              <w:t xml:space="preserve">      </w:t>
            </w:r>
            <w:bookmarkStart w:id="8" w:name="_GoBack"/>
            <w:bookmarkEnd w:id="8"/>
            <w:r>
              <w:rPr>
                <w:rFonts w:hint="eastAsia"/>
                <w:sz w:val="21"/>
                <w:szCs w:val="21"/>
              </w:rPr>
              <w:t>（签名）</w:t>
            </w:r>
          </w:p>
        </w:tc>
        <w:tc>
          <w:tcPr>
            <w:tcW w:w="1425" w:type="dxa"/>
            <w:gridSpan w:val="2"/>
            <w:tcBorders>
              <w:bottom w:val="single" w:color="auto" w:sz="12" w:space="0"/>
            </w:tcBorders>
            <w:vAlign w:val="center"/>
          </w:tcPr>
          <w:p w14:paraId="3BA1850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E78C68A">
            <w:pPr>
              <w:widowControl w:val="0"/>
              <w:jc w:val="center"/>
              <w:rPr>
                <w:rFonts w:ascii="Times New Roman" w:hAnsi="Times New Roman"/>
                <w:color w:val="000000"/>
                <w:sz w:val="21"/>
                <w:szCs w:val="21"/>
              </w:rPr>
            </w:pPr>
          </w:p>
        </w:tc>
      </w:tr>
    </w:tbl>
    <w:p w14:paraId="62C7737B">
      <w:pPr>
        <w:spacing w:line="100" w:lineRule="exact"/>
        <w:rPr>
          <w:rFonts w:ascii="Arial" w:hAnsi="Arial" w:eastAsia="黑体"/>
        </w:rPr>
      </w:pPr>
      <w:r>
        <w:br w:type="page"/>
      </w:r>
    </w:p>
    <w:p w14:paraId="18A60F27">
      <w:pPr>
        <w:pStyle w:val="18"/>
        <w:spacing w:before="326" w:beforeLines="100" w:line="360" w:lineRule="auto"/>
        <w:rPr>
          <w:rFonts w:hint="eastAsia" w:ascii="黑体" w:hAnsi="宋体"/>
        </w:rPr>
      </w:pPr>
      <w:r>
        <w:rPr>
          <w:rFonts w:hint="eastAsia" w:ascii="黑体" w:hAnsi="宋体"/>
        </w:rPr>
        <w:t>二、课程目标与毕业要求</w:t>
      </w:r>
    </w:p>
    <w:p w14:paraId="359FFA00">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B936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54699A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vAlign w:val="center"/>
          </w:tcPr>
          <w:p w14:paraId="1080A83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2C1B04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42655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1DDAB8E">
            <w:pPr>
              <w:snapToGrid w:val="0"/>
              <w:jc w:val="center"/>
              <w:rPr>
                <w:rFonts w:hint="eastAsia"/>
              </w:rPr>
            </w:pPr>
            <w:r>
              <w:rPr>
                <w:rFonts w:hint="eastAsia" w:ascii="黑体" w:hAnsi="黑体" w:eastAsia="黑体"/>
                <w:bCs/>
                <w:color w:val="000000"/>
                <w:sz w:val="21"/>
                <w:szCs w:val="18"/>
              </w:rPr>
              <w:t>知识目标</w:t>
            </w:r>
          </w:p>
        </w:tc>
        <w:tc>
          <w:tcPr>
            <w:tcW w:w="782" w:type="dxa"/>
            <w:vAlign w:val="center"/>
          </w:tcPr>
          <w:p w14:paraId="600B6CC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1591AC9">
            <w:pPr>
              <w:pStyle w:val="16"/>
              <w:jc w:val="left"/>
              <w:rPr>
                <w:rFonts w:hint="eastAsia" w:ascii="宋体" w:hAnsi="宋体"/>
                <w:bCs/>
              </w:rPr>
            </w:pPr>
            <w:r>
              <w:rPr>
                <w:rFonts w:hint="eastAsia" w:ascii="宋体" w:hAnsi="宋体"/>
                <w:bCs/>
              </w:rPr>
              <w:t>理解环境的组成，及环境对人类生存与发展的重要性</w:t>
            </w:r>
          </w:p>
        </w:tc>
      </w:tr>
      <w:tr w14:paraId="6E488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55187A8">
            <w:pPr>
              <w:pStyle w:val="16"/>
              <w:rPr>
                <w:bCs/>
              </w:rPr>
            </w:pPr>
          </w:p>
        </w:tc>
        <w:tc>
          <w:tcPr>
            <w:tcW w:w="782" w:type="dxa"/>
            <w:vAlign w:val="center"/>
          </w:tcPr>
          <w:p w14:paraId="63CE1D5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54835E5">
            <w:pPr>
              <w:pStyle w:val="16"/>
              <w:jc w:val="left"/>
              <w:rPr>
                <w:rFonts w:hint="eastAsia" w:ascii="宋体" w:hAnsi="宋体"/>
                <w:bCs/>
              </w:rPr>
            </w:pPr>
            <w:r>
              <w:rPr>
                <w:rFonts w:hint="eastAsia" w:ascii="宋体" w:hAnsi="宋体"/>
                <w:bCs/>
              </w:rPr>
              <w:t>掌握环境污染对人类健康的影响以及防控措施</w:t>
            </w:r>
          </w:p>
        </w:tc>
      </w:tr>
      <w:tr w14:paraId="5A9BB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E92BC20">
            <w:pPr>
              <w:snapToGrid w:val="0"/>
              <w:jc w:val="center"/>
              <w:rPr>
                <w:rFonts w:hint="eastAsia"/>
              </w:rPr>
            </w:pPr>
            <w:r>
              <w:rPr>
                <w:rFonts w:hint="eastAsia" w:ascii="黑体" w:hAnsi="黑体" w:eastAsia="黑体"/>
                <w:bCs/>
                <w:color w:val="000000"/>
                <w:sz w:val="21"/>
                <w:szCs w:val="18"/>
              </w:rPr>
              <w:t>技能目标</w:t>
            </w:r>
          </w:p>
        </w:tc>
        <w:tc>
          <w:tcPr>
            <w:tcW w:w="782" w:type="dxa"/>
            <w:vAlign w:val="center"/>
          </w:tcPr>
          <w:p w14:paraId="0E481608">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E81F4DD">
            <w:pPr>
              <w:pStyle w:val="16"/>
              <w:jc w:val="left"/>
              <w:rPr>
                <w:rFonts w:hint="eastAsia" w:ascii="宋体" w:hAnsi="宋体"/>
                <w:bCs/>
              </w:rPr>
            </w:pPr>
            <w:r>
              <w:rPr>
                <w:rFonts w:hint="eastAsia" w:ascii="宋体" w:hAnsi="宋体"/>
                <w:bCs/>
              </w:rPr>
              <w:t>通过大气卫生、饮用水卫生、土壤卫生和生物地球化学性疾病以及各种人为环境卫生的学习，具备人群健康风险评估能力。</w:t>
            </w:r>
          </w:p>
        </w:tc>
      </w:tr>
      <w:tr w14:paraId="2215A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30E37E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383EDDD">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vAlign w:val="center"/>
          </w:tcPr>
          <w:p w14:paraId="274919A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A6A7BA1">
            <w:pPr>
              <w:snapToGrid w:val="0"/>
              <w:spacing w:line="288" w:lineRule="auto"/>
              <w:rPr>
                <w:rFonts w:hint="eastAsia"/>
                <w:bCs/>
              </w:rPr>
            </w:pPr>
            <w:r>
              <w:rPr>
                <w:rFonts w:hint="eastAsia"/>
                <w:sz w:val="20"/>
                <w:szCs w:val="20"/>
              </w:rPr>
              <w:t>培养热爱祖国大好河山，以环境保护为己任的家国情怀。</w:t>
            </w:r>
          </w:p>
        </w:tc>
      </w:tr>
    </w:tbl>
    <w:p w14:paraId="339DB23B">
      <w:pPr>
        <w:pStyle w:val="19"/>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68"/>
      </w:tblGrid>
      <w:tr w14:paraId="374736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8" w:type="dxa"/>
          </w:tcPr>
          <w:p w14:paraId="43CB6217">
            <w:pPr>
              <w:pStyle w:val="16"/>
              <w:widowControl w:val="0"/>
              <w:jc w:val="left"/>
              <w:rPr>
                <w:rFonts w:hint="eastAsia" w:ascii="宋体" w:hAnsi="宋体"/>
                <w:bCs/>
              </w:rPr>
            </w:pPr>
            <w:r>
              <w:rPr>
                <w:rFonts w:ascii="宋体" w:hAnsi="宋体"/>
                <w:b/>
              </w:rPr>
              <w:t>LO1品德修养：</w:t>
            </w:r>
            <w:r>
              <w:rPr>
                <w:rFonts w:ascii="宋体" w:hAnsi="宋体"/>
                <w:bCs/>
              </w:rPr>
              <w:t>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r>
              <w:rPr>
                <w:rFonts w:hint="eastAsia" w:ascii="宋体" w:hAnsi="宋体"/>
                <w:bCs/>
              </w:rPr>
              <w:t>“感恩、回报、爱心、责任”</w:t>
            </w:r>
            <w:r>
              <w:rPr>
                <w:rFonts w:ascii="宋体" w:hAnsi="宋体"/>
                <w:bCs/>
              </w:rPr>
              <w:t>八字校训，积极服务他人、服务社会、诚信尽责、爱岗敬业。</w:t>
            </w:r>
          </w:p>
          <w:p w14:paraId="5D2388E2">
            <w:pPr>
              <w:pStyle w:val="16"/>
              <w:widowControl w:val="0"/>
              <w:jc w:val="left"/>
              <w:rPr>
                <w:rFonts w:hint="eastAsia" w:ascii="宋体" w:hAnsi="宋体"/>
                <w:bCs/>
              </w:rPr>
            </w:pPr>
            <w:r>
              <w:rPr>
                <w:rFonts w:hint="eastAsia" w:ascii="宋体" w:hAnsi="宋体"/>
                <w:bCs/>
              </w:rPr>
              <w:t>②遵纪守法，增强法律意识，培养法律思维，自觉遵守法律法规、校纪校规。</w:t>
            </w:r>
          </w:p>
        </w:tc>
      </w:tr>
      <w:tr w14:paraId="325BBC2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8468" w:type="dxa"/>
          </w:tcPr>
          <w:p w14:paraId="41FF8B6D">
            <w:pPr>
              <w:pStyle w:val="16"/>
              <w:widowControl w:val="0"/>
              <w:jc w:val="left"/>
              <w:rPr>
                <w:bCs/>
              </w:rPr>
            </w:pPr>
            <w:r>
              <w:rPr>
                <w:rFonts w:hint="eastAsia"/>
                <w:b/>
              </w:rPr>
              <w:t>LO3表达沟通：</w:t>
            </w:r>
            <w:r>
              <w:rPr>
                <w:rFonts w:hint="eastAsia"/>
                <w:bCs/>
              </w:rPr>
              <w:t>理解他人的观点，尊重他人的价值观，能在不同场合用书面或口头形式进行有效沟通。</w:t>
            </w:r>
          </w:p>
          <w:p w14:paraId="78962022">
            <w:pPr>
              <w:pStyle w:val="16"/>
              <w:widowControl w:val="0"/>
              <w:jc w:val="left"/>
              <w:rPr>
                <w:bCs/>
              </w:rPr>
            </w:pPr>
            <w:r>
              <w:rPr>
                <w:rFonts w:hint="eastAsia"/>
                <w:bCs/>
              </w:rPr>
              <w:t>②应用书面或口头形式，阐释自己的观点，有效沟通。</w:t>
            </w:r>
          </w:p>
        </w:tc>
      </w:tr>
      <w:tr w14:paraId="4BC639F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8" w:type="dxa"/>
          </w:tcPr>
          <w:p w14:paraId="044DEB21">
            <w:pPr>
              <w:pStyle w:val="16"/>
              <w:widowControl w:val="0"/>
              <w:jc w:val="left"/>
              <w:rPr>
                <w:bCs/>
              </w:rPr>
            </w:pPr>
            <w:r>
              <w:rPr>
                <w:b/>
              </w:rPr>
              <w:t>LO5健康发展</w:t>
            </w:r>
            <w:r>
              <w:rPr>
                <w:bCs/>
              </w:rPr>
              <w:t>：懂得审美、热爱劳动、为人热忱、身心健康、耐挫折，具有可持续发展的能力。</w:t>
            </w:r>
          </w:p>
          <w:p w14:paraId="3C4204FD">
            <w:pPr>
              <w:pStyle w:val="16"/>
              <w:widowControl w:val="0"/>
              <w:jc w:val="left"/>
              <w:rPr>
                <w:bCs/>
              </w:rPr>
            </w:pPr>
            <w:r>
              <w:rPr>
                <w:rFonts w:hint="eastAsia"/>
                <w:bCs/>
              </w:rPr>
              <w:t>⑤持续发展，具有爱护环境的意识，与自然和谐相处的环保理念与行动；具备终生学习的意识和能力。</w:t>
            </w:r>
          </w:p>
        </w:tc>
      </w:tr>
    </w:tbl>
    <w:p w14:paraId="0EABCE8C">
      <w:pPr>
        <w:pStyle w:val="19"/>
        <w:spacing w:before="163" w:beforeLines="50" w:after="163"/>
      </w:pPr>
      <w:r>
        <w:rPr>
          <w:rFonts w:hint="eastAsia"/>
        </w:rPr>
        <w:t xml:space="preserve">（三）毕业要求与课程目标的关系 </w:t>
      </w:r>
    </w:p>
    <w:tbl>
      <w:tblPr>
        <w:tblStyle w:val="9"/>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02"/>
        <w:gridCol w:w="635"/>
        <w:gridCol w:w="763"/>
        <w:gridCol w:w="5005"/>
        <w:gridCol w:w="1185"/>
      </w:tblGrid>
      <w:tr w14:paraId="324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78" w:type="dxa"/>
            <w:tcBorders>
              <w:top w:val="single" w:color="auto" w:sz="12" w:space="0"/>
              <w:left w:val="single" w:color="auto" w:sz="12" w:space="0"/>
              <w:right w:val="single" w:color="auto" w:sz="4" w:space="0"/>
            </w:tcBorders>
            <w:vAlign w:val="center"/>
          </w:tcPr>
          <w:p w14:paraId="701F7B57">
            <w:pPr>
              <w:pStyle w:val="15"/>
              <w:rPr>
                <w:szCs w:val="16"/>
              </w:rPr>
            </w:pPr>
            <w:r>
              <w:rPr>
                <w:rFonts w:hint="eastAsia" w:ascii="黑体" w:hAnsi="黑体"/>
                <w:szCs w:val="18"/>
              </w:rPr>
              <w:t>毕业要求</w:t>
            </w:r>
          </w:p>
        </w:tc>
        <w:tc>
          <w:tcPr>
            <w:tcW w:w="620" w:type="dxa"/>
            <w:tcBorders>
              <w:top w:val="single" w:color="auto" w:sz="12" w:space="0"/>
              <w:left w:val="single" w:color="auto" w:sz="4" w:space="0"/>
            </w:tcBorders>
            <w:vAlign w:val="center"/>
          </w:tcPr>
          <w:p w14:paraId="02CBB870">
            <w:pPr>
              <w:pStyle w:val="15"/>
              <w:rPr>
                <w:szCs w:val="16"/>
              </w:rPr>
            </w:pPr>
            <w:r>
              <w:rPr>
                <w:rFonts w:hint="eastAsia"/>
                <w:szCs w:val="16"/>
              </w:rPr>
              <w:t>指标点</w:t>
            </w:r>
          </w:p>
        </w:tc>
        <w:tc>
          <w:tcPr>
            <w:tcW w:w="745" w:type="dxa"/>
            <w:tcBorders>
              <w:top w:val="single" w:color="auto" w:sz="12" w:space="0"/>
              <w:right w:val="double" w:color="auto" w:sz="4" w:space="0"/>
            </w:tcBorders>
            <w:vAlign w:val="center"/>
          </w:tcPr>
          <w:p w14:paraId="5C6F4FAB">
            <w:pPr>
              <w:pStyle w:val="15"/>
              <w:rPr>
                <w:szCs w:val="16"/>
              </w:rPr>
            </w:pPr>
            <w:r>
              <w:rPr>
                <w:rFonts w:hint="eastAsia"/>
                <w:szCs w:val="16"/>
              </w:rPr>
              <w:t>支撑度</w:t>
            </w:r>
          </w:p>
        </w:tc>
        <w:tc>
          <w:tcPr>
            <w:tcW w:w="4887" w:type="dxa"/>
            <w:tcBorders>
              <w:top w:val="single" w:color="auto" w:sz="12" w:space="0"/>
            </w:tcBorders>
            <w:vAlign w:val="center"/>
          </w:tcPr>
          <w:p w14:paraId="355028B1">
            <w:pPr>
              <w:pStyle w:val="15"/>
              <w:rPr>
                <w:szCs w:val="16"/>
              </w:rPr>
            </w:pPr>
            <w:r>
              <w:rPr>
                <w:rFonts w:hint="eastAsia"/>
                <w:szCs w:val="16"/>
              </w:rPr>
              <w:t>课程目标</w:t>
            </w:r>
          </w:p>
        </w:tc>
        <w:tc>
          <w:tcPr>
            <w:tcW w:w="1157" w:type="dxa"/>
            <w:tcBorders>
              <w:top w:val="single" w:color="auto" w:sz="12" w:space="0"/>
              <w:right w:val="single" w:color="auto" w:sz="12" w:space="0"/>
            </w:tcBorders>
            <w:vAlign w:val="center"/>
          </w:tcPr>
          <w:p w14:paraId="5F35E969">
            <w:pPr>
              <w:pStyle w:val="15"/>
              <w:rPr>
                <w:szCs w:val="16"/>
              </w:rPr>
            </w:pPr>
            <w:r>
              <w:rPr>
                <w:rFonts w:hint="eastAsia"/>
                <w:szCs w:val="16"/>
              </w:rPr>
              <w:t>对指标点的贡献度</w:t>
            </w:r>
          </w:p>
        </w:tc>
      </w:tr>
      <w:tr w14:paraId="67C5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3" w:hRule="atLeast"/>
          <w:jc w:val="center"/>
        </w:trPr>
        <w:tc>
          <w:tcPr>
            <w:tcW w:w="978" w:type="dxa"/>
            <w:tcBorders>
              <w:left w:val="single" w:color="auto" w:sz="12" w:space="0"/>
              <w:right w:val="single" w:color="auto" w:sz="4" w:space="0"/>
            </w:tcBorders>
            <w:vAlign w:val="center"/>
          </w:tcPr>
          <w:p w14:paraId="0D5437C1">
            <w:pPr>
              <w:pStyle w:val="16"/>
              <w:jc w:val="left"/>
            </w:pPr>
            <w:r>
              <w:rPr>
                <w:rFonts w:ascii="宋体" w:hAnsi="宋体"/>
                <w:b/>
              </w:rPr>
              <w:t>LO1品德修养</w:t>
            </w:r>
          </w:p>
        </w:tc>
        <w:tc>
          <w:tcPr>
            <w:tcW w:w="620" w:type="dxa"/>
            <w:tcBorders>
              <w:left w:val="single" w:color="auto" w:sz="4" w:space="0"/>
            </w:tcBorders>
            <w:vAlign w:val="center"/>
          </w:tcPr>
          <w:p w14:paraId="72EB9D5C">
            <w:pPr>
              <w:pStyle w:val="16"/>
              <w:rPr>
                <w:rFonts w:cs="Times New Roman"/>
                <w:bCs/>
              </w:rPr>
            </w:pPr>
            <w:r>
              <w:rPr>
                <w:rFonts w:hint="eastAsia"/>
                <w:bCs/>
              </w:rPr>
              <w:t>②</w:t>
            </w:r>
          </w:p>
        </w:tc>
        <w:tc>
          <w:tcPr>
            <w:tcW w:w="745" w:type="dxa"/>
            <w:tcBorders>
              <w:right w:val="double" w:color="auto" w:sz="4" w:space="0"/>
            </w:tcBorders>
            <w:vAlign w:val="center"/>
          </w:tcPr>
          <w:p w14:paraId="5400BFBE">
            <w:pPr>
              <w:pStyle w:val="16"/>
              <w:rPr>
                <w:rFonts w:hint="eastAsia" w:ascii="宋体" w:hAnsi="宋体"/>
              </w:rPr>
            </w:pPr>
            <w:r>
              <w:rPr>
                <w:rFonts w:hint="eastAsia" w:ascii="宋体" w:hAnsi="宋体"/>
              </w:rPr>
              <w:t>H</w:t>
            </w:r>
          </w:p>
        </w:tc>
        <w:tc>
          <w:tcPr>
            <w:tcW w:w="4887" w:type="dxa"/>
            <w:vAlign w:val="center"/>
          </w:tcPr>
          <w:p w14:paraId="3BC8B676">
            <w:pPr>
              <w:pStyle w:val="16"/>
              <w:jc w:val="both"/>
              <w:rPr>
                <w:rFonts w:hint="eastAsia" w:ascii="宋体" w:hAnsi="宋体"/>
                <w:bCs/>
              </w:rPr>
            </w:pPr>
            <w:r>
              <w:rPr>
                <w:rFonts w:hint="eastAsia" w:ascii="宋体" w:hAnsi="宋体"/>
                <w:sz w:val="20"/>
                <w:szCs w:val="20"/>
              </w:rPr>
              <w:t>4、培养热爱祖国大好河山，以环境保护为己任的家国情怀。</w:t>
            </w:r>
          </w:p>
        </w:tc>
        <w:tc>
          <w:tcPr>
            <w:tcW w:w="1157" w:type="dxa"/>
            <w:tcBorders>
              <w:right w:val="single" w:color="auto" w:sz="12" w:space="0"/>
            </w:tcBorders>
            <w:vAlign w:val="center"/>
          </w:tcPr>
          <w:p w14:paraId="1E0CAFED">
            <w:pPr>
              <w:pStyle w:val="16"/>
              <w:rPr>
                <w:rFonts w:hint="eastAsia" w:ascii="宋体" w:hAnsi="宋体"/>
                <w:bCs/>
              </w:rPr>
            </w:pPr>
            <w:r>
              <w:rPr>
                <w:rFonts w:hint="eastAsia" w:ascii="宋体" w:hAnsi="宋体"/>
                <w:bCs/>
              </w:rPr>
              <w:t>100%</w:t>
            </w:r>
          </w:p>
        </w:tc>
      </w:tr>
      <w:tr w14:paraId="207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6" w:hRule="atLeast"/>
          <w:jc w:val="center"/>
        </w:trPr>
        <w:tc>
          <w:tcPr>
            <w:tcW w:w="978" w:type="dxa"/>
            <w:tcBorders>
              <w:left w:val="single" w:color="auto" w:sz="12" w:space="0"/>
              <w:right w:val="single" w:color="auto" w:sz="4" w:space="0"/>
            </w:tcBorders>
            <w:vAlign w:val="center"/>
          </w:tcPr>
          <w:p w14:paraId="2AB6F28A">
            <w:pPr>
              <w:pStyle w:val="16"/>
              <w:jc w:val="left"/>
            </w:pPr>
            <w:r>
              <w:rPr>
                <w:rFonts w:hint="eastAsia"/>
                <w:b/>
              </w:rPr>
              <w:t>LO3表达沟通</w:t>
            </w:r>
          </w:p>
        </w:tc>
        <w:tc>
          <w:tcPr>
            <w:tcW w:w="620" w:type="dxa"/>
            <w:tcBorders>
              <w:left w:val="single" w:color="auto" w:sz="4" w:space="0"/>
            </w:tcBorders>
            <w:vAlign w:val="center"/>
          </w:tcPr>
          <w:p w14:paraId="47836E13">
            <w:pPr>
              <w:pStyle w:val="16"/>
              <w:rPr>
                <w:rFonts w:cs="Times New Roman"/>
                <w:bCs/>
              </w:rPr>
            </w:pPr>
            <w:r>
              <w:rPr>
                <w:rFonts w:hint="eastAsia"/>
                <w:bCs/>
              </w:rPr>
              <w:t>②</w:t>
            </w:r>
          </w:p>
        </w:tc>
        <w:tc>
          <w:tcPr>
            <w:tcW w:w="745" w:type="dxa"/>
            <w:tcBorders>
              <w:right w:val="double" w:color="auto" w:sz="4" w:space="0"/>
            </w:tcBorders>
            <w:vAlign w:val="center"/>
          </w:tcPr>
          <w:p w14:paraId="1822B5DB">
            <w:pPr>
              <w:pStyle w:val="16"/>
              <w:rPr>
                <w:rFonts w:hint="eastAsia" w:ascii="宋体" w:hAnsi="宋体"/>
              </w:rPr>
            </w:pPr>
            <w:r>
              <w:rPr>
                <w:rFonts w:hint="eastAsia" w:ascii="宋体" w:hAnsi="宋体"/>
              </w:rPr>
              <w:t>M</w:t>
            </w:r>
          </w:p>
        </w:tc>
        <w:tc>
          <w:tcPr>
            <w:tcW w:w="4887" w:type="dxa"/>
            <w:vAlign w:val="center"/>
          </w:tcPr>
          <w:p w14:paraId="06A75C11">
            <w:pPr>
              <w:pStyle w:val="16"/>
              <w:jc w:val="left"/>
              <w:rPr>
                <w:rFonts w:hint="eastAsia" w:ascii="宋体" w:hAnsi="宋体"/>
                <w:bCs/>
              </w:rPr>
            </w:pPr>
            <w:r>
              <w:rPr>
                <w:rFonts w:hint="eastAsia" w:ascii="宋体" w:hAnsi="宋体"/>
                <w:bCs/>
              </w:rPr>
              <w:t>3、通过大气卫生、饮用水卫生、土壤卫生和生物地球化学性疾病以及各种人为环境卫生的学习，具备人群健康风险评估能力。</w:t>
            </w:r>
          </w:p>
        </w:tc>
        <w:tc>
          <w:tcPr>
            <w:tcW w:w="1157" w:type="dxa"/>
            <w:tcBorders>
              <w:right w:val="single" w:color="auto" w:sz="12" w:space="0"/>
            </w:tcBorders>
            <w:vAlign w:val="center"/>
          </w:tcPr>
          <w:p w14:paraId="5D83B2EB">
            <w:pPr>
              <w:pStyle w:val="16"/>
              <w:rPr>
                <w:rFonts w:hint="eastAsia" w:ascii="宋体" w:hAnsi="宋体"/>
                <w:bCs/>
              </w:rPr>
            </w:pPr>
            <w:r>
              <w:rPr>
                <w:rFonts w:hint="eastAsia" w:ascii="宋体" w:hAnsi="宋体"/>
                <w:bCs/>
              </w:rPr>
              <w:t>100%</w:t>
            </w:r>
          </w:p>
        </w:tc>
      </w:tr>
      <w:tr w14:paraId="2B26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vMerge w:val="restart"/>
            <w:tcBorders>
              <w:left w:val="single" w:color="auto" w:sz="12" w:space="0"/>
              <w:right w:val="single" w:color="auto" w:sz="4" w:space="0"/>
            </w:tcBorders>
          </w:tcPr>
          <w:p w14:paraId="2B739925">
            <w:pPr>
              <w:pStyle w:val="16"/>
              <w:ind w:left="211" w:hanging="211" w:hangingChars="100"/>
              <w:jc w:val="left"/>
              <w:rPr>
                <w:b/>
              </w:rPr>
            </w:pPr>
            <w:r>
              <w:rPr>
                <w:b/>
              </w:rPr>
              <w:t>LO</w:t>
            </w:r>
            <w:r>
              <w:rPr>
                <w:rFonts w:hint="eastAsia"/>
                <w:b/>
              </w:rPr>
              <w:t>5</w:t>
            </w:r>
            <w:r>
              <w:rPr>
                <w:b/>
              </w:rPr>
              <w:t>健</w:t>
            </w:r>
          </w:p>
          <w:p w14:paraId="1537BD64">
            <w:pPr>
              <w:pStyle w:val="16"/>
              <w:ind w:left="211" w:hanging="211" w:hangingChars="100"/>
              <w:jc w:val="left"/>
              <w:rPr>
                <w:rFonts w:hint="eastAsia" w:ascii="宋体" w:hAnsi="宋体"/>
                <w:color w:val="auto"/>
                <w:sz w:val="20"/>
                <w:szCs w:val="20"/>
              </w:rPr>
            </w:pPr>
            <w:r>
              <w:rPr>
                <w:b/>
              </w:rPr>
              <w:t>康</w:t>
            </w:r>
            <w:r>
              <w:rPr>
                <w:rFonts w:hint="eastAsia"/>
                <w:b/>
              </w:rPr>
              <w:t>发</w:t>
            </w:r>
            <w:r>
              <w:rPr>
                <w:b/>
              </w:rPr>
              <w:t>展</w:t>
            </w:r>
          </w:p>
        </w:tc>
        <w:tc>
          <w:tcPr>
            <w:tcW w:w="620" w:type="dxa"/>
            <w:vMerge w:val="restart"/>
            <w:tcBorders>
              <w:left w:val="single" w:color="auto" w:sz="4" w:space="0"/>
              <w:right w:val="single" w:color="auto" w:sz="4" w:space="0"/>
            </w:tcBorders>
            <w:vAlign w:val="center"/>
          </w:tcPr>
          <w:p w14:paraId="16697188">
            <w:pPr>
              <w:pStyle w:val="16"/>
              <w:rPr>
                <w:rFonts w:cs="Times New Roman"/>
                <w:bCs/>
              </w:rPr>
            </w:pPr>
            <w:r>
              <w:rPr>
                <w:rFonts w:hint="eastAsia"/>
                <w:bCs/>
              </w:rPr>
              <w:t>⑤</w:t>
            </w:r>
          </w:p>
        </w:tc>
        <w:tc>
          <w:tcPr>
            <w:tcW w:w="745" w:type="dxa"/>
            <w:vMerge w:val="restart"/>
            <w:tcBorders>
              <w:left w:val="single" w:color="auto" w:sz="4" w:space="0"/>
              <w:right w:val="double" w:color="auto" w:sz="4" w:space="0"/>
            </w:tcBorders>
            <w:vAlign w:val="center"/>
          </w:tcPr>
          <w:p w14:paraId="66353DD4">
            <w:pPr>
              <w:pStyle w:val="16"/>
              <w:rPr>
                <w:rFonts w:hint="eastAsia" w:ascii="宋体" w:hAnsi="宋体"/>
              </w:rPr>
            </w:pPr>
            <w:r>
              <w:rPr>
                <w:rFonts w:hint="eastAsia" w:ascii="宋体" w:hAnsi="宋体"/>
              </w:rPr>
              <w:t>H</w:t>
            </w:r>
          </w:p>
        </w:tc>
        <w:tc>
          <w:tcPr>
            <w:tcW w:w="4887" w:type="dxa"/>
            <w:tcBorders>
              <w:left w:val="double" w:color="auto" w:sz="4" w:space="0"/>
              <w:right w:val="single" w:color="auto" w:sz="4" w:space="0"/>
            </w:tcBorders>
            <w:vAlign w:val="center"/>
          </w:tcPr>
          <w:p w14:paraId="2391DC89">
            <w:pPr>
              <w:pStyle w:val="16"/>
              <w:jc w:val="left"/>
              <w:rPr>
                <w:rFonts w:hint="eastAsia" w:ascii="宋体" w:hAnsi="宋体"/>
                <w:bCs/>
              </w:rPr>
            </w:pPr>
            <w:r>
              <w:rPr>
                <w:rFonts w:hint="eastAsia" w:ascii="宋体" w:hAnsi="宋体"/>
                <w:bCs/>
              </w:rPr>
              <w:t>1、理解环境的组成，及环境对人类生存与发展的重要性</w:t>
            </w:r>
          </w:p>
        </w:tc>
        <w:tc>
          <w:tcPr>
            <w:tcW w:w="1157" w:type="dxa"/>
            <w:tcBorders>
              <w:left w:val="single" w:color="auto" w:sz="4" w:space="0"/>
              <w:right w:val="single" w:color="auto" w:sz="12" w:space="0"/>
            </w:tcBorders>
            <w:vAlign w:val="center"/>
          </w:tcPr>
          <w:p w14:paraId="2DC64A8A">
            <w:pPr>
              <w:pStyle w:val="16"/>
              <w:rPr>
                <w:rFonts w:hint="eastAsia" w:ascii="宋体" w:hAnsi="宋体"/>
                <w:bCs/>
              </w:rPr>
            </w:pPr>
            <w:r>
              <w:rPr>
                <w:rFonts w:hint="eastAsia" w:ascii="宋体" w:hAnsi="宋体"/>
                <w:bCs/>
              </w:rPr>
              <w:t>50%</w:t>
            </w:r>
          </w:p>
        </w:tc>
      </w:tr>
      <w:tr w14:paraId="14F1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vMerge w:val="continue"/>
            <w:tcBorders>
              <w:left w:val="single" w:color="auto" w:sz="12" w:space="0"/>
              <w:bottom w:val="single" w:color="auto" w:sz="12" w:space="0"/>
              <w:right w:val="single" w:color="auto" w:sz="4" w:space="0"/>
            </w:tcBorders>
          </w:tcPr>
          <w:p w14:paraId="77F0B2D7">
            <w:pPr>
              <w:pStyle w:val="16"/>
              <w:ind w:left="211" w:hanging="211" w:hangingChars="100"/>
              <w:jc w:val="left"/>
              <w:rPr>
                <w:b/>
              </w:rPr>
            </w:pPr>
          </w:p>
        </w:tc>
        <w:tc>
          <w:tcPr>
            <w:tcW w:w="620" w:type="dxa"/>
            <w:vMerge w:val="continue"/>
            <w:tcBorders>
              <w:left w:val="single" w:color="auto" w:sz="4" w:space="0"/>
              <w:bottom w:val="single" w:color="auto" w:sz="12" w:space="0"/>
              <w:right w:val="single" w:color="auto" w:sz="4" w:space="0"/>
            </w:tcBorders>
            <w:vAlign w:val="center"/>
          </w:tcPr>
          <w:p w14:paraId="6809C755">
            <w:pPr>
              <w:pStyle w:val="16"/>
              <w:rPr>
                <w:bCs/>
              </w:rPr>
            </w:pPr>
          </w:p>
        </w:tc>
        <w:tc>
          <w:tcPr>
            <w:tcW w:w="745" w:type="dxa"/>
            <w:vMerge w:val="continue"/>
            <w:tcBorders>
              <w:left w:val="single" w:color="auto" w:sz="4" w:space="0"/>
              <w:bottom w:val="single" w:color="auto" w:sz="12" w:space="0"/>
              <w:right w:val="double" w:color="auto" w:sz="4" w:space="0"/>
            </w:tcBorders>
            <w:vAlign w:val="center"/>
          </w:tcPr>
          <w:p w14:paraId="5A30F101">
            <w:pPr>
              <w:pStyle w:val="16"/>
              <w:rPr>
                <w:rFonts w:hint="eastAsia" w:ascii="宋体" w:hAnsi="宋体"/>
              </w:rPr>
            </w:pPr>
          </w:p>
        </w:tc>
        <w:tc>
          <w:tcPr>
            <w:tcW w:w="4887" w:type="dxa"/>
            <w:tcBorders>
              <w:left w:val="double" w:color="auto" w:sz="4" w:space="0"/>
              <w:bottom w:val="single" w:color="auto" w:sz="12" w:space="0"/>
              <w:right w:val="single" w:color="auto" w:sz="4" w:space="0"/>
            </w:tcBorders>
            <w:vAlign w:val="center"/>
          </w:tcPr>
          <w:p w14:paraId="229A8723">
            <w:pPr>
              <w:pStyle w:val="16"/>
              <w:jc w:val="left"/>
              <w:rPr>
                <w:rFonts w:hint="eastAsia" w:ascii="宋体" w:hAnsi="宋体"/>
                <w:bCs/>
              </w:rPr>
            </w:pPr>
            <w:r>
              <w:rPr>
                <w:rFonts w:hint="eastAsia" w:ascii="宋体" w:hAnsi="宋体"/>
                <w:bCs/>
              </w:rPr>
              <w:t>2、掌握环境污染对人类健康的影响以及防控措施</w:t>
            </w:r>
          </w:p>
        </w:tc>
        <w:tc>
          <w:tcPr>
            <w:tcW w:w="1157" w:type="dxa"/>
            <w:tcBorders>
              <w:left w:val="single" w:color="auto" w:sz="4" w:space="0"/>
              <w:bottom w:val="single" w:color="auto" w:sz="12" w:space="0"/>
              <w:right w:val="single" w:color="auto" w:sz="12" w:space="0"/>
            </w:tcBorders>
            <w:vAlign w:val="center"/>
          </w:tcPr>
          <w:p w14:paraId="1D3F000A">
            <w:pPr>
              <w:pStyle w:val="16"/>
              <w:rPr>
                <w:rFonts w:hint="eastAsia" w:ascii="宋体" w:hAnsi="宋体"/>
                <w:bCs/>
              </w:rPr>
            </w:pPr>
            <w:r>
              <w:rPr>
                <w:rFonts w:hint="eastAsia" w:ascii="宋体" w:hAnsi="宋体"/>
                <w:bCs/>
              </w:rPr>
              <w:t>50%</w:t>
            </w:r>
          </w:p>
        </w:tc>
      </w:tr>
    </w:tbl>
    <w:p w14:paraId="08393D32">
      <w:pPr>
        <w:pStyle w:val="18"/>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6ED5D44">
      <w:pPr>
        <w:pStyle w:val="19"/>
        <w:spacing w:before="81" w:after="163"/>
      </w:pPr>
      <w:r>
        <w:rPr>
          <w:rFonts w:hint="eastAsia"/>
        </w:rPr>
        <w:t>（一）各教学单元预期学习成果与教学内容</w:t>
      </w:r>
    </w:p>
    <w:tbl>
      <w:tblPr>
        <w:tblStyle w:val="10"/>
        <w:tblW w:w="8647" w:type="dxa"/>
        <w:tblInd w:w="-1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647"/>
      </w:tblGrid>
      <w:tr w14:paraId="0B252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47" w:type="dxa"/>
          </w:tcPr>
          <w:p w14:paraId="2B1FB2BA">
            <w:pPr>
              <w:pStyle w:val="16"/>
              <w:widowControl w:val="0"/>
              <w:jc w:val="left"/>
              <w:rPr>
                <w:rFonts w:hint="eastAsia" w:ascii="宋体" w:hAnsi="宋体"/>
                <w:bCs/>
              </w:rPr>
            </w:pPr>
            <w:bookmarkStart w:id="0" w:name="OLE_LINK6"/>
            <w:bookmarkStart w:id="1" w:name="OLE_LINK5"/>
            <w:r>
              <w:rPr>
                <w:rFonts w:hint="eastAsia" w:ascii="宋体" w:hAnsi="宋体"/>
                <w:bCs/>
              </w:rPr>
              <w:t>第一章  绪论</w:t>
            </w:r>
          </w:p>
          <w:p w14:paraId="7A1845CF">
            <w:pPr>
              <w:pStyle w:val="16"/>
              <w:widowControl w:val="0"/>
              <w:jc w:val="left"/>
              <w:rPr>
                <w:rFonts w:hint="eastAsia" w:ascii="宋体" w:hAnsi="宋体"/>
                <w:bCs/>
              </w:rPr>
            </w:pPr>
            <w:r>
              <w:rPr>
                <w:rFonts w:hint="eastAsia" w:ascii="宋体" w:hAnsi="宋体"/>
                <w:bCs/>
              </w:rPr>
              <w:t>知识点：</w:t>
            </w:r>
          </w:p>
          <w:p w14:paraId="103B17E7">
            <w:pPr>
              <w:pStyle w:val="16"/>
              <w:widowControl w:val="0"/>
              <w:jc w:val="left"/>
              <w:rPr>
                <w:rFonts w:hint="eastAsia" w:ascii="宋体" w:hAnsi="宋体"/>
                <w:bCs/>
              </w:rPr>
            </w:pPr>
            <w:r>
              <w:rPr>
                <w:rFonts w:hint="eastAsia" w:ascii="宋体" w:hAnsi="宋体"/>
                <w:bCs/>
              </w:rPr>
              <w:t>1、1环境卫生学的学科性质，环境卫生学的概念，研究对象和研究内容。</w:t>
            </w:r>
          </w:p>
          <w:p w14:paraId="4610BC94">
            <w:pPr>
              <w:pStyle w:val="16"/>
              <w:widowControl w:val="0"/>
              <w:jc w:val="left"/>
              <w:rPr>
                <w:rFonts w:hint="eastAsia" w:ascii="宋体" w:hAnsi="宋体"/>
                <w:bCs/>
              </w:rPr>
            </w:pPr>
            <w:r>
              <w:rPr>
                <w:rFonts w:hint="eastAsia" w:ascii="宋体" w:hAnsi="宋体"/>
                <w:bCs/>
              </w:rPr>
              <w:t>1、2知道环境卫生学的概念、环境介质、环境因素的概念。</w:t>
            </w:r>
          </w:p>
          <w:p w14:paraId="0B1F546F">
            <w:pPr>
              <w:pStyle w:val="16"/>
              <w:widowControl w:val="0"/>
              <w:jc w:val="left"/>
              <w:rPr>
                <w:rFonts w:hint="eastAsia" w:ascii="宋体" w:hAnsi="宋体"/>
                <w:bCs/>
              </w:rPr>
            </w:pPr>
            <w:r>
              <w:rPr>
                <w:rFonts w:hint="eastAsia" w:ascii="宋体" w:hAnsi="宋体"/>
                <w:bCs/>
              </w:rPr>
              <w:t>能力要求：通过分析交叉学科的特点，学会理解交叉学科的能力；通过分析各种近似概念，学会在不同的情境中运用概念的能力。</w:t>
            </w:r>
          </w:p>
          <w:p w14:paraId="4BF6D18F">
            <w:pPr>
              <w:pStyle w:val="16"/>
              <w:widowControl w:val="0"/>
              <w:jc w:val="left"/>
              <w:rPr>
                <w:rFonts w:hint="eastAsia" w:ascii="宋体" w:hAnsi="宋体"/>
                <w:bCs/>
              </w:rPr>
            </w:pPr>
            <w:r>
              <w:rPr>
                <w:rFonts w:hint="eastAsia" w:ascii="宋体" w:hAnsi="宋体"/>
                <w:bCs/>
              </w:rPr>
              <w:t>教学重点：理解理解环境卫生学的研究对象和研究内容；理解环境卫生学的学科性质。</w:t>
            </w:r>
          </w:p>
          <w:p w14:paraId="56D22D5F">
            <w:pPr>
              <w:pStyle w:val="16"/>
              <w:widowControl w:val="0"/>
              <w:jc w:val="left"/>
              <w:rPr>
                <w:rFonts w:hint="eastAsia" w:ascii="宋体" w:hAnsi="宋体" w:cs="仿宋"/>
                <w:bCs/>
                <w:sz w:val="20"/>
                <w:szCs w:val="20"/>
              </w:rPr>
            </w:pPr>
            <w:r>
              <w:rPr>
                <w:rFonts w:hint="eastAsia" w:ascii="宋体" w:hAnsi="宋体"/>
                <w:bCs/>
              </w:rPr>
              <w:t>教学难点：</w:t>
            </w:r>
            <w:r>
              <w:rPr>
                <w:rFonts w:hint="eastAsia" w:ascii="宋体" w:hAnsi="宋体" w:cs="仿宋"/>
                <w:bCs/>
                <w:sz w:val="20"/>
                <w:szCs w:val="20"/>
              </w:rPr>
              <w:t>理解环境介质和环境因素的概念</w:t>
            </w:r>
          </w:p>
          <w:p w14:paraId="582367DB">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环境与健康的关系</w:t>
            </w:r>
          </w:p>
          <w:p w14:paraId="61542E4C">
            <w:pPr>
              <w:pStyle w:val="16"/>
              <w:widowControl w:val="0"/>
              <w:jc w:val="left"/>
              <w:rPr>
                <w:rFonts w:hint="eastAsia" w:ascii="宋体" w:hAnsi="宋体" w:cs="仿宋"/>
                <w:bCs/>
                <w:sz w:val="20"/>
                <w:szCs w:val="20"/>
              </w:rPr>
            </w:pPr>
            <w:r>
              <w:rPr>
                <w:rFonts w:hint="eastAsia" w:ascii="宋体" w:hAnsi="宋体" w:cs="仿宋"/>
                <w:bCs/>
                <w:sz w:val="20"/>
                <w:szCs w:val="20"/>
              </w:rPr>
              <w:t>知识点：</w:t>
            </w:r>
          </w:p>
          <w:p w14:paraId="75810F78">
            <w:pPr>
              <w:pStyle w:val="16"/>
              <w:widowControl w:val="0"/>
              <w:jc w:val="left"/>
              <w:rPr>
                <w:rFonts w:hint="eastAsia" w:ascii="宋体" w:hAnsi="宋体" w:cs="仿宋"/>
                <w:bCs/>
                <w:sz w:val="20"/>
                <w:szCs w:val="20"/>
              </w:rPr>
            </w:pPr>
            <w:r>
              <w:rPr>
                <w:rFonts w:hint="eastAsia" w:ascii="宋体" w:hAnsi="宋体" w:cs="仿宋"/>
                <w:bCs/>
                <w:sz w:val="20"/>
                <w:szCs w:val="20"/>
              </w:rPr>
              <w:t>2、1知道人类自然环境的构成、生态环境</w:t>
            </w:r>
          </w:p>
          <w:p w14:paraId="733B6414">
            <w:pPr>
              <w:pStyle w:val="16"/>
              <w:widowControl w:val="0"/>
              <w:jc w:val="left"/>
              <w:rPr>
                <w:rFonts w:hint="eastAsia" w:ascii="宋体" w:hAnsi="宋体" w:cs="仿宋"/>
                <w:bCs/>
                <w:sz w:val="20"/>
                <w:szCs w:val="20"/>
              </w:rPr>
            </w:pPr>
            <w:r>
              <w:rPr>
                <w:rFonts w:hint="eastAsia" w:ascii="宋体" w:hAnsi="宋体" w:cs="仿宋"/>
                <w:bCs/>
                <w:sz w:val="20"/>
                <w:szCs w:val="20"/>
              </w:rPr>
              <w:t>2、2理解人与环境的辩证统一关系</w:t>
            </w:r>
          </w:p>
          <w:p w14:paraId="487B4C46">
            <w:pPr>
              <w:pStyle w:val="16"/>
              <w:widowControl w:val="0"/>
              <w:jc w:val="left"/>
              <w:rPr>
                <w:rFonts w:hint="eastAsia" w:ascii="宋体" w:hAnsi="宋体" w:cs="仿宋"/>
                <w:bCs/>
                <w:sz w:val="20"/>
                <w:szCs w:val="20"/>
              </w:rPr>
            </w:pPr>
            <w:r>
              <w:rPr>
                <w:rFonts w:hint="eastAsia" w:ascii="宋体" w:hAnsi="宋体" w:cs="仿宋"/>
                <w:bCs/>
                <w:sz w:val="20"/>
                <w:szCs w:val="20"/>
              </w:rPr>
              <w:t>2、3理解人群健康效应谱与易感人群</w:t>
            </w:r>
          </w:p>
          <w:p w14:paraId="3D2A00C2">
            <w:pPr>
              <w:pStyle w:val="16"/>
              <w:widowControl w:val="0"/>
              <w:jc w:val="left"/>
              <w:rPr>
                <w:rFonts w:hint="eastAsia" w:ascii="宋体" w:hAnsi="宋体" w:cs="仿宋"/>
                <w:bCs/>
                <w:sz w:val="20"/>
                <w:szCs w:val="20"/>
              </w:rPr>
            </w:pPr>
            <w:r>
              <w:rPr>
                <w:rFonts w:hint="eastAsia" w:ascii="宋体" w:hAnsi="宋体" w:cs="仿宋"/>
                <w:bCs/>
                <w:sz w:val="20"/>
                <w:szCs w:val="20"/>
              </w:rPr>
              <w:t>2、4理解自然环境与健康</w:t>
            </w:r>
          </w:p>
          <w:p w14:paraId="0F6BD876">
            <w:pPr>
              <w:pStyle w:val="16"/>
              <w:widowControl w:val="0"/>
              <w:jc w:val="left"/>
              <w:rPr>
                <w:rFonts w:hint="eastAsia" w:ascii="宋体" w:hAnsi="宋体" w:cs="仿宋"/>
                <w:bCs/>
                <w:sz w:val="20"/>
                <w:szCs w:val="20"/>
              </w:rPr>
            </w:pPr>
            <w:r>
              <w:rPr>
                <w:rFonts w:hint="eastAsia" w:ascii="宋体" w:hAnsi="宋体" w:cs="仿宋"/>
                <w:bCs/>
                <w:sz w:val="20"/>
                <w:szCs w:val="20"/>
              </w:rPr>
              <w:t>2、5理解环境污染与健康</w:t>
            </w:r>
          </w:p>
          <w:p w14:paraId="375BF35F">
            <w:pPr>
              <w:widowControl w:val="0"/>
              <w:snapToGrid w:val="0"/>
              <w:spacing w:line="280" w:lineRule="exact"/>
              <w:jc w:val="both"/>
              <w:rPr>
                <w:rFonts w:hint="eastAsia" w:cs="仿宋"/>
                <w:bCs/>
                <w:sz w:val="20"/>
                <w:szCs w:val="20"/>
              </w:rPr>
            </w:pPr>
            <w:r>
              <w:rPr>
                <w:rFonts w:hint="eastAsia" w:cs="仿宋"/>
                <w:bCs/>
                <w:sz w:val="20"/>
                <w:szCs w:val="20"/>
              </w:rPr>
              <w:t>能力要求：通过环境与健康关系的研究方法的学习，培养学生运用环境流行病学和环境病毒学两种研究方法。</w:t>
            </w:r>
          </w:p>
          <w:p w14:paraId="5D944872">
            <w:pPr>
              <w:pStyle w:val="16"/>
              <w:widowControl w:val="0"/>
              <w:jc w:val="left"/>
              <w:rPr>
                <w:rFonts w:hint="eastAsia" w:ascii="宋体" w:hAnsi="宋体" w:cs="仿宋"/>
                <w:bCs/>
                <w:sz w:val="20"/>
                <w:szCs w:val="20"/>
              </w:rPr>
            </w:pPr>
            <w:r>
              <w:rPr>
                <w:rFonts w:hint="eastAsia" w:ascii="宋体" w:hAnsi="宋体" w:cs="仿宋"/>
                <w:bCs/>
                <w:sz w:val="20"/>
                <w:szCs w:val="20"/>
              </w:rPr>
              <w:t>教学重点：人与环境的辩证统一关系、自然环境与健康、环境污染与健康</w:t>
            </w:r>
          </w:p>
          <w:p w14:paraId="1CAC1B74">
            <w:pPr>
              <w:pStyle w:val="16"/>
              <w:widowControl w:val="0"/>
              <w:jc w:val="left"/>
              <w:rPr>
                <w:rFonts w:hint="eastAsia" w:ascii="宋体" w:hAnsi="宋体" w:cs="仿宋"/>
                <w:bCs/>
                <w:sz w:val="20"/>
                <w:szCs w:val="20"/>
              </w:rPr>
            </w:pPr>
            <w:r>
              <w:rPr>
                <w:rFonts w:hint="eastAsia" w:ascii="宋体" w:hAnsi="宋体" w:cs="仿宋"/>
                <w:bCs/>
                <w:sz w:val="20"/>
                <w:szCs w:val="20"/>
              </w:rPr>
              <w:t>教学难点：人群健康效应谱、易感人群</w:t>
            </w:r>
          </w:p>
          <w:p w14:paraId="11A5E30C">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大气卫生</w:t>
            </w:r>
          </w:p>
          <w:p w14:paraId="2403F5CA">
            <w:pPr>
              <w:pStyle w:val="16"/>
              <w:widowControl w:val="0"/>
              <w:jc w:val="left"/>
              <w:rPr>
                <w:rFonts w:hint="eastAsia" w:ascii="宋体" w:hAnsi="宋体" w:cs="仿宋"/>
                <w:bCs/>
                <w:sz w:val="20"/>
                <w:szCs w:val="20"/>
              </w:rPr>
            </w:pPr>
            <w:r>
              <w:rPr>
                <w:rFonts w:hint="eastAsia" w:ascii="宋体" w:hAnsi="宋体" w:cs="仿宋"/>
                <w:bCs/>
                <w:sz w:val="20"/>
                <w:szCs w:val="20"/>
              </w:rPr>
              <w:t>3、1知道大气的结构、组成和物理性状</w:t>
            </w:r>
          </w:p>
          <w:p w14:paraId="46F90339">
            <w:pPr>
              <w:pStyle w:val="16"/>
              <w:widowControl w:val="0"/>
              <w:jc w:val="left"/>
              <w:rPr>
                <w:rFonts w:hint="eastAsia" w:ascii="宋体" w:hAnsi="宋体" w:cs="仿宋"/>
                <w:bCs/>
                <w:sz w:val="20"/>
                <w:szCs w:val="20"/>
              </w:rPr>
            </w:pPr>
            <w:r>
              <w:rPr>
                <w:rFonts w:hint="eastAsia" w:ascii="宋体" w:hAnsi="宋体" w:cs="仿宋"/>
                <w:bCs/>
                <w:sz w:val="20"/>
                <w:szCs w:val="20"/>
              </w:rPr>
              <w:t>3、2知道大气污染的来源和种类</w:t>
            </w:r>
          </w:p>
          <w:p w14:paraId="59FD8E6D">
            <w:pPr>
              <w:pStyle w:val="16"/>
              <w:widowControl w:val="0"/>
              <w:jc w:val="left"/>
              <w:rPr>
                <w:rFonts w:hint="eastAsia" w:ascii="宋体" w:hAnsi="宋体" w:cs="仿宋"/>
                <w:bCs/>
                <w:sz w:val="20"/>
                <w:szCs w:val="20"/>
              </w:rPr>
            </w:pPr>
            <w:r>
              <w:rPr>
                <w:rFonts w:hint="eastAsia" w:ascii="宋体" w:hAnsi="宋体" w:cs="仿宋"/>
                <w:bCs/>
                <w:sz w:val="20"/>
                <w:szCs w:val="20"/>
              </w:rPr>
              <w:t>3、3理解大气污染对人体健康的影响</w:t>
            </w:r>
          </w:p>
          <w:p w14:paraId="6F4DDAF0">
            <w:pPr>
              <w:pStyle w:val="16"/>
              <w:widowControl w:val="0"/>
              <w:jc w:val="left"/>
              <w:rPr>
                <w:rFonts w:hint="eastAsia" w:ascii="宋体" w:hAnsi="宋体" w:cs="仿宋"/>
                <w:bCs/>
                <w:sz w:val="20"/>
                <w:szCs w:val="20"/>
              </w:rPr>
            </w:pPr>
            <w:r>
              <w:rPr>
                <w:rFonts w:hint="eastAsia" w:ascii="宋体" w:hAnsi="宋体" w:cs="仿宋"/>
                <w:bCs/>
                <w:sz w:val="20"/>
                <w:szCs w:val="20"/>
              </w:rPr>
              <w:t>3、4理解大气中主要污染物对人体健康的影响</w:t>
            </w:r>
          </w:p>
          <w:p w14:paraId="18D5263F">
            <w:pPr>
              <w:pStyle w:val="16"/>
              <w:widowControl w:val="0"/>
              <w:jc w:val="left"/>
              <w:rPr>
                <w:rFonts w:hint="eastAsia" w:ascii="宋体" w:hAnsi="宋体" w:cs="仿宋"/>
                <w:bCs/>
                <w:sz w:val="20"/>
                <w:szCs w:val="20"/>
              </w:rPr>
            </w:pPr>
            <w:r>
              <w:rPr>
                <w:rFonts w:hint="eastAsia" w:ascii="宋体" w:hAnsi="宋体" w:cs="仿宋"/>
                <w:bCs/>
                <w:sz w:val="20"/>
                <w:szCs w:val="20"/>
              </w:rPr>
              <w:t>3、5运用大气污染控制措施</w:t>
            </w:r>
          </w:p>
          <w:p w14:paraId="4428F882">
            <w:pPr>
              <w:widowControl w:val="0"/>
              <w:snapToGrid w:val="0"/>
              <w:spacing w:line="280" w:lineRule="exact"/>
              <w:jc w:val="both"/>
              <w:rPr>
                <w:rFonts w:hint="eastAsia" w:cs="仿宋"/>
                <w:bCs/>
                <w:sz w:val="20"/>
                <w:szCs w:val="20"/>
              </w:rPr>
            </w:pPr>
            <w:r>
              <w:rPr>
                <w:rFonts w:hint="eastAsia" w:cs="仿宋"/>
                <w:bCs/>
                <w:sz w:val="20"/>
                <w:szCs w:val="20"/>
              </w:rPr>
              <w:t>能力要求：通过大气污染对人体健康的影响以及大气污染控制的措施，培养学生解决实际问题的能力。具备</w:t>
            </w:r>
            <w:r>
              <w:rPr>
                <w:rFonts w:cs="仿宋"/>
                <w:bCs/>
                <w:sz w:val="20"/>
                <w:szCs w:val="20"/>
              </w:rPr>
              <w:t>健康监测、健康风险评估能力</w:t>
            </w:r>
            <w:r>
              <w:rPr>
                <w:rFonts w:hint="eastAsia" w:cs="仿宋"/>
                <w:bCs/>
                <w:sz w:val="20"/>
                <w:szCs w:val="20"/>
              </w:rPr>
              <w:t>。</w:t>
            </w:r>
          </w:p>
          <w:p w14:paraId="72D260D9">
            <w:pPr>
              <w:pStyle w:val="16"/>
              <w:widowControl w:val="0"/>
              <w:jc w:val="left"/>
              <w:rPr>
                <w:rFonts w:hint="eastAsia" w:ascii="宋体" w:hAnsi="宋体" w:cs="仿宋"/>
                <w:bCs/>
                <w:sz w:val="20"/>
                <w:szCs w:val="20"/>
              </w:rPr>
            </w:pPr>
            <w:r>
              <w:rPr>
                <w:rFonts w:hint="eastAsia" w:ascii="宋体" w:hAnsi="宋体" w:cs="仿宋"/>
                <w:bCs/>
                <w:sz w:val="20"/>
                <w:szCs w:val="20"/>
              </w:rPr>
              <w:t>教学重点：大气污染的结构、组成和物理性状</w:t>
            </w:r>
          </w:p>
          <w:p w14:paraId="0BDA6BEE">
            <w:pPr>
              <w:pStyle w:val="16"/>
              <w:widowControl w:val="0"/>
              <w:jc w:val="left"/>
              <w:rPr>
                <w:rFonts w:hint="eastAsia" w:ascii="宋体" w:hAnsi="宋体" w:cs="仿宋"/>
                <w:bCs/>
                <w:sz w:val="20"/>
                <w:szCs w:val="20"/>
              </w:rPr>
            </w:pPr>
            <w:r>
              <w:rPr>
                <w:rFonts w:hint="eastAsia" w:ascii="宋体" w:hAnsi="宋体" w:cs="仿宋"/>
                <w:bCs/>
                <w:sz w:val="20"/>
                <w:szCs w:val="20"/>
              </w:rPr>
              <w:t>教学难点：教学难点：大气污染对人体健康的影响、大气中主要污染物对人体健康的影响</w:t>
            </w:r>
          </w:p>
          <w:p w14:paraId="556B501E">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水体卫生</w:t>
            </w:r>
          </w:p>
          <w:p w14:paraId="10ED73C1">
            <w:pPr>
              <w:pStyle w:val="16"/>
              <w:widowControl w:val="0"/>
              <w:jc w:val="left"/>
              <w:rPr>
                <w:rFonts w:hint="eastAsia" w:ascii="宋体" w:hAnsi="宋体" w:cs="仿宋"/>
                <w:bCs/>
                <w:sz w:val="20"/>
                <w:szCs w:val="20"/>
              </w:rPr>
            </w:pPr>
            <w:r>
              <w:rPr>
                <w:rFonts w:hint="eastAsia" w:ascii="宋体" w:hAnsi="宋体" w:cs="仿宋"/>
                <w:bCs/>
                <w:sz w:val="20"/>
                <w:szCs w:val="20"/>
              </w:rPr>
              <w:t>4、1知道水资源的种类及其卫生学特征</w:t>
            </w:r>
          </w:p>
          <w:p w14:paraId="007E7953">
            <w:pPr>
              <w:pStyle w:val="16"/>
              <w:widowControl w:val="0"/>
              <w:jc w:val="left"/>
              <w:rPr>
                <w:rFonts w:hint="eastAsia" w:ascii="宋体" w:hAnsi="宋体" w:cs="仿宋"/>
                <w:bCs/>
                <w:sz w:val="20"/>
                <w:szCs w:val="20"/>
              </w:rPr>
            </w:pPr>
            <w:r>
              <w:rPr>
                <w:rFonts w:hint="eastAsia" w:ascii="宋体" w:hAnsi="宋体" w:cs="仿宋"/>
                <w:bCs/>
                <w:sz w:val="20"/>
                <w:szCs w:val="20"/>
              </w:rPr>
              <w:t>4、2水质的物理、化学和微生物学性状指标</w:t>
            </w:r>
          </w:p>
          <w:p w14:paraId="0F012033">
            <w:pPr>
              <w:pStyle w:val="16"/>
              <w:widowControl w:val="0"/>
              <w:jc w:val="left"/>
              <w:rPr>
                <w:rFonts w:hint="eastAsia" w:ascii="宋体" w:hAnsi="宋体" w:cs="仿宋"/>
                <w:bCs/>
                <w:sz w:val="20"/>
                <w:szCs w:val="20"/>
              </w:rPr>
            </w:pPr>
            <w:r>
              <w:rPr>
                <w:rFonts w:hint="eastAsia" w:ascii="宋体" w:hAnsi="宋体" w:cs="仿宋"/>
                <w:bCs/>
                <w:sz w:val="20"/>
                <w:szCs w:val="20"/>
              </w:rPr>
              <w:t>4、3水体污染的主要来源、水体污染的危害</w:t>
            </w:r>
          </w:p>
          <w:p w14:paraId="393CFD1A">
            <w:pPr>
              <w:pStyle w:val="16"/>
              <w:widowControl w:val="0"/>
              <w:jc w:val="left"/>
              <w:rPr>
                <w:rFonts w:hint="eastAsia" w:ascii="宋体" w:hAnsi="宋体" w:cs="仿宋"/>
                <w:bCs/>
                <w:sz w:val="20"/>
                <w:szCs w:val="20"/>
              </w:rPr>
            </w:pPr>
            <w:r>
              <w:rPr>
                <w:rFonts w:hint="eastAsia" w:ascii="宋体" w:hAnsi="宋体" w:cs="仿宋"/>
                <w:bCs/>
                <w:sz w:val="20"/>
                <w:szCs w:val="20"/>
              </w:rPr>
              <w:t>4、4水体污染的防护</w:t>
            </w:r>
          </w:p>
          <w:p w14:paraId="73C692BD">
            <w:pPr>
              <w:widowControl w:val="0"/>
              <w:snapToGrid w:val="0"/>
              <w:spacing w:line="280" w:lineRule="exact"/>
              <w:jc w:val="both"/>
              <w:rPr>
                <w:rFonts w:hint="eastAsia" w:cs="仿宋"/>
                <w:bCs/>
                <w:sz w:val="20"/>
                <w:szCs w:val="20"/>
              </w:rPr>
            </w:pPr>
            <w:r>
              <w:rPr>
                <w:rFonts w:hint="eastAsia" w:cs="仿宋"/>
                <w:bCs/>
                <w:sz w:val="20"/>
                <w:szCs w:val="20"/>
              </w:rPr>
              <w:t>能力要求：通过水体卫生的学习，使学生具备简单的水体污染的防护与处理措施。具备健康监测、健康风险评估能力。</w:t>
            </w:r>
          </w:p>
          <w:p w14:paraId="23F85F56">
            <w:pPr>
              <w:pStyle w:val="16"/>
              <w:widowControl w:val="0"/>
              <w:jc w:val="left"/>
              <w:rPr>
                <w:rFonts w:hint="eastAsia" w:ascii="宋体" w:hAnsi="宋体" w:cs="仿宋"/>
                <w:bCs/>
                <w:sz w:val="20"/>
                <w:szCs w:val="20"/>
              </w:rPr>
            </w:pPr>
            <w:r>
              <w:rPr>
                <w:rFonts w:hint="eastAsia" w:ascii="宋体" w:hAnsi="宋体" w:cs="仿宋"/>
                <w:bCs/>
                <w:sz w:val="20"/>
                <w:szCs w:val="20"/>
              </w:rPr>
              <w:t>教学重点：水资源的种类及其卫生学特征、水体污染的主要来源和危害</w:t>
            </w:r>
          </w:p>
          <w:p w14:paraId="0A6E37B1">
            <w:pPr>
              <w:pStyle w:val="16"/>
              <w:widowControl w:val="0"/>
              <w:jc w:val="left"/>
              <w:rPr>
                <w:rFonts w:hint="eastAsia" w:ascii="宋体" w:hAnsi="宋体" w:cs="仿宋"/>
                <w:bCs/>
                <w:sz w:val="20"/>
                <w:szCs w:val="20"/>
              </w:rPr>
            </w:pPr>
            <w:r>
              <w:rPr>
                <w:rFonts w:hint="eastAsia" w:ascii="宋体" w:hAnsi="宋体" w:cs="仿宋"/>
                <w:bCs/>
                <w:sz w:val="20"/>
                <w:szCs w:val="20"/>
              </w:rPr>
              <w:t>教学难点：水质的物理、化学和微生物学性状指标</w:t>
            </w:r>
          </w:p>
          <w:p w14:paraId="415B45C9">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饮用水卫生</w:t>
            </w:r>
          </w:p>
          <w:p w14:paraId="65910A9B">
            <w:pPr>
              <w:pStyle w:val="16"/>
              <w:widowControl w:val="0"/>
              <w:jc w:val="left"/>
              <w:rPr>
                <w:rFonts w:hint="eastAsia" w:ascii="宋体" w:hAnsi="宋体" w:cs="仿宋"/>
                <w:bCs/>
                <w:sz w:val="20"/>
                <w:szCs w:val="20"/>
              </w:rPr>
            </w:pPr>
            <w:r>
              <w:rPr>
                <w:rFonts w:hint="eastAsia" w:ascii="宋体" w:hAnsi="宋体" w:cs="仿宋"/>
                <w:bCs/>
                <w:sz w:val="20"/>
                <w:szCs w:val="20"/>
              </w:rPr>
              <w:t>5、1饮用水的卫生学意义、饮用水与健康的关系</w:t>
            </w:r>
          </w:p>
          <w:p w14:paraId="0850CD4E">
            <w:pPr>
              <w:pStyle w:val="16"/>
              <w:widowControl w:val="0"/>
              <w:jc w:val="left"/>
              <w:rPr>
                <w:rFonts w:hint="eastAsia" w:ascii="宋体" w:hAnsi="宋体" w:cs="仿宋"/>
                <w:bCs/>
                <w:sz w:val="20"/>
                <w:szCs w:val="20"/>
              </w:rPr>
            </w:pPr>
            <w:r>
              <w:rPr>
                <w:rFonts w:hint="eastAsia" w:ascii="宋体" w:hAnsi="宋体" w:cs="仿宋"/>
                <w:bCs/>
                <w:sz w:val="20"/>
                <w:szCs w:val="20"/>
              </w:rPr>
              <w:t>5、2饮用水的供水方式（集中式供水和分散式供水），饮用水的净化与消毒</w:t>
            </w:r>
          </w:p>
          <w:p w14:paraId="1EE0D984">
            <w:pPr>
              <w:pStyle w:val="16"/>
              <w:widowControl w:val="0"/>
              <w:jc w:val="left"/>
              <w:rPr>
                <w:rFonts w:hint="eastAsia" w:ascii="宋体" w:hAnsi="宋体" w:cs="仿宋"/>
                <w:bCs/>
                <w:sz w:val="20"/>
                <w:szCs w:val="20"/>
              </w:rPr>
            </w:pPr>
            <w:r>
              <w:rPr>
                <w:rFonts w:hint="eastAsia" w:ascii="宋体" w:hAnsi="宋体" w:cs="仿宋"/>
                <w:bCs/>
                <w:sz w:val="20"/>
                <w:szCs w:val="20"/>
              </w:rPr>
              <w:t>5、3饮用水卫生的调查、监测和监督</w:t>
            </w:r>
          </w:p>
          <w:p w14:paraId="33056EED">
            <w:pPr>
              <w:widowControl w:val="0"/>
              <w:snapToGrid w:val="0"/>
              <w:spacing w:line="280" w:lineRule="exact"/>
              <w:jc w:val="both"/>
              <w:rPr>
                <w:rFonts w:hint="eastAsia" w:cs="仿宋"/>
                <w:bCs/>
                <w:sz w:val="20"/>
                <w:szCs w:val="20"/>
              </w:rPr>
            </w:pPr>
            <w:r>
              <w:rPr>
                <w:rFonts w:hint="eastAsia" w:cs="仿宋"/>
                <w:bCs/>
                <w:sz w:val="20"/>
                <w:szCs w:val="20"/>
              </w:rPr>
              <w:t>能力要求：通过引用水污染与疾病的关系问题，培养学生解决实际问题的能力。具备健康监测、健康风险评估能力。</w:t>
            </w:r>
          </w:p>
          <w:p w14:paraId="727D48FF">
            <w:pPr>
              <w:pStyle w:val="16"/>
              <w:widowControl w:val="0"/>
              <w:jc w:val="left"/>
              <w:rPr>
                <w:rFonts w:hint="eastAsia" w:ascii="宋体" w:hAnsi="宋体" w:cs="仿宋"/>
                <w:bCs/>
                <w:sz w:val="20"/>
                <w:szCs w:val="20"/>
              </w:rPr>
            </w:pPr>
            <w:r>
              <w:rPr>
                <w:rFonts w:hint="eastAsia" w:ascii="宋体" w:hAnsi="宋体" w:cs="仿宋"/>
                <w:bCs/>
                <w:sz w:val="20"/>
                <w:szCs w:val="20"/>
              </w:rPr>
              <w:t>教学重点：饮用水与健康的关系</w:t>
            </w:r>
          </w:p>
          <w:p w14:paraId="4B6642BE">
            <w:pPr>
              <w:pStyle w:val="16"/>
              <w:widowControl w:val="0"/>
              <w:jc w:val="left"/>
              <w:rPr>
                <w:rFonts w:hint="eastAsia" w:ascii="宋体" w:hAnsi="宋体" w:cs="仿宋"/>
                <w:bCs/>
                <w:sz w:val="20"/>
                <w:szCs w:val="20"/>
              </w:rPr>
            </w:pPr>
            <w:r>
              <w:rPr>
                <w:rFonts w:hint="eastAsia" w:ascii="宋体" w:hAnsi="宋体" w:cs="仿宋"/>
                <w:bCs/>
                <w:sz w:val="20"/>
                <w:szCs w:val="20"/>
              </w:rPr>
              <w:t>教学难点：饮用水的净化和消毒</w:t>
            </w:r>
          </w:p>
          <w:p w14:paraId="2D1B4047">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土壤卫生</w:t>
            </w:r>
          </w:p>
          <w:p w14:paraId="097DA1B0">
            <w:pPr>
              <w:pStyle w:val="16"/>
              <w:widowControl w:val="0"/>
              <w:jc w:val="left"/>
              <w:rPr>
                <w:rFonts w:hint="eastAsia" w:ascii="宋体" w:hAnsi="宋体" w:cs="仿宋"/>
                <w:bCs/>
                <w:sz w:val="20"/>
                <w:szCs w:val="20"/>
              </w:rPr>
            </w:pPr>
            <w:r>
              <w:rPr>
                <w:rFonts w:hint="eastAsia" w:ascii="宋体" w:hAnsi="宋体" w:cs="仿宋"/>
                <w:bCs/>
                <w:sz w:val="20"/>
                <w:szCs w:val="20"/>
              </w:rPr>
              <w:t>6、1土壤的组成，物理学、化学和生物学特征</w:t>
            </w:r>
          </w:p>
          <w:p w14:paraId="33B091C3">
            <w:pPr>
              <w:pStyle w:val="16"/>
              <w:widowControl w:val="0"/>
              <w:jc w:val="left"/>
              <w:rPr>
                <w:rFonts w:hint="eastAsia" w:ascii="宋体" w:hAnsi="宋体" w:cs="仿宋"/>
                <w:bCs/>
                <w:sz w:val="20"/>
                <w:szCs w:val="20"/>
              </w:rPr>
            </w:pPr>
            <w:r>
              <w:rPr>
                <w:rFonts w:hint="eastAsia" w:ascii="宋体" w:hAnsi="宋体" w:cs="仿宋"/>
                <w:bCs/>
                <w:sz w:val="20"/>
                <w:szCs w:val="20"/>
              </w:rPr>
              <w:t>6、2土壤的污染、净化和转归</w:t>
            </w:r>
          </w:p>
          <w:p w14:paraId="17D4C1DB">
            <w:pPr>
              <w:pStyle w:val="16"/>
              <w:widowControl w:val="0"/>
              <w:jc w:val="left"/>
              <w:rPr>
                <w:rFonts w:hint="eastAsia" w:ascii="宋体" w:hAnsi="宋体" w:cs="仿宋"/>
                <w:bCs/>
                <w:sz w:val="20"/>
                <w:szCs w:val="20"/>
              </w:rPr>
            </w:pPr>
            <w:r>
              <w:rPr>
                <w:rFonts w:hint="eastAsia" w:ascii="宋体" w:hAnsi="宋体" w:cs="仿宋"/>
                <w:bCs/>
                <w:sz w:val="20"/>
                <w:szCs w:val="20"/>
              </w:rPr>
              <w:t>6、3土壤污染对健康的影响</w:t>
            </w:r>
          </w:p>
          <w:p w14:paraId="581DA422">
            <w:pPr>
              <w:pStyle w:val="16"/>
              <w:widowControl w:val="0"/>
              <w:jc w:val="left"/>
              <w:rPr>
                <w:rFonts w:hint="eastAsia" w:ascii="宋体" w:hAnsi="宋体" w:cs="仿宋"/>
                <w:bCs/>
                <w:sz w:val="20"/>
                <w:szCs w:val="20"/>
              </w:rPr>
            </w:pPr>
            <w:r>
              <w:rPr>
                <w:rFonts w:hint="eastAsia" w:ascii="宋体" w:hAnsi="宋体" w:cs="仿宋"/>
                <w:bCs/>
                <w:sz w:val="20"/>
                <w:szCs w:val="20"/>
              </w:rPr>
              <w:t>6、4土壤卫生防护</w:t>
            </w:r>
          </w:p>
          <w:p w14:paraId="042E8153">
            <w:pPr>
              <w:widowControl w:val="0"/>
              <w:snapToGrid w:val="0"/>
              <w:spacing w:line="280" w:lineRule="exact"/>
              <w:jc w:val="both"/>
              <w:rPr>
                <w:rFonts w:hint="eastAsia" w:cs="仿宋"/>
                <w:bCs/>
                <w:sz w:val="20"/>
                <w:szCs w:val="20"/>
              </w:rPr>
            </w:pPr>
            <w:r>
              <w:rPr>
                <w:rFonts w:hint="eastAsia" w:cs="仿宋"/>
                <w:bCs/>
                <w:sz w:val="20"/>
                <w:szCs w:val="20"/>
              </w:rPr>
              <w:t>能力要求：通过土壤污染中重金属污染、农药污染、持久性有机污染物和生物性污染物的学习，使学生具备土壤卫生防护措施的能力。具有健康监测、健康风险评估能力。</w:t>
            </w:r>
          </w:p>
          <w:p w14:paraId="0723FFE2">
            <w:pPr>
              <w:widowControl w:val="0"/>
              <w:snapToGrid w:val="0"/>
              <w:spacing w:line="280" w:lineRule="exact"/>
              <w:ind w:right="-137" w:rightChars="-57"/>
              <w:jc w:val="left"/>
              <w:rPr>
                <w:rFonts w:hint="eastAsia" w:cs="仿宋"/>
                <w:bCs/>
                <w:sz w:val="20"/>
                <w:szCs w:val="20"/>
              </w:rPr>
            </w:pPr>
            <w:r>
              <w:rPr>
                <w:rFonts w:hint="eastAsia" w:cs="仿宋"/>
                <w:bCs/>
                <w:sz w:val="20"/>
                <w:szCs w:val="20"/>
              </w:rPr>
              <w:t>教学重点：</w:t>
            </w:r>
            <w:r>
              <w:rPr>
                <w:rFonts w:hint="eastAsia"/>
                <w:sz w:val="20"/>
                <w:szCs w:val="20"/>
              </w:rPr>
              <w:t>土壤的组成、物理学、化学和生物学特征、土壤污染及净化作用和转归</w:t>
            </w:r>
            <w:r>
              <w:rPr>
                <w:rFonts w:hint="eastAsia" w:cs="仿宋"/>
                <w:bCs/>
                <w:sz w:val="20"/>
                <w:szCs w:val="20"/>
              </w:rPr>
              <w:t>。</w:t>
            </w:r>
          </w:p>
          <w:p w14:paraId="0B1C3375">
            <w:pPr>
              <w:widowControl w:val="0"/>
              <w:snapToGrid w:val="0"/>
              <w:spacing w:line="280" w:lineRule="exact"/>
              <w:ind w:right="-137" w:rightChars="-57"/>
              <w:jc w:val="left"/>
              <w:rPr>
                <w:rFonts w:hint="eastAsia"/>
              </w:rPr>
            </w:pPr>
            <w:r>
              <w:rPr>
                <w:rFonts w:hint="eastAsia" w:cs="仿宋"/>
                <w:bCs/>
                <w:sz w:val="20"/>
                <w:szCs w:val="20"/>
              </w:rPr>
              <w:t>教学难点：</w:t>
            </w:r>
            <w:r>
              <w:rPr>
                <w:rFonts w:hint="eastAsia"/>
                <w:sz w:val="20"/>
                <w:szCs w:val="20"/>
              </w:rPr>
              <w:t>土壤污染对健康的影响</w:t>
            </w:r>
          </w:p>
          <w:p w14:paraId="53EEC560">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生物地球化学性疾病</w:t>
            </w:r>
          </w:p>
          <w:p w14:paraId="0A16E4B8">
            <w:pPr>
              <w:pStyle w:val="16"/>
              <w:widowControl w:val="0"/>
              <w:jc w:val="left"/>
              <w:rPr>
                <w:rFonts w:hint="eastAsia" w:ascii="宋体" w:hAnsi="宋体" w:cs="仿宋"/>
                <w:bCs/>
                <w:sz w:val="20"/>
                <w:szCs w:val="20"/>
              </w:rPr>
            </w:pPr>
            <w:r>
              <w:rPr>
                <w:rFonts w:hint="eastAsia" w:ascii="宋体" w:hAnsi="宋体" w:cs="仿宋"/>
                <w:bCs/>
                <w:sz w:val="20"/>
                <w:szCs w:val="20"/>
              </w:rPr>
              <w:t>7、1知道生物地球化学性疾病的流行特征，影响因素和控制措施</w:t>
            </w:r>
          </w:p>
          <w:p w14:paraId="2B512F73">
            <w:pPr>
              <w:pStyle w:val="16"/>
              <w:widowControl w:val="0"/>
              <w:jc w:val="left"/>
              <w:rPr>
                <w:rFonts w:hint="eastAsia" w:ascii="宋体" w:hAnsi="宋体" w:cs="仿宋"/>
                <w:bCs/>
                <w:sz w:val="20"/>
                <w:szCs w:val="20"/>
              </w:rPr>
            </w:pPr>
            <w:r>
              <w:rPr>
                <w:rFonts w:hint="eastAsia" w:ascii="宋体" w:hAnsi="宋体" w:cs="仿宋"/>
                <w:bCs/>
                <w:sz w:val="20"/>
                <w:szCs w:val="20"/>
              </w:rPr>
              <w:t>7、2知道碘缺乏病的流行病学特征，地方性甲状腺肿和地方性克汀病的预防和治疗原则</w:t>
            </w:r>
          </w:p>
          <w:p w14:paraId="649628FD">
            <w:pPr>
              <w:pStyle w:val="16"/>
              <w:widowControl w:val="0"/>
              <w:jc w:val="left"/>
              <w:rPr>
                <w:rFonts w:hint="eastAsia" w:ascii="宋体" w:hAnsi="宋体" w:cs="仿宋"/>
                <w:bCs/>
                <w:sz w:val="20"/>
                <w:szCs w:val="20"/>
              </w:rPr>
            </w:pPr>
            <w:r>
              <w:rPr>
                <w:rFonts w:hint="eastAsia" w:ascii="宋体" w:hAnsi="宋体" w:cs="仿宋"/>
                <w:bCs/>
                <w:sz w:val="20"/>
                <w:szCs w:val="20"/>
              </w:rPr>
              <w:t>7、3地方性氟中毒的流行并学特征，发病原因和机制、临床表现、诊断和预防治疗原则</w:t>
            </w:r>
          </w:p>
          <w:p w14:paraId="6FAF666C">
            <w:pPr>
              <w:pStyle w:val="16"/>
              <w:widowControl w:val="0"/>
              <w:jc w:val="left"/>
              <w:rPr>
                <w:rFonts w:hint="eastAsia" w:ascii="宋体" w:hAnsi="宋体" w:cs="仿宋"/>
                <w:bCs/>
                <w:sz w:val="20"/>
                <w:szCs w:val="20"/>
              </w:rPr>
            </w:pPr>
            <w:r>
              <w:rPr>
                <w:rFonts w:hint="eastAsia" w:ascii="宋体" w:hAnsi="宋体" w:cs="仿宋"/>
                <w:bCs/>
                <w:sz w:val="20"/>
                <w:szCs w:val="20"/>
              </w:rPr>
              <w:t>能力要求：通过碘缺乏病、地方性氟中毒的基本知识的学习，具备预防和治疗此类疾病的能力。</w:t>
            </w:r>
          </w:p>
          <w:p w14:paraId="36F92862">
            <w:pPr>
              <w:pStyle w:val="16"/>
              <w:widowControl w:val="0"/>
              <w:jc w:val="left"/>
              <w:rPr>
                <w:rFonts w:hint="eastAsia" w:ascii="宋体" w:hAnsi="宋体" w:cs="仿宋"/>
                <w:bCs/>
                <w:sz w:val="20"/>
                <w:szCs w:val="20"/>
              </w:rPr>
            </w:pPr>
            <w:r>
              <w:rPr>
                <w:rFonts w:hint="eastAsia" w:ascii="宋体" w:hAnsi="宋体" w:cs="仿宋"/>
                <w:bCs/>
                <w:sz w:val="20"/>
                <w:szCs w:val="20"/>
              </w:rPr>
              <w:t>教学重点：生物地球化学性疾病的流行特征、影响因素及控制措施。</w:t>
            </w:r>
          </w:p>
          <w:p w14:paraId="0F8F07DA">
            <w:pPr>
              <w:pStyle w:val="16"/>
              <w:widowControl w:val="0"/>
              <w:jc w:val="left"/>
              <w:rPr>
                <w:rFonts w:hint="eastAsia" w:ascii="宋体" w:hAnsi="宋体" w:cs="仿宋"/>
                <w:bCs/>
                <w:sz w:val="20"/>
                <w:szCs w:val="20"/>
              </w:rPr>
            </w:pPr>
            <w:r>
              <w:rPr>
                <w:rFonts w:hint="eastAsia" w:ascii="宋体" w:hAnsi="宋体" w:cs="仿宋"/>
                <w:bCs/>
                <w:sz w:val="20"/>
                <w:szCs w:val="20"/>
              </w:rPr>
              <w:t>教学难点：碘缺乏病、地方性氟中毒的特征及表现。</w:t>
            </w:r>
          </w:p>
          <w:p w14:paraId="7D2CFE46">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环境污染性疾病</w:t>
            </w:r>
          </w:p>
          <w:p w14:paraId="4223B998">
            <w:pPr>
              <w:widowControl w:val="0"/>
              <w:snapToGrid w:val="0"/>
              <w:spacing w:line="280" w:lineRule="exact"/>
              <w:jc w:val="both"/>
              <w:rPr>
                <w:rFonts w:hint="eastAsia" w:cs="仿宋"/>
                <w:bCs/>
                <w:sz w:val="20"/>
                <w:szCs w:val="20"/>
              </w:rPr>
            </w:pPr>
            <w:r>
              <w:rPr>
                <w:rFonts w:hint="eastAsia" w:cs="仿宋"/>
                <w:bCs/>
                <w:sz w:val="20"/>
                <w:szCs w:val="20"/>
              </w:rPr>
              <w:t>8、1知道慢性甲基汞中毒和慢性镉中毒的发病原因与机制、流行概况、临床表现及诊断标准、防治原则。</w:t>
            </w:r>
          </w:p>
          <w:p w14:paraId="6F93C0ED">
            <w:pPr>
              <w:widowControl w:val="0"/>
              <w:snapToGrid w:val="0"/>
              <w:spacing w:line="280" w:lineRule="exact"/>
              <w:jc w:val="both"/>
              <w:rPr>
                <w:rFonts w:hint="eastAsia" w:cs="仿宋"/>
                <w:bCs/>
                <w:sz w:val="20"/>
                <w:szCs w:val="20"/>
              </w:rPr>
            </w:pPr>
            <w:r>
              <w:rPr>
                <w:rFonts w:hint="eastAsia" w:cs="仿宋"/>
                <w:bCs/>
                <w:sz w:val="20"/>
                <w:szCs w:val="20"/>
              </w:rPr>
              <w:t>8、2了解宣威肺癌的病因学研究、环境流行病学研究以及防治对策。</w:t>
            </w:r>
          </w:p>
          <w:p w14:paraId="125D3398">
            <w:pPr>
              <w:pStyle w:val="16"/>
              <w:widowControl w:val="0"/>
              <w:jc w:val="left"/>
              <w:rPr>
                <w:rFonts w:hint="eastAsia" w:ascii="宋体" w:hAnsi="宋体" w:cs="仿宋"/>
                <w:bCs/>
                <w:sz w:val="20"/>
                <w:szCs w:val="20"/>
              </w:rPr>
            </w:pPr>
            <w:r>
              <w:rPr>
                <w:rFonts w:hint="eastAsia" w:ascii="宋体" w:hAnsi="宋体" w:cs="仿宋"/>
                <w:bCs/>
                <w:sz w:val="20"/>
                <w:szCs w:val="20"/>
              </w:rPr>
              <w:t>8、3了解军团病的病因、发病机制、流行病学特征、临床表现和诊断以及防治措施。</w:t>
            </w:r>
          </w:p>
          <w:p w14:paraId="1C910C7D">
            <w:pPr>
              <w:widowControl w:val="0"/>
              <w:snapToGrid w:val="0"/>
              <w:spacing w:line="280" w:lineRule="exact"/>
              <w:jc w:val="both"/>
              <w:rPr>
                <w:rFonts w:hint="eastAsia" w:cs="仿宋"/>
                <w:bCs/>
                <w:sz w:val="20"/>
                <w:szCs w:val="20"/>
              </w:rPr>
            </w:pPr>
            <w:r>
              <w:rPr>
                <w:rFonts w:hint="eastAsia" w:cs="仿宋"/>
                <w:bCs/>
                <w:sz w:val="20"/>
                <w:szCs w:val="20"/>
              </w:rPr>
              <w:t>能力要求：通过慢性甲基汞中毒、慢性镉中毒、宣威肺癌和军团病基础知识的学习，具备预防此类疾病的能力。</w:t>
            </w:r>
          </w:p>
          <w:p w14:paraId="0398C8B8">
            <w:pPr>
              <w:pStyle w:val="16"/>
              <w:widowControl w:val="0"/>
              <w:jc w:val="left"/>
              <w:rPr>
                <w:rFonts w:hint="eastAsia" w:ascii="宋体" w:hAnsi="宋体" w:cs="仿宋"/>
                <w:bCs/>
                <w:sz w:val="20"/>
                <w:szCs w:val="20"/>
              </w:rPr>
            </w:pPr>
            <w:r>
              <w:rPr>
                <w:rFonts w:hint="eastAsia" w:ascii="宋体" w:hAnsi="宋体" w:cs="仿宋"/>
                <w:bCs/>
                <w:sz w:val="20"/>
                <w:szCs w:val="20"/>
              </w:rPr>
              <w:t>教学重点：慢性甲基汞中毒和慢性镉中毒的发病原因与机制、流行概况、临床表现及诊断标准、防治原则。</w:t>
            </w:r>
          </w:p>
          <w:p w14:paraId="1758DBE4">
            <w:pPr>
              <w:pStyle w:val="16"/>
              <w:widowControl w:val="0"/>
              <w:jc w:val="left"/>
              <w:rPr>
                <w:rFonts w:hint="eastAsia" w:ascii="宋体" w:hAnsi="宋体" w:cs="仿宋"/>
                <w:bCs/>
                <w:sz w:val="20"/>
                <w:szCs w:val="20"/>
              </w:rPr>
            </w:pPr>
            <w:r>
              <w:rPr>
                <w:rFonts w:hint="eastAsia" w:ascii="宋体" w:hAnsi="宋体" w:cs="仿宋"/>
                <w:bCs/>
                <w:sz w:val="20"/>
                <w:szCs w:val="20"/>
              </w:rPr>
              <w:t>教学难点：宣威肺癌、军团病的病因学研究、环境流行病学研究以及防治对策。</w:t>
            </w:r>
          </w:p>
          <w:p w14:paraId="46F87146">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住宅与办公场所卫生</w:t>
            </w:r>
          </w:p>
          <w:p w14:paraId="441E7427">
            <w:pPr>
              <w:pStyle w:val="16"/>
              <w:widowControl w:val="0"/>
              <w:jc w:val="left"/>
              <w:rPr>
                <w:rFonts w:hint="eastAsia" w:ascii="宋体" w:hAnsi="宋体" w:cs="仿宋"/>
                <w:bCs/>
                <w:sz w:val="20"/>
                <w:szCs w:val="20"/>
              </w:rPr>
            </w:pPr>
            <w:r>
              <w:rPr>
                <w:rFonts w:hint="eastAsia" w:ascii="宋体" w:hAnsi="宋体" w:cs="仿宋"/>
                <w:bCs/>
                <w:sz w:val="20"/>
                <w:szCs w:val="20"/>
              </w:rPr>
              <w:t>9、1 住宅的卫生学意义和卫生要求、住宅小气候对健康的影响</w:t>
            </w:r>
          </w:p>
          <w:p w14:paraId="5F5AE152">
            <w:pPr>
              <w:pStyle w:val="16"/>
              <w:widowControl w:val="0"/>
              <w:jc w:val="left"/>
              <w:rPr>
                <w:rFonts w:hint="eastAsia" w:ascii="宋体" w:hAnsi="宋体" w:cs="仿宋"/>
                <w:bCs/>
                <w:sz w:val="20"/>
                <w:szCs w:val="20"/>
              </w:rPr>
            </w:pPr>
            <w:r>
              <w:rPr>
                <w:rFonts w:hint="eastAsia" w:ascii="宋体" w:hAnsi="宋体" w:cs="仿宋"/>
                <w:bCs/>
                <w:sz w:val="20"/>
                <w:szCs w:val="20"/>
              </w:rPr>
              <w:t>9、2 室内空气污染对健康的影响及其控制措施</w:t>
            </w:r>
          </w:p>
          <w:p w14:paraId="3C82E8DF">
            <w:pPr>
              <w:pStyle w:val="16"/>
              <w:widowControl w:val="0"/>
              <w:jc w:val="left"/>
              <w:rPr>
                <w:rFonts w:hint="eastAsia" w:ascii="宋体" w:hAnsi="宋体" w:cs="仿宋"/>
                <w:bCs/>
                <w:sz w:val="20"/>
                <w:szCs w:val="20"/>
              </w:rPr>
            </w:pPr>
            <w:r>
              <w:rPr>
                <w:rFonts w:hint="eastAsia" w:ascii="宋体" w:hAnsi="宋体" w:cs="仿宋"/>
                <w:bCs/>
                <w:sz w:val="20"/>
                <w:szCs w:val="20"/>
              </w:rPr>
              <w:t>9、3办公场所卫生、办公场所卫生的管理与卫生监督</w:t>
            </w:r>
          </w:p>
          <w:p w14:paraId="052C83F0">
            <w:pPr>
              <w:pStyle w:val="16"/>
              <w:widowControl w:val="0"/>
              <w:jc w:val="left"/>
              <w:rPr>
                <w:rFonts w:hint="eastAsia" w:ascii="宋体" w:hAnsi="宋体" w:cs="仿宋"/>
                <w:bCs/>
                <w:sz w:val="20"/>
                <w:szCs w:val="20"/>
              </w:rPr>
            </w:pPr>
            <w:r>
              <w:rPr>
                <w:rFonts w:hint="eastAsia" w:ascii="宋体" w:hAnsi="宋体" w:cs="仿宋"/>
                <w:bCs/>
                <w:sz w:val="20"/>
                <w:szCs w:val="20"/>
              </w:rPr>
              <w:t>能力要求：</w:t>
            </w:r>
            <w:r>
              <w:rPr>
                <w:rFonts w:hint="eastAsia" w:ascii="宋体" w:hAnsi="宋体"/>
                <w:sz w:val="20"/>
                <w:szCs w:val="20"/>
              </w:rPr>
              <w:t>通过住宅卫生和办公场所卫生基本知识的学习，使学生具备住宅和办公场所卫生管理的能力。</w:t>
            </w:r>
          </w:p>
          <w:p w14:paraId="17CE4842">
            <w:pPr>
              <w:pStyle w:val="16"/>
              <w:widowControl w:val="0"/>
              <w:jc w:val="left"/>
              <w:rPr>
                <w:rFonts w:hint="eastAsia" w:ascii="宋体" w:hAnsi="宋体" w:cs="仿宋"/>
                <w:bCs/>
                <w:sz w:val="20"/>
                <w:szCs w:val="20"/>
              </w:rPr>
            </w:pPr>
            <w:r>
              <w:rPr>
                <w:rFonts w:hint="eastAsia" w:ascii="宋体" w:hAnsi="宋体" w:cs="仿宋"/>
                <w:bCs/>
                <w:sz w:val="20"/>
                <w:szCs w:val="20"/>
              </w:rPr>
              <w:t>教学重点：住宅小气候对健康的影响及卫生要求</w:t>
            </w:r>
          </w:p>
          <w:p w14:paraId="5FB6DD0C">
            <w:pPr>
              <w:pStyle w:val="16"/>
              <w:widowControl w:val="0"/>
              <w:jc w:val="left"/>
              <w:rPr>
                <w:rFonts w:hint="eastAsia" w:ascii="宋体" w:hAnsi="宋体" w:cs="仿宋"/>
                <w:bCs/>
                <w:sz w:val="20"/>
                <w:szCs w:val="20"/>
              </w:rPr>
            </w:pPr>
            <w:r>
              <w:rPr>
                <w:rFonts w:hint="eastAsia" w:ascii="宋体" w:hAnsi="宋体" w:cs="仿宋"/>
                <w:bCs/>
                <w:sz w:val="20"/>
                <w:szCs w:val="20"/>
              </w:rPr>
              <w:t>教学难点：室内空气污染对健康的影响及其控制措施；办公场所卫生的管理与卫生监督</w:t>
            </w:r>
          </w:p>
          <w:p w14:paraId="054B03BC">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公共场所卫生</w:t>
            </w:r>
          </w:p>
          <w:p w14:paraId="29DAE5C4">
            <w:pPr>
              <w:pStyle w:val="16"/>
              <w:widowControl w:val="0"/>
              <w:jc w:val="left"/>
              <w:rPr>
                <w:rFonts w:hint="eastAsia" w:ascii="宋体" w:hAnsi="宋体" w:cs="仿宋"/>
                <w:bCs/>
                <w:sz w:val="20"/>
                <w:szCs w:val="20"/>
              </w:rPr>
            </w:pPr>
            <w:r>
              <w:rPr>
                <w:rFonts w:hint="eastAsia" w:ascii="宋体" w:hAnsi="宋体" w:cs="仿宋"/>
                <w:bCs/>
                <w:sz w:val="20"/>
                <w:szCs w:val="20"/>
              </w:rPr>
              <w:t>10、1 知道公共场所的分类和范畴、卫生学特点、研究内容。</w:t>
            </w:r>
          </w:p>
          <w:p w14:paraId="4DAD58F5">
            <w:pPr>
              <w:pStyle w:val="16"/>
              <w:widowControl w:val="0"/>
              <w:jc w:val="left"/>
              <w:rPr>
                <w:rFonts w:hint="eastAsia" w:ascii="宋体" w:hAnsi="宋体" w:cs="仿宋"/>
                <w:bCs/>
                <w:sz w:val="20"/>
                <w:szCs w:val="20"/>
              </w:rPr>
            </w:pPr>
            <w:r>
              <w:rPr>
                <w:rFonts w:hint="eastAsia" w:ascii="宋体" w:hAnsi="宋体" w:cs="仿宋"/>
                <w:bCs/>
                <w:sz w:val="20"/>
                <w:szCs w:val="20"/>
              </w:rPr>
              <w:t>10、2 理解公共场所环境污染以及对人体健康的影响；公共场所的卫生要求。</w:t>
            </w:r>
          </w:p>
          <w:p w14:paraId="0E3A9728">
            <w:pPr>
              <w:pStyle w:val="16"/>
              <w:widowControl w:val="0"/>
              <w:jc w:val="left"/>
              <w:rPr>
                <w:rFonts w:hint="eastAsia" w:ascii="宋体" w:hAnsi="宋体" w:cs="仿宋"/>
                <w:bCs/>
                <w:sz w:val="20"/>
                <w:szCs w:val="20"/>
              </w:rPr>
            </w:pPr>
            <w:r>
              <w:rPr>
                <w:rFonts w:hint="eastAsia" w:ascii="宋体" w:hAnsi="宋体" w:cs="仿宋"/>
                <w:bCs/>
                <w:sz w:val="20"/>
                <w:szCs w:val="20"/>
              </w:rPr>
              <w:t>能力要求：通过公共场所卫生的基本知识的学习，使学生具备</w:t>
            </w:r>
            <w:r>
              <w:rPr>
                <w:rFonts w:ascii="宋体" w:hAnsi="宋体" w:cs="仿宋"/>
                <w:bCs/>
                <w:sz w:val="20"/>
                <w:szCs w:val="20"/>
              </w:rPr>
              <w:t>健康监测、健康风险评估能力</w:t>
            </w:r>
            <w:r>
              <w:rPr>
                <w:rFonts w:hint="eastAsia" w:ascii="宋体" w:hAnsi="宋体" w:cs="仿宋"/>
                <w:bCs/>
                <w:sz w:val="20"/>
                <w:szCs w:val="20"/>
              </w:rPr>
              <w:t>。教学重点：公共场所污染（空气污染、水污染、集中空调通风系统污染、公共用品用具污染。</w:t>
            </w:r>
          </w:p>
          <w:p w14:paraId="78C59F70">
            <w:pPr>
              <w:pStyle w:val="16"/>
              <w:widowControl w:val="0"/>
              <w:jc w:val="left"/>
              <w:rPr>
                <w:rFonts w:hint="eastAsia" w:ascii="宋体" w:hAnsi="宋体" w:cs="仿宋"/>
                <w:bCs/>
                <w:sz w:val="20"/>
                <w:szCs w:val="20"/>
              </w:rPr>
            </w:pPr>
            <w:r>
              <w:rPr>
                <w:rFonts w:hint="eastAsia" w:ascii="宋体" w:hAnsi="宋体" w:cs="仿宋"/>
                <w:bCs/>
                <w:sz w:val="20"/>
                <w:szCs w:val="20"/>
              </w:rPr>
              <w:t>教学难点：公共场所的卫生管理与监督</w:t>
            </w:r>
          </w:p>
          <w:p w14:paraId="680AC16C">
            <w:pPr>
              <w:pStyle w:val="16"/>
              <w:widowControl w:val="0"/>
              <w:jc w:val="left"/>
              <w:rPr>
                <w:rFonts w:hint="eastAsia" w:ascii="宋体" w:hAnsi="宋体" w:cs="仿宋"/>
                <w:bCs/>
                <w:sz w:val="20"/>
                <w:szCs w:val="20"/>
              </w:rPr>
            </w:pPr>
            <w:r>
              <w:rPr>
                <w:rFonts w:hint="eastAsia" w:ascii="宋体" w:hAnsi="宋体" w:cs="仿宋"/>
                <w:bCs/>
                <w:sz w:val="20"/>
                <w:szCs w:val="20"/>
              </w:rPr>
              <w:t>第十四章 突发环境污染事件及其应急处理</w:t>
            </w:r>
          </w:p>
          <w:p w14:paraId="7FAB4CBC">
            <w:pPr>
              <w:widowControl w:val="0"/>
              <w:snapToGrid w:val="0"/>
              <w:spacing w:line="296" w:lineRule="exact"/>
              <w:jc w:val="both"/>
              <w:rPr>
                <w:rFonts w:hint="eastAsia" w:cs="仿宋"/>
                <w:bCs/>
                <w:sz w:val="20"/>
                <w:szCs w:val="20"/>
              </w:rPr>
            </w:pPr>
            <w:r>
              <w:rPr>
                <w:rFonts w:hint="eastAsia" w:cs="仿宋"/>
                <w:bCs/>
                <w:sz w:val="20"/>
                <w:szCs w:val="20"/>
              </w:rPr>
              <w:t>14、1知道突发环境污染事件的概念、基本特征、分类、分级。</w:t>
            </w:r>
          </w:p>
          <w:p w14:paraId="69ABB5D7">
            <w:pPr>
              <w:widowControl w:val="0"/>
              <w:snapToGrid w:val="0"/>
              <w:spacing w:line="296" w:lineRule="exact"/>
              <w:ind w:right="-137" w:rightChars="-57"/>
              <w:jc w:val="left"/>
              <w:rPr>
                <w:rFonts w:hint="eastAsia" w:cs="仿宋"/>
                <w:bCs/>
                <w:sz w:val="20"/>
                <w:szCs w:val="20"/>
              </w:rPr>
            </w:pPr>
            <w:r>
              <w:rPr>
                <w:rFonts w:hint="eastAsia" w:cs="仿宋"/>
                <w:bCs/>
                <w:sz w:val="20"/>
                <w:szCs w:val="20"/>
              </w:rPr>
              <w:t>14、2理解突发环境污染事件对人群的危害。</w:t>
            </w:r>
          </w:p>
          <w:p w14:paraId="7B6BE885">
            <w:pPr>
              <w:pStyle w:val="16"/>
              <w:widowControl w:val="0"/>
              <w:jc w:val="left"/>
              <w:rPr>
                <w:rFonts w:hint="eastAsia" w:ascii="宋体" w:hAnsi="宋体" w:cs="仿宋"/>
                <w:bCs/>
                <w:sz w:val="20"/>
                <w:szCs w:val="20"/>
              </w:rPr>
            </w:pPr>
            <w:r>
              <w:rPr>
                <w:rFonts w:hint="eastAsia" w:ascii="宋体" w:hAnsi="宋体" w:cs="仿宋"/>
                <w:bCs/>
                <w:sz w:val="20"/>
                <w:szCs w:val="20"/>
              </w:rPr>
              <w:t>14、3运用突发环境污染事件的应急处理办法</w:t>
            </w:r>
          </w:p>
          <w:p w14:paraId="75C43A56">
            <w:pPr>
              <w:pStyle w:val="16"/>
              <w:widowControl w:val="0"/>
              <w:jc w:val="left"/>
              <w:rPr>
                <w:rFonts w:hint="eastAsia" w:ascii="宋体" w:hAnsi="宋体" w:cs="仿宋"/>
                <w:bCs/>
                <w:sz w:val="20"/>
                <w:szCs w:val="20"/>
              </w:rPr>
            </w:pPr>
            <w:r>
              <w:rPr>
                <w:rFonts w:hint="eastAsia" w:ascii="宋体" w:hAnsi="宋体" w:cs="仿宋"/>
                <w:bCs/>
                <w:sz w:val="20"/>
                <w:szCs w:val="20"/>
              </w:rPr>
              <w:t>能力要求：通过对突发环境污染事件的基本知识的学习，使学生具备应对突发环境污染等突发事件的应急能力。</w:t>
            </w:r>
          </w:p>
          <w:p w14:paraId="03FEF78C">
            <w:pPr>
              <w:widowControl w:val="0"/>
              <w:snapToGrid w:val="0"/>
              <w:spacing w:line="296" w:lineRule="exact"/>
              <w:ind w:right="-137" w:rightChars="-57"/>
              <w:jc w:val="left"/>
              <w:rPr>
                <w:rFonts w:hint="eastAsia" w:cs="仿宋"/>
                <w:bCs/>
                <w:sz w:val="20"/>
                <w:szCs w:val="20"/>
              </w:rPr>
            </w:pPr>
            <w:r>
              <w:rPr>
                <w:rFonts w:hint="eastAsia" w:cs="仿宋"/>
                <w:bCs/>
                <w:sz w:val="20"/>
                <w:szCs w:val="20"/>
              </w:rPr>
              <w:t>教学重点：突发环境污染事件的概念、基本特征、分类、分级</w:t>
            </w:r>
          </w:p>
          <w:p w14:paraId="28562062">
            <w:pPr>
              <w:pStyle w:val="16"/>
              <w:widowControl w:val="0"/>
              <w:jc w:val="left"/>
              <w:rPr>
                <w:rFonts w:hint="eastAsia" w:ascii="宋体" w:hAnsi="宋体" w:cs="仿宋"/>
                <w:bCs/>
                <w:sz w:val="20"/>
                <w:szCs w:val="20"/>
              </w:rPr>
            </w:pPr>
            <w:r>
              <w:rPr>
                <w:rFonts w:hint="eastAsia" w:ascii="宋体" w:hAnsi="宋体" w:cs="仿宋"/>
                <w:bCs/>
                <w:sz w:val="20"/>
                <w:szCs w:val="20"/>
              </w:rPr>
              <w:t>教学难点：运用突发环境污染事件的应急处理办法。</w:t>
            </w:r>
          </w:p>
        </w:tc>
      </w:tr>
      <w:bookmarkEnd w:id="0"/>
      <w:bookmarkEnd w:id="1"/>
    </w:tbl>
    <w:p w14:paraId="2A5AB53E">
      <w:pPr>
        <w:pStyle w:val="19"/>
        <w:spacing w:before="81" w:after="163"/>
      </w:pPr>
      <w:r>
        <w:rPr>
          <w:rFonts w:hint="eastAsia"/>
        </w:rPr>
        <w:t>（二）教学单元对课程目标的支撑关系</w:t>
      </w:r>
    </w:p>
    <w:tbl>
      <w:tblPr>
        <w:tblStyle w:val="9"/>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5356"/>
        <w:gridCol w:w="872"/>
        <w:gridCol w:w="870"/>
        <w:gridCol w:w="872"/>
        <w:gridCol w:w="826"/>
      </w:tblGrid>
      <w:tr w14:paraId="6D12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5230" w:type="dxa"/>
            <w:tcBorders>
              <w:top w:val="single" w:color="auto" w:sz="12" w:space="0"/>
              <w:left w:val="single" w:color="auto" w:sz="12" w:space="0"/>
              <w:tl2br w:val="single" w:color="auto" w:sz="4" w:space="0"/>
            </w:tcBorders>
          </w:tcPr>
          <w:p w14:paraId="4F3623DA">
            <w:pPr>
              <w:pStyle w:val="15"/>
              <w:ind w:firstLine="489"/>
              <w:jc w:val="right"/>
              <w:rPr>
                <w:szCs w:val="16"/>
              </w:rPr>
            </w:pPr>
            <w:r>
              <w:rPr>
                <w:rFonts w:hint="eastAsia"/>
                <w:szCs w:val="16"/>
              </w:rPr>
              <w:t>课程目标</w:t>
            </w:r>
          </w:p>
          <w:p w14:paraId="6B0A3178">
            <w:pPr>
              <w:pStyle w:val="15"/>
              <w:ind w:right="210"/>
              <w:jc w:val="left"/>
              <w:rPr>
                <w:szCs w:val="16"/>
              </w:rPr>
            </w:pPr>
          </w:p>
          <w:p w14:paraId="1092A6AD">
            <w:pPr>
              <w:pStyle w:val="15"/>
              <w:ind w:right="210"/>
              <w:jc w:val="left"/>
              <w:rPr>
                <w:szCs w:val="16"/>
              </w:rPr>
            </w:pPr>
            <w:r>
              <w:rPr>
                <w:rFonts w:hint="eastAsia"/>
                <w:szCs w:val="16"/>
              </w:rPr>
              <w:t>教学单元</w:t>
            </w:r>
          </w:p>
        </w:tc>
        <w:tc>
          <w:tcPr>
            <w:tcW w:w="851" w:type="dxa"/>
            <w:tcBorders>
              <w:top w:val="single" w:color="auto" w:sz="12" w:space="0"/>
            </w:tcBorders>
            <w:vAlign w:val="center"/>
          </w:tcPr>
          <w:p w14:paraId="6510F1EB">
            <w:pPr>
              <w:pStyle w:val="15"/>
              <w:rPr>
                <w:szCs w:val="16"/>
              </w:rPr>
            </w:pPr>
            <w:r>
              <w:rPr>
                <w:rFonts w:hint="eastAsia"/>
                <w:szCs w:val="16"/>
              </w:rPr>
              <w:t>1</w:t>
            </w:r>
          </w:p>
        </w:tc>
        <w:tc>
          <w:tcPr>
            <w:tcW w:w="850" w:type="dxa"/>
            <w:tcBorders>
              <w:top w:val="single" w:color="auto" w:sz="12" w:space="0"/>
            </w:tcBorders>
            <w:vAlign w:val="center"/>
          </w:tcPr>
          <w:p w14:paraId="561DB19E">
            <w:pPr>
              <w:pStyle w:val="15"/>
              <w:rPr>
                <w:szCs w:val="16"/>
              </w:rPr>
            </w:pPr>
            <w:r>
              <w:rPr>
                <w:rFonts w:hint="eastAsia"/>
                <w:szCs w:val="16"/>
              </w:rPr>
              <w:t>2</w:t>
            </w:r>
          </w:p>
        </w:tc>
        <w:tc>
          <w:tcPr>
            <w:tcW w:w="851" w:type="dxa"/>
            <w:tcBorders>
              <w:top w:val="single" w:color="auto" w:sz="12" w:space="0"/>
            </w:tcBorders>
            <w:vAlign w:val="center"/>
          </w:tcPr>
          <w:p w14:paraId="4C33CDCB">
            <w:pPr>
              <w:pStyle w:val="15"/>
              <w:rPr>
                <w:szCs w:val="16"/>
              </w:rPr>
            </w:pPr>
            <w:r>
              <w:rPr>
                <w:rFonts w:hint="eastAsia"/>
                <w:szCs w:val="16"/>
              </w:rPr>
              <w:t>3</w:t>
            </w:r>
          </w:p>
        </w:tc>
        <w:tc>
          <w:tcPr>
            <w:tcW w:w="807" w:type="dxa"/>
            <w:tcBorders>
              <w:top w:val="single" w:color="auto" w:sz="12" w:space="0"/>
              <w:right w:val="single" w:color="auto" w:sz="12" w:space="0"/>
            </w:tcBorders>
            <w:vAlign w:val="center"/>
          </w:tcPr>
          <w:p w14:paraId="7A6AC4F3">
            <w:pPr>
              <w:pStyle w:val="15"/>
              <w:rPr>
                <w:szCs w:val="16"/>
              </w:rPr>
            </w:pPr>
            <w:r>
              <w:rPr>
                <w:rFonts w:hint="eastAsia"/>
                <w:szCs w:val="16"/>
              </w:rPr>
              <w:t>4</w:t>
            </w:r>
          </w:p>
        </w:tc>
      </w:tr>
      <w:tr w14:paraId="6509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7FA4176D">
            <w:pPr>
              <w:pStyle w:val="16"/>
              <w:widowControl w:val="0"/>
              <w:jc w:val="left"/>
            </w:pPr>
            <w:r>
              <w:rPr>
                <w:rFonts w:hint="eastAsia" w:ascii="宋体" w:hAnsi="宋体"/>
                <w:bCs/>
              </w:rPr>
              <w:t>第一章 绪论</w:t>
            </w:r>
          </w:p>
        </w:tc>
        <w:tc>
          <w:tcPr>
            <w:tcW w:w="851" w:type="dxa"/>
            <w:vAlign w:val="center"/>
          </w:tcPr>
          <w:p w14:paraId="5523A5B6">
            <w:pPr>
              <w:pStyle w:val="16"/>
            </w:pPr>
            <w:r>
              <w:rPr>
                <w:rFonts w:ascii="Arial" w:hAnsi="Arial" w:cs="Arial"/>
              </w:rPr>
              <w:t>√</w:t>
            </w:r>
          </w:p>
        </w:tc>
        <w:tc>
          <w:tcPr>
            <w:tcW w:w="850" w:type="dxa"/>
            <w:vAlign w:val="center"/>
          </w:tcPr>
          <w:p w14:paraId="53990D5C">
            <w:pPr>
              <w:pStyle w:val="16"/>
            </w:pPr>
            <w:r>
              <w:rPr>
                <w:rFonts w:ascii="Arial" w:hAnsi="Arial" w:cs="Arial"/>
              </w:rPr>
              <w:t>√</w:t>
            </w:r>
          </w:p>
        </w:tc>
        <w:tc>
          <w:tcPr>
            <w:tcW w:w="851" w:type="dxa"/>
            <w:vAlign w:val="center"/>
          </w:tcPr>
          <w:p w14:paraId="31A25EE2">
            <w:pPr>
              <w:pStyle w:val="16"/>
            </w:pPr>
          </w:p>
        </w:tc>
        <w:tc>
          <w:tcPr>
            <w:tcW w:w="807" w:type="dxa"/>
            <w:tcBorders>
              <w:right w:val="single" w:color="auto" w:sz="12" w:space="0"/>
            </w:tcBorders>
          </w:tcPr>
          <w:p w14:paraId="3D1EE37C">
            <w:pPr>
              <w:pStyle w:val="16"/>
            </w:pPr>
            <w:r>
              <w:rPr>
                <w:rFonts w:hint="eastAsia"/>
              </w:rPr>
              <w:t>√</w:t>
            </w:r>
          </w:p>
        </w:tc>
      </w:tr>
      <w:tr w14:paraId="27FD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49155801">
            <w:pPr>
              <w:pStyle w:val="16"/>
              <w:widowControl w:val="0"/>
              <w:jc w:val="left"/>
            </w:pPr>
            <w:r>
              <w:rPr>
                <w:rFonts w:hint="eastAsia" w:ascii="宋体" w:hAnsi="宋体" w:cs="仿宋"/>
                <w:bCs/>
                <w:sz w:val="20"/>
                <w:szCs w:val="20"/>
              </w:rPr>
              <w:t>第二章 环境与健康的关系</w:t>
            </w:r>
          </w:p>
        </w:tc>
        <w:tc>
          <w:tcPr>
            <w:tcW w:w="851" w:type="dxa"/>
            <w:vAlign w:val="center"/>
          </w:tcPr>
          <w:p w14:paraId="52DE0850">
            <w:pPr>
              <w:pStyle w:val="16"/>
            </w:pPr>
            <w:r>
              <w:rPr>
                <w:rFonts w:ascii="Arial" w:hAnsi="Arial" w:cs="Arial"/>
              </w:rPr>
              <w:t>√</w:t>
            </w:r>
          </w:p>
        </w:tc>
        <w:tc>
          <w:tcPr>
            <w:tcW w:w="850" w:type="dxa"/>
            <w:vAlign w:val="center"/>
          </w:tcPr>
          <w:p w14:paraId="2AF1B8C2">
            <w:pPr>
              <w:pStyle w:val="16"/>
            </w:pPr>
            <w:r>
              <w:rPr>
                <w:rFonts w:ascii="Arial" w:hAnsi="Arial" w:cs="Arial"/>
              </w:rPr>
              <w:t>√</w:t>
            </w:r>
          </w:p>
        </w:tc>
        <w:tc>
          <w:tcPr>
            <w:tcW w:w="851" w:type="dxa"/>
            <w:vAlign w:val="center"/>
          </w:tcPr>
          <w:p w14:paraId="1649C033">
            <w:pPr>
              <w:pStyle w:val="16"/>
            </w:pPr>
          </w:p>
        </w:tc>
        <w:tc>
          <w:tcPr>
            <w:tcW w:w="807" w:type="dxa"/>
            <w:tcBorders>
              <w:right w:val="single" w:color="auto" w:sz="12" w:space="0"/>
            </w:tcBorders>
          </w:tcPr>
          <w:p w14:paraId="265F1036">
            <w:pPr>
              <w:pStyle w:val="16"/>
            </w:pPr>
            <w:r>
              <w:rPr>
                <w:rFonts w:hint="eastAsia"/>
              </w:rPr>
              <w:t>√</w:t>
            </w:r>
          </w:p>
        </w:tc>
      </w:tr>
      <w:tr w14:paraId="0347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4C5B1E08">
            <w:pPr>
              <w:pStyle w:val="16"/>
              <w:widowControl w:val="0"/>
              <w:jc w:val="left"/>
            </w:pPr>
            <w:r>
              <w:rPr>
                <w:rFonts w:hint="eastAsia" w:ascii="宋体" w:hAnsi="宋体" w:cs="仿宋"/>
                <w:bCs/>
                <w:sz w:val="20"/>
                <w:szCs w:val="20"/>
              </w:rPr>
              <w:t>第三章 大气卫生</w:t>
            </w:r>
          </w:p>
        </w:tc>
        <w:tc>
          <w:tcPr>
            <w:tcW w:w="851" w:type="dxa"/>
          </w:tcPr>
          <w:p w14:paraId="5E9BE688">
            <w:pPr>
              <w:pStyle w:val="16"/>
            </w:pPr>
            <w:r>
              <w:rPr>
                <w:rFonts w:hint="eastAsia"/>
              </w:rPr>
              <w:t>√</w:t>
            </w:r>
          </w:p>
        </w:tc>
        <w:tc>
          <w:tcPr>
            <w:tcW w:w="850" w:type="dxa"/>
          </w:tcPr>
          <w:p w14:paraId="1DE7D024">
            <w:pPr>
              <w:pStyle w:val="16"/>
            </w:pPr>
            <w:r>
              <w:rPr>
                <w:rFonts w:hint="eastAsia"/>
              </w:rPr>
              <w:t>√</w:t>
            </w:r>
          </w:p>
        </w:tc>
        <w:tc>
          <w:tcPr>
            <w:tcW w:w="851" w:type="dxa"/>
            <w:vAlign w:val="center"/>
          </w:tcPr>
          <w:p w14:paraId="6128BBA9">
            <w:pPr>
              <w:pStyle w:val="16"/>
            </w:pPr>
            <w:r>
              <w:rPr>
                <w:rFonts w:ascii="Arial" w:hAnsi="Arial" w:cs="Arial"/>
              </w:rPr>
              <w:t>√</w:t>
            </w:r>
          </w:p>
        </w:tc>
        <w:tc>
          <w:tcPr>
            <w:tcW w:w="807" w:type="dxa"/>
            <w:tcBorders>
              <w:right w:val="single" w:color="auto" w:sz="12" w:space="0"/>
            </w:tcBorders>
          </w:tcPr>
          <w:p w14:paraId="72B42047">
            <w:pPr>
              <w:pStyle w:val="16"/>
            </w:pPr>
            <w:r>
              <w:rPr>
                <w:rFonts w:hint="eastAsia"/>
              </w:rPr>
              <w:t>√</w:t>
            </w:r>
          </w:p>
        </w:tc>
      </w:tr>
      <w:tr w14:paraId="5B3F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5DB55A14">
            <w:pPr>
              <w:pStyle w:val="16"/>
              <w:widowControl w:val="0"/>
              <w:jc w:val="left"/>
            </w:pPr>
            <w:r>
              <w:rPr>
                <w:rFonts w:hint="eastAsia" w:ascii="宋体" w:hAnsi="宋体" w:cs="仿宋"/>
                <w:bCs/>
                <w:sz w:val="20"/>
                <w:szCs w:val="20"/>
              </w:rPr>
              <w:t>第四章 水体卫生</w:t>
            </w:r>
          </w:p>
        </w:tc>
        <w:tc>
          <w:tcPr>
            <w:tcW w:w="851" w:type="dxa"/>
          </w:tcPr>
          <w:p w14:paraId="114D93BA">
            <w:pPr>
              <w:pStyle w:val="16"/>
            </w:pPr>
            <w:r>
              <w:rPr>
                <w:rFonts w:hint="eastAsia"/>
              </w:rPr>
              <w:t>√</w:t>
            </w:r>
          </w:p>
        </w:tc>
        <w:tc>
          <w:tcPr>
            <w:tcW w:w="850" w:type="dxa"/>
          </w:tcPr>
          <w:p w14:paraId="6829049C">
            <w:pPr>
              <w:pStyle w:val="16"/>
            </w:pPr>
            <w:r>
              <w:rPr>
                <w:rFonts w:hint="eastAsia"/>
              </w:rPr>
              <w:t>√</w:t>
            </w:r>
          </w:p>
        </w:tc>
        <w:tc>
          <w:tcPr>
            <w:tcW w:w="851" w:type="dxa"/>
            <w:vAlign w:val="center"/>
          </w:tcPr>
          <w:p w14:paraId="08A2BDCD">
            <w:pPr>
              <w:pStyle w:val="16"/>
            </w:pPr>
            <w:r>
              <w:rPr>
                <w:rFonts w:ascii="Arial" w:hAnsi="Arial" w:cs="Arial"/>
              </w:rPr>
              <w:t>√</w:t>
            </w:r>
          </w:p>
        </w:tc>
        <w:tc>
          <w:tcPr>
            <w:tcW w:w="807" w:type="dxa"/>
            <w:tcBorders>
              <w:right w:val="single" w:color="auto" w:sz="12" w:space="0"/>
            </w:tcBorders>
          </w:tcPr>
          <w:p w14:paraId="66580EE1">
            <w:pPr>
              <w:pStyle w:val="16"/>
            </w:pPr>
            <w:r>
              <w:rPr>
                <w:rFonts w:hint="eastAsia"/>
              </w:rPr>
              <w:t>√</w:t>
            </w:r>
          </w:p>
        </w:tc>
      </w:tr>
      <w:tr w14:paraId="122B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3479E586">
            <w:pPr>
              <w:pStyle w:val="16"/>
              <w:widowControl w:val="0"/>
              <w:jc w:val="left"/>
            </w:pPr>
            <w:r>
              <w:rPr>
                <w:rFonts w:hint="eastAsia"/>
              </w:rPr>
              <w:t xml:space="preserve">第五章 </w:t>
            </w:r>
            <w:r>
              <w:rPr>
                <w:rFonts w:hint="eastAsia" w:ascii="宋体" w:hAnsi="宋体" w:cs="仿宋"/>
                <w:bCs/>
                <w:sz w:val="20"/>
                <w:szCs w:val="20"/>
              </w:rPr>
              <w:t>饮用水卫生</w:t>
            </w:r>
          </w:p>
        </w:tc>
        <w:tc>
          <w:tcPr>
            <w:tcW w:w="851" w:type="dxa"/>
          </w:tcPr>
          <w:p w14:paraId="43671BEC">
            <w:pPr>
              <w:pStyle w:val="16"/>
            </w:pPr>
            <w:r>
              <w:rPr>
                <w:rFonts w:hint="eastAsia"/>
              </w:rPr>
              <w:t>√</w:t>
            </w:r>
          </w:p>
        </w:tc>
        <w:tc>
          <w:tcPr>
            <w:tcW w:w="850" w:type="dxa"/>
          </w:tcPr>
          <w:p w14:paraId="65A70932">
            <w:pPr>
              <w:pStyle w:val="16"/>
            </w:pPr>
            <w:r>
              <w:rPr>
                <w:rFonts w:hint="eastAsia"/>
              </w:rPr>
              <w:t>√</w:t>
            </w:r>
          </w:p>
        </w:tc>
        <w:tc>
          <w:tcPr>
            <w:tcW w:w="851" w:type="dxa"/>
            <w:vAlign w:val="center"/>
          </w:tcPr>
          <w:p w14:paraId="5418A28C">
            <w:pPr>
              <w:pStyle w:val="16"/>
            </w:pPr>
            <w:r>
              <w:rPr>
                <w:rFonts w:ascii="Arial" w:hAnsi="Arial" w:cs="Arial"/>
              </w:rPr>
              <w:t>√</w:t>
            </w:r>
          </w:p>
        </w:tc>
        <w:tc>
          <w:tcPr>
            <w:tcW w:w="807" w:type="dxa"/>
            <w:tcBorders>
              <w:right w:val="single" w:color="auto" w:sz="12" w:space="0"/>
            </w:tcBorders>
          </w:tcPr>
          <w:p w14:paraId="5020B777">
            <w:pPr>
              <w:pStyle w:val="16"/>
            </w:pPr>
            <w:r>
              <w:rPr>
                <w:rFonts w:hint="eastAsia"/>
              </w:rPr>
              <w:t>√</w:t>
            </w:r>
          </w:p>
        </w:tc>
      </w:tr>
      <w:tr w14:paraId="5531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1D3343A0">
            <w:pPr>
              <w:pStyle w:val="16"/>
              <w:widowControl w:val="0"/>
              <w:jc w:val="left"/>
            </w:pPr>
            <w:r>
              <w:rPr>
                <w:rFonts w:hint="eastAsia"/>
              </w:rPr>
              <w:t xml:space="preserve">第六章 </w:t>
            </w:r>
            <w:r>
              <w:rPr>
                <w:rFonts w:hint="eastAsia" w:ascii="宋体" w:hAnsi="宋体" w:cs="仿宋"/>
                <w:bCs/>
                <w:sz w:val="20"/>
                <w:szCs w:val="20"/>
              </w:rPr>
              <w:t>土壤卫生</w:t>
            </w:r>
          </w:p>
        </w:tc>
        <w:tc>
          <w:tcPr>
            <w:tcW w:w="851" w:type="dxa"/>
          </w:tcPr>
          <w:p w14:paraId="52B624D2">
            <w:pPr>
              <w:pStyle w:val="16"/>
            </w:pPr>
            <w:r>
              <w:rPr>
                <w:rFonts w:hint="eastAsia"/>
              </w:rPr>
              <w:t>√</w:t>
            </w:r>
          </w:p>
        </w:tc>
        <w:tc>
          <w:tcPr>
            <w:tcW w:w="850" w:type="dxa"/>
          </w:tcPr>
          <w:p w14:paraId="30AF6202">
            <w:pPr>
              <w:pStyle w:val="16"/>
            </w:pPr>
            <w:r>
              <w:rPr>
                <w:rFonts w:hint="eastAsia"/>
              </w:rPr>
              <w:t>√</w:t>
            </w:r>
          </w:p>
        </w:tc>
        <w:tc>
          <w:tcPr>
            <w:tcW w:w="851" w:type="dxa"/>
            <w:vAlign w:val="center"/>
          </w:tcPr>
          <w:p w14:paraId="534FB8C6">
            <w:pPr>
              <w:pStyle w:val="16"/>
            </w:pPr>
            <w:r>
              <w:rPr>
                <w:rFonts w:ascii="Arial" w:hAnsi="Arial" w:cs="Arial"/>
              </w:rPr>
              <w:t>√</w:t>
            </w:r>
          </w:p>
        </w:tc>
        <w:tc>
          <w:tcPr>
            <w:tcW w:w="807" w:type="dxa"/>
            <w:tcBorders>
              <w:right w:val="single" w:color="auto" w:sz="12" w:space="0"/>
            </w:tcBorders>
          </w:tcPr>
          <w:p w14:paraId="347059CC">
            <w:pPr>
              <w:pStyle w:val="16"/>
            </w:pPr>
            <w:r>
              <w:rPr>
                <w:rFonts w:hint="eastAsia"/>
              </w:rPr>
              <w:t>√</w:t>
            </w:r>
          </w:p>
        </w:tc>
      </w:tr>
      <w:tr w14:paraId="2AE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71AFB157">
            <w:pPr>
              <w:pStyle w:val="16"/>
              <w:jc w:val="left"/>
            </w:pPr>
            <w:r>
              <w:rPr>
                <w:rFonts w:hint="eastAsia"/>
              </w:rPr>
              <w:t>第七章 生物地球化学性疾病</w:t>
            </w:r>
          </w:p>
        </w:tc>
        <w:tc>
          <w:tcPr>
            <w:tcW w:w="851" w:type="dxa"/>
          </w:tcPr>
          <w:p w14:paraId="7C335DB3">
            <w:pPr>
              <w:pStyle w:val="16"/>
            </w:pPr>
            <w:r>
              <w:rPr>
                <w:rFonts w:hint="eastAsia"/>
              </w:rPr>
              <w:t>√</w:t>
            </w:r>
          </w:p>
        </w:tc>
        <w:tc>
          <w:tcPr>
            <w:tcW w:w="850" w:type="dxa"/>
          </w:tcPr>
          <w:p w14:paraId="599E890C">
            <w:pPr>
              <w:pStyle w:val="16"/>
            </w:pPr>
            <w:r>
              <w:rPr>
                <w:rFonts w:hint="eastAsia"/>
              </w:rPr>
              <w:t>√</w:t>
            </w:r>
          </w:p>
        </w:tc>
        <w:tc>
          <w:tcPr>
            <w:tcW w:w="851" w:type="dxa"/>
            <w:vAlign w:val="center"/>
          </w:tcPr>
          <w:p w14:paraId="31FC764A">
            <w:pPr>
              <w:pStyle w:val="16"/>
            </w:pPr>
            <w:r>
              <w:rPr>
                <w:rFonts w:ascii="Arial" w:hAnsi="Arial" w:cs="Arial"/>
              </w:rPr>
              <w:t>√</w:t>
            </w:r>
          </w:p>
        </w:tc>
        <w:tc>
          <w:tcPr>
            <w:tcW w:w="807" w:type="dxa"/>
            <w:tcBorders>
              <w:right w:val="single" w:color="auto" w:sz="12" w:space="0"/>
            </w:tcBorders>
          </w:tcPr>
          <w:p w14:paraId="3D52C20F">
            <w:pPr>
              <w:pStyle w:val="16"/>
            </w:pPr>
            <w:r>
              <w:rPr>
                <w:rFonts w:hint="eastAsia"/>
              </w:rPr>
              <w:t>√</w:t>
            </w:r>
          </w:p>
        </w:tc>
      </w:tr>
      <w:tr w14:paraId="5FAD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2B02899B">
            <w:pPr>
              <w:pStyle w:val="16"/>
              <w:jc w:val="left"/>
            </w:pPr>
            <w:r>
              <w:rPr>
                <w:rFonts w:hint="eastAsia"/>
              </w:rPr>
              <w:t>第八章 环境污染性疾病</w:t>
            </w:r>
          </w:p>
        </w:tc>
        <w:tc>
          <w:tcPr>
            <w:tcW w:w="851" w:type="dxa"/>
          </w:tcPr>
          <w:p w14:paraId="1B65DAF3">
            <w:pPr>
              <w:pStyle w:val="16"/>
            </w:pPr>
          </w:p>
        </w:tc>
        <w:tc>
          <w:tcPr>
            <w:tcW w:w="850" w:type="dxa"/>
          </w:tcPr>
          <w:p w14:paraId="2D8D5560">
            <w:pPr>
              <w:pStyle w:val="16"/>
            </w:pPr>
            <w:r>
              <w:rPr>
                <w:rFonts w:hint="eastAsia"/>
              </w:rPr>
              <w:t>√</w:t>
            </w:r>
          </w:p>
        </w:tc>
        <w:tc>
          <w:tcPr>
            <w:tcW w:w="851" w:type="dxa"/>
            <w:vAlign w:val="center"/>
          </w:tcPr>
          <w:p w14:paraId="22110716">
            <w:pPr>
              <w:pStyle w:val="16"/>
            </w:pPr>
            <w:r>
              <w:rPr>
                <w:rFonts w:ascii="Arial" w:hAnsi="Arial" w:cs="Arial"/>
              </w:rPr>
              <w:t>√</w:t>
            </w:r>
          </w:p>
        </w:tc>
        <w:tc>
          <w:tcPr>
            <w:tcW w:w="807" w:type="dxa"/>
            <w:tcBorders>
              <w:right w:val="single" w:color="auto" w:sz="12" w:space="0"/>
            </w:tcBorders>
          </w:tcPr>
          <w:p w14:paraId="0249AE36">
            <w:pPr>
              <w:pStyle w:val="16"/>
            </w:pPr>
            <w:r>
              <w:rPr>
                <w:rFonts w:hint="eastAsia"/>
              </w:rPr>
              <w:t>√</w:t>
            </w:r>
          </w:p>
        </w:tc>
      </w:tr>
      <w:tr w14:paraId="7ECB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0D882AF2">
            <w:pPr>
              <w:pStyle w:val="16"/>
              <w:jc w:val="left"/>
            </w:pPr>
            <w:r>
              <w:rPr>
                <w:rFonts w:hint="eastAsia"/>
              </w:rPr>
              <w:t>第九章 住宅与办公场所卫生</w:t>
            </w:r>
          </w:p>
        </w:tc>
        <w:tc>
          <w:tcPr>
            <w:tcW w:w="851" w:type="dxa"/>
            <w:vAlign w:val="center"/>
          </w:tcPr>
          <w:p w14:paraId="3BE437AB">
            <w:pPr>
              <w:pStyle w:val="16"/>
            </w:pPr>
          </w:p>
        </w:tc>
        <w:tc>
          <w:tcPr>
            <w:tcW w:w="850" w:type="dxa"/>
            <w:vAlign w:val="center"/>
          </w:tcPr>
          <w:p w14:paraId="3D3865FA">
            <w:pPr>
              <w:pStyle w:val="16"/>
            </w:pPr>
            <w:r>
              <w:rPr>
                <w:rFonts w:ascii="Arial" w:hAnsi="Arial" w:cs="Arial"/>
              </w:rPr>
              <w:t>√</w:t>
            </w:r>
          </w:p>
        </w:tc>
        <w:tc>
          <w:tcPr>
            <w:tcW w:w="851" w:type="dxa"/>
            <w:vAlign w:val="center"/>
          </w:tcPr>
          <w:p w14:paraId="37ACECE8">
            <w:pPr>
              <w:pStyle w:val="16"/>
            </w:pPr>
            <w:r>
              <w:rPr>
                <w:rFonts w:ascii="Arial" w:hAnsi="Arial" w:cs="Arial"/>
              </w:rPr>
              <w:t>√</w:t>
            </w:r>
          </w:p>
        </w:tc>
        <w:tc>
          <w:tcPr>
            <w:tcW w:w="807" w:type="dxa"/>
            <w:tcBorders>
              <w:right w:val="single" w:color="auto" w:sz="12" w:space="0"/>
            </w:tcBorders>
          </w:tcPr>
          <w:p w14:paraId="000945E5">
            <w:pPr>
              <w:pStyle w:val="16"/>
            </w:pPr>
            <w:r>
              <w:rPr>
                <w:rFonts w:hint="eastAsia"/>
              </w:rPr>
              <w:t>√</w:t>
            </w:r>
          </w:p>
        </w:tc>
      </w:tr>
      <w:tr w14:paraId="5675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4E9283BC">
            <w:pPr>
              <w:pStyle w:val="16"/>
              <w:jc w:val="left"/>
            </w:pPr>
            <w:r>
              <w:rPr>
                <w:rFonts w:hint="eastAsia"/>
              </w:rPr>
              <w:t>第十章 公共场所卫生</w:t>
            </w:r>
          </w:p>
        </w:tc>
        <w:tc>
          <w:tcPr>
            <w:tcW w:w="851" w:type="dxa"/>
            <w:vAlign w:val="center"/>
          </w:tcPr>
          <w:p w14:paraId="65D4AD2B">
            <w:pPr>
              <w:pStyle w:val="16"/>
            </w:pPr>
          </w:p>
        </w:tc>
        <w:tc>
          <w:tcPr>
            <w:tcW w:w="850" w:type="dxa"/>
            <w:vAlign w:val="center"/>
          </w:tcPr>
          <w:p w14:paraId="2B043DB6">
            <w:pPr>
              <w:pStyle w:val="16"/>
            </w:pPr>
            <w:r>
              <w:rPr>
                <w:rFonts w:ascii="Arial" w:hAnsi="Arial" w:cs="Arial"/>
              </w:rPr>
              <w:t>√</w:t>
            </w:r>
          </w:p>
        </w:tc>
        <w:tc>
          <w:tcPr>
            <w:tcW w:w="851" w:type="dxa"/>
            <w:vAlign w:val="center"/>
          </w:tcPr>
          <w:p w14:paraId="5CC048F4">
            <w:pPr>
              <w:pStyle w:val="16"/>
            </w:pPr>
            <w:r>
              <w:rPr>
                <w:rFonts w:ascii="Arial" w:hAnsi="Arial" w:cs="Arial"/>
              </w:rPr>
              <w:t>√</w:t>
            </w:r>
          </w:p>
        </w:tc>
        <w:tc>
          <w:tcPr>
            <w:tcW w:w="807" w:type="dxa"/>
            <w:tcBorders>
              <w:right w:val="single" w:color="auto" w:sz="12" w:space="0"/>
            </w:tcBorders>
          </w:tcPr>
          <w:p w14:paraId="57BBB0AD">
            <w:pPr>
              <w:pStyle w:val="16"/>
            </w:pPr>
            <w:r>
              <w:rPr>
                <w:rFonts w:hint="eastAsia"/>
              </w:rPr>
              <w:t>√</w:t>
            </w:r>
          </w:p>
        </w:tc>
      </w:tr>
      <w:tr w14:paraId="5D85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bottom w:val="single" w:color="auto" w:sz="12" w:space="0"/>
            </w:tcBorders>
          </w:tcPr>
          <w:p w14:paraId="2126DD15">
            <w:pPr>
              <w:pStyle w:val="16"/>
              <w:widowControl w:val="0"/>
              <w:jc w:val="left"/>
            </w:pPr>
            <w:r>
              <w:rPr>
                <w:rFonts w:hint="eastAsia"/>
              </w:rPr>
              <w:t>第十四章 突发环境污染事件及其应急处理</w:t>
            </w:r>
          </w:p>
        </w:tc>
        <w:tc>
          <w:tcPr>
            <w:tcW w:w="851" w:type="dxa"/>
            <w:tcBorders>
              <w:bottom w:val="single" w:color="auto" w:sz="12" w:space="0"/>
            </w:tcBorders>
            <w:vAlign w:val="center"/>
          </w:tcPr>
          <w:p w14:paraId="6AFC3B34">
            <w:pPr>
              <w:pStyle w:val="16"/>
            </w:pPr>
          </w:p>
        </w:tc>
        <w:tc>
          <w:tcPr>
            <w:tcW w:w="850" w:type="dxa"/>
            <w:tcBorders>
              <w:bottom w:val="single" w:color="auto" w:sz="12" w:space="0"/>
            </w:tcBorders>
            <w:vAlign w:val="center"/>
          </w:tcPr>
          <w:p w14:paraId="69782C27">
            <w:pPr>
              <w:pStyle w:val="16"/>
            </w:pPr>
            <w:r>
              <w:rPr>
                <w:rFonts w:ascii="Arial" w:hAnsi="Arial" w:cs="Arial"/>
              </w:rPr>
              <w:t>√</w:t>
            </w:r>
          </w:p>
        </w:tc>
        <w:tc>
          <w:tcPr>
            <w:tcW w:w="851" w:type="dxa"/>
            <w:tcBorders>
              <w:bottom w:val="single" w:color="auto" w:sz="12" w:space="0"/>
            </w:tcBorders>
            <w:vAlign w:val="center"/>
          </w:tcPr>
          <w:p w14:paraId="4242D485">
            <w:pPr>
              <w:pStyle w:val="16"/>
            </w:pPr>
            <w:r>
              <w:rPr>
                <w:rFonts w:ascii="Arial" w:hAnsi="Arial" w:cs="Arial"/>
              </w:rPr>
              <w:t>√</w:t>
            </w:r>
          </w:p>
        </w:tc>
        <w:tc>
          <w:tcPr>
            <w:tcW w:w="807" w:type="dxa"/>
            <w:tcBorders>
              <w:bottom w:val="single" w:color="auto" w:sz="12" w:space="0"/>
              <w:right w:val="single" w:color="auto" w:sz="12" w:space="0"/>
            </w:tcBorders>
            <w:vAlign w:val="center"/>
          </w:tcPr>
          <w:p w14:paraId="18DFD1ED">
            <w:pPr>
              <w:pStyle w:val="16"/>
              <w:rPr>
                <w:rFonts w:ascii="Arial" w:hAnsi="Arial" w:cs="Arial"/>
              </w:rPr>
            </w:pPr>
            <w:r>
              <w:rPr>
                <w:rFonts w:ascii="Arial" w:hAnsi="Arial" w:cs="Arial"/>
              </w:rPr>
              <w:t>√</w:t>
            </w:r>
          </w:p>
        </w:tc>
      </w:tr>
    </w:tbl>
    <w:p w14:paraId="5C4B39DC">
      <w:pPr>
        <w:pStyle w:val="19"/>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697"/>
        <w:gridCol w:w="1744"/>
        <w:gridCol w:w="735"/>
        <w:gridCol w:w="681"/>
        <w:gridCol w:w="731"/>
      </w:tblGrid>
      <w:tr w14:paraId="0403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restart"/>
            <w:tcBorders>
              <w:top w:val="single" w:color="auto" w:sz="12" w:space="0"/>
              <w:left w:val="single" w:color="auto" w:sz="12" w:space="0"/>
            </w:tcBorders>
            <w:vAlign w:val="center"/>
          </w:tcPr>
          <w:p w14:paraId="4CF797F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657" w:type="dxa"/>
            <w:vMerge w:val="restart"/>
            <w:tcBorders>
              <w:top w:val="single" w:color="auto" w:sz="12" w:space="0"/>
            </w:tcBorders>
            <w:vAlign w:val="center"/>
          </w:tcPr>
          <w:p w14:paraId="518EDAC4">
            <w:pPr>
              <w:pStyle w:val="15"/>
              <w:widowControl w:val="0"/>
              <w:rPr>
                <w:szCs w:val="21"/>
              </w:rPr>
            </w:pPr>
            <w:r>
              <w:rPr>
                <w:rFonts w:hint="eastAsia" w:ascii="黑体" w:hAnsi="黑体"/>
                <w:szCs w:val="21"/>
              </w:rPr>
              <w:t>教与学方式</w:t>
            </w:r>
          </w:p>
        </w:tc>
        <w:tc>
          <w:tcPr>
            <w:tcW w:w="1703" w:type="dxa"/>
            <w:vMerge w:val="restart"/>
            <w:tcBorders>
              <w:top w:val="single" w:color="auto" w:sz="12" w:space="0"/>
            </w:tcBorders>
            <w:vAlign w:val="center"/>
          </w:tcPr>
          <w:p w14:paraId="706B75D4">
            <w:pPr>
              <w:pStyle w:val="15"/>
              <w:widowControl w:val="0"/>
              <w:rPr>
                <w:rFonts w:hint="eastAsia" w:ascii="黑体" w:hAnsi="黑体"/>
                <w:szCs w:val="21"/>
              </w:rPr>
            </w:pPr>
            <w:r>
              <w:rPr>
                <w:rFonts w:hint="eastAsia" w:ascii="黑体" w:hAnsi="黑体"/>
                <w:szCs w:val="21"/>
              </w:rPr>
              <w:t>考核方式</w:t>
            </w:r>
          </w:p>
        </w:tc>
        <w:tc>
          <w:tcPr>
            <w:tcW w:w="2096" w:type="dxa"/>
            <w:gridSpan w:val="3"/>
            <w:tcBorders>
              <w:top w:val="single" w:color="auto" w:sz="12" w:space="0"/>
              <w:right w:val="single" w:color="auto" w:sz="12" w:space="0"/>
            </w:tcBorders>
            <w:vAlign w:val="center"/>
          </w:tcPr>
          <w:p w14:paraId="6594440B">
            <w:pPr>
              <w:pStyle w:val="15"/>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709B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continue"/>
            <w:tcBorders>
              <w:left w:val="single" w:color="auto" w:sz="12" w:space="0"/>
            </w:tcBorders>
          </w:tcPr>
          <w:p w14:paraId="0CEAC7C2">
            <w:pPr>
              <w:widowControl w:val="0"/>
              <w:snapToGrid w:val="0"/>
              <w:jc w:val="center"/>
              <w:rPr>
                <w:rFonts w:hint="eastAsia" w:ascii="黑体" w:hAnsi="黑体" w:eastAsia="黑体"/>
                <w:bCs/>
                <w:sz w:val="21"/>
                <w:szCs w:val="21"/>
              </w:rPr>
            </w:pPr>
          </w:p>
        </w:tc>
        <w:tc>
          <w:tcPr>
            <w:tcW w:w="1657" w:type="dxa"/>
            <w:vMerge w:val="continue"/>
          </w:tcPr>
          <w:p w14:paraId="25FE1899">
            <w:pPr>
              <w:widowControl w:val="0"/>
              <w:snapToGrid w:val="0"/>
              <w:jc w:val="center"/>
              <w:rPr>
                <w:rFonts w:hint="eastAsia" w:ascii="黑体" w:hAnsi="黑体" w:eastAsia="黑体"/>
                <w:bCs/>
                <w:sz w:val="21"/>
                <w:szCs w:val="21"/>
              </w:rPr>
            </w:pPr>
          </w:p>
        </w:tc>
        <w:tc>
          <w:tcPr>
            <w:tcW w:w="1703" w:type="dxa"/>
            <w:vMerge w:val="continue"/>
          </w:tcPr>
          <w:p w14:paraId="20026520">
            <w:pPr>
              <w:widowControl w:val="0"/>
              <w:snapToGrid w:val="0"/>
              <w:jc w:val="center"/>
              <w:rPr>
                <w:rFonts w:hint="eastAsia" w:ascii="黑体" w:hAnsi="黑体" w:eastAsia="黑体"/>
                <w:bCs/>
                <w:sz w:val="21"/>
                <w:szCs w:val="21"/>
              </w:rPr>
            </w:pPr>
          </w:p>
        </w:tc>
        <w:tc>
          <w:tcPr>
            <w:tcW w:w="718" w:type="dxa"/>
            <w:vAlign w:val="center"/>
          </w:tcPr>
          <w:p w14:paraId="16EE314D">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5" w:type="dxa"/>
            <w:vAlign w:val="center"/>
          </w:tcPr>
          <w:p w14:paraId="4AE6250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3" w:type="dxa"/>
            <w:tcBorders>
              <w:right w:val="single" w:color="auto" w:sz="12" w:space="0"/>
            </w:tcBorders>
            <w:vAlign w:val="center"/>
          </w:tcPr>
          <w:p w14:paraId="7A282189">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D0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18717FD5">
            <w:pPr>
              <w:widowControl w:val="0"/>
              <w:snapToGrid w:val="0"/>
              <w:jc w:val="left"/>
              <w:rPr>
                <w:rFonts w:ascii="Times New Roman" w:hAnsi="Times New Roman"/>
                <w:bCs/>
                <w:sz w:val="21"/>
                <w:szCs w:val="21"/>
              </w:rPr>
            </w:pPr>
            <w:r>
              <w:rPr>
                <w:rFonts w:hint="eastAsia" w:ascii="Times New Roman" w:hAnsi="Times New Roman"/>
                <w:color w:val="000000"/>
                <w:sz w:val="21"/>
                <w:szCs w:val="21"/>
              </w:rPr>
              <w:t>第一章 绪论</w:t>
            </w:r>
          </w:p>
        </w:tc>
        <w:tc>
          <w:tcPr>
            <w:tcW w:w="1657" w:type="dxa"/>
            <w:vAlign w:val="center"/>
          </w:tcPr>
          <w:p w14:paraId="5541C3A7">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56FBBD20">
            <w:pPr>
              <w:widowControl w:val="0"/>
              <w:snapToGrid w:val="0"/>
              <w:jc w:val="center"/>
              <w:rPr>
                <w:rFonts w:ascii="Times New Roman" w:hAnsi="Times New Roman"/>
                <w:bCs/>
                <w:sz w:val="21"/>
                <w:szCs w:val="21"/>
              </w:rPr>
            </w:pPr>
            <w:r>
              <w:rPr>
                <w:rFonts w:hint="eastAsia" w:ascii="Times New Roman" w:hAnsi="Times New Roman"/>
                <w:bCs/>
                <w:sz w:val="21"/>
                <w:szCs w:val="21"/>
              </w:rPr>
              <w:t>期末测验</w:t>
            </w:r>
            <w:bookmarkStart w:id="2" w:name="OLE_LINK8"/>
            <w:bookmarkStart w:id="3" w:name="OLE_LINK7"/>
            <w:r>
              <w:rPr>
                <w:rFonts w:hint="eastAsia" w:ascii="Times New Roman" w:hAnsi="Times New Roman"/>
                <w:bCs/>
                <w:sz w:val="21"/>
                <w:szCs w:val="21"/>
              </w:rPr>
              <w:t>、课堂表现</w:t>
            </w:r>
            <w:bookmarkEnd w:id="2"/>
            <w:bookmarkEnd w:id="3"/>
            <w:r>
              <w:rPr>
                <w:rFonts w:hint="eastAsia" w:ascii="Times New Roman" w:hAnsi="Times New Roman"/>
                <w:bCs/>
                <w:sz w:val="21"/>
                <w:szCs w:val="21"/>
              </w:rPr>
              <w:t>、平时作业</w:t>
            </w:r>
          </w:p>
        </w:tc>
        <w:tc>
          <w:tcPr>
            <w:tcW w:w="718" w:type="dxa"/>
            <w:vAlign w:val="center"/>
          </w:tcPr>
          <w:p w14:paraId="12935E3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3A91A1BF">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7FF6E05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479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3179EA7E">
            <w:pPr>
              <w:widowControl w:val="0"/>
              <w:snapToGrid w:val="0"/>
              <w:jc w:val="left"/>
              <w:rPr>
                <w:rFonts w:ascii="Times New Roman" w:hAnsi="Times New Roman"/>
                <w:bCs/>
                <w:sz w:val="21"/>
                <w:szCs w:val="21"/>
              </w:rPr>
            </w:pPr>
            <w:r>
              <w:rPr>
                <w:rFonts w:hint="eastAsia" w:ascii="Times New Roman" w:hAnsi="Times New Roman"/>
                <w:color w:val="000000"/>
                <w:sz w:val="21"/>
                <w:szCs w:val="21"/>
              </w:rPr>
              <w:t>第二章 环境与健康的关系</w:t>
            </w:r>
          </w:p>
        </w:tc>
        <w:tc>
          <w:tcPr>
            <w:tcW w:w="1657" w:type="dxa"/>
            <w:vAlign w:val="center"/>
          </w:tcPr>
          <w:p w14:paraId="2D259F45">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175BD616">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期末测验、课堂表现、平时作业</w:t>
            </w:r>
          </w:p>
        </w:tc>
        <w:tc>
          <w:tcPr>
            <w:tcW w:w="718" w:type="dxa"/>
            <w:vAlign w:val="center"/>
          </w:tcPr>
          <w:p w14:paraId="3930D06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5" w:type="dxa"/>
            <w:vAlign w:val="center"/>
          </w:tcPr>
          <w:p w14:paraId="20B8B58C">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69198E6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A7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254F1E06">
            <w:pPr>
              <w:widowControl w:val="0"/>
              <w:snapToGrid w:val="0"/>
              <w:jc w:val="left"/>
              <w:rPr>
                <w:rFonts w:hint="eastAsia" w:cs="仿宋"/>
                <w:bCs/>
                <w:sz w:val="20"/>
                <w:szCs w:val="20"/>
              </w:rPr>
            </w:pPr>
            <w:r>
              <w:rPr>
                <w:rFonts w:hint="eastAsia" w:cs="仿宋"/>
                <w:bCs/>
                <w:sz w:val="20"/>
                <w:szCs w:val="20"/>
              </w:rPr>
              <w:t>第三章 大气卫生</w:t>
            </w:r>
          </w:p>
        </w:tc>
        <w:tc>
          <w:tcPr>
            <w:tcW w:w="1657" w:type="dxa"/>
            <w:vAlign w:val="center"/>
          </w:tcPr>
          <w:p w14:paraId="673F9C6D">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0E60F00C">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37E5A5C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001647B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tcBorders>
              <w:right w:val="single" w:color="auto" w:sz="12" w:space="0"/>
            </w:tcBorders>
            <w:vAlign w:val="center"/>
          </w:tcPr>
          <w:p w14:paraId="71CB2C8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971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2A2748C0">
            <w:pPr>
              <w:widowControl w:val="0"/>
              <w:snapToGrid w:val="0"/>
              <w:jc w:val="left"/>
              <w:rPr>
                <w:rFonts w:hint="eastAsia" w:cs="仿宋"/>
                <w:bCs/>
                <w:sz w:val="20"/>
                <w:szCs w:val="20"/>
              </w:rPr>
            </w:pPr>
            <w:r>
              <w:rPr>
                <w:rFonts w:hint="eastAsia" w:cs="仿宋"/>
                <w:bCs/>
                <w:sz w:val="20"/>
                <w:szCs w:val="20"/>
              </w:rPr>
              <w:t>第四章 水体卫生</w:t>
            </w:r>
          </w:p>
        </w:tc>
        <w:tc>
          <w:tcPr>
            <w:tcW w:w="1657" w:type="dxa"/>
            <w:vMerge w:val="restart"/>
            <w:vAlign w:val="center"/>
          </w:tcPr>
          <w:p w14:paraId="401EC8D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80C9B53">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Merge w:val="restart"/>
            <w:vAlign w:val="center"/>
          </w:tcPr>
          <w:p w14:paraId="16AFC594">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Merge w:val="restart"/>
            <w:vAlign w:val="center"/>
          </w:tcPr>
          <w:p w14:paraId="703B6D2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Merge w:val="restart"/>
            <w:vAlign w:val="center"/>
          </w:tcPr>
          <w:p w14:paraId="32D70E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vMerge w:val="restart"/>
            <w:tcBorders>
              <w:right w:val="single" w:color="auto" w:sz="12" w:space="0"/>
            </w:tcBorders>
            <w:vAlign w:val="center"/>
          </w:tcPr>
          <w:p w14:paraId="7F66E52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3C7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7C672427">
            <w:pPr>
              <w:widowControl w:val="0"/>
              <w:snapToGrid w:val="0"/>
              <w:jc w:val="left"/>
              <w:rPr>
                <w:rFonts w:hint="eastAsia" w:cs="仿宋"/>
                <w:bCs/>
                <w:sz w:val="20"/>
                <w:szCs w:val="20"/>
              </w:rPr>
            </w:pPr>
            <w:r>
              <w:rPr>
                <w:rFonts w:hint="eastAsia" w:cs="仿宋"/>
                <w:bCs/>
                <w:sz w:val="20"/>
                <w:szCs w:val="20"/>
              </w:rPr>
              <w:t>第五章 饮用水卫生</w:t>
            </w:r>
          </w:p>
        </w:tc>
        <w:tc>
          <w:tcPr>
            <w:tcW w:w="1657" w:type="dxa"/>
            <w:vMerge w:val="continue"/>
            <w:vAlign w:val="center"/>
          </w:tcPr>
          <w:p w14:paraId="1BE2DAEA">
            <w:pPr>
              <w:widowControl w:val="0"/>
              <w:snapToGrid w:val="0"/>
              <w:jc w:val="center"/>
              <w:rPr>
                <w:rFonts w:ascii="Times New Roman" w:hAnsi="Times New Roman"/>
                <w:bCs/>
                <w:sz w:val="21"/>
                <w:szCs w:val="21"/>
              </w:rPr>
            </w:pPr>
          </w:p>
        </w:tc>
        <w:tc>
          <w:tcPr>
            <w:tcW w:w="1703" w:type="dxa"/>
            <w:vMerge w:val="continue"/>
            <w:vAlign w:val="center"/>
          </w:tcPr>
          <w:p w14:paraId="68F50877">
            <w:pPr>
              <w:widowControl w:val="0"/>
              <w:snapToGrid w:val="0"/>
              <w:jc w:val="center"/>
              <w:rPr>
                <w:rFonts w:ascii="Times New Roman" w:hAnsi="Times New Roman"/>
                <w:bCs/>
                <w:sz w:val="21"/>
                <w:szCs w:val="21"/>
              </w:rPr>
            </w:pPr>
          </w:p>
        </w:tc>
        <w:tc>
          <w:tcPr>
            <w:tcW w:w="718" w:type="dxa"/>
            <w:vMerge w:val="continue"/>
            <w:vAlign w:val="center"/>
          </w:tcPr>
          <w:p w14:paraId="1B52A5AF">
            <w:pPr>
              <w:widowControl w:val="0"/>
              <w:snapToGrid w:val="0"/>
              <w:jc w:val="center"/>
              <w:rPr>
                <w:rFonts w:ascii="Times New Roman" w:hAnsi="Times New Roman"/>
                <w:bCs/>
                <w:sz w:val="21"/>
                <w:szCs w:val="21"/>
              </w:rPr>
            </w:pPr>
          </w:p>
        </w:tc>
        <w:tc>
          <w:tcPr>
            <w:tcW w:w="665" w:type="dxa"/>
            <w:vMerge w:val="continue"/>
            <w:vAlign w:val="center"/>
          </w:tcPr>
          <w:p w14:paraId="4CAAE5FE">
            <w:pPr>
              <w:widowControl w:val="0"/>
              <w:snapToGrid w:val="0"/>
              <w:jc w:val="center"/>
              <w:rPr>
                <w:rFonts w:ascii="Times New Roman" w:hAnsi="Times New Roman"/>
                <w:bCs/>
                <w:sz w:val="21"/>
                <w:szCs w:val="21"/>
              </w:rPr>
            </w:pPr>
          </w:p>
        </w:tc>
        <w:tc>
          <w:tcPr>
            <w:tcW w:w="713" w:type="dxa"/>
            <w:vMerge w:val="continue"/>
            <w:tcBorders>
              <w:right w:val="single" w:color="auto" w:sz="12" w:space="0"/>
            </w:tcBorders>
            <w:vAlign w:val="center"/>
          </w:tcPr>
          <w:p w14:paraId="53461CAF">
            <w:pPr>
              <w:widowControl w:val="0"/>
              <w:snapToGrid w:val="0"/>
              <w:jc w:val="center"/>
              <w:rPr>
                <w:rFonts w:ascii="Times New Roman" w:hAnsi="Times New Roman"/>
                <w:bCs/>
                <w:sz w:val="21"/>
                <w:szCs w:val="21"/>
              </w:rPr>
            </w:pPr>
          </w:p>
        </w:tc>
      </w:tr>
      <w:tr w14:paraId="5D7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514DEF59">
            <w:pPr>
              <w:widowControl w:val="0"/>
              <w:snapToGrid w:val="0"/>
              <w:jc w:val="left"/>
              <w:rPr>
                <w:rFonts w:ascii="Times New Roman" w:hAnsi="Times New Roman"/>
                <w:bCs/>
                <w:sz w:val="21"/>
                <w:szCs w:val="21"/>
              </w:rPr>
            </w:pPr>
            <w:r>
              <w:rPr>
                <w:rFonts w:hint="eastAsia" w:ascii="Times New Roman" w:hAnsi="Times New Roman"/>
                <w:bCs/>
                <w:sz w:val="21"/>
                <w:szCs w:val="21"/>
              </w:rPr>
              <w:t>第六章 土壤卫生</w:t>
            </w:r>
          </w:p>
        </w:tc>
        <w:tc>
          <w:tcPr>
            <w:tcW w:w="1657" w:type="dxa"/>
            <w:vAlign w:val="center"/>
          </w:tcPr>
          <w:p w14:paraId="35E3FF6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06CAC720">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2C45D7E4">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0E78015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2CD7892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tcBorders>
              <w:right w:val="single" w:color="auto" w:sz="12" w:space="0"/>
            </w:tcBorders>
            <w:vAlign w:val="center"/>
          </w:tcPr>
          <w:p w14:paraId="63B6236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B95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1B8F3DDD">
            <w:pPr>
              <w:widowControl w:val="0"/>
              <w:snapToGrid w:val="0"/>
              <w:jc w:val="left"/>
              <w:rPr>
                <w:rFonts w:ascii="Times New Roman" w:hAnsi="Times New Roman"/>
                <w:bCs/>
                <w:sz w:val="21"/>
                <w:szCs w:val="21"/>
              </w:rPr>
            </w:pPr>
            <w:r>
              <w:rPr>
                <w:rFonts w:hint="eastAsia" w:ascii="Times New Roman" w:hAnsi="Times New Roman"/>
                <w:bCs/>
                <w:sz w:val="21"/>
                <w:szCs w:val="21"/>
              </w:rPr>
              <w:t>第七章生物地球化学性疾病</w:t>
            </w:r>
          </w:p>
        </w:tc>
        <w:tc>
          <w:tcPr>
            <w:tcW w:w="1657" w:type="dxa"/>
            <w:vAlign w:val="center"/>
          </w:tcPr>
          <w:p w14:paraId="61450134">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2F4C1164">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1443F994">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期末测验、课堂表现、平时作业</w:t>
            </w:r>
          </w:p>
        </w:tc>
        <w:tc>
          <w:tcPr>
            <w:tcW w:w="718" w:type="dxa"/>
            <w:vAlign w:val="center"/>
          </w:tcPr>
          <w:p w14:paraId="0ECA6A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0671D6A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tcBorders>
              <w:right w:val="single" w:color="auto" w:sz="12" w:space="0"/>
            </w:tcBorders>
            <w:vAlign w:val="center"/>
          </w:tcPr>
          <w:p w14:paraId="5843C97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741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 w:hRule="atLeast"/>
          <w:jc w:val="center"/>
        </w:trPr>
        <w:tc>
          <w:tcPr>
            <w:tcW w:w="2820" w:type="dxa"/>
            <w:tcBorders>
              <w:left w:val="single" w:color="auto" w:sz="12" w:space="0"/>
            </w:tcBorders>
            <w:vAlign w:val="center"/>
          </w:tcPr>
          <w:p w14:paraId="71BF03C9">
            <w:pPr>
              <w:widowControl w:val="0"/>
              <w:snapToGrid w:val="0"/>
              <w:jc w:val="left"/>
              <w:rPr>
                <w:rFonts w:ascii="Times New Roman" w:hAnsi="Times New Roman"/>
                <w:bCs/>
                <w:sz w:val="21"/>
                <w:szCs w:val="21"/>
              </w:rPr>
            </w:pPr>
            <w:r>
              <w:rPr>
                <w:rFonts w:hint="eastAsia" w:ascii="Times New Roman" w:hAnsi="Times New Roman"/>
                <w:bCs/>
                <w:sz w:val="21"/>
                <w:szCs w:val="21"/>
              </w:rPr>
              <w:t>第八章环境污染性疾病</w:t>
            </w:r>
          </w:p>
        </w:tc>
        <w:tc>
          <w:tcPr>
            <w:tcW w:w="1657" w:type="dxa"/>
            <w:vAlign w:val="center"/>
          </w:tcPr>
          <w:p w14:paraId="480133A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1283ED9">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30000438">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期末测验、课堂表现、平时作业</w:t>
            </w:r>
          </w:p>
        </w:tc>
        <w:tc>
          <w:tcPr>
            <w:tcW w:w="718" w:type="dxa"/>
            <w:vAlign w:val="center"/>
          </w:tcPr>
          <w:p w14:paraId="0BAE95B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43B237E4">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2716F853">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6FE1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 w:hRule="atLeast"/>
          <w:jc w:val="center"/>
        </w:trPr>
        <w:tc>
          <w:tcPr>
            <w:tcW w:w="2820" w:type="dxa"/>
            <w:tcBorders>
              <w:left w:val="single" w:color="auto" w:sz="12" w:space="0"/>
            </w:tcBorders>
            <w:vAlign w:val="center"/>
          </w:tcPr>
          <w:p w14:paraId="6244FFD9">
            <w:pPr>
              <w:widowControl w:val="0"/>
              <w:snapToGrid w:val="0"/>
              <w:jc w:val="left"/>
              <w:rPr>
                <w:rFonts w:ascii="Times New Roman" w:hAnsi="Times New Roman"/>
                <w:bCs/>
                <w:sz w:val="21"/>
                <w:szCs w:val="21"/>
              </w:rPr>
            </w:pPr>
            <w:r>
              <w:rPr>
                <w:rFonts w:hint="eastAsia" w:ascii="Times New Roman" w:hAnsi="Times New Roman"/>
                <w:bCs/>
                <w:sz w:val="21"/>
                <w:szCs w:val="21"/>
              </w:rPr>
              <w:t>第九章住宅与办公产所卫生</w:t>
            </w:r>
          </w:p>
        </w:tc>
        <w:tc>
          <w:tcPr>
            <w:tcW w:w="1657" w:type="dxa"/>
            <w:vAlign w:val="center"/>
          </w:tcPr>
          <w:p w14:paraId="0C181E13">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14466425">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6B7C9D7B">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26B260C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5" w:type="dxa"/>
            <w:vAlign w:val="center"/>
          </w:tcPr>
          <w:p w14:paraId="2438B90C">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2F1FBEA7">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908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 w:hRule="atLeast"/>
          <w:jc w:val="center"/>
        </w:trPr>
        <w:tc>
          <w:tcPr>
            <w:tcW w:w="2820" w:type="dxa"/>
            <w:tcBorders>
              <w:left w:val="single" w:color="auto" w:sz="12" w:space="0"/>
            </w:tcBorders>
            <w:vAlign w:val="center"/>
          </w:tcPr>
          <w:p w14:paraId="1FE88E4F">
            <w:pPr>
              <w:widowControl w:val="0"/>
              <w:snapToGrid w:val="0"/>
              <w:jc w:val="left"/>
              <w:rPr>
                <w:rFonts w:ascii="Times New Roman" w:hAnsi="Times New Roman"/>
                <w:bCs/>
                <w:sz w:val="21"/>
                <w:szCs w:val="21"/>
              </w:rPr>
            </w:pPr>
            <w:r>
              <w:rPr>
                <w:rFonts w:hint="eastAsia" w:ascii="Times New Roman" w:hAnsi="Times New Roman"/>
                <w:bCs/>
                <w:sz w:val="21"/>
                <w:szCs w:val="21"/>
              </w:rPr>
              <w:t>第十章公共场所卫生</w:t>
            </w:r>
          </w:p>
        </w:tc>
        <w:tc>
          <w:tcPr>
            <w:tcW w:w="1657" w:type="dxa"/>
          </w:tcPr>
          <w:p w14:paraId="2A0C3FBC">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48A2079D">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0B0AEC1A">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3D1061A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387F5D6C">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092FC79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2AA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44539692">
            <w:pPr>
              <w:widowControl w:val="0"/>
              <w:snapToGrid w:val="0"/>
              <w:jc w:val="left"/>
              <w:rPr>
                <w:rFonts w:ascii="Times New Roman" w:hAnsi="Times New Roman"/>
                <w:bCs/>
                <w:sz w:val="21"/>
                <w:szCs w:val="21"/>
              </w:rPr>
            </w:pPr>
            <w:r>
              <w:rPr>
                <w:rFonts w:hint="eastAsia" w:ascii="Times New Roman" w:hAnsi="Times New Roman"/>
                <w:bCs/>
                <w:sz w:val="21"/>
                <w:szCs w:val="21"/>
              </w:rPr>
              <w:t>第十四章 突发环境污染事件及其应急处理</w:t>
            </w:r>
          </w:p>
        </w:tc>
        <w:tc>
          <w:tcPr>
            <w:tcW w:w="1657" w:type="dxa"/>
            <w:vAlign w:val="center"/>
          </w:tcPr>
          <w:p w14:paraId="55C43116">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629BEEDC">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13274DE8">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w:t>
            </w:r>
          </w:p>
        </w:tc>
        <w:tc>
          <w:tcPr>
            <w:tcW w:w="718" w:type="dxa"/>
            <w:vAlign w:val="center"/>
          </w:tcPr>
          <w:p w14:paraId="65E48AE8">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5" w:type="dxa"/>
            <w:vAlign w:val="center"/>
          </w:tcPr>
          <w:p w14:paraId="0BB1C704">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3E2CAB0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A71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6BB806DC">
            <w:pPr>
              <w:widowControl w:val="0"/>
              <w:snapToGrid w:val="0"/>
              <w:jc w:val="left"/>
              <w:rPr>
                <w:rFonts w:ascii="Times New Roman" w:hAnsi="Times New Roman"/>
                <w:bCs/>
                <w:sz w:val="21"/>
                <w:szCs w:val="21"/>
              </w:rPr>
            </w:pPr>
            <w:r>
              <w:rPr>
                <w:rFonts w:hint="eastAsia" w:ascii="Times New Roman" w:hAnsi="Times New Roman"/>
                <w:bCs/>
                <w:sz w:val="21"/>
                <w:szCs w:val="21"/>
              </w:rPr>
              <w:t>期末随堂测试</w:t>
            </w:r>
          </w:p>
        </w:tc>
        <w:tc>
          <w:tcPr>
            <w:tcW w:w="1657" w:type="dxa"/>
            <w:vAlign w:val="center"/>
          </w:tcPr>
          <w:p w14:paraId="32D3A12C">
            <w:pPr>
              <w:widowControl w:val="0"/>
              <w:snapToGrid w:val="0"/>
              <w:jc w:val="center"/>
              <w:rPr>
                <w:rFonts w:ascii="Times New Roman" w:hAnsi="Times New Roman"/>
                <w:bCs/>
                <w:sz w:val="21"/>
                <w:szCs w:val="21"/>
              </w:rPr>
            </w:pPr>
            <w:r>
              <w:rPr>
                <w:rFonts w:hint="eastAsia" w:ascii="Times New Roman" w:hAnsi="Times New Roman"/>
                <w:bCs/>
                <w:sz w:val="21"/>
                <w:szCs w:val="21"/>
              </w:rPr>
              <w:t>开卷测试</w:t>
            </w:r>
          </w:p>
        </w:tc>
        <w:tc>
          <w:tcPr>
            <w:tcW w:w="1703" w:type="dxa"/>
            <w:vAlign w:val="center"/>
          </w:tcPr>
          <w:p w14:paraId="7BDAE95A">
            <w:pPr>
              <w:widowControl w:val="0"/>
              <w:snapToGrid w:val="0"/>
              <w:jc w:val="center"/>
              <w:rPr>
                <w:rFonts w:ascii="Times New Roman" w:hAnsi="Times New Roman"/>
                <w:bCs/>
                <w:sz w:val="21"/>
                <w:szCs w:val="21"/>
              </w:rPr>
            </w:pPr>
          </w:p>
        </w:tc>
        <w:tc>
          <w:tcPr>
            <w:tcW w:w="718" w:type="dxa"/>
            <w:vAlign w:val="center"/>
          </w:tcPr>
          <w:p w14:paraId="18370FC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1364A59A">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1731BEC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85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180" w:type="dxa"/>
            <w:gridSpan w:val="3"/>
            <w:tcBorders>
              <w:left w:val="single" w:color="auto" w:sz="12" w:space="0"/>
              <w:bottom w:val="single" w:color="auto" w:sz="12" w:space="0"/>
            </w:tcBorders>
            <w:vAlign w:val="center"/>
          </w:tcPr>
          <w:p w14:paraId="12FB3E61">
            <w:pPr>
              <w:pStyle w:val="15"/>
              <w:widowControl w:val="0"/>
            </w:pPr>
            <w:r>
              <w:rPr>
                <w:rFonts w:hint="eastAsia"/>
              </w:rPr>
              <w:t>合计</w:t>
            </w:r>
          </w:p>
        </w:tc>
        <w:tc>
          <w:tcPr>
            <w:tcW w:w="718" w:type="dxa"/>
            <w:tcBorders>
              <w:bottom w:val="single" w:color="auto" w:sz="12" w:space="0"/>
            </w:tcBorders>
            <w:vAlign w:val="center"/>
          </w:tcPr>
          <w:p w14:paraId="4B94D6F2">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5" w:type="dxa"/>
            <w:tcBorders>
              <w:bottom w:val="single" w:color="auto" w:sz="12" w:space="0"/>
            </w:tcBorders>
            <w:vAlign w:val="center"/>
          </w:tcPr>
          <w:p w14:paraId="2806D53C">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3" w:type="dxa"/>
            <w:tcBorders>
              <w:bottom w:val="single" w:color="auto" w:sz="12" w:space="0"/>
              <w:right w:val="single" w:color="auto" w:sz="12" w:space="0"/>
            </w:tcBorders>
            <w:vAlign w:val="center"/>
          </w:tcPr>
          <w:p w14:paraId="292F380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0329789A">
      <w:pPr>
        <w:pStyle w:val="19"/>
        <w:spacing w:before="326" w:beforeLines="100" w:after="163"/>
        <w:ind w:firstLine="480"/>
      </w:pPr>
      <w:bookmarkStart w:id="4" w:name="OLE_LINK1"/>
      <w:bookmarkStart w:id="5" w:name="OLE_LINK2"/>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CD4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vAlign w:val="center"/>
          </w:tcPr>
          <w:p w14:paraId="69046890">
            <w:pPr>
              <w:pStyle w:val="15"/>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vAlign w:val="center"/>
          </w:tcPr>
          <w:p w14:paraId="692C4B20">
            <w:pPr>
              <w:pStyle w:val="15"/>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34AF59F">
            <w:pPr>
              <w:pStyle w:val="15"/>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vAlign w:val="center"/>
          </w:tcPr>
          <w:p w14:paraId="4DBDBD49">
            <w:pPr>
              <w:pStyle w:val="15"/>
              <w:rPr>
                <w:szCs w:val="16"/>
              </w:rPr>
            </w:pPr>
            <w:r>
              <w:rPr>
                <w:rFonts w:hint="eastAsia"/>
                <w:szCs w:val="16"/>
              </w:rPr>
              <w:t>实验</w:t>
            </w:r>
          </w:p>
          <w:p w14:paraId="03138246">
            <w:pPr>
              <w:pStyle w:val="15"/>
              <w:rPr>
                <w:szCs w:val="16"/>
              </w:rPr>
            </w:pPr>
            <w:r>
              <w:rPr>
                <w:rFonts w:hint="eastAsia"/>
                <w:szCs w:val="16"/>
              </w:rPr>
              <w:t>时数</w:t>
            </w:r>
          </w:p>
        </w:tc>
        <w:tc>
          <w:tcPr>
            <w:tcW w:w="928" w:type="dxa"/>
            <w:tcBorders>
              <w:top w:val="single" w:color="auto" w:sz="12" w:space="0"/>
              <w:left w:val="single" w:color="auto" w:sz="4" w:space="0"/>
              <w:right w:val="single" w:color="auto" w:sz="12" w:space="0"/>
            </w:tcBorders>
            <w:vAlign w:val="center"/>
          </w:tcPr>
          <w:p w14:paraId="1E79685C">
            <w:pPr>
              <w:pStyle w:val="15"/>
              <w:rPr>
                <w:szCs w:val="16"/>
              </w:rPr>
            </w:pPr>
            <w:r>
              <w:rPr>
                <w:rFonts w:hint="eastAsia"/>
                <w:szCs w:val="16"/>
              </w:rPr>
              <w:t>实验</w:t>
            </w:r>
          </w:p>
          <w:p w14:paraId="32A55C5B">
            <w:pPr>
              <w:pStyle w:val="15"/>
              <w:rPr>
                <w:szCs w:val="16"/>
              </w:rPr>
            </w:pPr>
            <w:r>
              <w:rPr>
                <w:rFonts w:hint="eastAsia"/>
                <w:szCs w:val="16"/>
              </w:rPr>
              <w:t>类型</w:t>
            </w:r>
          </w:p>
        </w:tc>
      </w:tr>
      <w:tr w14:paraId="2ACE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7"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A996388">
            <w:pPr>
              <w:jc w:val="center"/>
              <w:rPr>
                <w:rFonts w:hint="eastAsia"/>
              </w:rPr>
            </w:pPr>
            <w:r>
              <w:rPr>
                <w:rFonts w:hint="eastAsia"/>
                <w:color w:val="000000"/>
                <w:sz w:val="20"/>
                <w:szCs w:val="20"/>
              </w:rPr>
              <w:t>1</w:t>
            </w:r>
          </w:p>
        </w:tc>
        <w:tc>
          <w:tcPr>
            <w:tcW w:w="1838" w:type="dxa"/>
            <w:tcBorders>
              <w:top w:val="single" w:color="auto" w:sz="4" w:space="0"/>
              <w:left w:val="single" w:color="auto" w:sz="4" w:space="0"/>
              <w:bottom w:val="single" w:color="auto" w:sz="4" w:space="0"/>
              <w:right w:val="single" w:color="auto" w:sz="4" w:space="0"/>
            </w:tcBorders>
            <w:vAlign w:val="center"/>
          </w:tcPr>
          <w:p w14:paraId="498C4FFE">
            <w:pPr>
              <w:jc w:val="center"/>
              <w:rPr>
                <w:rFonts w:hint="eastAsia"/>
              </w:rPr>
            </w:pPr>
            <w:r>
              <w:rPr>
                <w:rFonts w:hint="eastAsia"/>
                <w:color w:val="000000"/>
                <w:sz w:val="20"/>
                <w:szCs w:val="20"/>
              </w:rPr>
              <w:t>大气污染与防控</w:t>
            </w:r>
          </w:p>
        </w:tc>
        <w:tc>
          <w:tcPr>
            <w:tcW w:w="3965" w:type="dxa"/>
            <w:tcBorders>
              <w:top w:val="single" w:color="auto" w:sz="4" w:space="0"/>
              <w:left w:val="single" w:color="auto" w:sz="4" w:space="0"/>
              <w:bottom w:val="single" w:color="auto" w:sz="4" w:space="0"/>
              <w:right w:val="single" w:color="auto" w:sz="4" w:space="0"/>
            </w:tcBorders>
            <w:vAlign w:val="center"/>
          </w:tcPr>
          <w:p w14:paraId="26E59938">
            <w:pPr>
              <w:jc w:val="center"/>
              <w:rPr>
                <w:rFonts w:hint="eastAsia"/>
              </w:rPr>
            </w:pPr>
            <w:r>
              <w:rPr>
                <w:rFonts w:hint="eastAsia"/>
                <w:color w:val="000000"/>
                <w:sz w:val="20"/>
                <w:szCs w:val="20"/>
              </w:rPr>
              <w:t>根据大气污染案例分析污染源、健康危害和防控措施</w:t>
            </w:r>
          </w:p>
        </w:tc>
        <w:tc>
          <w:tcPr>
            <w:tcW w:w="842" w:type="dxa"/>
            <w:tcBorders>
              <w:left w:val="single" w:color="auto" w:sz="4" w:space="0"/>
              <w:right w:val="single" w:color="auto" w:sz="4" w:space="0"/>
            </w:tcBorders>
            <w:vAlign w:val="center"/>
          </w:tcPr>
          <w:p w14:paraId="5133B9EE">
            <w:pPr>
              <w:jc w:val="center"/>
              <w:rPr>
                <w:rFonts w:hint="eastAsia"/>
              </w:rPr>
            </w:pPr>
            <w:r>
              <w:rPr>
                <w:rFonts w:hint="eastAsia"/>
                <w:color w:val="000000"/>
                <w:sz w:val="20"/>
                <w:szCs w:val="20"/>
              </w:rPr>
              <w:t>2</w:t>
            </w:r>
          </w:p>
        </w:tc>
        <w:tc>
          <w:tcPr>
            <w:tcW w:w="928" w:type="dxa"/>
            <w:tcBorders>
              <w:left w:val="single" w:color="auto" w:sz="4" w:space="0"/>
              <w:right w:val="single" w:color="auto" w:sz="12" w:space="0"/>
            </w:tcBorders>
            <w:vAlign w:val="center"/>
          </w:tcPr>
          <w:p w14:paraId="4870CF54">
            <w:pPr>
              <w:jc w:val="center"/>
              <w:rPr>
                <w:rFonts w:hint="eastAsia"/>
              </w:rPr>
            </w:pPr>
            <w:r>
              <w:rPr>
                <w:rFonts w:hint="eastAsia"/>
                <w:color w:val="000000"/>
                <w:sz w:val="20"/>
                <w:szCs w:val="20"/>
              </w:rPr>
              <w:t>综合型</w:t>
            </w:r>
          </w:p>
        </w:tc>
      </w:tr>
      <w:tr w14:paraId="3225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5747F2F">
            <w:pPr>
              <w:jc w:val="center"/>
              <w:rPr>
                <w:rFonts w:hint="eastAsia"/>
              </w:rPr>
            </w:pPr>
            <w:r>
              <w:rPr>
                <w:rFonts w:hint="eastAsia"/>
                <w:color w:val="000000"/>
                <w:sz w:val="20"/>
                <w:szCs w:val="20"/>
              </w:rPr>
              <w:t>2</w:t>
            </w:r>
          </w:p>
        </w:tc>
        <w:tc>
          <w:tcPr>
            <w:tcW w:w="1838" w:type="dxa"/>
            <w:tcBorders>
              <w:top w:val="single" w:color="auto" w:sz="4" w:space="0"/>
              <w:left w:val="single" w:color="auto" w:sz="4" w:space="0"/>
              <w:bottom w:val="single" w:color="auto" w:sz="4" w:space="0"/>
              <w:right w:val="single" w:color="auto" w:sz="4" w:space="0"/>
            </w:tcBorders>
            <w:vAlign w:val="center"/>
          </w:tcPr>
          <w:p w14:paraId="71401DB7">
            <w:pPr>
              <w:jc w:val="center"/>
              <w:rPr>
                <w:rFonts w:hint="eastAsia"/>
              </w:rPr>
            </w:pPr>
            <w:r>
              <w:rPr>
                <w:rFonts w:hint="eastAsia"/>
                <w:color w:val="000000"/>
                <w:sz w:val="20"/>
                <w:szCs w:val="20"/>
              </w:rPr>
              <w:t>水体污染与防控</w:t>
            </w:r>
          </w:p>
        </w:tc>
        <w:tc>
          <w:tcPr>
            <w:tcW w:w="3965" w:type="dxa"/>
            <w:tcBorders>
              <w:top w:val="single" w:color="auto" w:sz="4" w:space="0"/>
              <w:left w:val="single" w:color="auto" w:sz="4" w:space="0"/>
              <w:bottom w:val="single" w:color="auto" w:sz="4" w:space="0"/>
              <w:right w:val="single" w:color="auto" w:sz="4" w:space="0"/>
            </w:tcBorders>
            <w:vAlign w:val="center"/>
          </w:tcPr>
          <w:p w14:paraId="43C0E80C">
            <w:pPr>
              <w:jc w:val="center"/>
              <w:rPr>
                <w:rFonts w:hint="eastAsia"/>
              </w:rPr>
            </w:pPr>
            <w:r>
              <w:rPr>
                <w:rFonts w:hint="eastAsia"/>
                <w:color w:val="000000"/>
                <w:sz w:val="20"/>
                <w:szCs w:val="20"/>
              </w:rPr>
              <w:t>根据水体污染案例分析污染源、健康危害和防控措施</w:t>
            </w:r>
          </w:p>
        </w:tc>
        <w:tc>
          <w:tcPr>
            <w:tcW w:w="842" w:type="dxa"/>
            <w:tcBorders>
              <w:left w:val="single" w:color="auto" w:sz="4" w:space="0"/>
              <w:bottom w:val="single" w:color="auto" w:sz="4" w:space="0"/>
              <w:right w:val="single" w:color="auto" w:sz="4" w:space="0"/>
            </w:tcBorders>
            <w:vAlign w:val="center"/>
          </w:tcPr>
          <w:p w14:paraId="5A92E3DB">
            <w:pPr>
              <w:jc w:val="center"/>
              <w:rPr>
                <w:rFonts w:hint="eastAsia"/>
              </w:rPr>
            </w:pPr>
            <w:r>
              <w:rPr>
                <w:rFonts w:hint="eastAsia"/>
                <w:color w:val="000000"/>
                <w:sz w:val="20"/>
                <w:szCs w:val="20"/>
              </w:rPr>
              <w:t>2</w:t>
            </w:r>
          </w:p>
        </w:tc>
        <w:tc>
          <w:tcPr>
            <w:tcW w:w="928" w:type="dxa"/>
            <w:tcBorders>
              <w:left w:val="single" w:color="auto" w:sz="4" w:space="0"/>
              <w:bottom w:val="single" w:color="auto" w:sz="4" w:space="0"/>
              <w:right w:val="single" w:color="auto" w:sz="12" w:space="0"/>
            </w:tcBorders>
            <w:vAlign w:val="center"/>
          </w:tcPr>
          <w:p w14:paraId="503C3E0C">
            <w:pPr>
              <w:jc w:val="center"/>
              <w:rPr>
                <w:rFonts w:hint="eastAsia"/>
              </w:rPr>
            </w:pPr>
            <w:r>
              <w:rPr>
                <w:rFonts w:hint="eastAsia"/>
                <w:color w:val="000000"/>
                <w:sz w:val="20"/>
                <w:szCs w:val="20"/>
              </w:rPr>
              <w:t>综合型</w:t>
            </w:r>
          </w:p>
        </w:tc>
      </w:tr>
      <w:tr w14:paraId="381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6097E9D">
            <w:pPr>
              <w:jc w:val="center"/>
              <w:rPr>
                <w:rFonts w:hint="eastAsia"/>
              </w:rPr>
            </w:pPr>
            <w:r>
              <w:rPr>
                <w:rFonts w:hint="eastAsia"/>
                <w:color w:val="000000"/>
                <w:sz w:val="20"/>
                <w:szCs w:val="20"/>
              </w:rPr>
              <w:t>3</w:t>
            </w:r>
          </w:p>
        </w:tc>
        <w:tc>
          <w:tcPr>
            <w:tcW w:w="1838" w:type="dxa"/>
            <w:tcBorders>
              <w:top w:val="single" w:color="auto" w:sz="4" w:space="0"/>
              <w:left w:val="single" w:color="auto" w:sz="4" w:space="0"/>
              <w:bottom w:val="single" w:color="auto" w:sz="4" w:space="0"/>
              <w:right w:val="single" w:color="auto" w:sz="4" w:space="0"/>
            </w:tcBorders>
            <w:vAlign w:val="center"/>
          </w:tcPr>
          <w:p w14:paraId="454B326A">
            <w:pPr>
              <w:jc w:val="center"/>
              <w:rPr>
                <w:rFonts w:hint="eastAsia"/>
              </w:rPr>
            </w:pPr>
            <w:r>
              <w:rPr>
                <w:rFonts w:hint="eastAsia"/>
                <w:color w:val="000000"/>
                <w:sz w:val="20"/>
                <w:szCs w:val="20"/>
              </w:rPr>
              <w:t>土壤污染与防控</w:t>
            </w:r>
          </w:p>
        </w:tc>
        <w:tc>
          <w:tcPr>
            <w:tcW w:w="3965" w:type="dxa"/>
            <w:tcBorders>
              <w:top w:val="single" w:color="auto" w:sz="4" w:space="0"/>
              <w:left w:val="single" w:color="auto" w:sz="4" w:space="0"/>
              <w:bottom w:val="single" w:color="auto" w:sz="4" w:space="0"/>
              <w:right w:val="single" w:color="auto" w:sz="4" w:space="0"/>
            </w:tcBorders>
            <w:vAlign w:val="center"/>
          </w:tcPr>
          <w:p w14:paraId="70D9DD21">
            <w:pPr>
              <w:jc w:val="center"/>
              <w:rPr>
                <w:rFonts w:hint="eastAsia"/>
              </w:rPr>
            </w:pPr>
            <w:r>
              <w:rPr>
                <w:rFonts w:hint="eastAsia"/>
                <w:color w:val="000000"/>
                <w:sz w:val="20"/>
                <w:szCs w:val="20"/>
              </w:rPr>
              <w:t>根据土壤污染案例分析污染源、健康危害和防控措施</w:t>
            </w:r>
          </w:p>
        </w:tc>
        <w:tc>
          <w:tcPr>
            <w:tcW w:w="842" w:type="dxa"/>
            <w:tcBorders>
              <w:left w:val="single" w:color="auto" w:sz="4" w:space="0"/>
              <w:right w:val="single" w:color="auto" w:sz="4" w:space="0"/>
            </w:tcBorders>
            <w:vAlign w:val="center"/>
          </w:tcPr>
          <w:p w14:paraId="710525E9">
            <w:pPr>
              <w:jc w:val="center"/>
              <w:rPr>
                <w:rFonts w:hint="eastAsia"/>
              </w:rPr>
            </w:pPr>
            <w:r>
              <w:rPr>
                <w:rFonts w:hint="eastAsia"/>
                <w:color w:val="000000"/>
                <w:sz w:val="20"/>
                <w:szCs w:val="20"/>
              </w:rPr>
              <w:t>2</w:t>
            </w:r>
          </w:p>
        </w:tc>
        <w:tc>
          <w:tcPr>
            <w:tcW w:w="928" w:type="dxa"/>
            <w:tcBorders>
              <w:left w:val="single" w:color="auto" w:sz="4" w:space="0"/>
              <w:right w:val="single" w:color="auto" w:sz="12" w:space="0"/>
            </w:tcBorders>
            <w:vAlign w:val="center"/>
          </w:tcPr>
          <w:p w14:paraId="6D8C3D46">
            <w:pPr>
              <w:jc w:val="center"/>
              <w:rPr>
                <w:rFonts w:hint="eastAsia"/>
              </w:rPr>
            </w:pPr>
            <w:r>
              <w:rPr>
                <w:rFonts w:hint="eastAsia"/>
                <w:color w:val="000000"/>
                <w:sz w:val="20"/>
                <w:szCs w:val="20"/>
              </w:rPr>
              <w:t>综合型</w:t>
            </w:r>
          </w:p>
        </w:tc>
      </w:tr>
      <w:tr w14:paraId="7D63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7C88FBCE">
            <w:pPr>
              <w:jc w:val="center"/>
              <w:rPr>
                <w:rFonts w:hint="eastAsia"/>
              </w:rPr>
            </w:pPr>
            <w:r>
              <w:rPr>
                <w:rFonts w:hint="eastAsia"/>
                <w:color w:val="000000"/>
                <w:sz w:val="20"/>
                <w:szCs w:val="20"/>
              </w:rPr>
              <w:t>4</w:t>
            </w:r>
          </w:p>
        </w:tc>
        <w:tc>
          <w:tcPr>
            <w:tcW w:w="1838" w:type="dxa"/>
            <w:tcBorders>
              <w:top w:val="single" w:color="auto" w:sz="4" w:space="0"/>
              <w:left w:val="single" w:color="auto" w:sz="4" w:space="0"/>
              <w:bottom w:val="single" w:color="auto" w:sz="4" w:space="0"/>
              <w:right w:val="single" w:color="auto" w:sz="4" w:space="0"/>
            </w:tcBorders>
            <w:vAlign w:val="center"/>
          </w:tcPr>
          <w:p w14:paraId="2E3105DF">
            <w:pPr>
              <w:jc w:val="center"/>
              <w:rPr>
                <w:rFonts w:hint="eastAsia"/>
              </w:rPr>
            </w:pPr>
            <w:r>
              <w:rPr>
                <w:rFonts w:hint="eastAsia"/>
                <w:color w:val="000000"/>
                <w:sz w:val="20"/>
                <w:szCs w:val="20"/>
              </w:rPr>
              <w:t>生物地球化学性疾病与防控</w:t>
            </w:r>
          </w:p>
        </w:tc>
        <w:tc>
          <w:tcPr>
            <w:tcW w:w="3965" w:type="dxa"/>
            <w:tcBorders>
              <w:top w:val="single" w:color="auto" w:sz="4" w:space="0"/>
              <w:left w:val="single" w:color="auto" w:sz="4" w:space="0"/>
              <w:bottom w:val="single" w:color="auto" w:sz="4" w:space="0"/>
              <w:right w:val="single" w:color="auto" w:sz="4" w:space="0"/>
            </w:tcBorders>
            <w:vAlign w:val="center"/>
          </w:tcPr>
          <w:p w14:paraId="29BB158D">
            <w:pPr>
              <w:jc w:val="center"/>
              <w:rPr>
                <w:rFonts w:hint="eastAsia"/>
              </w:rPr>
            </w:pPr>
            <w:r>
              <w:rPr>
                <w:rFonts w:hint="eastAsia"/>
                <w:color w:val="000000"/>
                <w:sz w:val="20"/>
                <w:szCs w:val="20"/>
              </w:rPr>
              <w:t>根据生物地球化学性疾病案例分析健康危害因素和防控措施</w:t>
            </w:r>
          </w:p>
        </w:tc>
        <w:tc>
          <w:tcPr>
            <w:tcW w:w="842" w:type="dxa"/>
            <w:tcBorders>
              <w:left w:val="single" w:color="auto" w:sz="4" w:space="0"/>
              <w:right w:val="single" w:color="auto" w:sz="4" w:space="0"/>
            </w:tcBorders>
            <w:vAlign w:val="center"/>
          </w:tcPr>
          <w:p w14:paraId="09369E63">
            <w:pPr>
              <w:jc w:val="center"/>
              <w:rPr>
                <w:rFonts w:hint="eastAsia"/>
              </w:rPr>
            </w:pPr>
            <w:r>
              <w:rPr>
                <w:rFonts w:hint="eastAsia"/>
                <w:color w:val="000000"/>
                <w:sz w:val="20"/>
                <w:szCs w:val="20"/>
              </w:rPr>
              <w:t>2</w:t>
            </w:r>
          </w:p>
        </w:tc>
        <w:tc>
          <w:tcPr>
            <w:tcW w:w="928" w:type="dxa"/>
            <w:tcBorders>
              <w:left w:val="single" w:color="auto" w:sz="4" w:space="0"/>
              <w:right w:val="single" w:color="auto" w:sz="12" w:space="0"/>
            </w:tcBorders>
            <w:vAlign w:val="center"/>
          </w:tcPr>
          <w:p w14:paraId="0F66FF7B">
            <w:pPr>
              <w:jc w:val="center"/>
              <w:rPr>
                <w:rFonts w:hint="eastAsia"/>
              </w:rPr>
            </w:pPr>
            <w:r>
              <w:rPr>
                <w:rFonts w:hint="eastAsia"/>
                <w:color w:val="000000"/>
                <w:sz w:val="20"/>
                <w:szCs w:val="20"/>
              </w:rPr>
              <w:t>综合型</w:t>
            </w:r>
          </w:p>
        </w:tc>
      </w:tr>
      <w:tr w14:paraId="71D8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vAlign w:val="center"/>
          </w:tcPr>
          <w:p w14:paraId="0A477179">
            <w:pPr>
              <w:pStyle w:val="15"/>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7220CBC">
      <w:pPr>
        <w:pStyle w:val="18"/>
        <w:spacing w:before="326" w:beforeLines="100" w:line="360" w:lineRule="auto"/>
        <w:ind w:firstLine="140" w:firstLineChars="50"/>
        <w:rPr>
          <w:rFonts w:hint="eastAsia" w:ascii="黑体" w:hAnsi="宋体"/>
        </w:rPr>
      </w:pPr>
      <w:r>
        <w:rPr>
          <w:rFonts w:hint="eastAsia" w:ascii="黑体" w:hAnsi="宋体"/>
        </w:rPr>
        <w:t>四、课程思政教学设计</w:t>
      </w:r>
    </w:p>
    <w:bookmarkEnd w:id="4"/>
    <w:bookmarkEnd w:id="5"/>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74AB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04F2D29">
            <w:pPr>
              <w:pStyle w:val="16"/>
              <w:widowControl w:val="0"/>
              <w:ind w:firstLine="420" w:firstLineChars="200"/>
              <w:jc w:val="left"/>
            </w:pPr>
            <w:r>
              <w:rPr>
                <w:rFonts w:hint="eastAsia"/>
              </w:rPr>
              <w:t>1、将国家大政方针与环境卫生专业知识结合起来，确定了生态文明、爱国主义和科学精神三条主线，明确课程中必须涉及的基本教学内容。</w:t>
            </w:r>
          </w:p>
          <w:p w14:paraId="388465D2">
            <w:pPr>
              <w:pStyle w:val="16"/>
              <w:widowControl w:val="0"/>
              <w:ind w:firstLine="420" w:firstLineChars="200"/>
              <w:jc w:val="left"/>
            </w:pPr>
            <w:r>
              <w:rPr>
                <w:rFonts w:hint="eastAsia"/>
              </w:rPr>
              <w:t>在绪论章中介绍党和政府一系列关于生态环境建设和环境保护的政策和理论，如可持续发展观、建设生态文明思想、美丽中国概念、“五位一体”中国特色社会主义总体布局和“创新、协调、绿色、开放、共享”发展理念等，在学习专业知识的同时，使学生对生态文明建设政策有直观、深入的了解。在学习生物多样性章节时，引入习总书记“绿水青山就是金山银山”重要论述，说明“绿水青山”即是生物多样性的基础，“绿水青山”所创造的优美环境，也可以满足人民对于美好生活的向往。借此加深对环境与健康关系的认识，提升对中国传统文化的自豪感和对党和国家关于生态环境建设政策的理解。</w:t>
            </w:r>
          </w:p>
          <w:p w14:paraId="4A4300A8">
            <w:pPr>
              <w:pStyle w:val="16"/>
              <w:widowControl w:val="0"/>
              <w:ind w:firstLine="420" w:firstLineChars="200"/>
              <w:jc w:val="left"/>
            </w:pPr>
            <w:r>
              <w:rPr>
                <w:rFonts w:hint="eastAsia"/>
              </w:rPr>
              <w:t>2、将课程教育与职业素养教育相结合</w:t>
            </w:r>
          </w:p>
          <w:p w14:paraId="077CFEEF">
            <w:pPr>
              <w:pStyle w:val="16"/>
              <w:widowControl w:val="0"/>
              <w:ind w:firstLine="420" w:firstLineChars="200"/>
              <w:jc w:val="left"/>
            </w:pPr>
            <w:r>
              <w:rPr>
                <w:rFonts w:hint="eastAsia"/>
              </w:rPr>
              <w:t>本课程强调预防医学专业学生应比常人多两观：预防观和环境观。在地方性氟中毒章节教学中，可引入我国各级疾病预防控制中心对创制改水装置及措施的杰出贡献，包括宁夏盐池县改水治氟的典型案例。2017年，国家地病中心和国家卫生计生委疾病预防控制专家委员会地方病防治分委会分别授予6名同志地方病防治研究终生成就奖、13名同志地方病防治研究终生荣誉奖、45名同志地方病防治研究优秀中青年专家，这是我国首次给从事地方病防治研究的专家授予终生荣誉称号，以此激发即将走上工作岗位的疾控人的创新思维能力和献身科学精神。</w:t>
            </w:r>
          </w:p>
          <w:p w14:paraId="614CB864">
            <w:pPr>
              <w:widowControl w:val="0"/>
              <w:snapToGrid w:val="0"/>
              <w:spacing w:line="280" w:lineRule="exact"/>
              <w:ind w:firstLine="480" w:firstLineChars="200"/>
              <w:jc w:val="both"/>
              <w:rPr>
                <w:rFonts w:hint="eastAsia"/>
              </w:rPr>
            </w:pPr>
            <w:r>
              <w:rPr>
                <w:rFonts w:hint="eastAsia"/>
              </w:rPr>
              <w:t>3、</w:t>
            </w:r>
            <w:r>
              <w:rPr>
                <w:rFonts w:hint="eastAsia" w:ascii="Times New Roman" w:hAnsi="Times New Roman"/>
                <w:color w:val="000000"/>
                <w:sz w:val="21"/>
                <w:szCs w:val="21"/>
              </w:rPr>
              <w:t>培养学生以保障和促进环境保护为己任的家国情怀。养成良好的饮食、卫生习惯，确立积极、健康的生活态度，做好宣教工作。</w:t>
            </w:r>
          </w:p>
        </w:tc>
      </w:tr>
    </w:tbl>
    <w:p w14:paraId="69306076">
      <w:pPr>
        <w:pStyle w:val="18"/>
        <w:spacing w:before="326" w:beforeLines="100" w:line="360" w:lineRule="auto"/>
        <w:rPr>
          <w:rFonts w:hint="eastAsia" w:ascii="黑体" w:hAnsi="宋体"/>
        </w:rPr>
      </w:pPr>
      <w:r>
        <w:rPr>
          <w:rFonts w:hint="eastAsia" w:ascii="黑体" w:hAnsi="宋体"/>
        </w:rPr>
        <w:t>五、课程考核</w:t>
      </w:r>
      <w:bookmarkStart w:id="6" w:name="OLE_LINK4"/>
      <w:bookmarkStart w:id="7" w:name="OLE_LINK3"/>
    </w:p>
    <w:bookmarkEnd w:id="6"/>
    <w:bookmarkEnd w:id="7"/>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818"/>
        <w:gridCol w:w="770"/>
        <w:gridCol w:w="780"/>
        <w:gridCol w:w="740"/>
        <w:gridCol w:w="1270"/>
      </w:tblGrid>
      <w:tr w14:paraId="415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FF176A4">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D61615E">
            <w:pPr>
              <w:pStyle w:val="18"/>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BE153A6">
            <w:pPr>
              <w:pStyle w:val="18"/>
              <w:widowControl w:val="0"/>
              <w:jc w:val="center"/>
              <w:rPr>
                <w:rFonts w:hint="eastAsia" w:ascii="黑体" w:hAnsi="黑体"/>
                <w:bCs/>
                <w:sz w:val="21"/>
                <w:szCs w:val="21"/>
              </w:rPr>
            </w:pPr>
            <w:r>
              <w:rPr>
                <w:rFonts w:hint="eastAsia" w:ascii="黑体" w:hAnsi="黑体"/>
                <w:bCs/>
                <w:sz w:val="21"/>
                <w:szCs w:val="21"/>
              </w:rPr>
              <w:t>考核方式</w:t>
            </w:r>
          </w:p>
        </w:tc>
        <w:tc>
          <w:tcPr>
            <w:tcW w:w="3108" w:type="dxa"/>
            <w:gridSpan w:val="4"/>
            <w:tcBorders>
              <w:top w:val="single" w:color="auto" w:sz="12" w:space="0"/>
              <w:left w:val="double" w:color="auto" w:sz="4" w:space="0"/>
            </w:tcBorders>
            <w:vAlign w:val="center"/>
          </w:tcPr>
          <w:p w14:paraId="1E52F4ED">
            <w:pPr>
              <w:pStyle w:val="18"/>
              <w:widowControl w:val="0"/>
              <w:spacing w:line="240" w:lineRule="auto"/>
              <w:jc w:val="center"/>
              <w:rPr>
                <w:rFonts w:hint="eastAsia" w:ascii="黑体" w:hAnsi="宋体"/>
              </w:rPr>
            </w:pPr>
            <w:r>
              <w:rPr>
                <w:rFonts w:hint="eastAsia" w:ascii="黑体" w:hAnsi="黑体"/>
                <w:bCs/>
                <w:sz w:val="21"/>
                <w:szCs w:val="21"/>
              </w:rPr>
              <w:t>课程目标</w:t>
            </w:r>
          </w:p>
        </w:tc>
        <w:tc>
          <w:tcPr>
            <w:tcW w:w="1270" w:type="dxa"/>
            <w:vMerge w:val="restart"/>
            <w:tcBorders>
              <w:top w:val="single" w:color="auto" w:sz="12" w:space="0"/>
              <w:right w:val="single" w:color="auto" w:sz="12" w:space="0"/>
            </w:tcBorders>
            <w:vAlign w:val="center"/>
          </w:tcPr>
          <w:p w14:paraId="6F8AF7F8">
            <w:pPr>
              <w:pStyle w:val="18"/>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0AD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1E23EED">
            <w:pPr>
              <w:widowControl w:val="0"/>
              <w:snapToGrid w:val="0"/>
              <w:jc w:val="center"/>
              <w:rPr>
                <w:rFonts w:hint="eastAsia" w:ascii="黑体" w:hAnsi="黑体" w:eastAsia="黑体"/>
                <w:bCs/>
                <w:sz w:val="21"/>
                <w:szCs w:val="21"/>
              </w:rPr>
            </w:pPr>
          </w:p>
        </w:tc>
        <w:tc>
          <w:tcPr>
            <w:tcW w:w="709" w:type="dxa"/>
            <w:vMerge w:val="continue"/>
          </w:tcPr>
          <w:p w14:paraId="3F94FA31">
            <w:pPr>
              <w:pStyle w:val="18"/>
              <w:widowControl w:val="0"/>
              <w:jc w:val="both"/>
              <w:rPr>
                <w:rFonts w:hint="eastAsia" w:ascii="黑体" w:hAnsi="黑体"/>
                <w:bCs/>
                <w:sz w:val="21"/>
                <w:szCs w:val="21"/>
              </w:rPr>
            </w:pPr>
          </w:p>
        </w:tc>
        <w:tc>
          <w:tcPr>
            <w:tcW w:w="2353" w:type="dxa"/>
            <w:vMerge w:val="continue"/>
            <w:tcBorders>
              <w:right w:val="double" w:color="auto" w:sz="4" w:space="0"/>
            </w:tcBorders>
          </w:tcPr>
          <w:p w14:paraId="514EF973">
            <w:pPr>
              <w:pStyle w:val="18"/>
              <w:widowControl w:val="0"/>
              <w:jc w:val="both"/>
              <w:rPr>
                <w:rFonts w:hint="eastAsia" w:ascii="黑体" w:hAnsi="黑体"/>
                <w:bCs/>
                <w:sz w:val="21"/>
                <w:szCs w:val="21"/>
              </w:rPr>
            </w:pPr>
          </w:p>
        </w:tc>
        <w:tc>
          <w:tcPr>
            <w:tcW w:w="818" w:type="dxa"/>
            <w:tcBorders>
              <w:left w:val="double" w:color="auto" w:sz="4" w:space="0"/>
            </w:tcBorders>
            <w:vAlign w:val="center"/>
          </w:tcPr>
          <w:p w14:paraId="5DC48DD6">
            <w:pPr>
              <w:pStyle w:val="18"/>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770" w:type="dxa"/>
            <w:vAlign w:val="center"/>
          </w:tcPr>
          <w:p w14:paraId="58823B82">
            <w:pPr>
              <w:pStyle w:val="18"/>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780" w:type="dxa"/>
            <w:vAlign w:val="center"/>
          </w:tcPr>
          <w:p w14:paraId="1731D23B">
            <w:pPr>
              <w:pStyle w:val="18"/>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740" w:type="dxa"/>
            <w:vAlign w:val="center"/>
          </w:tcPr>
          <w:p w14:paraId="6D5AD967">
            <w:pPr>
              <w:pStyle w:val="18"/>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1270" w:type="dxa"/>
            <w:vMerge w:val="continue"/>
            <w:tcBorders>
              <w:right w:val="single" w:color="auto" w:sz="12" w:space="0"/>
            </w:tcBorders>
          </w:tcPr>
          <w:p w14:paraId="5153388E">
            <w:pPr>
              <w:pStyle w:val="18"/>
              <w:widowControl w:val="0"/>
              <w:spacing w:line="240" w:lineRule="auto"/>
              <w:jc w:val="center"/>
              <w:rPr>
                <w:rFonts w:hint="eastAsia" w:ascii="黑体" w:hAnsi="黑体"/>
                <w:bCs/>
                <w:sz w:val="21"/>
                <w:szCs w:val="21"/>
              </w:rPr>
            </w:pPr>
          </w:p>
        </w:tc>
      </w:tr>
      <w:tr w14:paraId="7280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3CF81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7052DD8">
            <w:pPr>
              <w:pStyle w:val="16"/>
              <w:widowControl w:val="0"/>
            </w:pPr>
            <w:r>
              <w:rPr>
                <w:rFonts w:hint="eastAsia"/>
              </w:rPr>
              <w:t>40%</w:t>
            </w:r>
          </w:p>
        </w:tc>
        <w:tc>
          <w:tcPr>
            <w:tcW w:w="2353" w:type="dxa"/>
            <w:tcBorders>
              <w:right w:val="double" w:color="auto" w:sz="4" w:space="0"/>
            </w:tcBorders>
            <w:vAlign w:val="center"/>
          </w:tcPr>
          <w:p w14:paraId="2CBC8702">
            <w:pPr>
              <w:pStyle w:val="16"/>
              <w:widowControl w:val="0"/>
            </w:pPr>
            <w:r>
              <w:rPr>
                <w:rFonts w:hint="eastAsia"/>
              </w:rPr>
              <w:t>期末随堂测试</w:t>
            </w:r>
          </w:p>
        </w:tc>
        <w:tc>
          <w:tcPr>
            <w:tcW w:w="818" w:type="dxa"/>
            <w:tcBorders>
              <w:left w:val="double" w:color="auto" w:sz="4" w:space="0"/>
            </w:tcBorders>
            <w:vAlign w:val="center"/>
          </w:tcPr>
          <w:p w14:paraId="5794171D">
            <w:pPr>
              <w:pStyle w:val="16"/>
              <w:widowControl w:val="0"/>
            </w:pPr>
            <w:r>
              <w:rPr>
                <w:rFonts w:hint="eastAsia"/>
              </w:rPr>
              <w:t>20</w:t>
            </w:r>
          </w:p>
        </w:tc>
        <w:tc>
          <w:tcPr>
            <w:tcW w:w="770" w:type="dxa"/>
            <w:vAlign w:val="center"/>
          </w:tcPr>
          <w:p w14:paraId="6747A6FF">
            <w:pPr>
              <w:pStyle w:val="16"/>
              <w:widowControl w:val="0"/>
            </w:pPr>
            <w:r>
              <w:rPr>
                <w:rFonts w:hint="eastAsia"/>
              </w:rPr>
              <w:t>40</w:t>
            </w:r>
          </w:p>
        </w:tc>
        <w:tc>
          <w:tcPr>
            <w:tcW w:w="780" w:type="dxa"/>
            <w:vAlign w:val="center"/>
          </w:tcPr>
          <w:p w14:paraId="42DE8151">
            <w:pPr>
              <w:pStyle w:val="16"/>
              <w:widowControl w:val="0"/>
            </w:pPr>
            <w:r>
              <w:rPr>
                <w:rFonts w:hint="eastAsia"/>
              </w:rPr>
              <w:t>40</w:t>
            </w:r>
          </w:p>
        </w:tc>
        <w:tc>
          <w:tcPr>
            <w:tcW w:w="740" w:type="dxa"/>
            <w:vAlign w:val="center"/>
          </w:tcPr>
          <w:p w14:paraId="6D13E3DA">
            <w:pPr>
              <w:pStyle w:val="16"/>
              <w:widowControl w:val="0"/>
            </w:pPr>
          </w:p>
        </w:tc>
        <w:tc>
          <w:tcPr>
            <w:tcW w:w="1270" w:type="dxa"/>
            <w:tcBorders>
              <w:right w:val="single" w:color="auto" w:sz="12" w:space="0"/>
            </w:tcBorders>
            <w:vAlign w:val="center"/>
          </w:tcPr>
          <w:p w14:paraId="2F1923D3">
            <w:pPr>
              <w:pStyle w:val="16"/>
              <w:widowControl w:val="0"/>
            </w:pPr>
            <w:r>
              <w:rPr>
                <w:rFonts w:hint="eastAsia"/>
              </w:rPr>
              <w:t>1</w:t>
            </w:r>
            <w:r>
              <w:t>00</w:t>
            </w:r>
          </w:p>
        </w:tc>
      </w:tr>
      <w:tr w14:paraId="26CF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64F78A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1D35F61">
            <w:pPr>
              <w:pStyle w:val="16"/>
              <w:widowControl w:val="0"/>
            </w:pPr>
            <w:r>
              <w:rPr>
                <w:rFonts w:hint="eastAsia"/>
              </w:rPr>
              <w:t>20%</w:t>
            </w:r>
          </w:p>
        </w:tc>
        <w:tc>
          <w:tcPr>
            <w:tcW w:w="2353" w:type="dxa"/>
            <w:tcBorders>
              <w:right w:val="double" w:color="auto" w:sz="4" w:space="0"/>
            </w:tcBorders>
            <w:vAlign w:val="center"/>
          </w:tcPr>
          <w:p w14:paraId="44FECA21">
            <w:pPr>
              <w:pStyle w:val="16"/>
              <w:widowControl w:val="0"/>
            </w:pPr>
            <w:r>
              <w:rPr>
                <w:rFonts w:hint="eastAsia"/>
              </w:rPr>
              <w:t>案例分析</w:t>
            </w:r>
          </w:p>
        </w:tc>
        <w:tc>
          <w:tcPr>
            <w:tcW w:w="818" w:type="dxa"/>
            <w:tcBorders>
              <w:left w:val="double" w:color="auto" w:sz="4" w:space="0"/>
            </w:tcBorders>
            <w:vAlign w:val="center"/>
          </w:tcPr>
          <w:p w14:paraId="7D9D2F2C">
            <w:pPr>
              <w:pStyle w:val="16"/>
              <w:widowControl w:val="0"/>
            </w:pPr>
          </w:p>
        </w:tc>
        <w:tc>
          <w:tcPr>
            <w:tcW w:w="770" w:type="dxa"/>
            <w:vAlign w:val="center"/>
          </w:tcPr>
          <w:p w14:paraId="1227AD5D">
            <w:pPr>
              <w:pStyle w:val="16"/>
              <w:widowControl w:val="0"/>
            </w:pPr>
            <w:r>
              <w:rPr>
                <w:rFonts w:hint="eastAsia"/>
              </w:rPr>
              <w:t>50</w:t>
            </w:r>
          </w:p>
        </w:tc>
        <w:tc>
          <w:tcPr>
            <w:tcW w:w="780" w:type="dxa"/>
            <w:vAlign w:val="center"/>
          </w:tcPr>
          <w:p w14:paraId="17327E5D">
            <w:pPr>
              <w:pStyle w:val="16"/>
              <w:widowControl w:val="0"/>
            </w:pPr>
            <w:r>
              <w:rPr>
                <w:rFonts w:hint="eastAsia"/>
              </w:rPr>
              <w:t>50</w:t>
            </w:r>
          </w:p>
        </w:tc>
        <w:tc>
          <w:tcPr>
            <w:tcW w:w="740" w:type="dxa"/>
            <w:vAlign w:val="center"/>
          </w:tcPr>
          <w:p w14:paraId="07266465">
            <w:pPr>
              <w:pStyle w:val="16"/>
              <w:widowControl w:val="0"/>
            </w:pPr>
          </w:p>
        </w:tc>
        <w:tc>
          <w:tcPr>
            <w:tcW w:w="1270" w:type="dxa"/>
            <w:tcBorders>
              <w:right w:val="single" w:color="auto" w:sz="12" w:space="0"/>
            </w:tcBorders>
            <w:vAlign w:val="center"/>
          </w:tcPr>
          <w:p w14:paraId="66E6296A">
            <w:pPr>
              <w:pStyle w:val="16"/>
              <w:widowControl w:val="0"/>
            </w:pPr>
            <w:r>
              <w:rPr>
                <w:rFonts w:hint="eastAsia"/>
              </w:rPr>
              <w:t>1</w:t>
            </w:r>
            <w:r>
              <w:t>00</w:t>
            </w:r>
          </w:p>
        </w:tc>
      </w:tr>
      <w:tr w14:paraId="4997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left w:val="single" w:color="auto" w:sz="12" w:space="0"/>
              <w:bottom w:val="single" w:color="auto" w:sz="4" w:space="0"/>
              <w:right w:val="single" w:color="auto" w:sz="4" w:space="0"/>
            </w:tcBorders>
            <w:vAlign w:val="center"/>
          </w:tcPr>
          <w:p w14:paraId="0C0244B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left w:val="single" w:color="auto" w:sz="4" w:space="0"/>
              <w:bottom w:val="single" w:color="auto" w:sz="4" w:space="0"/>
              <w:right w:val="single" w:color="auto" w:sz="4" w:space="0"/>
            </w:tcBorders>
            <w:vAlign w:val="center"/>
          </w:tcPr>
          <w:p w14:paraId="4E138469">
            <w:pPr>
              <w:pStyle w:val="16"/>
              <w:widowControl w:val="0"/>
            </w:pPr>
            <w:r>
              <w:rPr>
                <w:rFonts w:hint="eastAsia"/>
              </w:rPr>
              <w:t>20%</w:t>
            </w:r>
          </w:p>
        </w:tc>
        <w:tc>
          <w:tcPr>
            <w:tcW w:w="2353" w:type="dxa"/>
            <w:tcBorders>
              <w:left w:val="single" w:color="auto" w:sz="4" w:space="0"/>
              <w:bottom w:val="single" w:color="auto" w:sz="4" w:space="0"/>
              <w:right w:val="double" w:color="auto" w:sz="4" w:space="0"/>
            </w:tcBorders>
            <w:vAlign w:val="center"/>
          </w:tcPr>
          <w:p w14:paraId="5DCB9F1D">
            <w:pPr>
              <w:pStyle w:val="16"/>
              <w:widowControl w:val="0"/>
            </w:pPr>
            <w:r>
              <w:rPr>
                <w:rFonts w:hint="eastAsia"/>
              </w:rPr>
              <w:t>平时作业</w:t>
            </w:r>
          </w:p>
        </w:tc>
        <w:tc>
          <w:tcPr>
            <w:tcW w:w="818" w:type="dxa"/>
            <w:tcBorders>
              <w:left w:val="double" w:color="auto" w:sz="4" w:space="0"/>
              <w:bottom w:val="single" w:color="auto" w:sz="4" w:space="0"/>
              <w:right w:val="single" w:color="auto" w:sz="4" w:space="0"/>
            </w:tcBorders>
            <w:vAlign w:val="center"/>
          </w:tcPr>
          <w:p w14:paraId="67A3F5BF">
            <w:pPr>
              <w:pStyle w:val="16"/>
              <w:widowControl w:val="0"/>
            </w:pPr>
            <w:r>
              <w:rPr>
                <w:rFonts w:hint="eastAsia"/>
              </w:rPr>
              <w:t>20</w:t>
            </w:r>
          </w:p>
        </w:tc>
        <w:tc>
          <w:tcPr>
            <w:tcW w:w="770" w:type="dxa"/>
            <w:tcBorders>
              <w:left w:val="single" w:color="auto" w:sz="4" w:space="0"/>
              <w:bottom w:val="single" w:color="auto" w:sz="4" w:space="0"/>
              <w:right w:val="single" w:color="auto" w:sz="4" w:space="0"/>
            </w:tcBorders>
            <w:vAlign w:val="center"/>
          </w:tcPr>
          <w:p w14:paraId="181794E7">
            <w:pPr>
              <w:pStyle w:val="16"/>
              <w:widowControl w:val="0"/>
            </w:pPr>
            <w:r>
              <w:rPr>
                <w:rFonts w:hint="eastAsia"/>
              </w:rPr>
              <w:t>40</w:t>
            </w:r>
          </w:p>
        </w:tc>
        <w:tc>
          <w:tcPr>
            <w:tcW w:w="780" w:type="dxa"/>
            <w:tcBorders>
              <w:left w:val="single" w:color="auto" w:sz="4" w:space="0"/>
              <w:bottom w:val="single" w:color="auto" w:sz="4" w:space="0"/>
              <w:right w:val="single" w:color="auto" w:sz="4" w:space="0"/>
            </w:tcBorders>
            <w:vAlign w:val="center"/>
          </w:tcPr>
          <w:p w14:paraId="5BB826B3">
            <w:pPr>
              <w:pStyle w:val="16"/>
              <w:widowControl w:val="0"/>
            </w:pPr>
            <w:r>
              <w:rPr>
                <w:rFonts w:hint="eastAsia"/>
              </w:rPr>
              <w:t>40</w:t>
            </w:r>
          </w:p>
        </w:tc>
        <w:tc>
          <w:tcPr>
            <w:tcW w:w="740" w:type="dxa"/>
            <w:tcBorders>
              <w:left w:val="single" w:color="auto" w:sz="4" w:space="0"/>
              <w:bottom w:val="single" w:color="auto" w:sz="4" w:space="0"/>
              <w:right w:val="single" w:color="auto" w:sz="4" w:space="0"/>
            </w:tcBorders>
            <w:vAlign w:val="center"/>
          </w:tcPr>
          <w:p w14:paraId="42B1977D">
            <w:pPr>
              <w:pStyle w:val="16"/>
              <w:widowControl w:val="0"/>
            </w:pPr>
          </w:p>
        </w:tc>
        <w:tc>
          <w:tcPr>
            <w:tcW w:w="1270" w:type="dxa"/>
            <w:tcBorders>
              <w:left w:val="single" w:color="auto" w:sz="4" w:space="0"/>
              <w:bottom w:val="single" w:color="auto" w:sz="4" w:space="0"/>
              <w:right w:val="single" w:color="auto" w:sz="12" w:space="0"/>
            </w:tcBorders>
            <w:vAlign w:val="center"/>
          </w:tcPr>
          <w:p w14:paraId="320D76EB">
            <w:pPr>
              <w:pStyle w:val="16"/>
              <w:widowControl w:val="0"/>
            </w:pPr>
            <w:r>
              <w:rPr>
                <w:rFonts w:hint="eastAsia"/>
              </w:rPr>
              <w:t>1</w:t>
            </w:r>
            <w:r>
              <w:t>00</w:t>
            </w:r>
          </w:p>
        </w:tc>
      </w:tr>
      <w:tr w14:paraId="2C8D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top w:val="single" w:color="auto" w:sz="4" w:space="0"/>
              <w:left w:val="single" w:color="000000" w:sz="12" w:space="0"/>
              <w:bottom w:val="single" w:color="000000" w:sz="12" w:space="0"/>
              <w:right w:val="single" w:color="auto" w:sz="4" w:space="0"/>
            </w:tcBorders>
            <w:vAlign w:val="center"/>
          </w:tcPr>
          <w:p w14:paraId="647BBF64">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709" w:type="dxa"/>
            <w:tcBorders>
              <w:top w:val="single" w:color="auto" w:sz="4" w:space="0"/>
              <w:left w:val="single" w:color="auto" w:sz="4" w:space="0"/>
              <w:bottom w:val="single" w:color="000000" w:sz="12" w:space="0"/>
              <w:right w:val="single" w:color="auto" w:sz="4" w:space="0"/>
            </w:tcBorders>
            <w:vAlign w:val="center"/>
          </w:tcPr>
          <w:p w14:paraId="7A6A4EE5">
            <w:pPr>
              <w:pStyle w:val="16"/>
              <w:widowControl w:val="0"/>
            </w:pPr>
            <w:r>
              <w:rPr>
                <w:rFonts w:hint="eastAsia"/>
              </w:rPr>
              <w:t>20%</w:t>
            </w:r>
          </w:p>
        </w:tc>
        <w:tc>
          <w:tcPr>
            <w:tcW w:w="2353" w:type="dxa"/>
            <w:tcBorders>
              <w:top w:val="single" w:color="auto" w:sz="4" w:space="0"/>
              <w:left w:val="single" w:color="auto" w:sz="4" w:space="0"/>
              <w:bottom w:val="single" w:color="000000" w:sz="12" w:space="0"/>
              <w:right w:val="double" w:color="auto" w:sz="4" w:space="0"/>
            </w:tcBorders>
            <w:vAlign w:val="center"/>
          </w:tcPr>
          <w:p w14:paraId="5B6192C9">
            <w:pPr>
              <w:pStyle w:val="16"/>
              <w:widowControl w:val="0"/>
            </w:pPr>
            <w:r>
              <w:rPr>
                <w:rFonts w:hint="eastAsia"/>
              </w:rPr>
              <w:t>课堂表现</w:t>
            </w:r>
          </w:p>
        </w:tc>
        <w:tc>
          <w:tcPr>
            <w:tcW w:w="818" w:type="dxa"/>
            <w:tcBorders>
              <w:top w:val="single" w:color="auto" w:sz="4" w:space="0"/>
              <w:left w:val="double" w:color="auto" w:sz="4" w:space="0"/>
              <w:bottom w:val="single" w:color="000000" w:sz="12" w:space="0"/>
              <w:right w:val="single" w:color="auto" w:sz="4" w:space="0"/>
            </w:tcBorders>
            <w:vAlign w:val="center"/>
          </w:tcPr>
          <w:p w14:paraId="494922ED">
            <w:pPr>
              <w:pStyle w:val="16"/>
              <w:widowControl w:val="0"/>
            </w:pPr>
            <w:r>
              <w:rPr>
                <w:rFonts w:hint="eastAsia"/>
              </w:rPr>
              <w:t>20</w:t>
            </w:r>
          </w:p>
        </w:tc>
        <w:tc>
          <w:tcPr>
            <w:tcW w:w="770" w:type="dxa"/>
            <w:tcBorders>
              <w:top w:val="single" w:color="auto" w:sz="4" w:space="0"/>
              <w:left w:val="single" w:color="auto" w:sz="4" w:space="0"/>
              <w:bottom w:val="single" w:color="000000" w:sz="12" w:space="0"/>
              <w:right w:val="single" w:color="auto" w:sz="4" w:space="0"/>
            </w:tcBorders>
            <w:vAlign w:val="center"/>
          </w:tcPr>
          <w:p w14:paraId="15CDCC3F">
            <w:pPr>
              <w:pStyle w:val="16"/>
              <w:widowControl w:val="0"/>
            </w:pPr>
            <w:r>
              <w:rPr>
                <w:rFonts w:hint="eastAsia"/>
              </w:rPr>
              <w:t>20</w:t>
            </w:r>
          </w:p>
        </w:tc>
        <w:tc>
          <w:tcPr>
            <w:tcW w:w="780" w:type="dxa"/>
            <w:tcBorders>
              <w:top w:val="single" w:color="auto" w:sz="4" w:space="0"/>
              <w:left w:val="single" w:color="auto" w:sz="4" w:space="0"/>
              <w:bottom w:val="single" w:color="000000" w:sz="12" w:space="0"/>
              <w:right w:val="single" w:color="auto" w:sz="4" w:space="0"/>
            </w:tcBorders>
            <w:vAlign w:val="center"/>
          </w:tcPr>
          <w:p w14:paraId="132140D1">
            <w:pPr>
              <w:pStyle w:val="16"/>
              <w:widowControl w:val="0"/>
            </w:pPr>
            <w:r>
              <w:rPr>
                <w:rFonts w:hint="eastAsia"/>
              </w:rPr>
              <w:t>20</w:t>
            </w:r>
          </w:p>
        </w:tc>
        <w:tc>
          <w:tcPr>
            <w:tcW w:w="740" w:type="dxa"/>
            <w:tcBorders>
              <w:top w:val="single" w:color="auto" w:sz="4" w:space="0"/>
              <w:left w:val="single" w:color="auto" w:sz="4" w:space="0"/>
              <w:bottom w:val="single" w:color="000000" w:sz="12" w:space="0"/>
              <w:right w:val="single" w:color="auto" w:sz="4" w:space="0"/>
            </w:tcBorders>
            <w:vAlign w:val="center"/>
          </w:tcPr>
          <w:p w14:paraId="7DC040AD">
            <w:pPr>
              <w:pStyle w:val="16"/>
              <w:widowControl w:val="0"/>
            </w:pPr>
            <w:r>
              <w:rPr>
                <w:rFonts w:hint="eastAsia"/>
              </w:rPr>
              <w:t>40</w:t>
            </w:r>
          </w:p>
        </w:tc>
        <w:tc>
          <w:tcPr>
            <w:tcW w:w="1270" w:type="dxa"/>
            <w:tcBorders>
              <w:top w:val="single" w:color="auto" w:sz="4" w:space="0"/>
              <w:left w:val="single" w:color="auto" w:sz="4" w:space="0"/>
              <w:bottom w:val="single" w:color="000000" w:sz="12" w:space="0"/>
              <w:right w:val="single" w:color="000000" w:sz="12" w:space="0"/>
            </w:tcBorders>
            <w:vAlign w:val="center"/>
          </w:tcPr>
          <w:p w14:paraId="537E3A3D">
            <w:pPr>
              <w:pStyle w:val="16"/>
              <w:widowControl w:val="0"/>
            </w:pPr>
            <w:r>
              <w:rPr>
                <w:rFonts w:hint="eastAsia"/>
              </w:rPr>
              <w:t>100</w:t>
            </w:r>
          </w:p>
        </w:tc>
      </w:tr>
    </w:tbl>
    <w:p w14:paraId="791BC516">
      <w:pPr>
        <w:pStyle w:val="19"/>
        <w:spacing w:before="326" w:beforeLines="100" w:after="163"/>
        <w:ind w:firstLine="480"/>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82D2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964D52E">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6C5306AC">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4833E0D5">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09451809">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3AB7BDC7">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35F85116">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24B9203">
            <w:pPr>
              <w:pStyle w:val="18"/>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AC93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7768A50">
            <w:pPr>
              <w:widowControl w:val="0"/>
              <w:snapToGrid w:val="0"/>
              <w:jc w:val="center"/>
              <w:rPr>
                <w:rFonts w:hint="eastAsia" w:ascii="黑体" w:hAnsi="黑体" w:eastAsia="黑体"/>
                <w:bCs/>
                <w:sz w:val="21"/>
                <w:szCs w:val="21"/>
              </w:rPr>
            </w:pPr>
          </w:p>
        </w:tc>
        <w:tc>
          <w:tcPr>
            <w:tcW w:w="648" w:type="dxa"/>
            <w:vMerge w:val="continue"/>
          </w:tcPr>
          <w:p w14:paraId="19A50FAF">
            <w:pPr>
              <w:pStyle w:val="18"/>
              <w:widowControl w:val="0"/>
              <w:jc w:val="both"/>
              <w:rPr>
                <w:rFonts w:hint="eastAsia" w:ascii="黑体" w:hAnsi="黑体"/>
                <w:bCs/>
                <w:sz w:val="21"/>
                <w:szCs w:val="21"/>
              </w:rPr>
            </w:pPr>
          </w:p>
        </w:tc>
        <w:tc>
          <w:tcPr>
            <w:tcW w:w="1403" w:type="dxa"/>
            <w:vMerge w:val="continue"/>
          </w:tcPr>
          <w:p w14:paraId="6C576059">
            <w:pPr>
              <w:pStyle w:val="18"/>
              <w:widowControl w:val="0"/>
              <w:jc w:val="both"/>
              <w:rPr>
                <w:rFonts w:hint="eastAsia" w:ascii="黑体" w:hAnsi="黑体"/>
                <w:bCs/>
                <w:sz w:val="21"/>
                <w:szCs w:val="21"/>
              </w:rPr>
            </w:pPr>
          </w:p>
        </w:tc>
        <w:tc>
          <w:tcPr>
            <w:tcW w:w="1403" w:type="dxa"/>
            <w:vAlign w:val="center"/>
          </w:tcPr>
          <w:p w14:paraId="6F1823E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C2537CC">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ADA447C">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282057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11782F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E07F92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12EE023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FD7F47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9457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4F16E3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D1F2261">
            <w:pPr>
              <w:widowControl w:val="0"/>
              <w:snapToGrid w:val="0"/>
              <w:jc w:val="center"/>
              <w:rPr>
                <w:rFonts w:ascii="Arial" w:hAnsi="Arial" w:eastAsia="黑体" w:cs="Arial"/>
                <w:bCs/>
                <w:sz w:val="21"/>
                <w:szCs w:val="21"/>
              </w:rPr>
            </w:pPr>
          </w:p>
        </w:tc>
        <w:tc>
          <w:tcPr>
            <w:tcW w:w="1403" w:type="dxa"/>
          </w:tcPr>
          <w:p w14:paraId="6E76C5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D882B31">
            <w:pPr>
              <w:pStyle w:val="16"/>
              <w:widowControl w:val="0"/>
            </w:pPr>
          </w:p>
        </w:tc>
        <w:tc>
          <w:tcPr>
            <w:tcW w:w="1403" w:type="dxa"/>
          </w:tcPr>
          <w:p w14:paraId="4BEDED1D">
            <w:pPr>
              <w:pStyle w:val="16"/>
              <w:widowControl w:val="0"/>
            </w:pPr>
          </w:p>
        </w:tc>
        <w:tc>
          <w:tcPr>
            <w:tcW w:w="1403" w:type="dxa"/>
          </w:tcPr>
          <w:p w14:paraId="01AE441C">
            <w:pPr>
              <w:pStyle w:val="16"/>
              <w:widowControl w:val="0"/>
            </w:pPr>
          </w:p>
        </w:tc>
        <w:tc>
          <w:tcPr>
            <w:tcW w:w="1403" w:type="dxa"/>
          </w:tcPr>
          <w:p w14:paraId="1577A018">
            <w:pPr>
              <w:pStyle w:val="8"/>
              <w:widowControl/>
              <w:shd w:val="clear" w:color="auto" w:fill="FFFFFF"/>
              <w:jc w:val="both"/>
              <w:rPr>
                <w:rFonts w:hint="eastAsia"/>
              </w:rPr>
            </w:pPr>
          </w:p>
        </w:tc>
      </w:tr>
      <w:tr w14:paraId="6590C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9AD67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C745594">
            <w:pPr>
              <w:widowControl w:val="0"/>
              <w:snapToGrid w:val="0"/>
              <w:jc w:val="center"/>
              <w:rPr>
                <w:rFonts w:ascii="Arial" w:hAnsi="Arial" w:eastAsia="黑体" w:cs="Arial"/>
                <w:bCs/>
                <w:sz w:val="21"/>
                <w:szCs w:val="21"/>
              </w:rPr>
            </w:pPr>
          </w:p>
        </w:tc>
        <w:tc>
          <w:tcPr>
            <w:tcW w:w="1403" w:type="dxa"/>
            <w:vAlign w:val="center"/>
          </w:tcPr>
          <w:p w14:paraId="5603DF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9DC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70B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105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B9D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2CD4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F5FBC8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16D0841A">
            <w:pPr>
              <w:widowControl w:val="0"/>
              <w:snapToGrid w:val="0"/>
              <w:jc w:val="center"/>
              <w:rPr>
                <w:rFonts w:ascii="Arial" w:hAnsi="Arial" w:eastAsia="黑体" w:cs="Arial"/>
                <w:bCs/>
                <w:sz w:val="21"/>
                <w:szCs w:val="21"/>
              </w:rPr>
            </w:pPr>
          </w:p>
        </w:tc>
        <w:tc>
          <w:tcPr>
            <w:tcW w:w="1403" w:type="dxa"/>
            <w:vAlign w:val="center"/>
          </w:tcPr>
          <w:p w14:paraId="58689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DEC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9759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460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674B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8C5F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73C623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292004C">
            <w:pPr>
              <w:widowControl w:val="0"/>
              <w:snapToGrid w:val="0"/>
              <w:jc w:val="center"/>
              <w:rPr>
                <w:rFonts w:ascii="Arial" w:hAnsi="Arial" w:eastAsia="黑体" w:cs="Arial"/>
                <w:bCs/>
                <w:sz w:val="21"/>
                <w:szCs w:val="21"/>
              </w:rPr>
            </w:pPr>
          </w:p>
        </w:tc>
        <w:tc>
          <w:tcPr>
            <w:tcW w:w="1403" w:type="dxa"/>
            <w:vAlign w:val="center"/>
          </w:tcPr>
          <w:p w14:paraId="16225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3F8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FFB7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38C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C72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952D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E1AAA8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00C8FEC">
            <w:pPr>
              <w:widowControl w:val="0"/>
              <w:snapToGrid w:val="0"/>
              <w:jc w:val="center"/>
              <w:rPr>
                <w:rFonts w:ascii="Arial" w:hAnsi="Arial" w:eastAsia="黑体" w:cs="Arial"/>
                <w:bCs/>
                <w:sz w:val="21"/>
                <w:szCs w:val="21"/>
              </w:rPr>
            </w:pPr>
          </w:p>
        </w:tc>
        <w:tc>
          <w:tcPr>
            <w:tcW w:w="1403" w:type="dxa"/>
            <w:vAlign w:val="center"/>
          </w:tcPr>
          <w:p w14:paraId="5CFA48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8B267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474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87F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45F5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B237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950DDC5">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1E588604">
            <w:pPr>
              <w:widowControl w:val="0"/>
              <w:snapToGrid w:val="0"/>
              <w:jc w:val="center"/>
              <w:rPr>
                <w:rFonts w:ascii="Arial" w:hAnsi="Arial" w:eastAsia="黑体" w:cs="Arial"/>
                <w:bCs/>
                <w:sz w:val="21"/>
                <w:szCs w:val="21"/>
              </w:rPr>
            </w:pPr>
          </w:p>
        </w:tc>
        <w:tc>
          <w:tcPr>
            <w:tcW w:w="1403" w:type="dxa"/>
            <w:vAlign w:val="center"/>
          </w:tcPr>
          <w:p w14:paraId="451A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31DB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55DF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157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724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7A130A3B">
      <w:pPr>
        <w:pStyle w:val="18"/>
        <w:spacing w:before="326" w:beforeLines="100" w:line="360" w:lineRule="auto"/>
        <w:rPr>
          <w:rFonts w:hint="eastAsia"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350D5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77C68A1">
            <w:pPr>
              <w:pStyle w:val="16"/>
              <w:widowControl w:val="0"/>
            </w:pPr>
          </w:p>
          <w:p w14:paraId="0AC6B13F">
            <w:pPr>
              <w:pStyle w:val="16"/>
              <w:widowControl w:val="0"/>
            </w:pPr>
          </w:p>
          <w:p w14:paraId="038A7FAE">
            <w:pPr>
              <w:pStyle w:val="16"/>
              <w:widowControl w:val="0"/>
            </w:pPr>
          </w:p>
        </w:tc>
      </w:tr>
    </w:tbl>
    <w:p w14:paraId="7F253902">
      <w:pPr>
        <w:pStyle w:val="18"/>
        <w:rPr>
          <w:rFonts w:hint="eastAsia" w:ascii="黑体" w:hAnsi="宋体"/>
          <w:sz w:val="18"/>
          <w:szCs w:val="16"/>
        </w:rPr>
      </w:pPr>
    </w:p>
    <w:p w14:paraId="75A770A1">
      <w:pPr>
        <w:pStyle w:val="19"/>
        <w:spacing w:before="326" w:beforeLines="100" w:after="163"/>
        <w:ind w:firstLine="2891" w:firstLineChars="1200"/>
        <w:jc w:val="both"/>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266247"/>
      <w:docPartObj>
        <w:docPartGallery w:val="autotext"/>
      </w:docPartObj>
    </w:sdtPr>
    <w:sdtContent>
      <w:sdt>
        <w:sdtPr>
          <w:id w:val="1728636285"/>
          <w:docPartObj>
            <w:docPartGallery w:val="autotext"/>
          </w:docPartObj>
        </w:sdtPr>
        <w:sdtContent>
          <w:p w14:paraId="2DBB2CCD">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A8D617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BC15">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C7265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5C7265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4B4F"/>
    <w:multiLevelType w:val="singleLevel"/>
    <w:tmpl w:val="83E34B4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ZTJiNWMyNTczYTI4NGM2Zjg4Y2VhNDUzOWIyMzkifQ=="/>
  </w:docVars>
  <w:rsids>
    <w:rsidRoot w:val="00B7651F"/>
    <w:rsid w:val="000203E0"/>
    <w:rsid w:val="000210E0"/>
    <w:rsid w:val="00021FEE"/>
    <w:rsid w:val="00033082"/>
    <w:rsid w:val="00044088"/>
    <w:rsid w:val="00052A1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806"/>
    <w:rsid w:val="00183AA1"/>
    <w:rsid w:val="0018767C"/>
    <w:rsid w:val="001A135C"/>
    <w:rsid w:val="001B0D49"/>
    <w:rsid w:val="001B546F"/>
    <w:rsid w:val="001C16FC"/>
    <w:rsid w:val="001C2E3E"/>
    <w:rsid w:val="001C388D"/>
    <w:rsid w:val="001C4849"/>
    <w:rsid w:val="001E0494"/>
    <w:rsid w:val="001E1D2D"/>
    <w:rsid w:val="001E5A17"/>
    <w:rsid w:val="001F284E"/>
    <w:rsid w:val="001F332E"/>
    <w:rsid w:val="002130F5"/>
    <w:rsid w:val="002173CD"/>
    <w:rsid w:val="00217861"/>
    <w:rsid w:val="002204E4"/>
    <w:rsid w:val="002211BF"/>
    <w:rsid w:val="00233F15"/>
    <w:rsid w:val="002420F1"/>
    <w:rsid w:val="00253AC8"/>
    <w:rsid w:val="00256B39"/>
    <w:rsid w:val="0026033C"/>
    <w:rsid w:val="0027339A"/>
    <w:rsid w:val="00274E82"/>
    <w:rsid w:val="002757AB"/>
    <w:rsid w:val="0027777C"/>
    <w:rsid w:val="00277FE7"/>
    <w:rsid w:val="0028264D"/>
    <w:rsid w:val="0028368E"/>
    <w:rsid w:val="002858C6"/>
    <w:rsid w:val="002877FA"/>
    <w:rsid w:val="00290962"/>
    <w:rsid w:val="0029110B"/>
    <w:rsid w:val="002A4649"/>
    <w:rsid w:val="002A7227"/>
    <w:rsid w:val="002B0773"/>
    <w:rsid w:val="002B0C48"/>
    <w:rsid w:val="002B13CA"/>
    <w:rsid w:val="002B286F"/>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0938"/>
    <w:rsid w:val="00331638"/>
    <w:rsid w:val="003344A7"/>
    <w:rsid w:val="00334623"/>
    <w:rsid w:val="003367AE"/>
    <w:rsid w:val="00340439"/>
    <w:rsid w:val="00344EF2"/>
    <w:rsid w:val="00347E40"/>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1836"/>
    <w:rsid w:val="00437AE3"/>
    <w:rsid w:val="00437B60"/>
    <w:rsid w:val="004405E6"/>
    <w:rsid w:val="00443C84"/>
    <w:rsid w:val="00443C89"/>
    <w:rsid w:val="004540AA"/>
    <w:rsid w:val="00456BD8"/>
    <w:rsid w:val="00456DC8"/>
    <w:rsid w:val="0046549D"/>
    <w:rsid w:val="00471668"/>
    <w:rsid w:val="00474AE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06D2"/>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5CA7"/>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1106"/>
    <w:rsid w:val="006E5CA9"/>
    <w:rsid w:val="006E5E98"/>
    <w:rsid w:val="006E7A37"/>
    <w:rsid w:val="006F3151"/>
    <w:rsid w:val="007011CA"/>
    <w:rsid w:val="007052B8"/>
    <w:rsid w:val="007056DE"/>
    <w:rsid w:val="00706121"/>
    <w:rsid w:val="00710B6B"/>
    <w:rsid w:val="00712A2C"/>
    <w:rsid w:val="00712E84"/>
    <w:rsid w:val="00713EEC"/>
    <w:rsid w:val="00714914"/>
    <w:rsid w:val="00714AB1"/>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C7C75"/>
    <w:rsid w:val="007D5326"/>
    <w:rsid w:val="007D5A33"/>
    <w:rsid w:val="007E0816"/>
    <w:rsid w:val="007E4F3A"/>
    <w:rsid w:val="007E620F"/>
    <w:rsid w:val="007E663C"/>
    <w:rsid w:val="007E7795"/>
    <w:rsid w:val="0080066B"/>
    <w:rsid w:val="00803578"/>
    <w:rsid w:val="00804DAF"/>
    <w:rsid w:val="00815B8D"/>
    <w:rsid w:val="00815B8E"/>
    <w:rsid w:val="00816D99"/>
    <w:rsid w:val="0082324C"/>
    <w:rsid w:val="00823D71"/>
    <w:rsid w:val="008245AF"/>
    <w:rsid w:val="008256B9"/>
    <w:rsid w:val="0083705D"/>
    <w:rsid w:val="0084206E"/>
    <w:rsid w:val="0084242F"/>
    <w:rsid w:val="00845795"/>
    <w:rsid w:val="00847437"/>
    <w:rsid w:val="00862AAD"/>
    <w:rsid w:val="00882A2F"/>
    <w:rsid w:val="00882E15"/>
    <w:rsid w:val="00883C73"/>
    <w:rsid w:val="008901A2"/>
    <w:rsid w:val="008A08B0"/>
    <w:rsid w:val="008B0385"/>
    <w:rsid w:val="008B05A0"/>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160D"/>
    <w:rsid w:val="008F253F"/>
    <w:rsid w:val="008F7F31"/>
    <w:rsid w:val="00900019"/>
    <w:rsid w:val="009023B1"/>
    <w:rsid w:val="00907A0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11D"/>
    <w:rsid w:val="009A1E27"/>
    <w:rsid w:val="009A307B"/>
    <w:rsid w:val="009B04E7"/>
    <w:rsid w:val="009B14E8"/>
    <w:rsid w:val="009B4D21"/>
    <w:rsid w:val="009B5A73"/>
    <w:rsid w:val="009B6CB7"/>
    <w:rsid w:val="009C54C9"/>
    <w:rsid w:val="009C589C"/>
    <w:rsid w:val="009D192B"/>
    <w:rsid w:val="009D2582"/>
    <w:rsid w:val="009D33E1"/>
    <w:rsid w:val="009D384A"/>
    <w:rsid w:val="009D3B45"/>
    <w:rsid w:val="009D7CF9"/>
    <w:rsid w:val="009E2CCC"/>
    <w:rsid w:val="009E2CDD"/>
    <w:rsid w:val="009E366E"/>
    <w:rsid w:val="009E6FC4"/>
    <w:rsid w:val="009F00DC"/>
    <w:rsid w:val="009F3199"/>
    <w:rsid w:val="009F3355"/>
    <w:rsid w:val="009F3648"/>
    <w:rsid w:val="009F3B7A"/>
    <w:rsid w:val="009F54D0"/>
    <w:rsid w:val="00A01993"/>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3D72"/>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568D"/>
    <w:rsid w:val="00C4194E"/>
    <w:rsid w:val="00C516B1"/>
    <w:rsid w:val="00C5350C"/>
    <w:rsid w:val="00C5517D"/>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5E17"/>
    <w:rsid w:val="00CF03CC"/>
    <w:rsid w:val="00CF096B"/>
    <w:rsid w:val="00CF10F7"/>
    <w:rsid w:val="00CF5EE3"/>
    <w:rsid w:val="00CF691F"/>
    <w:rsid w:val="00D00D99"/>
    <w:rsid w:val="00D013A4"/>
    <w:rsid w:val="00D026DC"/>
    <w:rsid w:val="00D15595"/>
    <w:rsid w:val="00D343A8"/>
    <w:rsid w:val="00D37832"/>
    <w:rsid w:val="00D40FAA"/>
    <w:rsid w:val="00D44860"/>
    <w:rsid w:val="00D47689"/>
    <w:rsid w:val="00D50C42"/>
    <w:rsid w:val="00D57CF5"/>
    <w:rsid w:val="00D612BC"/>
    <w:rsid w:val="00D62F98"/>
    <w:rsid w:val="00D66FD6"/>
    <w:rsid w:val="00D74ED4"/>
    <w:rsid w:val="00D8285B"/>
    <w:rsid w:val="00D862EB"/>
    <w:rsid w:val="00D86619"/>
    <w:rsid w:val="00D93E7C"/>
    <w:rsid w:val="00DB2BE6"/>
    <w:rsid w:val="00DB76B3"/>
    <w:rsid w:val="00DD1052"/>
    <w:rsid w:val="00DD3C7B"/>
    <w:rsid w:val="00DE2B21"/>
    <w:rsid w:val="00DE48DE"/>
    <w:rsid w:val="00DF25F2"/>
    <w:rsid w:val="00DF28BC"/>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70AA"/>
    <w:rsid w:val="00EE1C85"/>
    <w:rsid w:val="00EE2769"/>
    <w:rsid w:val="00EE2D97"/>
    <w:rsid w:val="00EE4FB2"/>
    <w:rsid w:val="00EF21D9"/>
    <w:rsid w:val="00EF2A94"/>
    <w:rsid w:val="00EF32FB"/>
    <w:rsid w:val="00EF44B1"/>
    <w:rsid w:val="00EF4865"/>
    <w:rsid w:val="00EF5954"/>
    <w:rsid w:val="00F100D2"/>
    <w:rsid w:val="00F12942"/>
    <w:rsid w:val="00F13C41"/>
    <w:rsid w:val="00F14886"/>
    <w:rsid w:val="00F16421"/>
    <w:rsid w:val="00F201EE"/>
    <w:rsid w:val="00F325C6"/>
    <w:rsid w:val="00F35AA0"/>
    <w:rsid w:val="00F43C49"/>
    <w:rsid w:val="00F45C12"/>
    <w:rsid w:val="00F544A2"/>
    <w:rsid w:val="00F73D03"/>
    <w:rsid w:val="00F76CB9"/>
    <w:rsid w:val="00F77A73"/>
    <w:rsid w:val="00F80E46"/>
    <w:rsid w:val="00F845F7"/>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2C2504"/>
    <w:rsid w:val="016E63C2"/>
    <w:rsid w:val="019B3631"/>
    <w:rsid w:val="01D20404"/>
    <w:rsid w:val="02225B04"/>
    <w:rsid w:val="022B2C0A"/>
    <w:rsid w:val="024B0C39"/>
    <w:rsid w:val="0270686F"/>
    <w:rsid w:val="02713106"/>
    <w:rsid w:val="02892823"/>
    <w:rsid w:val="028D7421"/>
    <w:rsid w:val="02B86932"/>
    <w:rsid w:val="03215DBB"/>
    <w:rsid w:val="03EF00A7"/>
    <w:rsid w:val="040B06E5"/>
    <w:rsid w:val="04367644"/>
    <w:rsid w:val="04542180"/>
    <w:rsid w:val="047E6DEC"/>
    <w:rsid w:val="04B4008E"/>
    <w:rsid w:val="04FA68C4"/>
    <w:rsid w:val="05171224"/>
    <w:rsid w:val="054A15F9"/>
    <w:rsid w:val="054D5478"/>
    <w:rsid w:val="055B042D"/>
    <w:rsid w:val="05A84572"/>
    <w:rsid w:val="05B13426"/>
    <w:rsid w:val="065C3382"/>
    <w:rsid w:val="066A0AC1"/>
    <w:rsid w:val="06F2019A"/>
    <w:rsid w:val="07B436A2"/>
    <w:rsid w:val="08096ED2"/>
    <w:rsid w:val="080D2DB2"/>
    <w:rsid w:val="083E11BD"/>
    <w:rsid w:val="08B651F8"/>
    <w:rsid w:val="08E52849"/>
    <w:rsid w:val="09047E8B"/>
    <w:rsid w:val="09070BB8"/>
    <w:rsid w:val="09413606"/>
    <w:rsid w:val="095764B1"/>
    <w:rsid w:val="098A1E34"/>
    <w:rsid w:val="09E518F1"/>
    <w:rsid w:val="0A2B09AE"/>
    <w:rsid w:val="0A8128A6"/>
    <w:rsid w:val="0A89037C"/>
    <w:rsid w:val="0AC85D16"/>
    <w:rsid w:val="0B783F5A"/>
    <w:rsid w:val="0BB92006"/>
    <w:rsid w:val="0BD637D5"/>
    <w:rsid w:val="0BF16DD0"/>
    <w:rsid w:val="0BF32A1B"/>
    <w:rsid w:val="0C637445"/>
    <w:rsid w:val="0C7476C0"/>
    <w:rsid w:val="0C992E66"/>
    <w:rsid w:val="0CD8398F"/>
    <w:rsid w:val="0CF85923"/>
    <w:rsid w:val="0D2441D8"/>
    <w:rsid w:val="0D8D346B"/>
    <w:rsid w:val="0E0367E9"/>
    <w:rsid w:val="0E1409F6"/>
    <w:rsid w:val="0E1E3623"/>
    <w:rsid w:val="0E2E2903"/>
    <w:rsid w:val="0E381628"/>
    <w:rsid w:val="0E664FCA"/>
    <w:rsid w:val="0E924111"/>
    <w:rsid w:val="0F3C1D81"/>
    <w:rsid w:val="0F9E3D65"/>
    <w:rsid w:val="10806817"/>
    <w:rsid w:val="10BD2C22"/>
    <w:rsid w:val="10CA00A9"/>
    <w:rsid w:val="11653EEC"/>
    <w:rsid w:val="12040D82"/>
    <w:rsid w:val="123D5128"/>
    <w:rsid w:val="13111AA0"/>
    <w:rsid w:val="134E0964"/>
    <w:rsid w:val="14DE3B0C"/>
    <w:rsid w:val="14FE5F5C"/>
    <w:rsid w:val="15347BD0"/>
    <w:rsid w:val="15BC4E81"/>
    <w:rsid w:val="15EB4733"/>
    <w:rsid w:val="160B2F4F"/>
    <w:rsid w:val="1719707D"/>
    <w:rsid w:val="175A5D15"/>
    <w:rsid w:val="17F412F9"/>
    <w:rsid w:val="181C0856"/>
    <w:rsid w:val="184E782A"/>
    <w:rsid w:val="18502C81"/>
    <w:rsid w:val="185A14E4"/>
    <w:rsid w:val="189674DF"/>
    <w:rsid w:val="18E44448"/>
    <w:rsid w:val="18F1708D"/>
    <w:rsid w:val="198518B6"/>
    <w:rsid w:val="19AD1CFF"/>
    <w:rsid w:val="19F17E3E"/>
    <w:rsid w:val="1A401C4C"/>
    <w:rsid w:val="1AA512DB"/>
    <w:rsid w:val="1AF10651"/>
    <w:rsid w:val="1B50328A"/>
    <w:rsid w:val="1BAD5803"/>
    <w:rsid w:val="1BC862FE"/>
    <w:rsid w:val="1BC869CB"/>
    <w:rsid w:val="1BD82110"/>
    <w:rsid w:val="1BEE6D2B"/>
    <w:rsid w:val="1C017198"/>
    <w:rsid w:val="1C827473"/>
    <w:rsid w:val="1C872759"/>
    <w:rsid w:val="1CA4563B"/>
    <w:rsid w:val="1CAE2016"/>
    <w:rsid w:val="1CB11B06"/>
    <w:rsid w:val="1CB810E7"/>
    <w:rsid w:val="1D1679F6"/>
    <w:rsid w:val="1D183546"/>
    <w:rsid w:val="1D223733"/>
    <w:rsid w:val="1D3A7D4E"/>
    <w:rsid w:val="1D48246B"/>
    <w:rsid w:val="1D4E37F9"/>
    <w:rsid w:val="1DAC0C4B"/>
    <w:rsid w:val="1DBA49EB"/>
    <w:rsid w:val="1DEC3710"/>
    <w:rsid w:val="1E960FB4"/>
    <w:rsid w:val="1ECF2787"/>
    <w:rsid w:val="1ED02718"/>
    <w:rsid w:val="1F170346"/>
    <w:rsid w:val="1F3233D2"/>
    <w:rsid w:val="1F632C80"/>
    <w:rsid w:val="1F983ACB"/>
    <w:rsid w:val="20857532"/>
    <w:rsid w:val="20D04174"/>
    <w:rsid w:val="21195220"/>
    <w:rsid w:val="211E3B5E"/>
    <w:rsid w:val="21562C7C"/>
    <w:rsid w:val="216B2BCB"/>
    <w:rsid w:val="21BF5A5A"/>
    <w:rsid w:val="21DB7AE8"/>
    <w:rsid w:val="222114DC"/>
    <w:rsid w:val="22987C80"/>
    <w:rsid w:val="22DC1158"/>
    <w:rsid w:val="22F20C9B"/>
    <w:rsid w:val="22FE6025"/>
    <w:rsid w:val="230B4F2D"/>
    <w:rsid w:val="2342795C"/>
    <w:rsid w:val="236F7EFE"/>
    <w:rsid w:val="24192CCC"/>
    <w:rsid w:val="242157C3"/>
    <w:rsid w:val="249E65F7"/>
    <w:rsid w:val="25076767"/>
    <w:rsid w:val="251E44C2"/>
    <w:rsid w:val="25580701"/>
    <w:rsid w:val="2572486D"/>
    <w:rsid w:val="26163881"/>
    <w:rsid w:val="262D3C8D"/>
    <w:rsid w:val="26A36964"/>
    <w:rsid w:val="26C012C4"/>
    <w:rsid w:val="26CD5615"/>
    <w:rsid w:val="272F1FA5"/>
    <w:rsid w:val="274E68CF"/>
    <w:rsid w:val="27541A0C"/>
    <w:rsid w:val="27BF5A1F"/>
    <w:rsid w:val="283F2028"/>
    <w:rsid w:val="28505A55"/>
    <w:rsid w:val="28550131"/>
    <w:rsid w:val="28BB52B5"/>
    <w:rsid w:val="28DC29BF"/>
    <w:rsid w:val="290C38B5"/>
    <w:rsid w:val="29324F91"/>
    <w:rsid w:val="296D32E3"/>
    <w:rsid w:val="29F00112"/>
    <w:rsid w:val="2A300F61"/>
    <w:rsid w:val="2A336250"/>
    <w:rsid w:val="2A733891"/>
    <w:rsid w:val="2ACE2C0F"/>
    <w:rsid w:val="2AE31A25"/>
    <w:rsid w:val="2AED2B71"/>
    <w:rsid w:val="2B137115"/>
    <w:rsid w:val="2B626DED"/>
    <w:rsid w:val="2B831F57"/>
    <w:rsid w:val="2C0A4D8F"/>
    <w:rsid w:val="2C4B3D66"/>
    <w:rsid w:val="2C4D0FC4"/>
    <w:rsid w:val="2CE74B9F"/>
    <w:rsid w:val="2D7339BD"/>
    <w:rsid w:val="2D765083"/>
    <w:rsid w:val="2DE0224B"/>
    <w:rsid w:val="2DF314FE"/>
    <w:rsid w:val="2E112405"/>
    <w:rsid w:val="2E156399"/>
    <w:rsid w:val="2E3B22F7"/>
    <w:rsid w:val="2E8C4FC8"/>
    <w:rsid w:val="2EB94517"/>
    <w:rsid w:val="2ED4025B"/>
    <w:rsid w:val="2EE43FBD"/>
    <w:rsid w:val="2FA774C5"/>
    <w:rsid w:val="2FB971F8"/>
    <w:rsid w:val="301937F3"/>
    <w:rsid w:val="3070265D"/>
    <w:rsid w:val="310149B3"/>
    <w:rsid w:val="312D39F9"/>
    <w:rsid w:val="316B7457"/>
    <w:rsid w:val="31B9027E"/>
    <w:rsid w:val="31E33FB1"/>
    <w:rsid w:val="32156597"/>
    <w:rsid w:val="32AE2918"/>
    <w:rsid w:val="33802506"/>
    <w:rsid w:val="343567EE"/>
    <w:rsid w:val="348070D4"/>
    <w:rsid w:val="348635BA"/>
    <w:rsid w:val="349B3370"/>
    <w:rsid w:val="34C5219B"/>
    <w:rsid w:val="34E70363"/>
    <w:rsid w:val="350B07F5"/>
    <w:rsid w:val="350B0C3C"/>
    <w:rsid w:val="35380BBF"/>
    <w:rsid w:val="35AF0E81"/>
    <w:rsid w:val="35B41FED"/>
    <w:rsid w:val="35C12962"/>
    <w:rsid w:val="35D66275"/>
    <w:rsid w:val="35D94150"/>
    <w:rsid w:val="36036A6F"/>
    <w:rsid w:val="363F6CE0"/>
    <w:rsid w:val="36797D24"/>
    <w:rsid w:val="36E20DE2"/>
    <w:rsid w:val="37180EE6"/>
    <w:rsid w:val="371F3DE4"/>
    <w:rsid w:val="37384EA6"/>
    <w:rsid w:val="374C71CE"/>
    <w:rsid w:val="37E455AA"/>
    <w:rsid w:val="3836225B"/>
    <w:rsid w:val="38B12FCE"/>
    <w:rsid w:val="38C33344"/>
    <w:rsid w:val="38D74EC3"/>
    <w:rsid w:val="392A6A70"/>
    <w:rsid w:val="39A66CD4"/>
    <w:rsid w:val="39F01A68"/>
    <w:rsid w:val="3A8C2406"/>
    <w:rsid w:val="3AB94550"/>
    <w:rsid w:val="3ABC280C"/>
    <w:rsid w:val="3B26628E"/>
    <w:rsid w:val="3B455DE4"/>
    <w:rsid w:val="3B7562CE"/>
    <w:rsid w:val="3BF5780A"/>
    <w:rsid w:val="3C067321"/>
    <w:rsid w:val="3C2F4C16"/>
    <w:rsid w:val="3C395948"/>
    <w:rsid w:val="3CD52CE1"/>
    <w:rsid w:val="3D233F03"/>
    <w:rsid w:val="3D490006"/>
    <w:rsid w:val="3D712EC0"/>
    <w:rsid w:val="3DCE6861"/>
    <w:rsid w:val="3DED2B88"/>
    <w:rsid w:val="3DF96E5F"/>
    <w:rsid w:val="3E0D080E"/>
    <w:rsid w:val="3E452877"/>
    <w:rsid w:val="3E5F644D"/>
    <w:rsid w:val="3E6D7B2B"/>
    <w:rsid w:val="3E733699"/>
    <w:rsid w:val="3ECD2378"/>
    <w:rsid w:val="3EF84F8F"/>
    <w:rsid w:val="3FAB47BF"/>
    <w:rsid w:val="4000052B"/>
    <w:rsid w:val="40361B36"/>
    <w:rsid w:val="405E0A42"/>
    <w:rsid w:val="40786313"/>
    <w:rsid w:val="40905D42"/>
    <w:rsid w:val="40CD2B03"/>
    <w:rsid w:val="40CE6837"/>
    <w:rsid w:val="410F2E6A"/>
    <w:rsid w:val="416B563B"/>
    <w:rsid w:val="416D1906"/>
    <w:rsid w:val="41B77BAD"/>
    <w:rsid w:val="41BF46F3"/>
    <w:rsid w:val="41CE2F7C"/>
    <w:rsid w:val="42086503"/>
    <w:rsid w:val="424B0183"/>
    <w:rsid w:val="432509D4"/>
    <w:rsid w:val="43695A2F"/>
    <w:rsid w:val="437325B7"/>
    <w:rsid w:val="440E0FC7"/>
    <w:rsid w:val="441616A9"/>
    <w:rsid w:val="4430136C"/>
    <w:rsid w:val="44634A7C"/>
    <w:rsid w:val="44F4130A"/>
    <w:rsid w:val="45126D36"/>
    <w:rsid w:val="45BB117C"/>
    <w:rsid w:val="45E5473B"/>
    <w:rsid w:val="460A5DDF"/>
    <w:rsid w:val="466E229C"/>
    <w:rsid w:val="468B72AF"/>
    <w:rsid w:val="46EE5581"/>
    <w:rsid w:val="47107D15"/>
    <w:rsid w:val="471E6EE5"/>
    <w:rsid w:val="473E2065"/>
    <w:rsid w:val="477C493B"/>
    <w:rsid w:val="47F30B60"/>
    <w:rsid w:val="48990EDF"/>
    <w:rsid w:val="48C22822"/>
    <w:rsid w:val="48DA7B6B"/>
    <w:rsid w:val="49415E3C"/>
    <w:rsid w:val="49BC54C3"/>
    <w:rsid w:val="49D22F38"/>
    <w:rsid w:val="49DB003F"/>
    <w:rsid w:val="49EC6009"/>
    <w:rsid w:val="4AB0382B"/>
    <w:rsid w:val="4AB10DA0"/>
    <w:rsid w:val="4ACC0E58"/>
    <w:rsid w:val="4AE515FF"/>
    <w:rsid w:val="4B081FC3"/>
    <w:rsid w:val="4B2772B4"/>
    <w:rsid w:val="4B614574"/>
    <w:rsid w:val="4B7A70E2"/>
    <w:rsid w:val="4BA8095F"/>
    <w:rsid w:val="4BC64091"/>
    <w:rsid w:val="4C26756B"/>
    <w:rsid w:val="4C8E4060"/>
    <w:rsid w:val="4C9B3AB5"/>
    <w:rsid w:val="4CBD2784"/>
    <w:rsid w:val="4CC0176E"/>
    <w:rsid w:val="4CC35B31"/>
    <w:rsid w:val="4CEE361E"/>
    <w:rsid w:val="4D106251"/>
    <w:rsid w:val="4D3F0D7E"/>
    <w:rsid w:val="4DDC37BB"/>
    <w:rsid w:val="4E1216A0"/>
    <w:rsid w:val="4E5056C3"/>
    <w:rsid w:val="4EF43951"/>
    <w:rsid w:val="4F516A50"/>
    <w:rsid w:val="4F697445"/>
    <w:rsid w:val="4F936CC6"/>
    <w:rsid w:val="4FF736F9"/>
    <w:rsid w:val="50083210"/>
    <w:rsid w:val="50A078EC"/>
    <w:rsid w:val="50DE08EB"/>
    <w:rsid w:val="50F43794"/>
    <w:rsid w:val="52346592"/>
    <w:rsid w:val="523F6B6E"/>
    <w:rsid w:val="524E3378"/>
    <w:rsid w:val="537231BE"/>
    <w:rsid w:val="53BD6A07"/>
    <w:rsid w:val="54493DF7"/>
    <w:rsid w:val="54784B7D"/>
    <w:rsid w:val="54E77BD2"/>
    <w:rsid w:val="556B422E"/>
    <w:rsid w:val="557B6384"/>
    <w:rsid w:val="55B81234"/>
    <w:rsid w:val="55DA0254"/>
    <w:rsid w:val="55F926AC"/>
    <w:rsid w:val="568709D5"/>
    <w:rsid w:val="569868B5"/>
    <w:rsid w:val="56A96DCF"/>
    <w:rsid w:val="5800777A"/>
    <w:rsid w:val="583F2A42"/>
    <w:rsid w:val="584C1675"/>
    <w:rsid w:val="586C6306"/>
    <w:rsid w:val="58D84918"/>
    <w:rsid w:val="58FE17C7"/>
    <w:rsid w:val="590829AE"/>
    <w:rsid w:val="59BB5428"/>
    <w:rsid w:val="59DE1485"/>
    <w:rsid w:val="59E57221"/>
    <w:rsid w:val="59F85BD2"/>
    <w:rsid w:val="5A1E5F89"/>
    <w:rsid w:val="5A5961EF"/>
    <w:rsid w:val="5A713DAF"/>
    <w:rsid w:val="5A76335E"/>
    <w:rsid w:val="5AE76B9A"/>
    <w:rsid w:val="5B4D68C3"/>
    <w:rsid w:val="5BA64C84"/>
    <w:rsid w:val="5BC326E1"/>
    <w:rsid w:val="5BF14F23"/>
    <w:rsid w:val="5C102086"/>
    <w:rsid w:val="5C2D64E5"/>
    <w:rsid w:val="5CF07506"/>
    <w:rsid w:val="5D041203"/>
    <w:rsid w:val="5DAA3B58"/>
    <w:rsid w:val="5DC8742A"/>
    <w:rsid w:val="5E192E87"/>
    <w:rsid w:val="5E2733FB"/>
    <w:rsid w:val="5E6D1915"/>
    <w:rsid w:val="5E95523E"/>
    <w:rsid w:val="5EC56048"/>
    <w:rsid w:val="5ED1457C"/>
    <w:rsid w:val="5F145603"/>
    <w:rsid w:val="5F1F19F8"/>
    <w:rsid w:val="5FD17AC2"/>
    <w:rsid w:val="5FE66795"/>
    <w:rsid w:val="60320168"/>
    <w:rsid w:val="603911C4"/>
    <w:rsid w:val="60952414"/>
    <w:rsid w:val="60954C3E"/>
    <w:rsid w:val="60963565"/>
    <w:rsid w:val="609D79A4"/>
    <w:rsid w:val="60CA3D57"/>
    <w:rsid w:val="60E20FEB"/>
    <w:rsid w:val="61120392"/>
    <w:rsid w:val="61147C75"/>
    <w:rsid w:val="611F6817"/>
    <w:rsid w:val="624F2F20"/>
    <w:rsid w:val="62606EDB"/>
    <w:rsid w:val="627661B5"/>
    <w:rsid w:val="63AB4186"/>
    <w:rsid w:val="63D738BD"/>
    <w:rsid w:val="63FF7194"/>
    <w:rsid w:val="64326425"/>
    <w:rsid w:val="64567B08"/>
    <w:rsid w:val="645B56F0"/>
    <w:rsid w:val="64676364"/>
    <w:rsid w:val="64A84B6A"/>
    <w:rsid w:val="653F56B9"/>
    <w:rsid w:val="653F727C"/>
    <w:rsid w:val="65C34518"/>
    <w:rsid w:val="65D43F9E"/>
    <w:rsid w:val="65EB11B2"/>
    <w:rsid w:val="66CA1754"/>
    <w:rsid w:val="67A56DFD"/>
    <w:rsid w:val="68071BA7"/>
    <w:rsid w:val="68556DB7"/>
    <w:rsid w:val="685E68F5"/>
    <w:rsid w:val="697E1C26"/>
    <w:rsid w:val="6A710E0E"/>
    <w:rsid w:val="6B0A20DA"/>
    <w:rsid w:val="6B546697"/>
    <w:rsid w:val="6C07661A"/>
    <w:rsid w:val="6C1F7CB8"/>
    <w:rsid w:val="6C2471CC"/>
    <w:rsid w:val="6C3A1C47"/>
    <w:rsid w:val="6C7A2E26"/>
    <w:rsid w:val="6CBE317C"/>
    <w:rsid w:val="6D527A3F"/>
    <w:rsid w:val="6D5C358E"/>
    <w:rsid w:val="6D761744"/>
    <w:rsid w:val="6DE94229"/>
    <w:rsid w:val="6F1C23DC"/>
    <w:rsid w:val="6F1E65D4"/>
    <w:rsid w:val="6F266C86"/>
    <w:rsid w:val="6F5042C2"/>
    <w:rsid w:val="6F54601A"/>
    <w:rsid w:val="6F700D27"/>
    <w:rsid w:val="6FB673DF"/>
    <w:rsid w:val="6FCB6E3F"/>
    <w:rsid w:val="70180DF5"/>
    <w:rsid w:val="70457711"/>
    <w:rsid w:val="710A4932"/>
    <w:rsid w:val="713F23B2"/>
    <w:rsid w:val="71520337"/>
    <w:rsid w:val="71542301"/>
    <w:rsid w:val="71764865"/>
    <w:rsid w:val="722A4B16"/>
    <w:rsid w:val="729F57FE"/>
    <w:rsid w:val="72DA4A88"/>
    <w:rsid w:val="731A162D"/>
    <w:rsid w:val="73282D9F"/>
    <w:rsid w:val="73700EA1"/>
    <w:rsid w:val="73942E89"/>
    <w:rsid w:val="73A36509"/>
    <w:rsid w:val="73F61362"/>
    <w:rsid w:val="73FB2F08"/>
    <w:rsid w:val="74316312"/>
    <w:rsid w:val="74BB4445"/>
    <w:rsid w:val="7503348F"/>
    <w:rsid w:val="75275446"/>
    <w:rsid w:val="753849B1"/>
    <w:rsid w:val="754031C3"/>
    <w:rsid w:val="75826D11"/>
    <w:rsid w:val="762C10E0"/>
    <w:rsid w:val="76636B42"/>
    <w:rsid w:val="780F13C8"/>
    <w:rsid w:val="784B4966"/>
    <w:rsid w:val="78A14F62"/>
    <w:rsid w:val="78A3591C"/>
    <w:rsid w:val="78AC2A23"/>
    <w:rsid w:val="790F31C4"/>
    <w:rsid w:val="79445DDB"/>
    <w:rsid w:val="79E1494E"/>
    <w:rsid w:val="7A150154"/>
    <w:rsid w:val="7A25746A"/>
    <w:rsid w:val="7A2955F8"/>
    <w:rsid w:val="7A3507F6"/>
    <w:rsid w:val="7A480529"/>
    <w:rsid w:val="7A8F7668"/>
    <w:rsid w:val="7AD95625"/>
    <w:rsid w:val="7B5433EF"/>
    <w:rsid w:val="7B670E83"/>
    <w:rsid w:val="7BA06143"/>
    <w:rsid w:val="7BA479FA"/>
    <w:rsid w:val="7C1F27DE"/>
    <w:rsid w:val="7C385448"/>
    <w:rsid w:val="7C6B49A3"/>
    <w:rsid w:val="7C776EA4"/>
    <w:rsid w:val="7C857813"/>
    <w:rsid w:val="7C8B0BA1"/>
    <w:rsid w:val="7C8F68E3"/>
    <w:rsid w:val="7CB3663D"/>
    <w:rsid w:val="7CB86D55"/>
    <w:rsid w:val="7CE3278B"/>
    <w:rsid w:val="7D1E1A15"/>
    <w:rsid w:val="7D220A47"/>
    <w:rsid w:val="7D515947"/>
    <w:rsid w:val="7DDB16B4"/>
    <w:rsid w:val="7EB10D93"/>
    <w:rsid w:val="7ED71E7C"/>
    <w:rsid w:val="7F27205D"/>
    <w:rsid w:val="7F3B622C"/>
    <w:rsid w:val="7F7B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6"/>
      <w:szCs w:val="36"/>
    </w:rPr>
  </w:style>
  <w:style w:type="paragraph" w:styleId="4">
    <w:name w:val="annotation text"/>
    <w:basedOn w:val="1"/>
    <w:link w:val="22"/>
    <w:autoRedefine/>
    <w:qFormat/>
    <w:uiPriority w:val="99"/>
    <w:pPr>
      <w:widowControl w:val="0"/>
    </w:pPr>
    <w:rPr>
      <w:rFonts w:ascii="Times New Roman" w:hAnsi="Times New Roman" w:cs="Times New Roman"/>
      <w:kern w:val="2"/>
      <w:sz w:val="21"/>
    </w:rPr>
  </w:style>
  <w:style w:type="paragraph" w:styleId="5">
    <w:name w:val="Balloon Text"/>
    <w:basedOn w:val="1"/>
    <w:link w:val="2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semiHidden/>
    <w:qFormat/>
    <w:uiPriority w:val="99"/>
    <w:rPr>
      <w:sz w:val="18"/>
      <w:szCs w:val="18"/>
    </w:rPr>
  </w:style>
  <w:style w:type="character" w:customStyle="1" w:styleId="14">
    <w:name w:val="页脚 字符"/>
    <w:basedOn w:val="11"/>
    <w:link w:val="6"/>
    <w:autoRedefine/>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3"/>
    <w:autoRedefine/>
    <w:qFormat/>
    <w:uiPriority w:val="9"/>
    <w:rPr>
      <w:rFonts w:ascii="Calibri" w:hAnsi="Calibri" w:eastAsia="宋体" w:cs="Times New Roman"/>
      <w:b/>
      <w:bCs/>
      <w:kern w:val="44"/>
      <w:sz w:val="44"/>
      <w:szCs w:val="44"/>
    </w:rPr>
  </w:style>
  <w:style w:type="character" w:customStyle="1" w:styleId="22">
    <w:name w:val="批注文字 字符"/>
    <w:basedOn w:val="11"/>
    <w:link w:val="4"/>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character" w:customStyle="1" w:styleId="25">
    <w:name w:val="批注框文本 字符"/>
    <w:basedOn w:val="11"/>
    <w:link w:val="5"/>
    <w:autoRedefine/>
    <w:semiHidden/>
    <w:qFormat/>
    <w:uiPriority w:val="99"/>
    <w:rPr>
      <w:rFonts w:ascii="宋体" w:hAnsi="宋体" w:eastAsia="宋体" w:cs="宋体"/>
      <w:sz w:val="18"/>
      <w:szCs w:val="18"/>
    </w:rPr>
  </w:style>
  <w:style w:type="paragraph" w:customStyle="1" w:styleId="2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3169C-F321-4CF4-BF40-7EE31EDDB511}">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1220</Words>
  <Characters>1286</Characters>
  <Lines>40</Lines>
  <Paragraphs>11</Paragraphs>
  <TotalTime>0</TotalTime>
  <ScaleCrop>false</ScaleCrop>
  <LinksUpToDate>false</LinksUpToDate>
  <CharactersWithSpaces>1299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2023-12-25T06:09:00Z</cp:lastPrinted>
  <dcterms:modified xsi:type="dcterms:W3CDTF">2025-09-29T01:58:39Z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261FF893AC584A0A9F2CE1E18B297F9A_13</vt:lpwstr>
  </property>
  <property fmtid="{D5CDD505-2E9C-101B-9397-08002B2CF9AE}" pid="4" name="KSOTemplateDocerSaveRecord">
    <vt:lpwstr>eyJoZGlkIjoiYzg1MjI1ZTcxYWRhOTZjZTA2ZDUyYjU5ODc2YTk3NGQiLCJ1c2VySWQiOiI0NjEyMTY0NjgifQ==</vt:lpwstr>
  </property>
</Properties>
</file>