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7E1BB">
      <w:pPr>
        <w:jc w:val="center"/>
        <w:rPr>
          <w:rFonts w:hint="eastAsia" w:ascii="黑体" w:hAnsi="黑体" w:eastAsia="黑体"/>
          <w:bCs/>
          <w:sz w:val="32"/>
          <w:szCs w:val="32"/>
        </w:rPr>
      </w:pPr>
      <w:r>
        <w:rPr>
          <w:rFonts w:hint="eastAsia" w:ascii="黑体" w:hAnsi="黑体" w:eastAsia="黑体"/>
          <w:bCs/>
          <w:sz w:val="32"/>
          <w:szCs w:val="32"/>
        </w:rPr>
        <w:t>《病理学与病理生理学》专科课程教学大纲</w:t>
      </w:r>
    </w:p>
    <w:p w14:paraId="31DB8EB0">
      <w:pPr>
        <w:pStyle w:val="17"/>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519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EFDC1EA">
            <w:pPr>
              <w:widowControl w:val="0"/>
              <w:jc w:val="center"/>
              <w:rPr>
                <w:rFonts w:hint="eastAsia" w:ascii="黑体" w:hAnsi="黑体" w:eastAsia="黑体"/>
                <w:color w:val="000000"/>
                <w:sz w:val="21"/>
                <w:szCs w:val="18"/>
              </w:rPr>
            </w:pPr>
            <w:r>
              <w:rPr>
                <w:rFonts w:hint="eastAsia" w:ascii="黑体" w:hAnsi="黑体" w:eastAsia="黑体"/>
                <w:color w:val="000000"/>
                <w:sz w:val="21"/>
                <w:szCs w:val="18"/>
              </w:rPr>
              <w:t>课程名称</w:t>
            </w:r>
          </w:p>
        </w:tc>
        <w:tc>
          <w:tcPr>
            <w:tcW w:w="6585" w:type="dxa"/>
            <w:gridSpan w:val="6"/>
            <w:tcBorders>
              <w:top w:val="single" w:color="auto" w:sz="12" w:space="0"/>
              <w:right w:val="single" w:color="auto" w:sz="12" w:space="0"/>
            </w:tcBorders>
            <w:vAlign w:val="center"/>
          </w:tcPr>
          <w:p w14:paraId="78050EE3">
            <w:pPr>
              <w:widowControl w:val="0"/>
              <w:rPr>
                <w:rFonts w:ascii="Times New Roman" w:hAnsi="Times New Roman" w:cs="Times New Roman"/>
                <w:bCs/>
                <w:color w:val="000000"/>
                <w:sz w:val="21"/>
                <w:szCs w:val="21"/>
              </w:rPr>
            </w:pPr>
            <w:r>
              <w:rPr>
                <w:rFonts w:ascii="Times New Roman" w:hAnsi="Times New Roman" w:cs="Times New Roman"/>
                <w:bCs/>
                <w:color w:val="000000"/>
                <w:sz w:val="21"/>
                <w:szCs w:val="21"/>
              </w:rPr>
              <w:t>病理学与病理生理学</w:t>
            </w:r>
          </w:p>
        </w:tc>
      </w:tr>
      <w:tr w14:paraId="5149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E54CCF9">
            <w:pPr>
              <w:widowControl w:val="0"/>
              <w:jc w:val="center"/>
              <w:rPr>
                <w:rFonts w:hint="eastAsia" w:ascii="黑体" w:hAnsi="黑体" w:eastAsia="黑体"/>
                <w:color w:val="000000"/>
                <w:sz w:val="21"/>
                <w:szCs w:val="18"/>
              </w:rPr>
            </w:pPr>
          </w:p>
        </w:tc>
        <w:tc>
          <w:tcPr>
            <w:tcW w:w="6585" w:type="dxa"/>
            <w:gridSpan w:val="6"/>
            <w:tcBorders>
              <w:right w:val="single" w:color="auto" w:sz="12" w:space="0"/>
            </w:tcBorders>
            <w:vAlign w:val="center"/>
          </w:tcPr>
          <w:p w14:paraId="76485DF8">
            <w:pPr>
              <w:widowControl w:val="0"/>
              <w:rPr>
                <w:rFonts w:ascii="Times New Roman" w:hAnsi="Times New Roman" w:cs="Times New Roman"/>
                <w:bCs/>
                <w:color w:val="000000"/>
                <w:sz w:val="21"/>
                <w:szCs w:val="21"/>
              </w:rPr>
            </w:pPr>
            <w:r>
              <w:rPr>
                <w:rFonts w:ascii="Times New Roman" w:hAnsi="Times New Roman" w:cs="Times New Roman"/>
                <w:bCs/>
                <w:color w:val="000000"/>
                <w:sz w:val="21"/>
                <w:szCs w:val="21"/>
              </w:rPr>
              <w:t>Pathology and pathophysiology</w:t>
            </w:r>
          </w:p>
        </w:tc>
      </w:tr>
      <w:tr w14:paraId="025A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E189026">
            <w:pPr>
              <w:widowControl w:val="0"/>
              <w:jc w:val="center"/>
              <w:rPr>
                <w:rFonts w:hint="eastAsia" w:ascii="黑体" w:hAnsi="黑体" w:eastAsia="黑体"/>
                <w:color w:val="000000"/>
                <w:sz w:val="21"/>
                <w:szCs w:val="18"/>
              </w:rPr>
            </w:pPr>
            <w:r>
              <w:rPr>
                <w:rFonts w:ascii="黑体" w:hAnsi="黑体" w:eastAsia="黑体"/>
                <w:color w:val="000000"/>
                <w:sz w:val="21"/>
                <w:szCs w:val="18"/>
              </w:rPr>
              <w:t>课程代码</w:t>
            </w:r>
          </w:p>
        </w:tc>
        <w:tc>
          <w:tcPr>
            <w:tcW w:w="2260" w:type="dxa"/>
            <w:vAlign w:val="center"/>
          </w:tcPr>
          <w:p w14:paraId="2F5EBAE7">
            <w:pPr>
              <w:widowControl w:val="0"/>
              <w:jc w:val="center"/>
              <w:rPr>
                <w:rFonts w:hint="eastAsia" w:ascii="黑体" w:hAnsi="黑体" w:eastAsia="黑体"/>
                <w:color w:val="000000"/>
                <w:sz w:val="21"/>
                <w:szCs w:val="21"/>
              </w:rPr>
            </w:pPr>
            <w:r>
              <w:rPr>
                <w:rFonts w:hint="eastAsia"/>
                <w:color w:val="000000"/>
                <w:sz w:val="20"/>
                <w:szCs w:val="20"/>
              </w:rPr>
              <w:t>0010041</w:t>
            </w:r>
          </w:p>
        </w:tc>
        <w:tc>
          <w:tcPr>
            <w:tcW w:w="2126" w:type="dxa"/>
            <w:gridSpan w:val="2"/>
            <w:vAlign w:val="center"/>
          </w:tcPr>
          <w:p w14:paraId="6034F321">
            <w:pPr>
              <w:widowControl w:val="0"/>
              <w:jc w:val="center"/>
              <w:rPr>
                <w:rFonts w:hint="eastAsia" w:ascii="黑体" w:hAnsi="黑体" w:eastAsia="黑体"/>
                <w:color w:val="000000"/>
                <w:sz w:val="21"/>
                <w:szCs w:val="21"/>
              </w:rPr>
            </w:pPr>
            <w:r>
              <w:rPr>
                <w:rFonts w:ascii="黑体" w:hAnsi="黑体" w:eastAsia="黑体"/>
                <w:color w:val="000000"/>
                <w:sz w:val="21"/>
                <w:szCs w:val="21"/>
              </w:rPr>
              <w:t>课程学分</w:t>
            </w:r>
          </w:p>
        </w:tc>
        <w:tc>
          <w:tcPr>
            <w:tcW w:w="2199" w:type="dxa"/>
            <w:gridSpan w:val="3"/>
            <w:tcBorders>
              <w:right w:val="single" w:color="auto" w:sz="12" w:space="0"/>
            </w:tcBorders>
            <w:vAlign w:val="center"/>
          </w:tcPr>
          <w:p w14:paraId="6A601034">
            <w:pPr>
              <w:widowControl w:val="0"/>
              <w:jc w:val="center"/>
              <w:rPr>
                <w:rFonts w:hint="eastAsia"/>
                <w:color w:val="000000"/>
                <w:sz w:val="21"/>
                <w:szCs w:val="21"/>
              </w:rPr>
            </w:pPr>
            <w:r>
              <w:rPr>
                <w:rFonts w:hint="eastAsia"/>
                <w:color w:val="000000"/>
                <w:sz w:val="21"/>
                <w:szCs w:val="21"/>
              </w:rPr>
              <w:t>3</w:t>
            </w:r>
            <w:r>
              <w:rPr>
                <w:color w:val="000000"/>
                <w:sz w:val="21"/>
                <w:szCs w:val="21"/>
              </w:rPr>
              <w:t>.0</w:t>
            </w:r>
          </w:p>
        </w:tc>
      </w:tr>
      <w:tr w14:paraId="3D88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5B55F27">
            <w:pPr>
              <w:widowControl w:val="0"/>
              <w:jc w:val="center"/>
              <w:rPr>
                <w:rFonts w:hint="eastAsia"/>
                <w:sz w:val="21"/>
                <w:szCs w:val="18"/>
              </w:rPr>
            </w:pPr>
            <w:r>
              <w:rPr>
                <w:rFonts w:hint="eastAsia" w:ascii="黑体" w:hAnsi="黑体" w:eastAsia="黑体"/>
                <w:color w:val="000000"/>
                <w:sz w:val="21"/>
                <w:szCs w:val="18"/>
              </w:rPr>
              <w:t>课程学时</w:t>
            </w:r>
          </w:p>
        </w:tc>
        <w:tc>
          <w:tcPr>
            <w:tcW w:w="2260" w:type="dxa"/>
            <w:vAlign w:val="center"/>
          </w:tcPr>
          <w:p w14:paraId="7A1042A5">
            <w:pPr>
              <w:widowControl w:val="0"/>
              <w:jc w:val="center"/>
              <w:rPr>
                <w:rFonts w:ascii="Times New Roman" w:hAnsi="Times New Roman"/>
                <w:color w:val="000000"/>
                <w:sz w:val="21"/>
                <w:szCs w:val="21"/>
              </w:rPr>
            </w:pPr>
            <w:r>
              <w:rPr>
                <w:rFonts w:hint="eastAsia"/>
                <w:color w:val="000000"/>
                <w:sz w:val="21"/>
                <w:szCs w:val="21"/>
              </w:rPr>
              <w:t>4</w:t>
            </w:r>
            <w:r>
              <w:rPr>
                <w:color w:val="000000"/>
                <w:sz w:val="21"/>
                <w:szCs w:val="21"/>
              </w:rPr>
              <w:t>8</w:t>
            </w:r>
          </w:p>
        </w:tc>
        <w:tc>
          <w:tcPr>
            <w:tcW w:w="1272" w:type="dxa"/>
            <w:vAlign w:val="center"/>
          </w:tcPr>
          <w:p w14:paraId="5CD99EDD">
            <w:pPr>
              <w:widowControl w:val="0"/>
              <w:jc w:val="center"/>
              <w:rPr>
                <w:rFonts w:hint="eastAsia"/>
                <w:color w:val="000000"/>
                <w:sz w:val="21"/>
                <w:szCs w:val="21"/>
              </w:rPr>
            </w:pPr>
            <w:r>
              <w:rPr>
                <w:rFonts w:hint="eastAsia" w:ascii="黑体" w:hAnsi="黑体" w:eastAsia="黑体"/>
                <w:color w:val="000000"/>
                <w:sz w:val="21"/>
                <w:szCs w:val="21"/>
              </w:rPr>
              <w:t>理论学时</w:t>
            </w:r>
          </w:p>
        </w:tc>
        <w:tc>
          <w:tcPr>
            <w:tcW w:w="854" w:type="dxa"/>
            <w:vAlign w:val="center"/>
          </w:tcPr>
          <w:p w14:paraId="23B065EB">
            <w:pPr>
              <w:widowControl w:val="0"/>
              <w:jc w:val="center"/>
              <w:rPr>
                <w:rFonts w:hint="eastAsia"/>
                <w:color w:val="000000"/>
                <w:sz w:val="21"/>
                <w:szCs w:val="21"/>
              </w:rPr>
            </w:pPr>
            <w:r>
              <w:rPr>
                <w:rFonts w:hint="eastAsia"/>
                <w:color w:val="000000"/>
                <w:sz w:val="21"/>
                <w:szCs w:val="21"/>
              </w:rPr>
              <w:t>3</w:t>
            </w:r>
            <w:r>
              <w:rPr>
                <w:color w:val="000000"/>
                <w:sz w:val="21"/>
                <w:szCs w:val="21"/>
              </w:rPr>
              <w:t>6</w:t>
            </w:r>
          </w:p>
        </w:tc>
        <w:tc>
          <w:tcPr>
            <w:tcW w:w="1413" w:type="dxa"/>
            <w:gridSpan w:val="2"/>
            <w:vAlign w:val="center"/>
          </w:tcPr>
          <w:p w14:paraId="4142B5D9">
            <w:pPr>
              <w:widowControl w:val="0"/>
              <w:jc w:val="center"/>
              <w:rPr>
                <w:rFonts w:hint="eastAsia"/>
                <w:color w:val="000000"/>
                <w:sz w:val="21"/>
                <w:szCs w:val="21"/>
              </w:rPr>
            </w:pPr>
            <w:r>
              <w:rPr>
                <w:rFonts w:hint="eastAsia" w:ascii="黑体" w:hAnsi="黑体" w:eastAsia="黑体"/>
                <w:color w:val="000000"/>
                <w:sz w:val="21"/>
                <w:szCs w:val="21"/>
              </w:rPr>
              <w:t>实践学时</w:t>
            </w:r>
          </w:p>
        </w:tc>
        <w:tc>
          <w:tcPr>
            <w:tcW w:w="786" w:type="dxa"/>
            <w:tcBorders>
              <w:right w:val="single" w:color="auto" w:sz="12" w:space="0"/>
            </w:tcBorders>
            <w:vAlign w:val="center"/>
          </w:tcPr>
          <w:p w14:paraId="374718A1">
            <w:pPr>
              <w:widowControl w:val="0"/>
              <w:jc w:val="center"/>
              <w:rPr>
                <w:rFonts w:hint="eastAsia"/>
                <w:color w:val="000000"/>
                <w:sz w:val="21"/>
                <w:szCs w:val="21"/>
              </w:rPr>
            </w:pPr>
            <w:r>
              <w:rPr>
                <w:rFonts w:hint="eastAsia"/>
                <w:color w:val="000000"/>
                <w:sz w:val="21"/>
                <w:szCs w:val="21"/>
              </w:rPr>
              <w:t>1</w:t>
            </w:r>
            <w:r>
              <w:rPr>
                <w:color w:val="000000"/>
                <w:sz w:val="21"/>
                <w:szCs w:val="21"/>
              </w:rPr>
              <w:t>2</w:t>
            </w:r>
          </w:p>
        </w:tc>
      </w:tr>
      <w:tr w14:paraId="2E41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E878533">
            <w:pPr>
              <w:widowControl w:val="0"/>
              <w:jc w:val="center"/>
              <w:rPr>
                <w:rFonts w:hint="eastAsia" w:ascii="黑体" w:hAnsi="黑体" w:eastAsia="黑体"/>
                <w:color w:val="000000"/>
                <w:sz w:val="21"/>
                <w:szCs w:val="18"/>
              </w:rPr>
            </w:pPr>
            <w:r>
              <w:rPr>
                <w:rFonts w:ascii="黑体" w:hAnsi="黑体" w:eastAsia="黑体"/>
                <w:color w:val="000000"/>
                <w:sz w:val="21"/>
                <w:szCs w:val="18"/>
              </w:rPr>
              <w:t>开课</w:t>
            </w:r>
            <w:r>
              <w:rPr>
                <w:rFonts w:hint="eastAsia" w:ascii="黑体" w:hAnsi="黑体" w:eastAsia="黑体"/>
                <w:color w:val="000000"/>
                <w:sz w:val="21"/>
                <w:szCs w:val="18"/>
              </w:rPr>
              <w:t>学院</w:t>
            </w:r>
          </w:p>
        </w:tc>
        <w:tc>
          <w:tcPr>
            <w:tcW w:w="2260" w:type="dxa"/>
            <w:vAlign w:val="center"/>
          </w:tcPr>
          <w:p w14:paraId="700DC6E6">
            <w:pPr>
              <w:widowControl w:val="0"/>
              <w:jc w:val="center"/>
              <w:rPr>
                <w:rFonts w:hint="eastAsia" w:ascii="黑体" w:hAnsi="黑体" w:eastAsia="黑体"/>
                <w:color w:val="000000"/>
                <w:sz w:val="21"/>
                <w:szCs w:val="21"/>
              </w:rPr>
            </w:pPr>
            <w:r>
              <w:rPr>
                <w:rFonts w:hint="eastAsia"/>
                <w:color w:val="000000"/>
                <w:sz w:val="21"/>
                <w:szCs w:val="21"/>
              </w:rPr>
              <w:t>健康管理学院</w:t>
            </w:r>
          </w:p>
        </w:tc>
        <w:tc>
          <w:tcPr>
            <w:tcW w:w="2126" w:type="dxa"/>
            <w:gridSpan w:val="2"/>
            <w:vAlign w:val="center"/>
          </w:tcPr>
          <w:p w14:paraId="5B94496F">
            <w:pPr>
              <w:widowControl w:val="0"/>
              <w:jc w:val="center"/>
              <w:rPr>
                <w:rFonts w:hint="eastAsia" w:ascii="黑体" w:hAnsi="黑体" w:eastAsia="黑体"/>
                <w:color w:val="000000"/>
                <w:sz w:val="21"/>
                <w:szCs w:val="21"/>
              </w:rPr>
            </w:pPr>
            <w:r>
              <w:rPr>
                <w:rFonts w:hint="eastAsia" w:ascii="黑体" w:hAnsi="黑体" w:eastAsia="黑体"/>
                <w:color w:val="000000"/>
                <w:sz w:val="21"/>
                <w:szCs w:val="21"/>
              </w:rPr>
              <w:t>适用</w:t>
            </w:r>
            <w:r>
              <w:rPr>
                <w:rFonts w:ascii="黑体" w:hAnsi="黑体" w:eastAsia="黑体"/>
                <w:color w:val="000000"/>
                <w:sz w:val="21"/>
                <w:szCs w:val="21"/>
              </w:rPr>
              <w:t>专业</w:t>
            </w:r>
            <w:r>
              <w:rPr>
                <w:rFonts w:hint="eastAsia" w:ascii="黑体" w:hAnsi="黑体" w:eastAsia="黑体"/>
                <w:color w:val="000000"/>
                <w:sz w:val="21"/>
                <w:szCs w:val="21"/>
              </w:rPr>
              <w:t>与年级</w:t>
            </w:r>
          </w:p>
        </w:tc>
        <w:tc>
          <w:tcPr>
            <w:tcW w:w="2199" w:type="dxa"/>
            <w:gridSpan w:val="3"/>
            <w:tcBorders>
              <w:right w:val="single" w:color="auto" w:sz="12" w:space="0"/>
            </w:tcBorders>
            <w:vAlign w:val="center"/>
          </w:tcPr>
          <w:p w14:paraId="46FDD1AF">
            <w:pPr>
              <w:widowControl w:val="0"/>
              <w:jc w:val="center"/>
              <w:rPr>
                <w:rFonts w:hint="eastAsia"/>
                <w:color w:val="000000"/>
                <w:sz w:val="20"/>
                <w:szCs w:val="20"/>
              </w:rPr>
            </w:pPr>
            <w:r>
              <w:rPr>
                <w:rFonts w:hint="eastAsia"/>
                <w:color w:val="000000"/>
                <w:sz w:val="20"/>
                <w:szCs w:val="20"/>
              </w:rPr>
              <w:t>护理专业一年级</w:t>
            </w:r>
          </w:p>
          <w:p w14:paraId="62D2061B">
            <w:pPr>
              <w:widowControl w:val="0"/>
              <w:jc w:val="center"/>
              <w:rPr>
                <w:rFonts w:hint="eastAsia"/>
                <w:color w:val="000000"/>
                <w:sz w:val="21"/>
                <w:szCs w:val="21"/>
              </w:rPr>
            </w:pPr>
            <w:r>
              <w:rPr>
                <w:rFonts w:hint="eastAsia"/>
                <w:color w:val="000000"/>
                <w:sz w:val="20"/>
                <w:szCs w:val="20"/>
              </w:rPr>
              <w:t>第二学期</w:t>
            </w:r>
          </w:p>
        </w:tc>
      </w:tr>
      <w:tr w14:paraId="417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610C5A3">
            <w:pPr>
              <w:widowControl w:val="0"/>
              <w:jc w:val="center"/>
              <w:rPr>
                <w:rFonts w:hint="eastAsia" w:ascii="黑体" w:hAnsi="黑体" w:eastAsia="黑体"/>
                <w:color w:val="000000"/>
                <w:sz w:val="21"/>
                <w:szCs w:val="18"/>
              </w:rPr>
            </w:pPr>
            <w:r>
              <w:rPr>
                <w:rFonts w:hint="eastAsia" w:ascii="黑体" w:hAnsi="黑体" w:eastAsia="黑体"/>
                <w:color w:val="000000"/>
                <w:sz w:val="21"/>
                <w:szCs w:val="18"/>
              </w:rPr>
              <w:t>课程类别与性质</w:t>
            </w:r>
          </w:p>
        </w:tc>
        <w:tc>
          <w:tcPr>
            <w:tcW w:w="2260" w:type="dxa"/>
            <w:vAlign w:val="center"/>
          </w:tcPr>
          <w:p w14:paraId="1C7ABECE">
            <w:pPr>
              <w:widowControl w:val="0"/>
              <w:jc w:val="center"/>
              <w:rPr>
                <w:rFonts w:hint="eastAsia"/>
                <w:color w:val="000000"/>
                <w:sz w:val="21"/>
                <w:szCs w:val="21"/>
              </w:rPr>
            </w:pPr>
            <w:r>
              <w:rPr>
                <w:rFonts w:hint="eastAsia"/>
                <w:color w:val="000000"/>
                <w:sz w:val="21"/>
                <w:szCs w:val="21"/>
              </w:rPr>
              <w:t>专业课程/必修</w:t>
            </w:r>
          </w:p>
        </w:tc>
        <w:tc>
          <w:tcPr>
            <w:tcW w:w="2126" w:type="dxa"/>
            <w:gridSpan w:val="2"/>
            <w:vAlign w:val="center"/>
          </w:tcPr>
          <w:p w14:paraId="2BF6AE58">
            <w:pPr>
              <w:widowControl w:val="0"/>
              <w:jc w:val="center"/>
              <w:rPr>
                <w:rFonts w:hint="eastAsia" w:ascii="黑体" w:hAnsi="黑体" w:eastAsia="黑体"/>
                <w:color w:val="000000"/>
                <w:sz w:val="21"/>
                <w:szCs w:val="21"/>
              </w:rPr>
            </w:pPr>
            <w:r>
              <w:rPr>
                <w:rFonts w:hint="eastAsia" w:ascii="黑体" w:hAnsi="黑体" w:eastAsia="黑体"/>
                <w:color w:val="000000"/>
                <w:sz w:val="21"/>
                <w:szCs w:val="21"/>
              </w:rPr>
              <w:t>考核方式</w:t>
            </w:r>
          </w:p>
        </w:tc>
        <w:tc>
          <w:tcPr>
            <w:tcW w:w="2199" w:type="dxa"/>
            <w:gridSpan w:val="3"/>
            <w:tcBorders>
              <w:right w:val="single" w:color="auto" w:sz="12" w:space="0"/>
            </w:tcBorders>
            <w:vAlign w:val="center"/>
          </w:tcPr>
          <w:p w14:paraId="318B20B7">
            <w:pPr>
              <w:widowControl w:val="0"/>
              <w:jc w:val="center"/>
              <w:rPr>
                <w:rFonts w:hint="eastAsia"/>
                <w:color w:val="000000"/>
                <w:sz w:val="21"/>
                <w:szCs w:val="21"/>
              </w:rPr>
            </w:pPr>
            <w:r>
              <w:rPr>
                <w:rFonts w:hint="eastAsia"/>
                <w:color w:val="000000"/>
                <w:sz w:val="21"/>
                <w:szCs w:val="21"/>
              </w:rPr>
              <w:t>考试</w:t>
            </w:r>
          </w:p>
        </w:tc>
      </w:tr>
      <w:tr w14:paraId="4670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C90D0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sz w:val="21"/>
                <w:szCs w:val="18"/>
              </w:rPr>
            </w:pPr>
            <w:r>
              <w:rPr>
                <w:rFonts w:hint="eastAsia" w:ascii="黑体" w:hAnsi="黑体" w:eastAsia="黑体"/>
                <w:color w:val="000000"/>
                <w:sz w:val="21"/>
                <w:szCs w:val="18"/>
              </w:rPr>
              <w:t>选</w:t>
            </w:r>
            <w:r>
              <w:rPr>
                <w:rFonts w:ascii="黑体" w:hAnsi="黑体" w:eastAsia="黑体"/>
                <w:color w:val="000000"/>
                <w:sz w:val="21"/>
                <w:szCs w:val="18"/>
              </w:rPr>
              <w:t>用教材</w:t>
            </w:r>
          </w:p>
        </w:tc>
        <w:tc>
          <w:tcPr>
            <w:tcW w:w="4386" w:type="dxa"/>
            <w:gridSpan w:val="3"/>
            <w:vAlign w:val="center"/>
          </w:tcPr>
          <w:p w14:paraId="0AA62E80">
            <w:pPr>
              <w:keepNext w:val="0"/>
              <w:keepLines w:val="0"/>
              <w:pageBreakBefore w:val="0"/>
              <w:widowControl w:val="0"/>
              <w:kinsoku/>
              <w:wordWrap/>
              <w:overflowPunct/>
              <w:topLinePunct w:val="0"/>
              <w:autoSpaceDE/>
              <w:autoSpaceDN/>
              <w:bidi w:val="0"/>
              <w:adjustRightInd/>
              <w:snapToGrid/>
              <w:spacing w:line="220" w:lineRule="exact"/>
              <w:textAlignment w:val="auto"/>
              <w:rPr>
                <w:rFonts w:ascii="Times New Roman" w:hAnsi="Times New Roman"/>
                <w:color w:val="000000"/>
                <w:sz w:val="21"/>
                <w:szCs w:val="21"/>
              </w:rPr>
            </w:pPr>
            <w:r>
              <w:rPr>
                <w:rFonts w:hint="eastAsia"/>
                <w:color w:val="000000"/>
                <w:sz w:val="21"/>
                <w:szCs w:val="21"/>
              </w:rPr>
              <w:t>《病理学与病理生理学》</w:t>
            </w:r>
            <w:r>
              <w:rPr>
                <w:color w:val="000000"/>
                <w:sz w:val="21"/>
                <w:szCs w:val="21"/>
              </w:rPr>
              <w:t>陈振文</w:t>
            </w:r>
            <w:r>
              <w:rPr>
                <w:rFonts w:hint="eastAsia"/>
                <w:color w:val="000000"/>
                <w:sz w:val="21"/>
                <w:szCs w:val="21"/>
              </w:rPr>
              <w:t>、</w:t>
            </w:r>
            <w:r>
              <w:rPr>
                <w:color w:val="000000"/>
                <w:sz w:val="21"/>
                <w:szCs w:val="21"/>
              </w:rPr>
              <w:t>杨美玲</w:t>
            </w:r>
            <w:r>
              <w:rPr>
                <w:rFonts w:hint="eastAsia"/>
                <w:color w:val="000000"/>
                <w:sz w:val="21"/>
                <w:szCs w:val="21"/>
              </w:rPr>
              <w:t>主编，I</w:t>
            </w:r>
            <w:r>
              <w:rPr>
                <w:color w:val="000000"/>
                <w:sz w:val="21"/>
                <w:szCs w:val="21"/>
              </w:rPr>
              <w:t>SBN</w:t>
            </w:r>
            <w:r>
              <w:rPr>
                <w:rFonts w:hint="eastAsia"/>
                <w:color w:val="000000"/>
                <w:sz w:val="21"/>
                <w:szCs w:val="21"/>
              </w:rPr>
              <w:t>:</w:t>
            </w:r>
            <w:r>
              <w:rPr>
                <w:color w:val="000000"/>
                <w:sz w:val="21"/>
                <w:szCs w:val="21"/>
              </w:rPr>
              <w:t>978-7-117-27189-9</w:t>
            </w:r>
            <w:r>
              <w:rPr>
                <w:rFonts w:hint="eastAsia"/>
                <w:color w:val="000000"/>
                <w:sz w:val="21"/>
                <w:szCs w:val="21"/>
              </w:rPr>
              <w:t>，人民卫生出版社，20</w:t>
            </w:r>
            <w:r>
              <w:rPr>
                <w:color w:val="000000"/>
                <w:sz w:val="21"/>
                <w:szCs w:val="21"/>
              </w:rPr>
              <w:t>20</w:t>
            </w:r>
            <w:r>
              <w:rPr>
                <w:rFonts w:hint="eastAsia"/>
                <w:color w:val="000000"/>
                <w:sz w:val="21"/>
                <w:szCs w:val="21"/>
              </w:rPr>
              <w:t>年第四版</w:t>
            </w:r>
          </w:p>
        </w:tc>
        <w:tc>
          <w:tcPr>
            <w:tcW w:w="1413" w:type="dxa"/>
            <w:gridSpan w:val="2"/>
            <w:vAlign w:val="center"/>
          </w:tcPr>
          <w:p w14:paraId="24528DA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sz w:val="21"/>
                <w:szCs w:val="21"/>
              </w:rPr>
            </w:pPr>
            <w:r>
              <w:rPr>
                <w:rFonts w:hint="eastAsia" w:ascii="黑体" w:hAnsi="黑体" w:eastAsia="黑体"/>
                <w:color w:val="000000"/>
                <w:sz w:val="21"/>
                <w:szCs w:val="21"/>
              </w:rPr>
              <w:t>是否为</w:t>
            </w:r>
          </w:p>
          <w:p w14:paraId="0E10755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sz w:val="21"/>
                <w:szCs w:val="21"/>
              </w:rPr>
            </w:pPr>
            <w:r>
              <w:rPr>
                <w:rFonts w:hint="eastAsia" w:ascii="黑体" w:hAnsi="黑体" w:eastAsia="黑体"/>
                <w:color w:val="000000"/>
                <w:sz w:val="21"/>
                <w:szCs w:val="21"/>
              </w:rPr>
              <w:t>马工程教材</w:t>
            </w:r>
          </w:p>
        </w:tc>
        <w:tc>
          <w:tcPr>
            <w:tcW w:w="786" w:type="dxa"/>
            <w:tcBorders>
              <w:right w:val="single" w:color="auto" w:sz="12" w:space="0"/>
            </w:tcBorders>
            <w:vAlign w:val="center"/>
          </w:tcPr>
          <w:p w14:paraId="28725D41">
            <w:pPr>
              <w:keepNext w:val="0"/>
              <w:keepLines w:val="0"/>
              <w:pageBreakBefore w:val="0"/>
              <w:widowControl w:val="0"/>
              <w:kinsoku/>
              <w:wordWrap/>
              <w:overflowPunct/>
              <w:topLinePunct w:val="0"/>
              <w:autoSpaceDE/>
              <w:autoSpaceDN/>
              <w:bidi w:val="0"/>
              <w:adjustRightInd/>
              <w:snapToGrid/>
              <w:spacing w:line="220" w:lineRule="exact"/>
              <w:ind w:left="120" w:leftChars="50"/>
              <w:textAlignment w:val="auto"/>
              <w:rPr>
                <w:rFonts w:ascii="Times New Roman" w:hAnsi="Times New Roman"/>
                <w:color w:val="000000"/>
                <w:sz w:val="21"/>
                <w:szCs w:val="21"/>
              </w:rPr>
            </w:pPr>
            <w:r>
              <w:rPr>
                <w:rFonts w:hint="eastAsia" w:ascii="Times New Roman" w:hAnsi="Times New Roman"/>
                <w:color w:val="000000"/>
                <w:sz w:val="21"/>
                <w:szCs w:val="21"/>
              </w:rPr>
              <w:t>否</w:t>
            </w:r>
          </w:p>
        </w:tc>
      </w:tr>
      <w:tr w14:paraId="2711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shd w:val="clear" w:color="auto" w:fill="auto"/>
            <w:vAlign w:val="center"/>
          </w:tcPr>
          <w:p w14:paraId="5C73DEE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sz w:val="21"/>
                <w:szCs w:val="18"/>
              </w:rPr>
            </w:pPr>
            <w:r>
              <w:rPr>
                <w:rFonts w:ascii="黑体" w:hAnsi="黑体" w:eastAsia="黑体"/>
                <w:color w:val="000000"/>
                <w:sz w:val="21"/>
                <w:szCs w:val="18"/>
              </w:rPr>
              <w:t>先修课程</w:t>
            </w:r>
          </w:p>
        </w:tc>
        <w:tc>
          <w:tcPr>
            <w:tcW w:w="6585" w:type="dxa"/>
            <w:gridSpan w:val="6"/>
            <w:tcBorders>
              <w:right w:val="single" w:color="auto" w:sz="12" w:space="0"/>
            </w:tcBorders>
            <w:vAlign w:val="center"/>
          </w:tcPr>
          <w:p w14:paraId="643A2E5C">
            <w:pPr>
              <w:pStyle w:val="15"/>
              <w:keepNext w:val="0"/>
              <w:keepLines w:val="0"/>
              <w:pageBreakBefore w:val="0"/>
              <w:widowControl w:val="0"/>
              <w:kinsoku/>
              <w:wordWrap/>
              <w:overflowPunct/>
              <w:topLinePunct w:val="0"/>
              <w:autoSpaceDE/>
              <w:autoSpaceDN/>
              <w:bidi w:val="0"/>
              <w:adjustRightInd/>
              <w:snapToGrid/>
              <w:spacing w:line="220" w:lineRule="exact"/>
              <w:jc w:val="both"/>
              <w:textAlignment w:val="auto"/>
            </w:pPr>
            <w:r>
              <w:rPr>
                <w:rFonts w:hint="eastAsia" w:ascii="宋体" w:hAnsi="宋体"/>
                <w:sz w:val="20"/>
                <w:szCs w:val="20"/>
              </w:rPr>
              <w:t>正常人体学基础</w:t>
            </w:r>
            <w:r>
              <w:rPr>
                <w:rFonts w:ascii="宋体" w:hAnsi="宋体"/>
                <w:sz w:val="20"/>
                <w:szCs w:val="20"/>
              </w:rPr>
              <w:t>1 0070038</w:t>
            </w:r>
            <w:r>
              <w:rPr>
                <w:rFonts w:hint="eastAsia" w:ascii="宋体" w:hAnsi="宋体"/>
                <w:sz w:val="20"/>
                <w:szCs w:val="20"/>
              </w:rPr>
              <w:t>（</w:t>
            </w:r>
            <w:r>
              <w:rPr>
                <w:rFonts w:ascii="宋体" w:hAnsi="宋体"/>
                <w:sz w:val="20"/>
                <w:szCs w:val="20"/>
              </w:rPr>
              <w:t>6</w:t>
            </w:r>
            <w:r>
              <w:rPr>
                <w:rFonts w:hint="eastAsia" w:ascii="宋体" w:hAnsi="宋体"/>
                <w:sz w:val="20"/>
                <w:szCs w:val="20"/>
              </w:rPr>
              <w:t>）、正常人体学基础</w:t>
            </w:r>
            <w:r>
              <w:rPr>
                <w:rFonts w:ascii="宋体" w:hAnsi="宋体"/>
                <w:sz w:val="20"/>
                <w:szCs w:val="20"/>
              </w:rPr>
              <w:t>2 0070039</w:t>
            </w:r>
            <w:r>
              <w:rPr>
                <w:rFonts w:hint="eastAsia" w:ascii="宋体" w:hAnsi="宋体"/>
                <w:sz w:val="20"/>
                <w:szCs w:val="20"/>
              </w:rPr>
              <w:t>（</w:t>
            </w:r>
            <w:r>
              <w:rPr>
                <w:rFonts w:ascii="宋体" w:hAnsi="宋体"/>
                <w:sz w:val="20"/>
                <w:szCs w:val="20"/>
              </w:rPr>
              <w:t>4</w:t>
            </w:r>
            <w:r>
              <w:rPr>
                <w:rFonts w:hint="eastAsia" w:ascii="宋体" w:hAnsi="宋体"/>
                <w:sz w:val="20"/>
                <w:szCs w:val="20"/>
              </w:rPr>
              <w:t>）</w:t>
            </w:r>
          </w:p>
        </w:tc>
      </w:tr>
      <w:tr w14:paraId="6F96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52" w:hRule="atLeast"/>
        </w:trPr>
        <w:tc>
          <w:tcPr>
            <w:tcW w:w="1691" w:type="dxa"/>
            <w:tcBorders>
              <w:left w:val="single" w:color="auto" w:sz="12" w:space="0"/>
            </w:tcBorders>
            <w:shd w:val="clear" w:color="auto" w:fill="auto"/>
            <w:vAlign w:val="center"/>
          </w:tcPr>
          <w:p w14:paraId="6229938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sz w:val="21"/>
                <w:szCs w:val="18"/>
              </w:rPr>
            </w:pPr>
            <w:r>
              <w:rPr>
                <w:rFonts w:ascii="黑体" w:hAnsi="黑体" w:eastAsia="黑体"/>
                <w:color w:val="000000"/>
                <w:sz w:val="21"/>
                <w:szCs w:val="18"/>
              </w:rPr>
              <w:t>课程简介</w:t>
            </w:r>
          </w:p>
        </w:tc>
        <w:tc>
          <w:tcPr>
            <w:tcW w:w="6585" w:type="dxa"/>
            <w:gridSpan w:val="6"/>
            <w:tcBorders>
              <w:right w:val="single" w:color="auto" w:sz="12" w:space="0"/>
            </w:tcBorders>
          </w:tcPr>
          <w:p w14:paraId="700D688C">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rFonts w:hint="eastAsia"/>
                <w:color w:val="000000"/>
                <w:sz w:val="21"/>
                <w:szCs w:val="21"/>
              </w:rPr>
            </w:pPr>
            <w:r>
              <w:rPr>
                <w:rFonts w:hint="eastAsia"/>
                <w:color w:val="000000"/>
                <w:sz w:val="21"/>
                <w:szCs w:val="21"/>
              </w:rP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论主要讲述人体各系统器官主要疾病的具体病理变化及其规律，属于系统病理学，总论和各论之间存在着密切的联系。</w:t>
            </w:r>
          </w:p>
          <w:p w14:paraId="7987F386">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rFonts w:hint="eastAsia"/>
                <w:color w:val="000000"/>
                <w:sz w:val="21"/>
                <w:szCs w:val="21"/>
              </w:rPr>
            </w:pPr>
            <w:r>
              <w:rPr>
                <w:color w:val="000000"/>
                <w:sz w:val="21"/>
                <w:szCs w:val="21"/>
              </w:rPr>
              <w:t>病理生理学是研究疾病发生发展过程中功能和代谢变化的机制及规律的一</w:t>
            </w:r>
            <w:r>
              <w:rPr>
                <w:rFonts w:hint="eastAsia"/>
                <w:color w:val="000000"/>
                <w:sz w:val="21"/>
                <w:szCs w:val="21"/>
              </w:rPr>
              <w:t>门</w:t>
            </w:r>
            <w:r>
              <w:rPr>
                <w:color w:val="000000"/>
                <w:sz w:val="21"/>
                <w:szCs w:val="21"/>
              </w:rPr>
              <w:t>医学基础学科。病理生理学内容分为疾病概论、基本病理过程和系统器官病理生理学三部分</w:t>
            </w:r>
            <w:r>
              <w:rPr>
                <w:rFonts w:hint="eastAsia"/>
                <w:color w:val="000000"/>
                <w:sz w:val="21"/>
                <w:szCs w:val="21"/>
              </w:rPr>
              <w:t>。</w:t>
            </w:r>
            <w:r>
              <w:rPr>
                <w:color w:val="000000"/>
                <w:sz w:val="21"/>
                <w:szCs w:val="21"/>
              </w:rPr>
              <w:t>病理生理学学习的目的,是通过对上述内容的学习,揭示疾病的本质,为疾病的预防和诊断治疗提供理论和实验依据。</w:t>
            </w:r>
          </w:p>
        </w:tc>
      </w:tr>
      <w:tr w14:paraId="57DB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50" w:hRule="atLeast"/>
        </w:trPr>
        <w:tc>
          <w:tcPr>
            <w:tcW w:w="1691" w:type="dxa"/>
            <w:tcBorders>
              <w:left w:val="single" w:color="auto" w:sz="12" w:space="0"/>
              <w:bottom w:val="double" w:color="auto" w:sz="4" w:space="0"/>
            </w:tcBorders>
            <w:shd w:val="clear" w:color="auto" w:fill="auto"/>
            <w:vAlign w:val="center"/>
          </w:tcPr>
          <w:p w14:paraId="775553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sz w:val="21"/>
                <w:szCs w:val="18"/>
              </w:rPr>
            </w:pPr>
            <w:r>
              <w:rPr>
                <w:rFonts w:ascii="黑体" w:hAnsi="黑体" w:eastAsia="黑体"/>
                <w:color w:val="000000"/>
                <w:sz w:val="21"/>
                <w:szCs w:val="18"/>
              </w:rPr>
              <w:t>选课建议</w:t>
            </w:r>
            <w:r>
              <w:rPr>
                <w:rFonts w:hint="eastAsia" w:ascii="黑体" w:hAnsi="黑体" w:eastAsia="黑体"/>
                <w:color w:val="000000"/>
                <w:sz w:val="21"/>
                <w:szCs w:val="18"/>
              </w:rPr>
              <w:t>与学习要求</w:t>
            </w:r>
          </w:p>
        </w:tc>
        <w:tc>
          <w:tcPr>
            <w:tcW w:w="6585" w:type="dxa"/>
            <w:gridSpan w:val="6"/>
            <w:tcBorders>
              <w:bottom w:val="double" w:color="auto" w:sz="4" w:space="0"/>
              <w:right w:val="single" w:color="auto" w:sz="12" w:space="0"/>
            </w:tcBorders>
          </w:tcPr>
          <w:p w14:paraId="1F63EF30">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rFonts w:hint="eastAsia"/>
                <w:color w:val="000000"/>
                <w:sz w:val="21"/>
                <w:szCs w:val="21"/>
              </w:rPr>
            </w:pPr>
            <w:r>
              <w:rPr>
                <w:rFonts w:hint="eastAsia"/>
                <w:color w:val="000000"/>
                <w:sz w:val="21"/>
                <w:szCs w:val="21"/>
              </w:rPr>
              <w:t>本课程适合护理专业方向的一年级第二学期专科生授课。要求学生具有病理学与病理生理学的基础知识，能运用知识理解分析组织细胞的适应和损伤、炎症、发热、肿瘤、酸碱平衡紊乱、水电解质离子紊乱、心血管系统疾病、消化系统、呼吸系统、泌尿系统、全身多器官衰竭等疾病。</w:t>
            </w:r>
          </w:p>
        </w:tc>
      </w:tr>
      <w:tr w14:paraId="4B53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8" w:hRule="atLeast"/>
        </w:trPr>
        <w:tc>
          <w:tcPr>
            <w:tcW w:w="1691" w:type="dxa"/>
            <w:tcBorders>
              <w:top w:val="double" w:color="auto" w:sz="4" w:space="0"/>
              <w:left w:val="single" w:color="auto" w:sz="12" w:space="0"/>
            </w:tcBorders>
            <w:shd w:val="clear" w:color="auto" w:fill="auto"/>
            <w:vAlign w:val="center"/>
          </w:tcPr>
          <w:p w14:paraId="265BB8F4">
            <w:pPr>
              <w:widowControl w:val="0"/>
              <w:jc w:val="center"/>
              <w:rPr>
                <w:rFonts w:hint="eastAsia" w:ascii="黑体" w:hAnsi="黑体" w:eastAsia="黑体"/>
                <w:color w:val="000000"/>
                <w:sz w:val="21"/>
                <w:szCs w:val="21"/>
              </w:rPr>
            </w:pPr>
            <w:r>
              <w:rPr>
                <w:rFonts w:hint="eastAsia" w:ascii="黑体" w:hAnsi="黑体" w:eastAsia="黑体"/>
                <w:color w:val="000000"/>
                <w:sz w:val="21"/>
                <w:szCs w:val="21"/>
              </w:rPr>
              <w:t>大纲编写人</w:t>
            </w:r>
          </w:p>
        </w:tc>
        <w:tc>
          <w:tcPr>
            <w:tcW w:w="3532" w:type="dxa"/>
            <w:gridSpan w:val="2"/>
            <w:tcBorders>
              <w:top w:val="double" w:color="auto" w:sz="4" w:space="0"/>
            </w:tcBorders>
            <w:vAlign w:val="center"/>
          </w:tcPr>
          <w:p w14:paraId="27D32E8D">
            <w:pPr>
              <w:widowControl w:val="0"/>
              <w:ind w:right="840" w:firstLine="210" w:firstLineChars="100"/>
              <w:jc w:val="center"/>
              <w:rPr>
                <w:rFonts w:hint="eastAsia" w:ascii="黑体" w:hAnsi="黑体" w:eastAsia="黑体"/>
                <w:color w:val="000000"/>
                <w:sz w:val="21"/>
                <w:szCs w:val="21"/>
              </w:rPr>
            </w:pPr>
            <w:r>
              <w:rPr>
                <w:rFonts w:ascii="黑体" w:hAnsi="黑体" w:eastAsia="黑体"/>
                <w:color w:val="000000"/>
                <w:sz w:val="21"/>
                <w:szCs w:val="21"/>
              </w:rPr>
              <w:drawing>
                <wp:inline distT="0" distB="0" distL="0" distR="0">
                  <wp:extent cx="546100" cy="29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6100" cy="298450"/>
                          </a:xfrm>
                          <a:prstGeom prst="rect">
                            <a:avLst/>
                          </a:prstGeom>
                          <a:noFill/>
                          <a:ln>
                            <a:noFill/>
                          </a:ln>
                        </pic:spPr>
                      </pic:pic>
                    </a:graphicData>
                  </a:graphic>
                </wp:inline>
              </w:drawing>
            </w:r>
          </w:p>
        </w:tc>
        <w:tc>
          <w:tcPr>
            <w:tcW w:w="1425" w:type="dxa"/>
            <w:gridSpan w:val="2"/>
            <w:tcBorders>
              <w:top w:val="double" w:color="auto" w:sz="4" w:space="0"/>
            </w:tcBorders>
            <w:vAlign w:val="center"/>
          </w:tcPr>
          <w:p w14:paraId="6BAD9CC1">
            <w:pPr>
              <w:widowControl w:val="0"/>
              <w:jc w:val="center"/>
              <w:rPr>
                <w:rFonts w:hint="eastAsia"/>
                <w:sz w:val="21"/>
                <w:szCs w:val="21"/>
              </w:rPr>
            </w:pPr>
            <w:r>
              <w:rPr>
                <w:rFonts w:hint="eastAsia" w:ascii="黑体" w:hAnsi="黑体" w:eastAsia="黑体"/>
                <w:color w:val="000000"/>
                <w:sz w:val="21"/>
                <w:szCs w:val="21"/>
              </w:rPr>
              <w:t>制/修订时间</w:t>
            </w:r>
          </w:p>
        </w:tc>
        <w:tc>
          <w:tcPr>
            <w:tcW w:w="1628" w:type="dxa"/>
            <w:gridSpan w:val="2"/>
            <w:tcBorders>
              <w:top w:val="double" w:color="auto" w:sz="4" w:space="0"/>
              <w:right w:val="single" w:color="auto" w:sz="12" w:space="0"/>
            </w:tcBorders>
            <w:vAlign w:val="center"/>
          </w:tcPr>
          <w:p w14:paraId="7E638787">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5.2.19</w:t>
            </w:r>
          </w:p>
        </w:tc>
      </w:tr>
      <w:tr w14:paraId="3A45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3" w:hRule="atLeast"/>
        </w:trPr>
        <w:tc>
          <w:tcPr>
            <w:tcW w:w="1691" w:type="dxa"/>
            <w:tcBorders>
              <w:left w:val="single" w:color="auto" w:sz="12" w:space="0"/>
            </w:tcBorders>
            <w:shd w:val="clear" w:color="auto" w:fill="auto"/>
            <w:vAlign w:val="center"/>
          </w:tcPr>
          <w:p w14:paraId="555029E8">
            <w:pPr>
              <w:widowControl w:val="0"/>
              <w:jc w:val="center"/>
              <w:rPr>
                <w:rFonts w:hint="eastAsia" w:ascii="黑体" w:hAnsi="黑体" w:eastAsia="黑体"/>
                <w:color w:val="000000"/>
                <w:sz w:val="21"/>
                <w:szCs w:val="21"/>
              </w:rPr>
            </w:pPr>
            <w:r>
              <w:rPr>
                <w:rFonts w:hint="eastAsia" w:ascii="黑体" w:hAnsi="黑体" w:eastAsia="黑体"/>
                <w:color w:val="000000"/>
                <w:sz w:val="21"/>
                <w:szCs w:val="21"/>
              </w:rPr>
              <w:t>专业负责人</w:t>
            </w:r>
          </w:p>
        </w:tc>
        <w:tc>
          <w:tcPr>
            <w:tcW w:w="3532" w:type="dxa"/>
            <w:gridSpan w:val="2"/>
            <w:vAlign w:val="center"/>
          </w:tcPr>
          <w:p w14:paraId="7F649985">
            <w:pPr>
              <w:widowControl w:val="0"/>
              <w:jc w:val="center"/>
              <w:rPr>
                <w:rFonts w:hint="eastAsia" w:ascii="黑体" w:hAnsi="黑体" w:eastAsia="黑体"/>
                <w:color w:val="000000"/>
                <w:sz w:val="21"/>
                <w:szCs w:val="21"/>
              </w:rPr>
            </w:pPr>
            <w:r>
              <w:rPr>
                <w:rFonts w:ascii="黑体" w:hAnsi="黑体" w:eastAsia="黑体"/>
                <w:color w:val="000000"/>
                <w:sz w:val="21"/>
                <w:szCs w:val="21"/>
              </w:rPr>
              <w:drawing>
                <wp:inline distT="0" distB="0" distL="0" distR="0">
                  <wp:extent cx="546100" cy="285750"/>
                  <wp:effectExtent l="0" t="0" r="6350" b="0"/>
                  <wp:docPr id="4270858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8586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6100" cy="285750"/>
                          </a:xfrm>
                          <a:prstGeom prst="rect">
                            <a:avLst/>
                          </a:prstGeom>
                          <a:noFill/>
                          <a:ln>
                            <a:noFill/>
                          </a:ln>
                        </pic:spPr>
                      </pic:pic>
                    </a:graphicData>
                  </a:graphic>
                </wp:inline>
              </w:drawing>
            </w:r>
          </w:p>
        </w:tc>
        <w:tc>
          <w:tcPr>
            <w:tcW w:w="1425" w:type="dxa"/>
            <w:gridSpan w:val="2"/>
            <w:vAlign w:val="center"/>
          </w:tcPr>
          <w:p w14:paraId="51628744">
            <w:pPr>
              <w:widowControl w:val="0"/>
              <w:jc w:val="center"/>
              <w:rPr>
                <w:rFonts w:hint="eastAsia"/>
                <w:sz w:val="21"/>
                <w:szCs w:val="21"/>
              </w:rPr>
            </w:pPr>
            <w:r>
              <w:rPr>
                <w:rFonts w:hint="eastAsia" w:ascii="黑体" w:hAnsi="黑体" w:eastAsia="黑体"/>
                <w:color w:val="000000"/>
                <w:sz w:val="21"/>
                <w:szCs w:val="21"/>
              </w:rPr>
              <w:t>审定时间</w:t>
            </w:r>
          </w:p>
        </w:tc>
        <w:tc>
          <w:tcPr>
            <w:tcW w:w="1628" w:type="dxa"/>
            <w:gridSpan w:val="2"/>
            <w:tcBorders>
              <w:right w:val="single" w:color="auto" w:sz="12" w:space="0"/>
            </w:tcBorders>
            <w:vAlign w:val="center"/>
          </w:tcPr>
          <w:p w14:paraId="4BEC1099">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5.2.19</w:t>
            </w:r>
          </w:p>
        </w:tc>
      </w:tr>
      <w:tr w14:paraId="213F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9" w:hRule="atLeast"/>
        </w:trPr>
        <w:tc>
          <w:tcPr>
            <w:tcW w:w="1691" w:type="dxa"/>
            <w:tcBorders>
              <w:left w:val="single" w:color="auto" w:sz="12" w:space="0"/>
              <w:bottom w:val="single" w:color="auto" w:sz="12" w:space="0"/>
            </w:tcBorders>
            <w:shd w:val="clear" w:color="auto" w:fill="auto"/>
            <w:vAlign w:val="center"/>
          </w:tcPr>
          <w:p w14:paraId="19A6C93B">
            <w:pPr>
              <w:widowControl w:val="0"/>
              <w:jc w:val="center"/>
              <w:rPr>
                <w:rFonts w:hint="eastAsia" w:ascii="黑体" w:hAnsi="黑体" w:eastAsia="黑体"/>
                <w:color w:val="000000"/>
                <w:sz w:val="21"/>
                <w:szCs w:val="21"/>
              </w:rPr>
            </w:pPr>
            <w:r>
              <w:rPr>
                <w:rFonts w:hint="eastAsia" w:ascii="黑体" w:hAnsi="黑体" w:eastAsia="黑体"/>
                <w:color w:val="000000"/>
                <w:sz w:val="21"/>
                <w:szCs w:val="21"/>
              </w:rPr>
              <w:t>学院负责人</w:t>
            </w:r>
          </w:p>
        </w:tc>
        <w:tc>
          <w:tcPr>
            <w:tcW w:w="3532" w:type="dxa"/>
            <w:gridSpan w:val="2"/>
            <w:tcBorders>
              <w:bottom w:val="single" w:color="auto" w:sz="12" w:space="0"/>
            </w:tcBorders>
            <w:vAlign w:val="center"/>
          </w:tcPr>
          <w:p w14:paraId="2E8291EF">
            <w:pPr>
              <w:widowControl w:val="0"/>
              <w:wordWrap w:val="0"/>
              <w:jc w:val="center"/>
              <w:rPr>
                <w:rFonts w:hint="eastAsia" w:ascii="黑体" w:hAnsi="黑体" w:eastAsia="宋体"/>
                <w:color w:val="000000"/>
                <w:sz w:val="21"/>
                <w:szCs w:val="21"/>
                <w:lang w:eastAsia="zh-CN"/>
              </w:rPr>
            </w:pPr>
            <w:bookmarkStart w:id="6" w:name="_GoBack"/>
            <w:bookmarkEnd w:id="6"/>
            <w:r>
              <w:rPr>
                <w:sz w:val="21"/>
                <w:szCs w:val="21"/>
              </w:rPr>
              <w:drawing>
                <wp:inline distT="0" distB="0" distL="0" distR="0">
                  <wp:extent cx="520065" cy="353060"/>
                  <wp:effectExtent l="0" t="0" r="0" b="8890"/>
                  <wp:docPr id="12000643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064316"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9440" cy="359554"/>
                          </a:xfrm>
                          <a:prstGeom prst="rect">
                            <a:avLst/>
                          </a:prstGeom>
                          <a:noFill/>
                          <a:ln>
                            <a:noFill/>
                          </a:ln>
                        </pic:spPr>
                      </pic:pic>
                    </a:graphicData>
                  </a:graphic>
                </wp:inline>
              </w:drawing>
            </w:r>
            <w:r>
              <w:rPr>
                <w:rFonts w:hint="eastAsia"/>
                <w:sz w:val="21"/>
                <w:szCs w:val="21"/>
                <w:lang w:val="en-US" w:eastAsia="zh-CN"/>
              </w:rPr>
              <w:t xml:space="preserve"> </w:t>
            </w:r>
          </w:p>
        </w:tc>
        <w:tc>
          <w:tcPr>
            <w:tcW w:w="1425" w:type="dxa"/>
            <w:gridSpan w:val="2"/>
            <w:tcBorders>
              <w:bottom w:val="single" w:color="auto" w:sz="12" w:space="0"/>
            </w:tcBorders>
            <w:vAlign w:val="center"/>
          </w:tcPr>
          <w:p w14:paraId="62254BD3">
            <w:pPr>
              <w:widowControl w:val="0"/>
              <w:jc w:val="center"/>
              <w:rPr>
                <w:rFonts w:hint="eastAsia"/>
                <w:sz w:val="21"/>
                <w:szCs w:val="21"/>
              </w:rPr>
            </w:pPr>
            <w:r>
              <w:rPr>
                <w:rFonts w:hint="eastAsia" w:ascii="黑体" w:hAnsi="黑体" w:eastAsia="黑体"/>
                <w:color w:val="000000"/>
                <w:sz w:val="21"/>
                <w:szCs w:val="21"/>
              </w:rPr>
              <w:t>批准时间</w:t>
            </w:r>
          </w:p>
        </w:tc>
        <w:tc>
          <w:tcPr>
            <w:tcW w:w="1628" w:type="dxa"/>
            <w:gridSpan w:val="2"/>
            <w:tcBorders>
              <w:bottom w:val="single" w:color="auto" w:sz="12" w:space="0"/>
              <w:right w:val="single" w:color="auto" w:sz="12" w:space="0"/>
            </w:tcBorders>
            <w:vAlign w:val="center"/>
          </w:tcPr>
          <w:p w14:paraId="4BDABADD">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5.2.19</w:t>
            </w:r>
          </w:p>
        </w:tc>
      </w:tr>
    </w:tbl>
    <w:p w14:paraId="1D6941E3">
      <w:pPr>
        <w:spacing w:line="100" w:lineRule="exact"/>
        <w:rPr>
          <w:rFonts w:ascii="Arial" w:hAnsi="Arial" w:eastAsia="黑体"/>
        </w:rPr>
      </w:pPr>
      <w:r>
        <w:br w:type="page"/>
      </w:r>
    </w:p>
    <w:p w14:paraId="6A115A2F">
      <w:pPr>
        <w:pStyle w:val="17"/>
        <w:spacing w:before="326" w:beforeLines="100" w:line="360" w:lineRule="auto"/>
        <w:rPr>
          <w:rFonts w:hint="eastAsia" w:ascii="黑体" w:hAnsi="宋体"/>
        </w:rPr>
      </w:pPr>
      <w:r>
        <w:rPr>
          <w:rFonts w:hint="eastAsia" w:ascii="黑体" w:hAnsi="宋体"/>
        </w:rPr>
        <w:t>二、课程目标与毕业要求</w:t>
      </w:r>
    </w:p>
    <w:p w14:paraId="36BDAA2C">
      <w:pPr>
        <w:pStyle w:val="18"/>
        <w:spacing w:before="81" w:after="163"/>
      </w:pPr>
      <w:r>
        <w:rPr>
          <w:rFonts w:hint="eastAsia"/>
        </w:rPr>
        <w:t>（一）课程目标</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9"/>
        <w:gridCol w:w="786"/>
        <w:gridCol w:w="6451"/>
      </w:tblGrid>
      <w:tr w14:paraId="028CD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25361F72">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8611A8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3042824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18AE2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14:paraId="7169AE97">
            <w:pPr>
              <w:snapToGrid w:val="0"/>
              <w:jc w:val="center"/>
              <w:rPr>
                <w:rFonts w:hint="eastAsia"/>
              </w:rPr>
            </w:pPr>
            <w:r>
              <w:rPr>
                <w:rFonts w:hint="eastAsia" w:ascii="黑体" w:hAnsi="黑体" w:eastAsia="黑体"/>
                <w:bCs/>
                <w:color w:val="000000"/>
                <w:sz w:val="21"/>
                <w:szCs w:val="18"/>
              </w:rPr>
              <w:t>知识目标</w:t>
            </w:r>
          </w:p>
        </w:tc>
        <w:tc>
          <w:tcPr>
            <w:tcW w:w="782" w:type="dxa"/>
            <w:shd w:val="clear" w:color="auto" w:fill="auto"/>
            <w:vAlign w:val="center"/>
          </w:tcPr>
          <w:p w14:paraId="7E5BCCCB">
            <w:pPr>
              <w:snapToGrid w:val="0"/>
              <w:jc w:val="center"/>
              <w:rPr>
                <w:rFonts w:hint="eastAsia" w:cs="Arial"/>
                <w:bCs/>
                <w:color w:val="000000"/>
                <w:sz w:val="21"/>
                <w:szCs w:val="21"/>
              </w:rPr>
            </w:pPr>
            <w:r>
              <w:rPr>
                <w:rFonts w:cs="Arial"/>
                <w:bCs/>
                <w:color w:val="000000"/>
                <w:sz w:val="21"/>
                <w:szCs w:val="21"/>
              </w:rPr>
              <w:t>1</w:t>
            </w:r>
          </w:p>
        </w:tc>
        <w:tc>
          <w:tcPr>
            <w:tcW w:w="6458" w:type="dxa"/>
            <w:vAlign w:val="center"/>
          </w:tcPr>
          <w:p w14:paraId="22CC74EB">
            <w:pPr>
              <w:pStyle w:val="15"/>
              <w:jc w:val="left"/>
              <w:rPr>
                <w:rFonts w:hint="eastAsia" w:ascii="宋体" w:hAnsi="宋体"/>
                <w:bCs/>
              </w:rPr>
            </w:pPr>
            <w:r>
              <w:rPr>
                <w:rFonts w:hint="eastAsia" w:ascii="宋体" w:hAnsi="宋体"/>
              </w:rPr>
              <w:t>理解病理学与病理生理学的基本知识，了解与本学科相关的医学前沿如A</w:t>
            </w:r>
            <w:r>
              <w:rPr>
                <w:rFonts w:ascii="宋体" w:hAnsi="宋体"/>
              </w:rPr>
              <w:t>I</w:t>
            </w:r>
            <w:r>
              <w:rPr>
                <w:rFonts w:hint="eastAsia" w:ascii="宋体" w:hAnsi="宋体"/>
              </w:rPr>
              <w:t>诊疗等。</w:t>
            </w:r>
          </w:p>
        </w:tc>
      </w:tr>
      <w:tr w14:paraId="52144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1D96C48B">
            <w:pPr>
              <w:snapToGrid w:val="0"/>
              <w:jc w:val="center"/>
              <w:rPr>
                <w:rFonts w:hint="eastAsia"/>
              </w:rPr>
            </w:pPr>
            <w:r>
              <w:rPr>
                <w:rFonts w:hint="eastAsia" w:ascii="黑体" w:hAnsi="黑体" w:eastAsia="黑体"/>
                <w:bCs/>
                <w:color w:val="000000"/>
                <w:sz w:val="21"/>
                <w:szCs w:val="18"/>
              </w:rPr>
              <w:t>技能目标</w:t>
            </w:r>
          </w:p>
        </w:tc>
        <w:tc>
          <w:tcPr>
            <w:tcW w:w="782" w:type="dxa"/>
            <w:shd w:val="clear" w:color="auto" w:fill="auto"/>
            <w:vAlign w:val="center"/>
          </w:tcPr>
          <w:p w14:paraId="3BFECF3B">
            <w:pPr>
              <w:snapToGrid w:val="0"/>
              <w:jc w:val="center"/>
              <w:rPr>
                <w:rFonts w:hint="eastAsia" w:cs="Arial"/>
                <w:bCs/>
                <w:color w:val="000000"/>
                <w:sz w:val="21"/>
                <w:szCs w:val="21"/>
              </w:rPr>
            </w:pPr>
            <w:r>
              <w:rPr>
                <w:rFonts w:cs="Arial"/>
                <w:bCs/>
                <w:color w:val="000000"/>
                <w:sz w:val="21"/>
                <w:szCs w:val="21"/>
              </w:rPr>
              <w:t>2</w:t>
            </w:r>
          </w:p>
        </w:tc>
        <w:tc>
          <w:tcPr>
            <w:tcW w:w="6458" w:type="dxa"/>
            <w:vAlign w:val="center"/>
          </w:tcPr>
          <w:p w14:paraId="3960CFE5">
            <w:pPr>
              <w:pStyle w:val="15"/>
              <w:jc w:val="left"/>
              <w:rPr>
                <w:rFonts w:hint="eastAsia" w:ascii="宋体" w:hAnsi="宋体"/>
                <w:bCs/>
              </w:rPr>
            </w:pPr>
            <w:r>
              <w:rPr>
                <w:rFonts w:hint="eastAsia" w:ascii="宋体" w:hAnsi="宋体"/>
              </w:rPr>
              <w:t>具有自主学习的基本能力</w:t>
            </w:r>
          </w:p>
        </w:tc>
      </w:tr>
      <w:tr w14:paraId="04FDA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799D9511">
            <w:pPr>
              <w:snapToGrid w:val="0"/>
              <w:jc w:val="center"/>
              <w:rPr>
                <w:rFonts w:hint="eastAsia" w:ascii="黑体" w:hAnsi="黑体" w:eastAsia="黑体"/>
                <w:bCs/>
                <w:color w:val="000000"/>
                <w:sz w:val="21"/>
                <w:szCs w:val="18"/>
              </w:rPr>
            </w:pPr>
          </w:p>
        </w:tc>
        <w:tc>
          <w:tcPr>
            <w:tcW w:w="782" w:type="dxa"/>
            <w:shd w:val="clear" w:color="auto" w:fill="auto"/>
            <w:vAlign w:val="center"/>
          </w:tcPr>
          <w:p w14:paraId="2D6C9614">
            <w:pPr>
              <w:snapToGrid w:val="0"/>
              <w:jc w:val="center"/>
              <w:rPr>
                <w:rFonts w:hint="eastAsia" w:cs="Arial"/>
                <w:bCs/>
                <w:color w:val="000000"/>
                <w:sz w:val="21"/>
                <w:szCs w:val="21"/>
              </w:rPr>
            </w:pPr>
            <w:r>
              <w:rPr>
                <w:rFonts w:hint="eastAsia" w:cs="Arial"/>
                <w:bCs/>
                <w:color w:val="000000"/>
                <w:sz w:val="21"/>
                <w:szCs w:val="21"/>
              </w:rPr>
              <w:t>3</w:t>
            </w:r>
          </w:p>
        </w:tc>
        <w:tc>
          <w:tcPr>
            <w:tcW w:w="6458" w:type="dxa"/>
            <w:vAlign w:val="center"/>
          </w:tcPr>
          <w:p w14:paraId="39C63C22">
            <w:pPr>
              <w:pStyle w:val="15"/>
              <w:jc w:val="left"/>
              <w:rPr>
                <w:rFonts w:hint="eastAsia" w:ascii="宋体" w:hAnsi="宋体"/>
              </w:rPr>
            </w:pPr>
            <w:r>
              <w:rPr>
                <w:rFonts w:hint="eastAsia" w:ascii="宋体" w:hAnsi="宋体"/>
              </w:rPr>
              <w:t>能搜集、获取达到目标所需要的学习资源，实施学习计划、反思学习计划、持续改进，达到学习目标。</w:t>
            </w:r>
          </w:p>
        </w:tc>
      </w:tr>
      <w:tr w14:paraId="4B10C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14:paraId="1A14091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DACC611">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38373B70">
            <w:pPr>
              <w:snapToGrid w:val="0"/>
              <w:jc w:val="center"/>
              <w:rPr>
                <w:rFonts w:hint="eastAsia" w:cs="Arial"/>
                <w:bCs/>
                <w:color w:val="000000"/>
                <w:sz w:val="21"/>
                <w:szCs w:val="21"/>
              </w:rPr>
            </w:pPr>
            <w:r>
              <w:rPr>
                <w:rFonts w:cs="Arial"/>
                <w:bCs/>
                <w:color w:val="000000"/>
                <w:sz w:val="21"/>
                <w:szCs w:val="21"/>
              </w:rPr>
              <w:t>4</w:t>
            </w:r>
          </w:p>
        </w:tc>
        <w:tc>
          <w:tcPr>
            <w:tcW w:w="6458" w:type="dxa"/>
            <w:vAlign w:val="center"/>
          </w:tcPr>
          <w:p w14:paraId="39F0198B">
            <w:pPr>
              <w:pStyle w:val="15"/>
              <w:jc w:val="left"/>
              <w:rPr>
                <w:rFonts w:hint="eastAsia" w:ascii="宋体" w:hAnsi="宋体"/>
                <w:bCs/>
              </w:rPr>
            </w:pPr>
            <w:r>
              <w:rPr>
                <w:rFonts w:hint="eastAsia"/>
              </w:rPr>
              <w:t>建立职业使命感和责任感</w:t>
            </w:r>
          </w:p>
        </w:tc>
      </w:tr>
    </w:tbl>
    <w:p w14:paraId="0351BEF6">
      <w:pPr>
        <w:pStyle w:val="18"/>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0C92BEB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520E120">
            <w:pPr>
              <w:spacing w:line="320" w:lineRule="exact"/>
              <w:rPr>
                <w:rFonts w:hint="eastAsia"/>
                <w:bCs/>
                <w:color w:val="000000"/>
                <w:sz w:val="21"/>
                <w:szCs w:val="21"/>
              </w:rPr>
            </w:pPr>
            <w:r>
              <w:rPr>
                <w:bCs/>
                <w:color w:val="000000"/>
                <w:sz w:val="21"/>
                <w:szCs w:val="21"/>
              </w:rPr>
              <w:t>1</w:t>
            </w:r>
            <w:r>
              <w:rPr>
                <w:rFonts w:hint="eastAsia"/>
                <w:bCs/>
                <w:color w:val="000000"/>
                <w:sz w:val="21"/>
                <w:szCs w:val="21"/>
              </w:rPr>
              <w:t>、素质要求：</w:t>
            </w:r>
          </w:p>
          <w:p w14:paraId="72178D40">
            <w:pPr>
              <w:spacing w:line="320" w:lineRule="exact"/>
              <w:rPr>
                <w:rFonts w:hint="eastAsia"/>
                <w:color w:val="000000"/>
                <w:sz w:val="21"/>
                <w:szCs w:val="21"/>
              </w:rPr>
            </w:pPr>
            <w:r>
              <w:rPr>
                <w:rFonts w:hint="eastAsia"/>
                <w:bCs/>
                <w:color w:val="000000"/>
                <w:sz w:val="21"/>
                <w:szCs w:val="21"/>
              </w:rPr>
              <w:t>（3）具有科学精神、慎独修养、严谨求实的工作态度和符合职业道德标准的职业行为。</w:t>
            </w:r>
          </w:p>
        </w:tc>
      </w:tr>
      <w:tr w14:paraId="4FD12C0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EB07ED1">
            <w:pPr>
              <w:spacing w:line="320" w:lineRule="exact"/>
              <w:rPr>
                <w:rFonts w:hint="eastAsia"/>
                <w:color w:val="000000"/>
                <w:sz w:val="21"/>
                <w:szCs w:val="21"/>
              </w:rPr>
            </w:pPr>
            <w:r>
              <w:rPr>
                <w:rFonts w:hint="eastAsia"/>
                <w:color w:val="000000"/>
                <w:sz w:val="21"/>
                <w:szCs w:val="21"/>
              </w:rPr>
              <w:t>2、知识要求：</w:t>
            </w:r>
          </w:p>
          <w:p w14:paraId="4FCE556E">
            <w:pPr>
              <w:spacing w:line="320" w:lineRule="exact"/>
              <w:rPr>
                <w:rFonts w:hint="eastAsia"/>
                <w:color w:val="000000"/>
                <w:sz w:val="21"/>
                <w:szCs w:val="21"/>
              </w:rPr>
            </w:pPr>
            <w:r>
              <w:rPr>
                <w:rFonts w:hint="eastAsia"/>
                <w:color w:val="000000"/>
                <w:sz w:val="21"/>
                <w:szCs w:val="21"/>
              </w:rPr>
              <w:t>（3）理解人体正常结构、功能、人的心理状态及其发展变化。</w:t>
            </w:r>
          </w:p>
          <w:p w14:paraId="74AA998A">
            <w:pPr>
              <w:spacing w:line="320" w:lineRule="exact"/>
              <w:rPr>
                <w:rFonts w:hint="eastAsia"/>
                <w:color w:val="000000"/>
                <w:sz w:val="21"/>
                <w:szCs w:val="21"/>
              </w:rPr>
            </w:pPr>
            <w:r>
              <w:rPr>
                <w:rFonts w:hint="eastAsia"/>
                <w:color w:val="000000"/>
                <w:sz w:val="21"/>
                <w:szCs w:val="21"/>
              </w:rPr>
              <w:t>（7）知道影响健康与疾病的生物、心理、社会因素。</w:t>
            </w:r>
          </w:p>
        </w:tc>
      </w:tr>
      <w:tr w14:paraId="7378456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00B1A4A">
            <w:pPr>
              <w:spacing w:line="320" w:lineRule="exact"/>
              <w:rPr>
                <w:rFonts w:hint="eastAsia"/>
                <w:color w:val="000000"/>
                <w:sz w:val="21"/>
                <w:szCs w:val="21"/>
              </w:rPr>
            </w:pPr>
            <w:r>
              <w:rPr>
                <w:rFonts w:hint="eastAsia"/>
                <w:color w:val="000000"/>
                <w:sz w:val="21"/>
                <w:szCs w:val="21"/>
              </w:rPr>
              <w:t>3、能力要求：</w:t>
            </w:r>
          </w:p>
          <w:p w14:paraId="26931423">
            <w:pPr>
              <w:spacing w:line="320" w:lineRule="exact"/>
              <w:rPr>
                <w:rFonts w:hint="eastAsia"/>
                <w:color w:val="000000"/>
                <w:sz w:val="21"/>
                <w:szCs w:val="21"/>
              </w:rPr>
            </w:pPr>
            <w:r>
              <w:rPr>
                <w:rFonts w:hint="eastAsia"/>
                <w:color w:val="000000"/>
                <w:sz w:val="21"/>
                <w:szCs w:val="21"/>
              </w:rPr>
              <w:t>（6）具有自主学习和创新发展的基本能力。</w:t>
            </w:r>
          </w:p>
        </w:tc>
      </w:tr>
    </w:tbl>
    <w:p w14:paraId="680B4D38">
      <w:pPr>
        <w:pStyle w:val="18"/>
        <w:spacing w:before="163" w:beforeLines="50" w:after="163"/>
      </w:pPr>
      <w:r>
        <w:rPr>
          <w:rFonts w:hint="eastAsia"/>
        </w:rPr>
        <w:t>（三）毕业要求与课程目标的关系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2ADA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49E3E3B">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5C60B98">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9B7757F">
            <w:pPr>
              <w:pStyle w:val="14"/>
              <w:rPr>
                <w:szCs w:val="16"/>
              </w:rPr>
            </w:pPr>
            <w:r>
              <w:rPr>
                <w:rFonts w:hint="eastAsia"/>
                <w:szCs w:val="16"/>
              </w:rPr>
              <w:t>支撑度</w:t>
            </w:r>
          </w:p>
        </w:tc>
        <w:tc>
          <w:tcPr>
            <w:tcW w:w="4763" w:type="dxa"/>
            <w:tcBorders>
              <w:top w:val="single" w:color="auto" w:sz="12" w:space="0"/>
            </w:tcBorders>
            <w:vAlign w:val="center"/>
          </w:tcPr>
          <w:p w14:paraId="3E237A94">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722259C0">
            <w:pPr>
              <w:pStyle w:val="14"/>
              <w:rPr>
                <w:szCs w:val="16"/>
              </w:rPr>
            </w:pPr>
            <w:r>
              <w:rPr>
                <w:rFonts w:hint="eastAsia"/>
                <w:szCs w:val="16"/>
              </w:rPr>
              <w:t>对指标点的贡献度</w:t>
            </w:r>
          </w:p>
        </w:tc>
      </w:tr>
      <w:tr w14:paraId="0707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0D262A5C">
            <w:pPr>
              <w:pStyle w:val="15"/>
            </w:pPr>
            <w:r>
              <w:rPr>
                <w:rFonts w:hint="eastAsia"/>
              </w:rPr>
              <w:t>素质要求</w:t>
            </w:r>
          </w:p>
        </w:tc>
        <w:tc>
          <w:tcPr>
            <w:tcW w:w="794" w:type="dxa"/>
            <w:tcBorders>
              <w:left w:val="single" w:color="auto" w:sz="4" w:space="0"/>
            </w:tcBorders>
            <w:vAlign w:val="center"/>
          </w:tcPr>
          <w:p w14:paraId="0C33B409">
            <w:pPr>
              <w:pStyle w:val="15"/>
              <w:rPr>
                <w:rFonts w:cs="Times New Roman"/>
                <w:bCs/>
              </w:rPr>
            </w:pPr>
            <w:r>
              <w:rPr>
                <w:rFonts w:hint="eastAsia" w:cs="Times New Roman"/>
                <w:bCs/>
              </w:rPr>
              <w:t>（3）</w:t>
            </w:r>
          </w:p>
        </w:tc>
        <w:tc>
          <w:tcPr>
            <w:tcW w:w="794" w:type="dxa"/>
            <w:tcBorders>
              <w:right w:val="double" w:color="auto" w:sz="4" w:space="0"/>
            </w:tcBorders>
            <w:shd w:val="clear" w:color="auto" w:fill="auto"/>
            <w:vAlign w:val="center"/>
          </w:tcPr>
          <w:p w14:paraId="368E81FB">
            <w:pPr>
              <w:pStyle w:val="15"/>
              <w:spacing w:line="320" w:lineRule="exact"/>
              <w:rPr>
                <w:rFonts w:hint="eastAsia" w:ascii="宋体" w:hAnsi="宋体"/>
              </w:rPr>
            </w:pPr>
            <w:r>
              <w:rPr>
                <w:rFonts w:hint="eastAsia" w:ascii="宋体" w:hAnsi="宋体"/>
              </w:rPr>
              <w:t>M</w:t>
            </w:r>
          </w:p>
        </w:tc>
        <w:tc>
          <w:tcPr>
            <w:tcW w:w="4763" w:type="dxa"/>
            <w:vAlign w:val="center"/>
          </w:tcPr>
          <w:p w14:paraId="141D4351">
            <w:pPr>
              <w:pStyle w:val="15"/>
              <w:spacing w:line="320" w:lineRule="exact"/>
              <w:jc w:val="left"/>
              <w:rPr>
                <w:rFonts w:hint="eastAsia" w:ascii="宋体" w:hAnsi="宋体"/>
                <w:bCs/>
              </w:rPr>
            </w:pPr>
            <w:r>
              <w:rPr>
                <w:rFonts w:hint="eastAsia"/>
              </w:rPr>
              <w:t>建立职业使命感和责任感</w:t>
            </w:r>
          </w:p>
        </w:tc>
        <w:tc>
          <w:tcPr>
            <w:tcW w:w="1348" w:type="dxa"/>
            <w:tcBorders>
              <w:right w:val="single" w:color="auto" w:sz="12" w:space="0"/>
            </w:tcBorders>
            <w:vAlign w:val="center"/>
          </w:tcPr>
          <w:p w14:paraId="41AC38B1">
            <w:pPr>
              <w:pStyle w:val="15"/>
              <w:spacing w:line="320" w:lineRule="exact"/>
              <w:rPr>
                <w:rFonts w:hint="eastAsia" w:ascii="宋体" w:hAnsi="宋体"/>
                <w:bCs/>
              </w:rPr>
            </w:pPr>
            <w:r>
              <w:rPr>
                <w:rFonts w:hint="eastAsia" w:ascii="宋体" w:hAnsi="宋体"/>
                <w:bCs/>
              </w:rPr>
              <w:t>1</w:t>
            </w:r>
            <w:r>
              <w:rPr>
                <w:rFonts w:ascii="宋体" w:hAnsi="宋体"/>
                <w:bCs/>
              </w:rPr>
              <w:t>00%</w:t>
            </w:r>
          </w:p>
        </w:tc>
      </w:tr>
      <w:tr w14:paraId="249E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4DDCB280">
            <w:pPr>
              <w:pStyle w:val="15"/>
            </w:pPr>
            <w:r>
              <w:rPr>
                <w:rFonts w:hint="eastAsia"/>
              </w:rPr>
              <w:t>知识要求</w:t>
            </w:r>
          </w:p>
        </w:tc>
        <w:tc>
          <w:tcPr>
            <w:tcW w:w="794" w:type="dxa"/>
            <w:tcBorders>
              <w:left w:val="single" w:color="auto" w:sz="4" w:space="0"/>
            </w:tcBorders>
            <w:vAlign w:val="center"/>
          </w:tcPr>
          <w:p w14:paraId="26B8B650">
            <w:pPr>
              <w:pStyle w:val="15"/>
              <w:rPr>
                <w:rFonts w:cs="Times New Roman"/>
                <w:bCs/>
              </w:rPr>
            </w:pPr>
            <w:r>
              <w:rPr>
                <w:rFonts w:hint="eastAsia" w:cs="Times New Roman"/>
                <w:bCs/>
              </w:rPr>
              <w:t>（3）（7）</w:t>
            </w:r>
          </w:p>
        </w:tc>
        <w:tc>
          <w:tcPr>
            <w:tcW w:w="794" w:type="dxa"/>
            <w:tcBorders>
              <w:right w:val="double" w:color="auto" w:sz="4" w:space="0"/>
            </w:tcBorders>
            <w:shd w:val="clear" w:color="auto" w:fill="auto"/>
            <w:vAlign w:val="center"/>
          </w:tcPr>
          <w:p w14:paraId="1736DE6D">
            <w:pPr>
              <w:pStyle w:val="15"/>
              <w:spacing w:line="320" w:lineRule="exact"/>
              <w:rPr>
                <w:rFonts w:hint="eastAsia" w:ascii="宋体" w:hAnsi="宋体"/>
              </w:rPr>
            </w:pPr>
            <w:r>
              <w:rPr>
                <w:rFonts w:hint="eastAsia" w:ascii="宋体" w:hAnsi="宋体"/>
              </w:rPr>
              <w:t>H</w:t>
            </w:r>
          </w:p>
        </w:tc>
        <w:tc>
          <w:tcPr>
            <w:tcW w:w="4763" w:type="dxa"/>
            <w:vAlign w:val="center"/>
          </w:tcPr>
          <w:p w14:paraId="239E4A0C">
            <w:pPr>
              <w:pStyle w:val="15"/>
              <w:spacing w:line="320" w:lineRule="exact"/>
              <w:jc w:val="left"/>
              <w:rPr>
                <w:rFonts w:hint="eastAsia" w:ascii="宋体" w:hAnsi="宋体"/>
                <w:bCs/>
              </w:rPr>
            </w:pPr>
            <w:r>
              <w:rPr>
                <w:rFonts w:hint="eastAsia" w:ascii="宋体" w:hAnsi="宋体"/>
              </w:rPr>
              <w:t>理解病理学与病理生理学的基本知识</w:t>
            </w:r>
          </w:p>
        </w:tc>
        <w:tc>
          <w:tcPr>
            <w:tcW w:w="1348" w:type="dxa"/>
            <w:tcBorders>
              <w:right w:val="single" w:color="auto" w:sz="12" w:space="0"/>
            </w:tcBorders>
            <w:vAlign w:val="center"/>
          </w:tcPr>
          <w:p w14:paraId="0A8B7F49">
            <w:pPr>
              <w:pStyle w:val="15"/>
              <w:spacing w:line="320" w:lineRule="exact"/>
              <w:rPr>
                <w:rFonts w:hint="eastAsia" w:ascii="宋体" w:hAnsi="宋体"/>
                <w:bCs/>
              </w:rPr>
            </w:pPr>
            <w:r>
              <w:rPr>
                <w:rFonts w:ascii="宋体" w:hAnsi="宋体"/>
                <w:bCs/>
              </w:rPr>
              <w:t>100</w:t>
            </w:r>
            <w:r>
              <w:rPr>
                <w:rFonts w:hint="eastAsia" w:ascii="宋体" w:hAnsi="宋体"/>
                <w:bCs/>
              </w:rPr>
              <w:t>%</w:t>
            </w:r>
          </w:p>
        </w:tc>
      </w:tr>
      <w:tr w14:paraId="1941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31A0551">
            <w:pPr>
              <w:pStyle w:val="15"/>
            </w:pPr>
            <w:r>
              <w:rPr>
                <w:rFonts w:hint="eastAsia"/>
              </w:rPr>
              <w:t>能力要求</w:t>
            </w:r>
          </w:p>
        </w:tc>
        <w:tc>
          <w:tcPr>
            <w:tcW w:w="794" w:type="dxa"/>
            <w:vMerge w:val="restart"/>
            <w:tcBorders>
              <w:left w:val="single" w:color="auto" w:sz="4" w:space="0"/>
            </w:tcBorders>
            <w:vAlign w:val="center"/>
          </w:tcPr>
          <w:p w14:paraId="184AB5B1">
            <w:pPr>
              <w:pStyle w:val="15"/>
              <w:rPr>
                <w:rFonts w:cs="Times New Roman"/>
                <w:bCs/>
              </w:rPr>
            </w:pPr>
            <w:r>
              <w:rPr>
                <w:rFonts w:hint="eastAsia" w:cs="Times New Roman"/>
                <w:bCs/>
              </w:rPr>
              <w:t>（6）</w:t>
            </w:r>
          </w:p>
        </w:tc>
        <w:tc>
          <w:tcPr>
            <w:tcW w:w="794" w:type="dxa"/>
            <w:tcBorders>
              <w:right w:val="double" w:color="auto" w:sz="4" w:space="0"/>
            </w:tcBorders>
            <w:shd w:val="clear" w:color="auto" w:fill="auto"/>
            <w:vAlign w:val="center"/>
          </w:tcPr>
          <w:p w14:paraId="052902CD">
            <w:pPr>
              <w:pStyle w:val="15"/>
              <w:spacing w:line="320" w:lineRule="exact"/>
              <w:rPr>
                <w:rFonts w:hint="eastAsia" w:ascii="宋体" w:hAnsi="宋体"/>
              </w:rPr>
            </w:pPr>
            <w:r>
              <w:rPr>
                <w:rFonts w:hint="eastAsia" w:ascii="宋体" w:hAnsi="宋体"/>
              </w:rPr>
              <w:t>H</w:t>
            </w:r>
          </w:p>
        </w:tc>
        <w:tc>
          <w:tcPr>
            <w:tcW w:w="4763" w:type="dxa"/>
            <w:vAlign w:val="center"/>
          </w:tcPr>
          <w:p w14:paraId="115D1F22">
            <w:pPr>
              <w:pStyle w:val="15"/>
              <w:spacing w:line="320" w:lineRule="exact"/>
              <w:jc w:val="left"/>
              <w:rPr>
                <w:rFonts w:hint="eastAsia" w:ascii="宋体" w:hAnsi="宋体"/>
                <w:bCs/>
              </w:rPr>
            </w:pPr>
            <w:r>
              <w:rPr>
                <w:rFonts w:hint="eastAsia" w:ascii="宋体" w:hAnsi="宋体"/>
              </w:rPr>
              <w:t>具有自主学习的基本能力</w:t>
            </w:r>
          </w:p>
        </w:tc>
        <w:tc>
          <w:tcPr>
            <w:tcW w:w="1348" w:type="dxa"/>
            <w:tcBorders>
              <w:right w:val="single" w:color="auto" w:sz="12" w:space="0"/>
            </w:tcBorders>
            <w:vAlign w:val="center"/>
          </w:tcPr>
          <w:p w14:paraId="3C8018B8">
            <w:pPr>
              <w:pStyle w:val="15"/>
              <w:spacing w:line="320" w:lineRule="exact"/>
              <w:rPr>
                <w:rFonts w:hint="eastAsia" w:ascii="宋体" w:hAnsi="宋体"/>
                <w:bCs/>
              </w:rPr>
            </w:pPr>
            <w:r>
              <w:rPr>
                <w:rFonts w:hint="eastAsia" w:ascii="宋体" w:hAnsi="宋体"/>
                <w:bCs/>
              </w:rPr>
              <w:t>6</w:t>
            </w:r>
            <w:r>
              <w:rPr>
                <w:rFonts w:ascii="宋体" w:hAnsi="宋体"/>
                <w:bCs/>
              </w:rPr>
              <w:t>0</w:t>
            </w:r>
            <w:r>
              <w:rPr>
                <w:rFonts w:hint="eastAsia" w:ascii="宋体" w:hAnsi="宋体"/>
                <w:bCs/>
              </w:rPr>
              <w:t>%</w:t>
            </w:r>
          </w:p>
        </w:tc>
      </w:tr>
      <w:tr w14:paraId="2A81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14:paraId="79070FF9">
            <w:pPr>
              <w:pStyle w:val="15"/>
              <w:jc w:val="distribute"/>
            </w:pPr>
          </w:p>
        </w:tc>
        <w:tc>
          <w:tcPr>
            <w:tcW w:w="794" w:type="dxa"/>
            <w:vMerge w:val="continue"/>
            <w:tcBorders>
              <w:left w:val="single" w:color="auto" w:sz="4" w:space="0"/>
              <w:bottom w:val="single" w:color="auto" w:sz="12" w:space="0"/>
            </w:tcBorders>
            <w:vAlign w:val="center"/>
          </w:tcPr>
          <w:p w14:paraId="1EFCA95D">
            <w:pPr>
              <w:pStyle w:val="15"/>
              <w:rPr>
                <w:rFonts w:cs="Times New Roman"/>
                <w:bCs/>
              </w:rPr>
            </w:pPr>
          </w:p>
        </w:tc>
        <w:tc>
          <w:tcPr>
            <w:tcW w:w="794" w:type="dxa"/>
            <w:tcBorders>
              <w:bottom w:val="single" w:color="auto" w:sz="12" w:space="0"/>
              <w:right w:val="double" w:color="auto" w:sz="4" w:space="0"/>
            </w:tcBorders>
            <w:shd w:val="clear" w:color="auto" w:fill="auto"/>
            <w:vAlign w:val="center"/>
          </w:tcPr>
          <w:p w14:paraId="5DFA0975">
            <w:pPr>
              <w:pStyle w:val="15"/>
              <w:spacing w:line="320" w:lineRule="exact"/>
              <w:rPr>
                <w:rFonts w:hint="eastAsia" w:ascii="宋体" w:hAnsi="宋体"/>
              </w:rPr>
            </w:pPr>
            <w:r>
              <w:rPr>
                <w:rFonts w:hint="eastAsia" w:ascii="宋体" w:hAnsi="宋体"/>
              </w:rPr>
              <w:t>H</w:t>
            </w:r>
          </w:p>
        </w:tc>
        <w:tc>
          <w:tcPr>
            <w:tcW w:w="4763" w:type="dxa"/>
            <w:tcBorders>
              <w:bottom w:val="single" w:color="auto" w:sz="12" w:space="0"/>
            </w:tcBorders>
            <w:vAlign w:val="center"/>
          </w:tcPr>
          <w:p w14:paraId="5C49C1F1">
            <w:pPr>
              <w:pStyle w:val="15"/>
              <w:spacing w:line="320" w:lineRule="exact"/>
              <w:jc w:val="left"/>
              <w:rPr>
                <w:rFonts w:hint="eastAsia" w:ascii="宋体" w:hAnsi="宋体"/>
                <w:bCs/>
              </w:rPr>
            </w:pPr>
            <w:r>
              <w:rPr>
                <w:rFonts w:hint="eastAsia" w:ascii="宋体" w:hAnsi="宋体"/>
              </w:rPr>
              <w:t>能搜集、获取达到目标所需要的学习资源，实施学习计划、反思学习计划、持续改进，达到学习目标。</w:t>
            </w:r>
          </w:p>
        </w:tc>
        <w:tc>
          <w:tcPr>
            <w:tcW w:w="1348" w:type="dxa"/>
            <w:tcBorders>
              <w:bottom w:val="single" w:color="auto" w:sz="12" w:space="0"/>
              <w:right w:val="single" w:color="auto" w:sz="12" w:space="0"/>
            </w:tcBorders>
            <w:vAlign w:val="center"/>
          </w:tcPr>
          <w:p w14:paraId="14A21EBC">
            <w:pPr>
              <w:pStyle w:val="15"/>
              <w:spacing w:line="320" w:lineRule="exact"/>
              <w:rPr>
                <w:rFonts w:hint="eastAsia" w:ascii="宋体" w:hAnsi="宋体"/>
                <w:bCs/>
              </w:rPr>
            </w:pPr>
            <w:r>
              <w:rPr>
                <w:rFonts w:ascii="宋体" w:hAnsi="宋体"/>
                <w:bCs/>
              </w:rPr>
              <w:t>40%</w:t>
            </w:r>
          </w:p>
        </w:tc>
      </w:tr>
    </w:tbl>
    <w:p w14:paraId="4EB5784D">
      <w:pPr>
        <w:pStyle w:val="17"/>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22D4FD8A">
      <w:pPr>
        <w:pStyle w:val="18"/>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D0F750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00F4942">
            <w:pPr>
              <w:widowControl w:val="0"/>
              <w:spacing w:line="320" w:lineRule="exact"/>
              <w:rPr>
                <w:rFonts w:hint="eastAsia"/>
                <w:color w:val="000000"/>
                <w:sz w:val="21"/>
                <w:szCs w:val="21"/>
              </w:rPr>
            </w:pPr>
            <w:bookmarkStart w:id="0" w:name="OLE_LINK6"/>
            <w:bookmarkStart w:id="1" w:name="OLE_LINK5"/>
            <w:r>
              <w:rPr>
                <w:rFonts w:hint="eastAsia"/>
                <w:bCs/>
                <w:sz w:val="21"/>
                <w:szCs w:val="21"/>
              </w:rPr>
              <w:t>第一章 细胞、组织的适应、损伤与修复</w:t>
            </w:r>
          </w:p>
          <w:p w14:paraId="457A56AC">
            <w:pPr>
              <w:pStyle w:val="15"/>
              <w:widowControl w:val="0"/>
              <w:spacing w:line="320" w:lineRule="exact"/>
              <w:jc w:val="left"/>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015BDB55">
            <w:pPr>
              <w:pStyle w:val="15"/>
              <w:widowControl w:val="0"/>
              <w:spacing w:line="320" w:lineRule="exact"/>
              <w:jc w:val="left"/>
              <w:rPr>
                <w:rFonts w:hint="eastAsia" w:ascii="宋体" w:hAnsi="宋体"/>
                <w:bCs/>
              </w:rPr>
            </w:pPr>
            <w:r>
              <w:rPr>
                <w:rFonts w:hint="eastAsia" w:ascii="宋体" w:hAnsi="宋体"/>
                <w:bCs/>
              </w:rPr>
              <w:t>①</w:t>
            </w:r>
            <w:r>
              <w:rPr>
                <w:rFonts w:hint="eastAsia" w:ascii="宋体" w:hAnsi="宋体"/>
              </w:rPr>
              <w:t>理解适应、萎缩、肥大、增生、化生、变性、细胞水肿、脂肪变性、玻璃样变性、坏疽、机化、肉芽组织和瘢痕组织概念；坏死的病理变化及类型；肉芽组织形态和功能。</w:t>
            </w:r>
          </w:p>
          <w:p w14:paraId="3BF9ECFF">
            <w:pPr>
              <w:pStyle w:val="15"/>
              <w:widowControl w:val="0"/>
              <w:spacing w:line="320" w:lineRule="exact"/>
              <w:jc w:val="left"/>
              <w:rPr>
                <w:rFonts w:hint="eastAsia" w:ascii="宋体" w:hAnsi="宋体"/>
                <w:bCs/>
              </w:rPr>
            </w:pPr>
            <w:r>
              <w:rPr>
                <w:rFonts w:hint="eastAsia" w:ascii="宋体" w:hAnsi="宋体"/>
                <w:bCs/>
              </w:rPr>
              <w:t>②</w:t>
            </w:r>
            <w:r>
              <w:rPr>
                <w:rFonts w:hint="eastAsia" w:ascii="宋体" w:hAnsi="宋体"/>
              </w:rPr>
              <w:t>理解病理性钙化、糜烂、溃疡、窦道、瘘管、空洞、修复、再生和纤维性修复概念；萎缩、肥大和增生的类型及原因、病理变化；化生变性的病理变化；坏死的结局；肉芽组织的结局；细胞的再生能力；修复的完成；皮肤创伤愈合的类型；骨折愈合的过程。</w:t>
            </w:r>
          </w:p>
          <w:p w14:paraId="7E05D76A">
            <w:pPr>
              <w:pStyle w:val="15"/>
              <w:widowControl w:val="0"/>
              <w:spacing w:line="320" w:lineRule="exact"/>
              <w:jc w:val="left"/>
              <w:rPr>
                <w:rFonts w:hint="eastAsia" w:ascii="宋体" w:hAnsi="宋体"/>
                <w:bCs/>
              </w:rPr>
            </w:pPr>
            <w:r>
              <w:rPr>
                <w:rFonts w:hint="eastAsia" w:ascii="宋体" w:hAnsi="宋体"/>
                <w:bCs/>
              </w:rPr>
              <w:t>③</w:t>
            </w:r>
            <w:r>
              <w:rPr>
                <w:rFonts w:hint="eastAsia" w:ascii="宋体" w:hAnsi="宋体"/>
              </w:rPr>
              <w:t>知道创伤愈合概念；萎缩、肥大和增生的影响及结局；病理性钙化的类型、病理变化；细胞水肿、脂肪变性的原因及机制、影响及结局；瘢痕组织的形态及作用</w:t>
            </w:r>
            <w:r>
              <w:rPr>
                <w:rFonts w:ascii="宋体" w:hAnsi="宋体"/>
              </w:rPr>
              <w:t>;</w:t>
            </w:r>
            <w:r>
              <w:rPr>
                <w:rFonts w:hint="eastAsia" w:ascii="宋体" w:hAnsi="宋体"/>
              </w:rPr>
              <w:t>皮肤创伤愈合的过程</w:t>
            </w:r>
            <w:r>
              <w:rPr>
                <w:rFonts w:ascii="宋体" w:hAnsi="宋体"/>
              </w:rPr>
              <w:t>;</w:t>
            </w:r>
            <w:r>
              <w:rPr>
                <w:rFonts w:hint="eastAsia" w:ascii="宋体" w:hAnsi="宋体"/>
              </w:rPr>
              <w:t>影响损伤修复的因素。</w:t>
            </w:r>
          </w:p>
          <w:p w14:paraId="4125EE93">
            <w:pPr>
              <w:pStyle w:val="15"/>
              <w:widowControl w:val="0"/>
              <w:spacing w:line="320" w:lineRule="exact"/>
              <w:jc w:val="left"/>
              <w:rPr>
                <w:rFonts w:hint="eastAsia" w:ascii="宋体" w:hAnsi="宋体"/>
                <w:bCs/>
              </w:rPr>
            </w:pPr>
            <w:r>
              <w:rPr>
                <w:rFonts w:hint="eastAsia" w:ascii="宋体" w:hAnsi="宋体"/>
                <w:bCs/>
              </w:rPr>
              <w:t>2</w:t>
            </w:r>
            <w:r>
              <w:rPr>
                <w:rFonts w:ascii="宋体" w:hAnsi="宋体"/>
                <w:bCs/>
              </w:rPr>
              <w:t>.</w:t>
            </w:r>
            <w:r>
              <w:rPr>
                <w:rFonts w:hint="eastAsia" w:ascii="宋体" w:hAnsi="宋体"/>
                <w:bCs/>
              </w:rPr>
              <w:t>能力要求：</w:t>
            </w:r>
          </w:p>
          <w:p w14:paraId="673E5AFC">
            <w:pPr>
              <w:pStyle w:val="15"/>
              <w:widowControl w:val="0"/>
              <w:spacing w:line="320" w:lineRule="exact"/>
              <w:jc w:val="left"/>
              <w:rPr>
                <w:rFonts w:hint="eastAsia" w:ascii="宋体" w:hAnsi="宋体"/>
                <w:bCs/>
              </w:rPr>
            </w:pPr>
            <w:r>
              <w:rPr>
                <w:rFonts w:hint="eastAsia" w:ascii="宋体" w:hAnsi="宋体"/>
                <w:bCs/>
              </w:rPr>
              <w:t>①</w:t>
            </w:r>
            <w:r>
              <w:rPr>
                <w:rFonts w:hint="eastAsia" w:ascii="宋体" w:hAnsi="宋体"/>
              </w:rPr>
              <w:t>运用适应、损伤与修复病理知识分析、解释相关的临床表现问题。</w:t>
            </w:r>
          </w:p>
          <w:p w14:paraId="5E3570BA">
            <w:pPr>
              <w:pStyle w:val="15"/>
              <w:widowControl w:val="0"/>
              <w:spacing w:line="320" w:lineRule="exact"/>
              <w:jc w:val="left"/>
              <w:rPr>
                <w:rFonts w:hint="eastAsia" w:ascii="宋体" w:hAnsi="宋体"/>
                <w:bCs/>
              </w:rPr>
            </w:pPr>
            <w:r>
              <w:rPr>
                <w:rFonts w:hint="eastAsia" w:ascii="宋体" w:hAnsi="宋体"/>
                <w:bCs/>
              </w:rPr>
              <w:t>②</w:t>
            </w:r>
            <w:r>
              <w:rPr>
                <w:rFonts w:hint="eastAsia" w:ascii="宋体" w:hAnsi="宋体"/>
              </w:rPr>
              <w:t>积极对待和正确认识适应、损伤与修复，具有对机体适应与损伤变化及修复病理问题的认知能力。</w:t>
            </w:r>
          </w:p>
          <w:p w14:paraId="43328116">
            <w:pPr>
              <w:pStyle w:val="15"/>
              <w:widowControl w:val="0"/>
              <w:spacing w:line="320" w:lineRule="exact"/>
              <w:jc w:val="left"/>
              <w:rPr>
                <w:rFonts w:hint="eastAsia"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038F09F4">
            <w:pPr>
              <w:widowControl w:val="0"/>
              <w:snapToGrid w:val="0"/>
              <w:spacing w:line="320" w:lineRule="exact"/>
              <w:rPr>
                <w:rFonts w:hint="eastAsia"/>
                <w:color w:val="000000"/>
                <w:sz w:val="21"/>
                <w:szCs w:val="21"/>
              </w:rPr>
            </w:pPr>
            <w:r>
              <w:rPr>
                <w:rFonts w:hint="eastAsia"/>
                <w:color w:val="000000"/>
                <w:sz w:val="21"/>
                <w:szCs w:val="21"/>
              </w:rPr>
              <w:t>培养目标与规格：1(</w:t>
            </w:r>
            <w:r>
              <w:rPr>
                <w:color w:val="000000"/>
                <w:sz w:val="21"/>
                <w:szCs w:val="21"/>
              </w:rPr>
              <w:t>3)</w:t>
            </w:r>
            <w:r>
              <w:rPr>
                <w:rFonts w:hint="eastAsia"/>
                <w:color w:val="000000"/>
                <w:sz w:val="21"/>
                <w:szCs w:val="21"/>
              </w:rPr>
              <w:t>，2(</w:t>
            </w:r>
            <w:r>
              <w:rPr>
                <w:color w:val="000000"/>
                <w:sz w:val="21"/>
                <w:szCs w:val="21"/>
              </w:rPr>
              <w:t>3)(7),3(6)</w:t>
            </w:r>
          </w:p>
          <w:p w14:paraId="217D8AC4">
            <w:pPr>
              <w:widowControl w:val="0"/>
              <w:snapToGrid w:val="0"/>
              <w:spacing w:line="320" w:lineRule="exact"/>
              <w:rPr>
                <w:rFonts w:hint="eastAsia"/>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684152B9">
            <w:pPr>
              <w:widowControl w:val="0"/>
              <w:snapToGrid w:val="0"/>
              <w:spacing w:line="320" w:lineRule="exact"/>
              <w:rPr>
                <w:rFonts w:hint="eastAsia"/>
                <w:bCs/>
                <w:color w:val="000000"/>
                <w:sz w:val="21"/>
                <w:szCs w:val="21"/>
              </w:rPr>
            </w:pPr>
            <w:r>
              <w:rPr>
                <w:rFonts w:hint="eastAsia"/>
                <w:color w:val="000000"/>
                <w:sz w:val="21"/>
                <w:szCs w:val="21"/>
              </w:rPr>
              <w:t>适应、萎缩、肥大、增生、化生、变性、细胞水肿、脂肪变性、玻璃样变性、坏疽、机化、肉芽组织和瘢痕组织概念；坏死的病理变化及类型；肉芽组织形态和功能。</w:t>
            </w:r>
          </w:p>
        </w:tc>
      </w:tr>
      <w:tr w14:paraId="27BF52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5093DA6">
            <w:pPr>
              <w:pStyle w:val="15"/>
              <w:widowControl w:val="0"/>
              <w:spacing w:line="320" w:lineRule="exact"/>
              <w:jc w:val="left"/>
              <w:rPr>
                <w:rFonts w:hint="eastAsia" w:ascii="宋体" w:hAnsi="宋体"/>
              </w:rPr>
            </w:pPr>
            <w:r>
              <w:rPr>
                <w:rFonts w:hint="eastAsia" w:ascii="宋体" w:hAnsi="宋体"/>
                <w:bCs/>
              </w:rPr>
              <w:t xml:space="preserve">第二章 </w:t>
            </w:r>
            <w:r>
              <w:rPr>
                <w:rFonts w:hint="eastAsia" w:ascii="宋体" w:hAnsi="宋体"/>
              </w:rPr>
              <w:t>局部血液循环障碍</w:t>
            </w:r>
          </w:p>
          <w:p w14:paraId="0E8ED450">
            <w:pPr>
              <w:pStyle w:val="15"/>
              <w:widowControl w:val="0"/>
              <w:spacing w:line="320" w:lineRule="exact"/>
              <w:jc w:val="left"/>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1873ADB9">
            <w:pPr>
              <w:widowControl w:val="0"/>
              <w:spacing w:line="320" w:lineRule="exact"/>
              <w:rPr>
                <w:rFonts w:hint="eastAsia"/>
                <w:color w:val="000000"/>
                <w:sz w:val="21"/>
                <w:szCs w:val="21"/>
              </w:rPr>
            </w:pPr>
            <w:r>
              <w:rPr>
                <w:rFonts w:hint="eastAsia"/>
                <w:bCs/>
                <w:sz w:val="21"/>
                <w:szCs w:val="21"/>
              </w:rPr>
              <w:t>①理解</w:t>
            </w:r>
            <w:r>
              <w:rPr>
                <w:rFonts w:hint="eastAsia"/>
                <w:color w:val="000000"/>
                <w:sz w:val="21"/>
                <w:szCs w:val="21"/>
              </w:rPr>
              <w:t>淤血、血栓形成、血栓、栓塞、栓子和梗死概念</w:t>
            </w:r>
            <w:r>
              <w:rPr>
                <w:color w:val="000000"/>
                <w:sz w:val="21"/>
                <w:szCs w:val="21"/>
              </w:rPr>
              <w:t>;</w:t>
            </w:r>
            <w:r>
              <w:rPr>
                <w:rFonts w:hint="eastAsia"/>
                <w:color w:val="000000"/>
                <w:sz w:val="21"/>
                <w:szCs w:val="21"/>
              </w:rPr>
              <w:t>淤血的原因；血栓形成的发生条件及机制；栓子的运行途径。</w:t>
            </w:r>
          </w:p>
          <w:p w14:paraId="28DC4F93">
            <w:pPr>
              <w:widowControl w:val="0"/>
              <w:spacing w:line="320" w:lineRule="exact"/>
              <w:rPr>
                <w:rFonts w:hint="eastAsia"/>
                <w:color w:val="000000"/>
                <w:sz w:val="21"/>
                <w:szCs w:val="21"/>
              </w:rPr>
            </w:pPr>
            <w:r>
              <w:rPr>
                <w:rFonts w:hint="eastAsia"/>
                <w:bCs/>
                <w:sz w:val="21"/>
                <w:szCs w:val="21"/>
              </w:rPr>
              <w:t>②</w:t>
            </w:r>
            <w:r>
              <w:rPr>
                <w:rFonts w:hint="eastAsia"/>
                <w:color w:val="000000"/>
                <w:sz w:val="21"/>
                <w:szCs w:val="21"/>
              </w:rPr>
              <w:t>理解充血、发绀、心衰细胞和槟榔肝概念；充血的病理变化</w:t>
            </w:r>
            <w:r>
              <w:rPr>
                <w:color w:val="000000"/>
                <w:sz w:val="21"/>
                <w:szCs w:val="21"/>
              </w:rPr>
              <w:t>;</w:t>
            </w:r>
            <w:r>
              <w:rPr>
                <w:rFonts w:hint="eastAsia"/>
                <w:color w:val="000000"/>
                <w:sz w:val="21"/>
                <w:szCs w:val="21"/>
              </w:rPr>
              <w:t>淤血的病理变化、影响及结局和重要器官淤血；出血的病理变化；血栓形成过程、形态类型、转归及结局和对机体的影响；栓塞的类型及后果；梗死的形态特征及类型。</w:t>
            </w:r>
          </w:p>
          <w:p w14:paraId="26E58B2D">
            <w:pPr>
              <w:widowControl w:val="0"/>
              <w:spacing w:line="320" w:lineRule="exact"/>
              <w:rPr>
                <w:rFonts w:hint="eastAsia"/>
                <w:color w:val="000000"/>
                <w:sz w:val="21"/>
                <w:szCs w:val="21"/>
              </w:rPr>
            </w:pPr>
            <w:r>
              <w:rPr>
                <w:rFonts w:hint="eastAsia"/>
                <w:bCs/>
                <w:sz w:val="21"/>
                <w:szCs w:val="21"/>
              </w:rPr>
              <w:t>③</w:t>
            </w:r>
            <w:r>
              <w:rPr>
                <w:rFonts w:hint="eastAsia"/>
                <w:color w:val="000000"/>
                <w:sz w:val="21"/>
                <w:szCs w:val="21"/>
              </w:rPr>
              <w:t>知道肺褐色硬化概念；充血的类型及原因、影响及结局；出血的类型及原因、影响及结局；梗死的原因及对机体的影响。</w:t>
            </w:r>
          </w:p>
          <w:p w14:paraId="4F190FD8">
            <w:pPr>
              <w:pStyle w:val="15"/>
              <w:widowControl w:val="0"/>
              <w:spacing w:line="320" w:lineRule="exact"/>
              <w:jc w:val="left"/>
              <w:rPr>
                <w:rFonts w:hint="eastAsia" w:ascii="宋体" w:hAnsi="宋体"/>
                <w:bCs/>
              </w:rPr>
            </w:pPr>
            <w:r>
              <w:rPr>
                <w:rFonts w:hint="eastAsia" w:ascii="宋体" w:hAnsi="宋体"/>
                <w:bCs/>
              </w:rPr>
              <w:t>2</w:t>
            </w:r>
            <w:r>
              <w:rPr>
                <w:rFonts w:ascii="宋体" w:hAnsi="宋体"/>
                <w:bCs/>
              </w:rPr>
              <w:t>.</w:t>
            </w:r>
            <w:r>
              <w:rPr>
                <w:rFonts w:hint="eastAsia" w:ascii="宋体" w:hAnsi="宋体"/>
                <w:bCs/>
              </w:rPr>
              <w:t>能力要求：</w:t>
            </w:r>
          </w:p>
          <w:p w14:paraId="0F81AAC9">
            <w:pPr>
              <w:pStyle w:val="15"/>
              <w:widowControl w:val="0"/>
              <w:spacing w:line="320" w:lineRule="exact"/>
              <w:jc w:val="left"/>
              <w:rPr>
                <w:rFonts w:hint="eastAsia" w:ascii="宋体" w:hAnsi="宋体"/>
              </w:rPr>
            </w:pPr>
            <w:r>
              <w:rPr>
                <w:rFonts w:hint="eastAsia" w:ascii="宋体" w:hAnsi="宋体"/>
                <w:bCs/>
              </w:rPr>
              <w:t>①</w:t>
            </w:r>
            <w:r>
              <w:rPr>
                <w:rFonts w:hint="eastAsia" w:ascii="宋体" w:hAnsi="宋体"/>
              </w:rPr>
              <w:t>运用局部血液循环障碍病理知识分析、解释相关的临床表现问题。</w:t>
            </w:r>
          </w:p>
          <w:p w14:paraId="7C81A846">
            <w:pPr>
              <w:pStyle w:val="15"/>
              <w:widowControl w:val="0"/>
              <w:spacing w:line="320" w:lineRule="exact"/>
              <w:jc w:val="left"/>
              <w:rPr>
                <w:rFonts w:hint="eastAsia" w:ascii="宋体" w:hAnsi="宋体"/>
                <w:bCs/>
              </w:rPr>
            </w:pPr>
            <w:r>
              <w:rPr>
                <w:rFonts w:hint="eastAsia" w:ascii="宋体" w:hAnsi="宋体"/>
                <w:bCs/>
              </w:rPr>
              <w:t>②</w:t>
            </w:r>
            <w:r>
              <w:rPr>
                <w:rFonts w:hint="eastAsia" w:ascii="宋体" w:hAnsi="宋体"/>
              </w:rPr>
              <w:t>积极对待和正确认识充血、淤血、出血、血栓形成、栓塞及梗死，具有对淤血、出血、血栓形成、栓塞及梗死病理问题的预见意识和科学认知分析及预防指导能力。</w:t>
            </w:r>
            <w:r>
              <w:rPr>
                <w:rFonts w:ascii="宋体" w:hAnsi="宋体"/>
                <w:bCs/>
              </w:rPr>
              <w:t xml:space="preserve">                                                                                                                                                                                                                                                           </w:t>
            </w:r>
          </w:p>
          <w:p w14:paraId="15217BAB">
            <w:pPr>
              <w:pStyle w:val="15"/>
              <w:widowControl w:val="0"/>
              <w:spacing w:line="320" w:lineRule="exact"/>
              <w:jc w:val="left"/>
              <w:rPr>
                <w:rFonts w:hint="eastAsia"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791BE0D4">
            <w:pPr>
              <w:widowControl w:val="0"/>
              <w:snapToGrid w:val="0"/>
              <w:spacing w:line="320" w:lineRule="exact"/>
              <w:rPr>
                <w:rFonts w:hint="eastAsia"/>
                <w:color w:val="000000"/>
                <w:sz w:val="21"/>
                <w:szCs w:val="21"/>
              </w:rPr>
            </w:pPr>
            <w:r>
              <w:rPr>
                <w:rFonts w:hint="eastAsia"/>
                <w:color w:val="000000"/>
                <w:sz w:val="21"/>
                <w:szCs w:val="21"/>
              </w:rPr>
              <w:t>培养目标与规格：1(</w:t>
            </w:r>
            <w:r>
              <w:rPr>
                <w:color w:val="000000"/>
                <w:sz w:val="21"/>
                <w:szCs w:val="21"/>
              </w:rPr>
              <w:t>3)</w:t>
            </w:r>
            <w:r>
              <w:rPr>
                <w:rFonts w:hint="eastAsia"/>
                <w:color w:val="000000"/>
                <w:sz w:val="21"/>
                <w:szCs w:val="21"/>
              </w:rPr>
              <w:t>，2(</w:t>
            </w:r>
            <w:r>
              <w:rPr>
                <w:color w:val="000000"/>
                <w:sz w:val="21"/>
                <w:szCs w:val="21"/>
              </w:rPr>
              <w:t>3)(7),3(6)</w:t>
            </w:r>
          </w:p>
          <w:p w14:paraId="401DCF5A">
            <w:pPr>
              <w:pStyle w:val="15"/>
              <w:widowControl w:val="0"/>
              <w:spacing w:line="320" w:lineRule="exact"/>
              <w:jc w:val="left"/>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52A89094">
            <w:pPr>
              <w:pStyle w:val="15"/>
              <w:widowControl w:val="0"/>
              <w:spacing w:line="320" w:lineRule="exact"/>
              <w:jc w:val="left"/>
              <w:rPr>
                <w:rFonts w:hint="eastAsia" w:ascii="宋体" w:hAnsi="宋体"/>
                <w:bCs/>
              </w:rPr>
            </w:pPr>
            <w:r>
              <w:rPr>
                <w:rFonts w:hint="eastAsia" w:ascii="宋体" w:hAnsi="宋体"/>
              </w:rPr>
              <w:t>淤血、血栓形成、血栓、栓塞、栓子和梗死概念</w:t>
            </w:r>
            <w:r>
              <w:rPr>
                <w:rFonts w:ascii="宋体" w:hAnsi="宋体"/>
              </w:rPr>
              <w:t>;</w:t>
            </w:r>
            <w:r>
              <w:rPr>
                <w:rFonts w:hint="eastAsia" w:ascii="宋体" w:hAnsi="宋体"/>
              </w:rPr>
              <w:t>淤血的原因；血栓形成的发生条件及机制；栓子的运行途径。</w:t>
            </w:r>
          </w:p>
        </w:tc>
      </w:tr>
      <w:tr w14:paraId="1667E9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1C49029">
            <w:pPr>
              <w:pStyle w:val="15"/>
              <w:widowControl w:val="0"/>
              <w:spacing w:line="320" w:lineRule="exact"/>
              <w:jc w:val="left"/>
              <w:rPr>
                <w:rFonts w:hint="eastAsia" w:ascii="宋体" w:hAnsi="宋体"/>
                <w:bCs/>
              </w:rPr>
            </w:pPr>
            <w:r>
              <w:rPr>
                <w:rFonts w:hint="eastAsia" w:ascii="宋体" w:hAnsi="宋体"/>
                <w:bCs/>
              </w:rPr>
              <w:t xml:space="preserve">第三章 </w:t>
            </w:r>
            <w:r>
              <w:rPr>
                <w:rFonts w:hint="eastAsia" w:ascii="宋体" w:hAnsi="宋体"/>
              </w:rPr>
              <w:t>炎症</w:t>
            </w:r>
          </w:p>
          <w:p w14:paraId="1CDB6657">
            <w:pPr>
              <w:pStyle w:val="15"/>
              <w:widowControl w:val="0"/>
              <w:spacing w:line="320" w:lineRule="exact"/>
              <w:jc w:val="left"/>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27F1CB62">
            <w:pPr>
              <w:widowControl w:val="0"/>
              <w:spacing w:line="320" w:lineRule="exact"/>
              <w:rPr>
                <w:rFonts w:hint="eastAsia"/>
                <w:color w:val="000000"/>
                <w:sz w:val="21"/>
                <w:szCs w:val="21"/>
              </w:rPr>
            </w:pPr>
            <w:r>
              <w:rPr>
                <w:rFonts w:hint="eastAsia"/>
                <w:bCs/>
                <w:sz w:val="21"/>
                <w:szCs w:val="21"/>
              </w:rPr>
              <w:t>①</w:t>
            </w:r>
            <w:r>
              <w:rPr>
                <w:rFonts w:hint="eastAsia"/>
                <w:color w:val="000000"/>
                <w:sz w:val="21"/>
                <w:szCs w:val="21"/>
              </w:rPr>
              <w:t>理解炎症、变质、渗出、增生、炎细胞浸润、假膜性炎、脓肿、蜂窝织炎、炎性息肉、炎性假瘤和肉芽肿性炎概念；炎症基本病理变化；炎症局部表现；急性炎症过程中的白细胞反应；急性炎症病理学类型。</w:t>
            </w:r>
          </w:p>
          <w:p w14:paraId="021435CA">
            <w:pPr>
              <w:widowControl w:val="0"/>
              <w:spacing w:line="320" w:lineRule="exact"/>
              <w:rPr>
                <w:rFonts w:hint="eastAsia"/>
                <w:color w:val="000000"/>
                <w:sz w:val="21"/>
                <w:szCs w:val="21"/>
              </w:rPr>
            </w:pPr>
            <w:r>
              <w:rPr>
                <w:rFonts w:hint="eastAsia"/>
                <w:bCs/>
                <w:sz w:val="21"/>
                <w:szCs w:val="21"/>
              </w:rPr>
              <w:t>②</w:t>
            </w:r>
            <w:r>
              <w:rPr>
                <w:rFonts w:hint="eastAsia"/>
                <w:color w:val="000000"/>
                <w:sz w:val="21"/>
                <w:szCs w:val="21"/>
              </w:rPr>
              <w:t>理解假膜性炎、卡他性炎和慢性炎症概念；炎症全身反应；炎症意义；急性炎症过程中的血管反应；急性炎症结局；慢性炎症原因及类型；一般慢性炎症病理变化特点。</w:t>
            </w:r>
          </w:p>
          <w:p w14:paraId="5C6028EC">
            <w:pPr>
              <w:pStyle w:val="15"/>
              <w:widowControl w:val="0"/>
              <w:spacing w:line="320" w:lineRule="exact"/>
              <w:jc w:val="left"/>
              <w:rPr>
                <w:rFonts w:hint="eastAsia" w:ascii="宋体" w:hAnsi="宋体"/>
                <w:bCs/>
              </w:rPr>
            </w:pPr>
            <w:r>
              <w:rPr>
                <w:rFonts w:hint="eastAsia" w:ascii="宋体" w:hAnsi="宋体"/>
                <w:bCs/>
              </w:rPr>
              <w:t>③</w:t>
            </w:r>
            <w:r>
              <w:rPr>
                <w:rFonts w:hint="eastAsia" w:ascii="宋体" w:hAnsi="宋体"/>
              </w:rPr>
              <w:t>知道炎症原因、分类；类症介质作用；肉芽肿性炎的机制及原因、病理变化特点。</w:t>
            </w:r>
          </w:p>
          <w:p w14:paraId="700EDBD2">
            <w:pPr>
              <w:pStyle w:val="15"/>
              <w:widowControl w:val="0"/>
              <w:spacing w:line="320" w:lineRule="exact"/>
              <w:jc w:val="left"/>
              <w:rPr>
                <w:rFonts w:hint="eastAsia" w:ascii="宋体" w:hAnsi="宋体"/>
                <w:bCs/>
              </w:rPr>
            </w:pPr>
            <w:r>
              <w:rPr>
                <w:rFonts w:hint="eastAsia" w:ascii="宋体" w:hAnsi="宋体"/>
                <w:bCs/>
              </w:rPr>
              <w:t>2</w:t>
            </w:r>
            <w:r>
              <w:rPr>
                <w:rFonts w:ascii="宋体" w:hAnsi="宋体"/>
                <w:bCs/>
              </w:rPr>
              <w:t>.</w:t>
            </w:r>
            <w:r>
              <w:rPr>
                <w:rFonts w:hint="eastAsia" w:ascii="宋体" w:hAnsi="宋体"/>
                <w:bCs/>
              </w:rPr>
              <w:t>能力要求：</w:t>
            </w:r>
          </w:p>
          <w:p w14:paraId="05140253">
            <w:pPr>
              <w:pStyle w:val="15"/>
              <w:widowControl w:val="0"/>
              <w:spacing w:line="320" w:lineRule="exact"/>
              <w:jc w:val="left"/>
              <w:rPr>
                <w:rFonts w:hint="eastAsia" w:ascii="宋体" w:hAnsi="宋体"/>
                <w:bCs/>
              </w:rPr>
            </w:pPr>
            <w:r>
              <w:rPr>
                <w:rFonts w:hint="eastAsia" w:ascii="宋体" w:hAnsi="宋体"/>
                <w:bCs/>
              </w:rPr>
              <w:t>①</w:t>
            </w:r>
            <w:r>
              <w:rPr>
                <w:rFonts w:hint="eastAsia" w:ascii="宋体" w:hAnsi="宋体"/>
              </w:rPr>
              <w:t>运用炎症病理知识分析、解释相关的临床表现问题及相关实验室检查结果。</w:t>
            </w:r>
          </w:p>
          <w:p w14:paraId="6BA9E784">
            <w:pPr>
              <w:widowControl w:val="0"/>
              <w:spacing w:line="320" w:lineRule="exact"/>
              <w:rPr>
                <w:rFonts w:hint="eastAsia"/>
                <w:color w:val="000000"/>
                <w:sz w:val="21"/>
                <w:szCs w:val="21"/>
              </w:rPr>
            </w:pPr>
            <w:r>
              <w:rPr>
                <w:rFonts w:hint="eastAsia"/>
                <w:bCs/>
                <w:sz w:val="21"/>
                <w:szCs w:val="21"/>
              </w:rPr>
              <w:t>②</w:t>
            </w:r>
            <w:r>
              <w:rPr>
                <w:rFonts w:hint="eastAsia"/>
                <w:color w:val="000000"/>
                <w:sz w:val="21"/>
                <w:szCs w:val="21"/>
              </w:rPr>
              <w:t>积极对待和正确认识机体的炎症，具有对炎症病理问题的预见意识和科学认知分析能力。</w:t>
            </w:r>
          </w:p>
          <w:p w14:paraId="7023AA16">
            <w:pPr>
              <w:pStyle w:val="15"/>
              <w:widowControl w:val="0"/>
              <w:spacing w:line="320" w:lineRule="exact"/>
              <w:jc w:val="left"/>
              <w:rPr>
                <w:rFonts w:hint="eastAsia"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3D8D1D80">
            <w:pPr>
              <w:widowControl w:val="0"/>
              <w:snapToGrid w:val="0"/>
              <w:spacing w:line="320" w:lineRule="exact"/>
              <w:rPr>
                <w:rFonts w:hint="eastAsia"/>
                <w:color w:val="000000"/>
                <w:sz w:val="21"/>
                <w:szCs w:val="21"/>
              </w:rPr>
            </w:pPr>
            <w:r>
              <w:rPr>
                <w:rFonts w:hint="eastAsia"/>
                <w:color w:val="000000"/>
                <w:sz w:val="21"/>
                <w:szCs w:val="21"/>
              </w:rPr>
              <w:t>培养目标与规格：1(</w:t>
            </w:r>
            <w:r>
              <w:rPr>
                <w:color w:val="000000"/>
                <w:sz w:val="21"/>
                <w:szCs w:val="21"/>
              </w:rPr>
              <w:t>3)</w:t>
            </w:r>
            <w:r>
              <w:rPr>
                <w:rFonts w:hint="eastAsia"/>
                <w:color w:val="000000"/>
                <w:sz w:val="21"/>
                <w:szCs w:val="21"/>
              </w:rPr>
              <w:t>，2(</w:t>
            </w:r>
            <w:r>
              <w:rPr>
                <w:color w:val="000000"/>
                <w:sz w:val="21"/>
                <w:szCs w:val="21"/>
              </w:rPr>
              <w:t>3)(7),3(6)</w:t>
            </w:r>
          </w:p>
          <w:p w14:paraId="10B67254">
            <w:pPr>
              <w:pStyle w:val="15"/>
              <w:widowControl w:val="0"/>
              <w:spacing w:line="320" w:lineRule="exact"/>
              <w:jc w:val="left"/>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424CC680">
            <w:pPr>
              <w:pStyle w:val="15"/>
              <w:widowControl w:val="0"/>
              <w:spacing w:line="320" w:lineRule="exact"/>
              <w:jc w:val="left"/>
              <w:rPr>
                <w:rFonts w:hint="eastAsia" w:ascii="宋体" w:hAnsi="宋体"/>
                <w:bCs/>
              </w:rPr>
            </w:pPr>
            <w:r>
              <w:rPr>
                <w:rFonts w:hint="eastAsia" w:ascii="宋体" w:hAnsi="宋体"/>
              </w:rPr>
              <w:t>炎症、变质、渗出、增生、炎细胞浸润、假膜性炎、脓肿、蜂窝织炎、炎性息肉、炎性假瘤和肉芽肿性炎概念；炎症基本病理变化；炎症局部表现；急性炎症过程中的白细胞反应；急性炎症病理学类型。</w:t>
            </w:r>
          </w:p>
        </w:tc>
      </w:tr>
      <w:tr w14:paraId="7C7B00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B62904D">
            <w:pPr>
              <w:pStyle w:val="15"/>
              <w:widowControl w:val="0"/>
              <w:spacing w:line="320" w:lineRule="exact"/>
              <w:jc w:val="left"/>
              <w:rPr>
                <w:rFonts w:hint="eastAsia" w:ascii="宋体" w:hAnsi="宋体"/>
                <w:bCs/>
              </w:rPr>
            </w:pPr>
            <w:r>
              <w:rPr>
                <w:rFonts w:hint="eastAsia" w:ascii="宋体" w:hAnsi="宋体"/>
                <w:bCs/>
              </w:rPr>
              <w:t xml:space="preserve">第四章 </w:t>
            </w:r>
            <w:r>
              <w:rPr>
                <w:rFonts w:hint="eastAsia" w:ascii="宋体" w:hAnsi="宋体"/>
              </w:rPr>
              <w:t>肿瘤</w:t>
            </w:r>
          </w:p>
          <w:p w14:paraId="7F4691A4">
            <w:pPr>
              <w:pStyle w:val="15"/>
              <w:widowControl w:val="0"/>
              <w:spacing w:line="320" w:lineRule="exact"/>
              <w:jc w:val="left"/>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514E3F35">
            <w:pPr>
              <w:widowControl w:val="0"/>
              <w:spacing w:line="320" w:lineRule="exact"/>
              <w:rPr>
                <w:rFonts w:hint="eastAsia"/>
                <w:color w:val="000000"/>
                <w:sz w:val="21"/>
                <w:szCs w:val="21"/>
              </w:rPr>
            </w:pPr>
            <w:r>
              <w:rPr>
                <w:rFonts w:hint="eastAsia"/>
                <w:bCs/>
                <w:sz w:val="21"/>
                <w:szCs w:val="21"/>
              </w:rPr>
              <w:t>①</w:t>
            </w:r>
            <w:r>
              <w:rPr>
                <w:rFonts w:hint="eastAsia"/>
                <w:color w:val="000000"/>
                <w:sz w:val="21"/>
                <w:szCs w:val="21"/>
              </w:rPr>
              <w:t>理解肿瘤、分化、异型性、种植性转移、癌、肉瘤、癌前疾病</w:t>
            </w:r>
            <w:r>
              <w:rPr>
                <w:color w:val="000000"/>
                <w:sz w:val="21"/>
                <w:szCs w:val="21"/>
              </w:rPr>
              <w:t>(</w:t>
            </w:r>
            <w:r>
              <w:rPr>
                <w:rFonts w:hint="eastAsia"/>
                <w:color w:val="000000"/>
                <w:sz w:val="21"/>
                <w:szCs w:val="21"/>
              </w:rPr>
              <w:t>病变</w:t>
            </w:r>
            <w:r>
              <w:rPr>
                <w:color w:val="000000"/>
                <w:sz w:val="21"/>
                <w:szCs w:val="21"/>
              </w:rPr>
              <w:t>)</w:t>
            </w:r>
            <w:r>
              <w:rPr>
                <w:rFonts w:hint="eastAsia"/>
                <w:color w:val="000000"/>
                <w:sz w:val="21"/>
                <w:szCs w:val="21"/>
              </w:rPr>
              <w:t>、异型增生和原位癌概念；肿瘤的形态；肿瘤的生长；肿瘤的扩散；肿瘤的一般命名原则；良、恶性肿瘤的区别；常见的癌前疾病</w:t>
            </w:r>
            <w:r>
              <w:rPr>
                <w:color w:val="000000"/>
                <w:sz w:val="21"/>
                <w:szCs w:val="21"/>
              </w:rPr>
              <w:t>(</w:t>
            </w:r>
            <w:r>
              <w:rPr>
                <w:rFonts w:hint="eastAsia"/>
                <w:color w:val="000000"/>
                <w:sz w:val="21"/>
                <w:szCs w:val="21"/>
              </w:rPr>
              <w:t>病变</w:t>
            </w:r>
            <w:r>
              <w:rPr>
                <w:color w:val="000000"/>
                <w:sz w:val="21"/>
                <w:szCs w:val="21"/>
              </w:rPr>
              <w:t>)</w:t>
            </w:r>
            <w:r>
              <w:rPr>
                <w:rFonts w:hint="eastAsia"/>
                <w:color w:val="000000"/>
                <w:sz w:val="21"/>
                <w:szCs w:val="21"/>
              </w:rPr>
              <w:t>。</w:t>
            </w:r>
          </w:p>
          <w:p w14:paraId="41DBAD32">
            <w:pPr>
              <w:widowControl w:val="0"/>
              <w:spacing w:line="320" w:lineRule="exact"/>
              <w:rPr>
                <w:rFonts w:hint="eastAsia"/>
                <w:color w:val="000000"/>
                <w:sz w:val="21"/>
                <w:szCs w:val="21"/>
              </w:rPr>
            </w:pPr>
            <w:r>
              <w:rPr>
                <w:rFonts w:hint="eastAsia"/>
                <w:bCs/>
                <w:sz w:val="21"/>
                <w:szCs w:val="21"/>
              </w:rPr>
              <w:t>②</w:t>
            </w:r>
            <w:r>
              <w:rPr>
                <w:rFonts w:hint="eastAsia"/>
                <w:color w:val="000000"/>
                <w:sz w:val="21"/>
                <w:szCs w:val="21"/>
              </w:rPr>
              <w:t>理解肿瘤的异型性表现；肿瘤对机体的影响；肿瘤的异型增生。</w:t>
            </w:r>
          </w:p>
          <w:p w14:paraId="239021F2">
            <w:pPr>
              <w:pStyle w:val="15"/>
              <w:widowControl w:val="0"/>
              <w:spacing w:line="320" w:lineRule="exact"/>
              <w:jc w:val="left"/>
              <w:rPr>
                <w:rFonts w:hint="eastAsia" w:ascii="宋体" w:hAnsi="宋体"/>
              </w:rPr>
            </w:pPr>
            <w:r>
              <w:rPr>
                <w:rFonts w:hint="eastAsia" w:ascii="宋体" w:hAnsi="宋体"/>
                <w:bCs/>
              </w:rPr>
              <w:t>③</w:t>
            </w:r>
            <w:r>
              <w:rPr>
                <w:rFonts w:hint="eastAsia" w:ascii="宋体" w:hAnsi="宋体"/>
              </w:rPr>
              <w:t>知道肿瘤的特殊命名原则；肿瘤的分类；癌与内瘤的区别；肿瘤的原因及发生机制。</w:t>
            </w:r>
          </w:p>
          <w:p w14:paraId="6B72FF07">
            <w:pPr>
              <w:pStyle w:val="15"/>
              <w:widowControl w:val="0"/>
              <w:spacing w:line="320" w:lineRule="exact"/>
              <w:jc w:val="left"/>
              <w:rPr>
                <w:rFonts w:hint="eastAsia" w:ascii="宋体" w:hAnsi="宋体"/>
                <w:bCs/>
              </w:rPr>
            </w:pPr>
            <w:r>
              <w:rPr>
                <w:rFonts w:hint="eastAsia" w:ascii="宋体" w:hAnsi="宋体"/>
                <w:bCs/>
              </w:rPr>
              <w:t>2</w:t>
            </w:r>
            <w:r>
              <w:rPr>
                <w:rFonts w:ascii="宋体" w:hAnsi="宋体"/>
                <w:bCs/>
              </w:rPr>
              <w:t>.</w:t>
            </w:r>
            <w:r>
              <w:rPr>
                <w:rFonts w:hint="eastAsia" w:ascii="宋体" w:hAnsi="宋体"/>
                <w:bCs/>
              </w:rPr>
              <w:t>能力要求：</w:t>
            </w:r>
          </w:p>
          <w:p w14:paraId="35AE9FA3">
            <w:pPr>
              <w:pStyle w:val="15"/>
              <w:widowControl w:val="0"/>
              <w:spacing w:line="320" w:lineRule="exact"/>
              <w:jc w:val="left"/>
              <w:rPr>
                <w:rFonts w:hint="eastAsia" w:ascii="宋体" w:hAnsi="宋体"/>
                <w:bCs/>
              </w:rPr>
            </w:pPr>
            <w:r>
              <w:rPr>
                <w:rFonts w:hint="eastAsia" w:ascii="宋体" w:hAnsi="宋体"/>
                <w:bCs/>
              </w:rPr>
              <w:t>①</w:t>
            </w:r>
            <w:r>
              <w:rPr>
                <w:rFonts w:hint="eastAsia" w:ascii="宋体" w:hAnsi="宋体"/>
              </w:rPr>
              <w:t>运用肿瘤病理知识分析、解释相关的临床表现问题</w:t>
            </w:r>
            <w:r>
              <w:rPr>
                <w:rFonts w:ascii="宋体" w:hAnsi="宋体"/>
              </w:rPr>
              <w:t>,</w:t>
            </w:r>
            <w:r>
              <w:rPr>
                <w:rFonts w:hint="eastAsia" w:ascii="宋体" w:hAnsi="宋体"/>
              </w:rPr>
              <w:t>能结合肿瘤的生物学特点进行健康教育。</w:t>
            </w:r>
          </w:p>
          <w:p w14:paraId="072EFFDE">
            <w:pPr>
              <w:pStyle w:val="15"/>
              <w:widowControl w:val="0"/>
              <w:spacing w:line="320" w:lineRule="exact"/>
              <w:jc w:val="left"/>
              <w:rPr>
                <w:rFonts w:hint="eastAsia" w:ascii="宋体" w:hAnsi="宋体"/>
              </w:rPr>
            </w:pPr>
            <w:r>
              <w:rPr>
                <w:rFonts w:hint="eastAsia" w:ascii="宋体" w:hAnsi="宋体"/>
                <w:bCs/>
              </w:rPr>
              <w:t>②</w:t>
            </w:r>
            <w:r>
              <w:rPr>
                <w:rFonts w:hint="eastAsia" w:ascii="宋体" w:hAnsi="宋体"/>
              </w:rPr>
              <w:t>积极对待和正确认识机体的肿瘤，具有对肿瘤病理问题的预见意识和科学认知分析能力。</w:t>
            </w:r>
          </w:p>
          <w:p w14:paraId="311A9E59">
            <w:pPr>
              <w:pStyle w:val="15"/>
              <w:widowControl w:val="0"/>
              <w:spacing w:line="320" w:lineRule="exact"/>
              <w:jc w:val="left"/>
              <w:rPr>
                <w:rFonts w:hint="eastAsia"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69B19455">
            <w:pPr>
              <w:widowControl w:val="0"/>
              <w:snapToGrid w:val="0"/>
              <w:spacing w:line="320" w:lineRule="exact"/>
              <w:rPr>
                <w:rFonts w:hint="eastAsia"/>
                <w:color w:val="000000"/>
                <w:sz w:val="21"/>
                <w:szCs w:val="21"/>
              </w:rPr>
            </w:pPr>
            <w:r>
              <w:rPr>
                <w:rFonts w:hint="eastAsia"/>
                <w:color w:val="000000"/>
                <w:sz w:val="21"/>
                <w:szCs w:val="21"/>
              </w:rPr>
              <w:t>培养目标与规格：1(</w:t>
            </w:r>
            <w:r>
              <w:rPr>
                <w:color w:val="000000"/>
                <w:sz w:val="21"/>
                <w:szCs w:val="21"/>
              </w:rPr>
              <w:t>3)</w:t>
            </w:r>
            <w:r>
              <w:rPr>
                <w:rFonts w:hint="eastAsia"/>
                <w:color w:val="000000"/>
                <w:sz w:val="21"/>
                <w:szCs w:val="21"/>
              </w:rPr>
              <w:t>，2(</w:t>
            </w:r>
            <w:r>
              <w:rPr>
                <w:color w:val="000000"/>
                <w:sz w:val="21"/>
                <w:szCs w:val="21"/>
              </w:rPr>
              <w:t>3)(7),3(6)</w:t>
            </w:r>
          </w:p>
          <w:p w14:paraId="6AF2C24C">
            <w:pPr>
              <w:pStyle w:val="15"/>
              <w:widowControl w:val="0"/>
              <w:spacing w:line="320" w:lineRule="exact"/>
              <w:jc w:val="left"/>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7E14BBF1">
            <w:pPr>
              <w:pStyle w:val="15"/>
              <w:widowControl w:val="0"/>
              <w:spacing w:line="320" w:lineRule="exact"/>
              <w:jc w:val="left"/>
              <w:rPr>
                <w:rFonts w:hint="eastAsia" w:ascii="宋体" w:hAnsi="宋体"/>
                <w:bCs/>
              </w:rPr>
            </w:pPr>
            <w:r>
              <w:rPr>
                <w:rFonts w:hint="eastAsia" w:ascii="宋体" w:hAnsi="宋体"/>
              </w:rPr>
              <w:t>肿瘤、分化、异型性、种植性转移、癌、肉瘤、癌前疾病</w:t>
            </w:r>
            <w:r>
              <w:rPr>
                <w:rFonts w:ascii="宋体" w:hAnsi="宋体"/>
              </w:rPr>
              <w:t>(</w:t>
            </w:r>
            <w:r>
              <w:rPr>
                <w:rFonts w:hint="eastAsia" w:ascii="宋体" w:hAnsi="宋体"/>
              </w:rPr>
              <w:t>病变</w:t>
            </w:r>
            <w:r>
              <w:rPr>
                <w:rFonts w:ascii="宋体" w:hAnsi="宋体"/>
              </w:rPr>
              <w:t>)</w:t>
            </w:r>
            <w:r>
              <w:rPr>
                <w:rFonts w:hint="eastAsia" w:ascii="宋体" w:hAnsi="宋体"/>
              </w:rPr>
              <w:t>、异型增生和原位癌概念；肿瘤的形态；肿瘤的生长；肿瘤的扩散；肿瘤的一般命名原则；良、恶性肿瘤的区别；常见的癌前疾病</w:t>
            </w:r>
            <w:r>
              <w:rPr>
                <w:rFonts w:ascii="宋体" w:hAnsi="宋体"/>
              </w:rPr>
              <w:t>(</w:t>
            </w:r>
            <w:r>
              <w:rPr>
                <w:rFonts w:hint="eastAsia" w:ascii="宋体" w:hAnsi="宋体"/>
              </w:rPr>
              <w:t>病变</w:t>
            </w:r>
            <w:r>
              <w:rPr>
                <w:rFonts w:ascii="宋体" w:hAnsi="宋体"/>
              </w:rPr>
              <w:t>)</w:t>
            </w:r>
            <w:r>
              <w:rPr>
                <w:rFonts w:hint="eastAsia" w:ascii="宋体" w:hAnsi="宋体"/>
              </w:rPr>
              <w:t>。</w:t>
            </w:r>
          </w:p>
        </w:tc>
      </w:tr>
      <w:tr w14:paraId="2CC3D8B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5D92E8E">
            <w:pPr>
              <w:pStyle w:val="15"/>
              <w:widowControl w:val="0"/>
              <w:spacing w:line="320" w:lineRule="exact"/>
              <w:jc w:val="left"/>
              <w:rPr>
                <w:rFonts w:hint="eastAsia" w:ascii="宋体" w:hAnsi="宋体"/>
                <w:bCs/>
              </w:rPr>
            </w:pPr>
            <w:r>
              <w:rPr>
                <w:rFonts w:hint="eastAsia" w:ascii="宋体" w:hAnsi="宋体"/>
                <w:bCs/>
              </w:rPr>
              <w:t>第五章 心血管系统的常见疾病</w:t>
            </w:r>
          </w:p>
          <w:p w14:paraId="47DBBED9">
            <w:pPr>
              <w:pStyle w:val="15"/>
              <w:widowControl w:val="0"/>
              <w:spacing w:line="320" w:lineRule="exact"/>
              <w:jc w:val="left"/>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54356CB0">
            <w:pPr>
              <w:pStyle w:val="15"/>
              <w:widowControl w:val="0"/>
              <w:spacing w:line="320" w:lineRule="exact"/>
              <w:jc w:val="left"/>
              <w:rPr>
                <w:rFonts w:hint="eastAsia" w:ascii="宋体" w:hAnsi="宋体"/>
                <w:bCs/>
              </w:rPr>
            </w:pPr>
            <w:r>
              <w:rPr>
                <w:rFonts w:hint="eastAsia" w:ascii="宋体" w:hAnsi="宋体"/>
                <w:bCs/>
              </w:rPr>
              <w:t>①</w:t>
            </w:r>
            <w:r>
              <w:rPr>
                <w:rFonts w:hint="eastAsia" w:ascii="宋体" w:hAnsi="宋体"/>
              </w:rPr>
              <w:t>理解冠心病、心绞痛、心肌梗死和风湿小体的概念；动脉粥样硬化、心肌梗死、良性高血压和风湿病的病理变化或基本病理变化；良性高血压内脏病变期的病理临床联系。</w:t>
            </w:r>
          </w:p>
          <w:p w14:paraId="20977E52">
            <w:pPr>
              <w:pStyle w:val="15"/>
              <w:widowControl w:val="0"/>
              <w:spacing w:line="320" w:lineRule="exact"/>
              <w:jc w:val="left"/>
              <w:rPr>
                <w:rFonts w:hint="eastAsia" w:ascii="宋体" w:hAnsi="宋体"/>
              </w:rPr>
            </w:pPr>
            <w:r>
              <w:rPr>
                <w:rFonts w:hint="eastAsia" w:ascii="宋体" w:hAnsi="宋体"/>
                <w:bCs/>
              </w:rPr>
              <w:t>②</w:t>
            </w:r>
            <w:r>
              <w:rPr>
                <w:rFonts w:hint="eastAsia" w:ascii="宋体" w:hAnsi="宋体"/>
              </w:rPr>
              <w:t>理解动脉粥样硬化、良性高血压和风湿病的概念；心肌梗死的并发症；风湿性心脏病的病理变化。</w:t>
            </w:r>
          </w:p>
          <w:p w14:paraId="6ED5D638">
            <w:pPr>
              <w:widowControl w:val="0"/>
              <w:snapToGrid w:val="0"/>
              <w:spacing w:line="320" w:lineRule="exact"/>
              <w:rPr>
                <w:rFonts w:hint="eastAsia"/>
                <w:color w:val="000000"/>
                <w:sz w:val="21"/>
                <w:szCs w:val="21"/>
              </w:rPr>
            </w:pPr>
            <w:r>
              <w:rPr>
                <w:rFonts w:hint="eastAsia"/>
                <w:bCs/>
                <w:sz w:val="21"/>
                <w:szCs w:val="21"/>
              </w:rPr>
              <w:t>③</w:t>
            </w:r>
            <w:r>
              <w:rPr>
                <w:rFonts w:hint="eastAsia"/>
                <w:color w:val="000000"/>
                <w:sz w:val="21"/>
                <w:szCs w:val="21"/>
              </w:rPr>
              <w:t>知道动脉瘤、室壁瘤、心肌纤维化和冠状动脉性猝死的概念；动脉粥样硬化、良性高血压和风湿病的病因及发病机制。</w:t>
            </w:r>
          </w:p>
          <w:p w14:paraId="1C8818A8">
            <w:pPr>
              <w:widowControl w:val="0"/>
              <w:snapToGrid w:val="0"/>
              <w:spacing w:line="320" w:lineRule="exac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2C26B7AE">
            <w:pPr>
              <w:widowControl w:val="0"/>
              <w:snapToGrid w:val="0"/>
              <w:spacing w:line="320" w:lineRule="exact"/>
              <w:rPr>
                <w:rFonts w:hint="eastAsia"/>
                <w:bCs/>
                <w:color w:val="000000"/>
                <w:sz w:val="21"/>
                <w:szCs w:val="21"/>
              </w:rPr>
            </w:pPr>
            <w:r>
              <w:rPr>
                <w:rFonts w:hint="eastAsia"/>
                <w:bCs/>
                <w:color w:val="000000"/>
                <w:sz w:val="21"/>
                <w:szCs w:val="21"/>
              </w:rPr>
              <w:t>①</w:t>
            </w:r>
            <w:r>
              <w:rPr>
                <w:rFonts w:hint="eastAsia"/>
                <w:color w:val="000000"/>
                <w:sz w:val="21"/>
                <w:szCs w:val="21"/>
              </w:rPr>
              <w:t>运用动脉粥样硬化、心绞痛、心肌梗死、良性高血压和风湿病疾病病理知识分析、解释相关的临床表现问题。</w:t>
            </w:r>
          </w:p>
          <w:p w14:paraId="64614F19">
            <w:pPr>
              <w:widowControl w:val="0"/>
              <w:snapToGrid w:val="0"/>
              <w:spacing w:line="320" w:lineRule="exact"/>
              <w:rPr>
                <w:rFonts w:hint="eastAsia"/>
                <w:bCs/>
                <w:color w:val="000000"/>
                <w:sz w:val="21"/>
                <w:szCs w:val="21"/>
              </w:rPr>
            </w:pPr>
            <w:r>
              <w:rPr>
                <w:rFonts w:hint="eastAsia"/>
                <w:bCs/>
                <w:color w:val="000000"/>
                <w:sz w:val="21"/>
                <w:szCs w:val="21"/>
              </w:rPr>
              <w:t>②</w:t>
            </w:r>
            <w:r>
              <w:rPr>
                <w:rFonts w:hint="eastAsia"/>
                <w:color w:val="000000"/>
                <w:sz w:val="21"/>
                <w:szCs w:val="21"/>
              </w:rPr>
              <w:t>积极对待和正确认识心血管系统常见疾病</w:t>
            </w:r>
            <w:r>
              <w:rPr>
                <w:color w:val="000000"/>
                <w:sz w:val="21"/>
                <w:szCs w:val="21"/>
              </w:rPr>
              <w:t>,</w:t>
            </w:r>
            <w:r>
              <w:rPr>
                <w:rFonts w:hint="eastAsia"/>
                <w:color w:val="000000"/>
                <w:sz w:val="21"/>
                <w:szCs w:val="21"/>
              </w:rPr>
              <w:t>具有对动脉弱样硬化、心绞痛、心肌梗死、良性高血压和风湿病病理问题的预见意识和科学认知分析能力。</w:t>
            </w:r>
          </w:p>
          <w:p w14:paraId="04245777">
            <w:pPr>
              <w:widowControl w:val="0"/>
              <w:snapToGrid w:val="0"/>
              <w:spacing w:line="320" w:lineRule="exact"/>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C94831A">
            <w:pPr>
              <w:widowControl w:val="0"/>
              <w:snapToGrid w:val="0"/>
              <w:spacing w:line="320" w:lineRule="exact"/>
              <w:rPr>
                <w:rFonts w:hint="eastAsia"/>
                <w:color w:val="000000"/>
                <w:sz w:val="21"/>
                <w:szCs w:val="21"/>
              </w:rPr>
            </w:pPr>
            <w:r>
              <w:rPr>
                <w:rFonts w:hint="eastAsia"/>
                <w:color w:val="000000"/>
                <w:sz w:val="21"/>
                <w:szCs w:val="21"/>
              </w:rPr>
              <w:t>培养目标与规格：1(</w:t>
            </w:r>
            <w:r>
              <w:rPr>
                <w:color w:val="000000"/>
                <w:sz w:val="21"/>
                <w:szCs w:val="21"/>
              </w:rPr>
              <w:t>3)</w:t>
            </w:r>
            <w:r>
              <w:rPr>
                <w:rFonts w:hint="eastAsia"/>
                <w:color w:val="000000"/>
                <w:sz w:val="21"/>
                <w:szCs w:val="21"/>
              </w:rPr>
              <w:t>，2(</w:t>
            </w:r>
            <w:r>
              <w:rPr>
                <w:color w:val="000000"/>
                <w:sz w:val="21"/>
                <w:szCs w:val="21"/>
              </w:rPr>
              <w:t>3)(7),3(6)</w:t>
            </w:r>
          </w:p>
          <w:p w14:paraId="79D11854">
            <w:pPr>
              <w:pStyle w:val="15"/>
              <w:widowControl w:val="0"/>
              <w:spacing w:line="320" w:lineRule="exact"/>
              <w:jc w:val="left"/>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659F566F">
            <w:pPr>
              <w:pStyle w:val="15"/>
              <w:widowControl w:val="0"/>
              <w:spacing w:line="320" w:lineRule="exact"/>
              <w:jc w:val="left"/>
              <w:rPr>
                <w:rFonts w:hint="eastAsia" w:ascii="宋体" w:hAnsi="宋体"/>
                <w:bCs/>
              </w:rPr>
            </w:pPr>
            <w:r>
              <w:rPr>
                <w:rFonts w:hint="eastAsia" w:ascii="宋体" w:hAnsi="宋体"/>
              </w:rPr>
              <w:t>冠心病、心绞痛、心肌梗死和风湿小体的概念；动脉粥样硬化、心肌梗死、良性高血压和风湿病的病理变化或基本病理变化；良性高血压内脏病变期的病理临床联系。</w:t>
            </w:r>
          </w:p>
        </w:tc>
      </w:tr>
      <w:tr w14:paraId="050006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05E7A29">
            <w:pPr>
              <w:widowControl w:val="0"/>
              <w:snapToGrid w:val="0"/>
              <w:spacing w:line="320" w:lineRule="exact"/>
              <w:rPr>
                <w:rFonts w:hint="eastAsia"/>
                <w:color w:val="000000"/>
                <w:sz w:val="21"/>
                <w:szCs w:val="21"/>
              </w:rPr>
            </w:pPr>
            <w:r>
              <w:rPr>
                <w:rFonts w:hint="eastAsia"/>
                <w:bCs/>
                <w:sz w:val="21"/>
                <w:szCs w:val="21"/>
              </w:rPr>
              <w:t xml:space="preserve">第六章 </w:t>
            </w:r>
            <w:r>
              <w:rPr>
                <w:rFonts w:hint="eastAsia"/>
                <w:color w:val="000000"/>
                <w:sz w:val="21"/>
                <w:szCs w:val="21"/>
              </w:rPr>
              <w:t>呼吸系统的常见疾病</w:t>
            </w:r>
          </w:p>
          <w:p w14:paraId="73817D3D">
            <w:pPr>
              <w:widowControl w:val="0"/>
              <w:snapToGrid w:val="0"/>
              <w:spacing w:line="320" w:lineRule="exac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49AE8139">
            <w:pPr>
              <w:widowControl w:val="0"/>
              <w:spacing w:line="320" w:lineRule="exact"/>
              <w:rPr>
                <w:rFonts w:hint="eastAsia"/>
                <w:color w:val="000000"/>
                <w:sz w:val="21"/>
                <w:szCs w:val="21"/>
              </w:rPr>
            </w:pPr>
            <w:r>
              <w:rPr>
                <w:rFonts w:hint="eastAsia"/>
                <w:bCs/>
                <w:color w:val="000000"/>
                <w:sz w:val="21"/>
                <w:szCs w:val="21"/>
              </w:rPr>
              <w:t>①</w:t>
            </w:r>
            <w:r>
              <w:rPr>
                <w:rFonts w:hint="eastAsia"/>
                <w:color w:val="000000"/>
                <w:sz w:val="21"/>
                <w:szCs w:val="21"/>
              </w:rPr>
              <w:t>理解大叶性肺炎和小叶性肺炎概念；大叶性肺炎、小叶性肺炎病理交化及临床病理联系。</w:t>
            </w:r>
          </w:p>
          <w:p w14:paraId="46A04F7C">
            <w:pPr>
              <w:widowControl w:val="0"/>
              <w:spacing w:line="320" w:lineRule="exact"/>
              <w:rPr>
                <w:rFonts w:hint="eastAsia"/>
                <w:color w:val="000000"/>
                <w:sz w:val="21"/>
                <w:szCs w:val="21"/>
              </w:rPr>
            </w:pPr>
            <w:r>
              <w:rPr>
                <w:rFonts w:hint="eastAsia"/>
                <w:bCs/>
                <w:color w:val="000000"/>
                <w:sz w:val="21"/>
                <w:szCs w:val="21"/>
              </w:rPr>
              <w:t>②</w:t>
            </w:r>
            <w:r>
              <w:rPr>
                <w:rFonts w:hint="eastAsia"/>
                <w:color w:val="000000"/>
                <w:sz w:val="21"/>
                <w:szCs w:val="21"/>
              </w:rPr>
              <w:t>理解病毒性肺炎、慢性阻塞性肺疾病、慢性支气管炎、肺气肿、慢性肺源性心脏病概念；大叶性肺炎病因及发病机制、结局及并发症；慢性支气管炎、肺气肿、慢性肺源性心脏病病因及发病机制、病理变化及临床病理联系性、结局及并发症。</w:t>
            </w:r>
          </w:p>
          <w:p w14:paraId="5CA94F75">
            <w:pPr>
              <w:widowControl w:val="0"/>
              <w:snapToGrid w:val="0"/>
              <w:spacing w:line="320" w:lineRule="exac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665A290C">
            <w:pPr>
              <w:widowControl w:val="0"/>
              <w:spacing w:line="320" w:lineRule="exact"/>
              <w:rPr>
                <w:rFonts w:hint="eastAsia"/>
                <w:color w:val="000000"/>
                <w:sz w:val="21"/>
                <w:szCs w:val="21"/>
              </w:rPr>
            </w:pPr>
            <w:r>
              <w:rPr>
                <w:rFonts w:hint="eastAsia"/>
                <w:bCs/>
                <w:color w:val="000000"/>
                <w:sz w:val="21"/>
                <w:szCs w:val="21"/>
              </w:rPr>
              <w:t>①运用</w:t>
            </w:r>
            <w:r>
              <w:rPr>
                <w:rFonts w:hint="eastAsia"/>
                <w:color w:val="000000"/>
                <w:sz w:val="21"/>
                <w:szCs w:val="21"/>
              </w:rPr>
              <w:t>肺肉质变、病毒性肺炎概念；病毒性肺炎病因及发病机制、病理变化及临床病理临床联系性、结局。</w:t>
            </w:r>
          </w:p>
          <w:p w14:paraId="2BE5A0A1">
            <w:pPr>
              <w:widowControl w:val="0"/>
              <w:snapToGrid w:val="0"/>
              <w:spacing w:line="320" w:lineRule="exact"/>
              <w:jc w:val="both"/>
              <w:rPr>
                <w:rFonts w:hint="eastAsia"/>
                <w:color w:val="000000"/>
                <w:sz w:val="21"/>
                <w:szCs w:val="21"/>
              </w:rPr>
            </w:pPr>
            <w:r>
              <w:rPr>
                <w:rFonts w:hint="eastAsia"/>
                <w:bCs/>
                <w:color w:val="000000"/>
                <w:sz w:val="21"/>
                <w:szCs w:val="21"/>
              </w:rPr>
              <w:t>②</w:t>
            </w:r>
            <w:r>
              <w:rPr>
                <w:rFonts w:hint="eastAsia"/>
                <w:color w:val="000000"/>
                <w:sz w:val="21"/>
                <w:szCs w:val="21"/>
              </w:rPr>
              <w:t>运用大叶性肺炎、小叶性肺炎、慢性支气管炎、肺气肿和慢性肺源性心脏病疾病病理知识分析、解释相关的临床表现问题。</w:t>
            </w:r>
          </w:p>
          <w:p w14:paraId="23501037">
            <w:pPr>
              <w:widowControl w:val="0"/>
              <w:snapToGrid w:val="0"/>
              <w:spacing w:line="320" w:lineRule="exact"/>
              <w:jc w:val="both"/>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487670CF">
            <w:pPr>
              <w:widowControl w:val="0"/>
              <w:snapToGrid w:val="0"/>
              <w:spacing w:line="320" w:lineRule="exact"/>
              <w:rPr>
                <w:rFonts w:hint="eastAsia"/>
                <w:color w:val="000000"/>
                <w:sz w:val="21"/>
                <w:szCs w:val="21"/>
              </w:rPr>
            </w:pPr>
            <w:r>
              <w:rPr>
                <w:rFonts w:hint="eastAsia"/>
                <w:color w:val="000000"/>
                <w:sz w:val="21"/>
                <w:szCs w:val="21"/>
              </w:rPr>
              <w:t>培养目标与规格：1(</w:t>
            </w:r>
            <w:r>
              <w:rPr>
                <w:color w:val="000000"/>
                <w:sz w:val="21"/>
                <w:szCs w:val="21"/>
              </w:rPr>
              <w:t>3)</w:t>
            </w:r>
            <w:r>
              <w:rPr>
                <w:rFonts w:hint="eastAsia"/>
                <w:color w:val="000000"/>
                <w:sz w:val="21"/>
                <w:szCs w:val="21"/>
              </w:rPr>
              <w:t>，2(</w:t>
            </w:r>
            <w:r>
              <w:rPr>
                <w:color w:val="000000"/>
                <w:sz w:val="21"/>
                <w:szCs w:val="21"/>
              </w:rPr>
              <w:t>3)(7),3(6)</w:t>
            </w:r>
          </w:p>
          <w:p w14:paraId="54B36596">
            <w:pPr>
              <w:pStyle w:val="15"/>
              <w:widowControl w:val="0"/>
              <w:spacing w:line="320" w:lineRule="exact"/>
              <w:jc w:val="left"/>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014D13DF">
            <w:pPr>
              <w:pStyle w:val="15"/>
              <w:widowControl w:val="0"/>
              <w:spacing w:line="320" w:lineRule="exact"/>
              <w:jc w:val="left"/>
              <w:rPr>
                <w:rFonts w:hint="eastAsia" w:ascii="宋体" w:hAnsi="宋体"/>
                <w:bCs/>
              </w:rPr>
            </w:pPr>
            <w:r>
              <w:rPr>
                <w:rFonts w:hint="eastAsia" w:ascii="宋体" w:hAnsi="宋体"/>
              </w:rPr>
              <w:t>大叶性肺炎和小叶性肺炎概念；大叶性肺炎、小叶性肺炎病理交化及临床病理联系。</w:t>
            </w:r>
          </w:p>
        </w:tc>
      </w:tr>
      <w:tr w14:paraId="0509BD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D04BC66">
            <w:pPr>
              <w:widowControl w:val="0"/>
              <w:snapToGrid w:val="0"/>
              <w:spacing w:line="320" w:lineRule="exact"/>
              <w:rPr>
                <w:rFonts w:hint="eastAsia"/>
                <w:color w:val="000000"/>
                <w:sz w:val="21"/>
                <w:szCs w:val="21"/>
              </w:rPr>
            </w:pPr>
            <w:r>
              <w:rPr>
                <w:rFonts w:hint="eastAsia"/>
                <w:bCs/>
                <w:sz w:val="21"/>
                <w:szCs w:val="21"/>
              </w:rPr>
              <w:t xml:space="preserve">第七章 </w:t>
            </w:r>
            <w:r>
              <w:rPr>
                <w:rFonts w:hint="eastAsia"/>
                <w:color w:val="000000"/>
                <w:sz w:val="21"/>
                <w:szCs w:val="21"/>
              </w:rPr>
              <w:t>消化系统的常见疾病</w:t>
            </w:r>
          </w:p>
          <w:p w14:paraId="69BC9117">
            <w:pPr>
              <w:widowControl w:val="0"/>
              <w:snapToGrid w:val="0"/>
              <w:spacing w:line="320" w:lineRule="exac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02171FDD">
            <w:pPr>
              <w:widowControl w:val="0"/>
              <w:snapToGrid w:val="0"/>
              <w:spacing w:line="320" w:lineRule="exact"/>
              <w:rPr>
                <w:rFonts w:hint="eastAsia"/>
                <w:color w:val="000000"/>
                <w:sz w:val="21"/>
                <w:szCs w:val="21"/>
              </w:rPr>
            </w:pPr>
            <w:r>
              <w:rPr>
                <w:rFonts w:hint="eastAsia"/>
                <w:bCs/>
                <w:color w:val="000000"/>
                <w:sz w:val="21"/>
                <w:szCs w:val="21"/>
              </w:rPr>
              <w:t>①</w:t>
            </w:r>
            <w:r>
              <w:rPr>
                <w:rFonts w:hint="eastAsia"/>
                <w:color w:val="000000"/>
                <w:sz w:val="21"/>
                <w:szCs w:val="21"/>
              </w:rPr>
              <w:t>理解消化性溃疡病、病毒性肝炎、肝硬化和门脉性肝硬化概念及基本病理变化；消化性溃疡病、门脉性肝硬化病理临床联系；消化性溃疡病常见并发症。</w:t>
            </w:r>
          </w:p>
          <w:p w14:paraId="4C2E021A">
            <w:pPr>
              <w:widowControl w:val="0"/>
              <w:snapToGrid w:val="0"/>
              <w:spacing w:line="320" w:lineRule="exact"/>
              <w:rPr>
                <w:rFonts w:hint="eastAsia"/>
                <w:color w:val="000000"/>
                <w:sz w:val="21"/>
                <w:szCs w:val="21"/>
              </w:rPr>
            </w:pPr>
            <w:r>
              <w:rPr>
                <w:rFonts w:hint="eastAsia"/>
                <w:bCs/>
                <w:color w:val="000000"/>
                <w:sz w:val="21"/>
                <w:szCs w:val="21"/>
              </w:rPr>
              <w:t>②</w:t>
            </w:r>
            <w:r>
              <w:rPr>
                <w:rFonts w:hint="eastAsia"/>
                <w:color w:val="000000"/>
                <w:sz w:val="21"/>
                <w:szCs w:val="21"/>
              </w:rPr>
              <w:t>理解假小叶概念；消化性溃疡病病因及发病机制；病毒性肝炎传播途径；门脉性肝硬化病因。</w:t>
            </w:r>
          </w:p>
          <w:p w14:paraId="1C138EB8">
            <w:pPr>
              <w:widowControl w:val="0"/>
              <w:snapToGrid w:val="0"/>
              <w:spacing w:line="320" w:lineRule="exact"/>
              <w:rPr>
                <w:rFonts w:hint="eastAsia"/>
                <w:bCs/>
                <w:color w:val="000000"/>
                <w:sz w:val="21"/>
                <w:szCs w:val="21"/>
              </w:rPr>
            </w:pPr>
            <w:r>
              <w:rPr>
                <w:rFonts w:hint="eastAsia"/>
                <w:bCs/>
                <w:color w:val="000000"/>
                <w:sz w:val="21"/>
                <w:szCs w:val="21"/>
              </w:rPr>
              <w:t>③</w:t>
            </w:r>
            <w:r>
              <w:rPr>
                <w:rFonts w:hint="eastAsia"/>
                <w:color w:val="000000"/>
                <w:sz w:val="21"/>
                <w:szCs w:val="21"/>
              </w:rPr>
              <w:t>知道病毒性肝炎病因及发病机制。</w:t>
            </w:r>
          </w:p>
          <w:p w14:paraId="3556E935">
            <w:pPr>
              <w:widowControl w:val="0"/>
              <w:snapToGrid w:val="0"/>
              <w:spacing w:line="320" w:lineRule="exac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623D7137">
            <w:pPr>
              <w:widowControl w:val="0"/>
              <w:snapToGrid w:val="0"/>
              <w:spacing w:line="320" w:lineRule="exact"/>
              <w:rPr>
                <w:rFonts w:hint="eastAsia"/>
                <w:bCs/>
                <w:color w:val="000000"/>
                <w:sz w:val="21"/>
                <w:szCs w:val="21"/>
              </w:rPr>
            </w:pPr>
            <w:r>
              <w:rPr>
                <w:rFonts w:hint="eastAsia"/>
                <w:bCs/>
                <w:color w:val="000000"/>
                <w:sz w:val="21"/>
                <w:szCs w:val="21"/>
              </w:rPr>
              <w:t>①</w:t>
            </w:r>
            <w:r>
              <w:rPr>
                <w:rFonts w:hint="eastAsia"/>
                <w:color w:val="000000"/>
                <w:sz w:val="21"/>
                <w:szCs w:val="21"/>
              </w:rPr>
              <w:t>运用消化性溃疡病、病毒性肝炎和门脉性肝硬化疾病病理知识分析、解释相关的临床表现问题。</w:t>
            </w:r>
          </w:p>
          <w:p w14:paraId="6A2D3873">
            <w:pPr>
              <w:widowControl w:val="0"/>
              <w:snapToGrid w:val="0"/>
              <w:spacing w:line="320" w:lineRule="exact"/>
              <w:rPr>
                <w:rFonts w:hint="eastAsia"/>
                <w:color w:val="000000"/>
                <w:sz w:val="21"/>
                <w:szCs w:val="21"/>
              </w:rPr>
            </w:pPr>
            <w:r>
              <w:rPr>
                <w:rFonts w:hint="eastAsia"/>
                <w:bCs/>
                <w:color w:val="000000"/>
                <w:sz w:val="21"/>
                <w:szCs w:val="21"/>
              </w:rPr>
              <w:t>②</w:t>
            </w:r>
            <w:r>
              <w:rPr>
                <w:rFonts w:hint="eastAsia"/>
                <w:color w:val="000000"/>
                <w:sz w:val="21"/>
                <w:szCs w:val="21"/>
              </w:rPr>
              <w:t>积极对待和正确认识消化系统常见疾病，具有对消化性溃疡病、病毒性肝炎和门脉性肝硬化病理问题的预见意识和科学认知分析能力。</w:t>
            </w:r>
          </w:p>
          <w:p w14:paraId="63DB7C13">
            <w:pPr>
              <w:widowControl w:val="0"/>
              <w:snapToGrid w:val="0"/>
              <w:spacing w:line="320" w:lineRule="exact"/>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2D2926A">
            <w:pPr>
              <w:widowControl w:val="0"/>
              <w:snapToGrid w:val="0"/>
              <w:spacing w:line="320" w:lineRule="exact"/>
              <w:rPr>
                <w:rFonts w:hint="eastAsia"/>
                <w:color w:val="000000"/>
                <w:sz w:val="21"/>
                <w:szCs w:val="21"/>
              </w:rPr>
            </w:pPr>
            <w:r>
              <w:rPr>
                <w:rFonts w:hint="eastAsia"/>
                <w:color w:val="000000"/>
                <w:sz w:val="21"/>
                <w:szCs w:val="21"/>
              </w:rPr>
              <w:t>培养目标与规格：1(</w:t>
            </w:r>
            <w:r>
              <w:rPr>
                <w:color w:val="000000"/>
                <w:sz w:val="21"/>
                <w:szCs w:val="21"/>
              </w:rPr>
              <w:t>3)</w:t>
            </w:r>
            <w:r>
              <w:rPr>
                <w:rFonts w:hint="eastAsia"/>
                <w:color w:val="000000"/>
                <w:sz w:val="21"/>
                <w:szCs w:val="21"/>
              </w:rPr>
              <w:t>，2(</w:t>
            </w:r>
            <w:r>
              <w:rPr>
                <w:color w:val="000000"/>
                <w:sz w:val="21"/>
                <w:szCs w:val="21"/>
              </w:rPr>
              <w:t>3)(7),3(6)</w:t>
            </w:r>
          </w:p>
          <w:p w14:paraId="74DC46F8">
            <w:pPr>
              <w:widowControl w:val="0"/>
              <w:snapToGrid w:val="0"/>
              <w:spacing w:line="320" w:lineRule="exact"/>
              <w:rPr>
                <w:rFonts w:hint="eastAsia"/>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419B7CA6">
            <w:pPr>
              <w:widowControl w:val="0"/>
              <w:snapToGrid w:val="0"/>
              <w:spacing w:line="320" w:lineRule="exact"/>
              <w:rPr>
                <w:rFonts w:hint="eastAsia"/>
                <w:sz w:val="21"/>
                <w:szCs w:val="21"/>
              </w:rPr>
            </w:pPr>
            <w:r>
              <w:rPr>
                <w:rFonts w:hint="eastAsia"/>
                <w:color w:val="000000"/>
                <w:sz w:val="21"/>
                <w:szCs w:val="21"/>
              </w:rPr>
              <w:t>消化性溃疡病、病毒性肝炎、肝硬化和门脉性肝硬化概念及基本病理变化；消化性溃疡病、门脉性肝硬化病理临床联系；消化性溃疡病常见并发症。</w:t>
            </w:r>
          </w:p>
        </w:tc>
      </w:tr>
      <w:tr w14:paraId="5F3E09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73" w:hRule="atLeast"/>
        </w:trPr>
        <w:tc>
          <w:tcPr>
            <w:tcW w:w="8296" w:type="dxa"/>
          </w:tcPr>
          <w:p w14:paraId="61AA5AA1">
            <w:pPr>
              <w:widowControl w:val="0"/>
              <w:snapToGrid w:val="0"/>
              <w:spacing w:line="320" w:lineRule="exact"/>
              <w:rPr>
                <w:rFonts w:hint="eastAsia"/>
                <w:color w:val="000000"/>
                <w:sz w:val="21"/>
                <w:szCs w:val="21"/>
              </w:rPr>
            </w:pPr>
            <w:r>
              <w:rPr>
                <w:rFonts w:hint="eastAsia"/>
                <w:bCs/>
                <w:sz w:val="21"/>
                <w:szCs w:val="21"/>
              </w:rPr>
              <w:t xml:space="preserve">第八章 </w:t>
            </w:r>
            <w:r>
              <w:rPr>
                <w:rFonts w:hint="eastAsia"/>
                <w:color w:val="000000"/>
                <w:sz w:val="21"/>
                <w:szCs w:val="21"/>
              </w:rPr>
              <w:t>水、电解质代谢紊乱</w:t>
            </w:r>
          </w:p>
          <w:p w14:paraId="5F63CE0B">
            <w:pPr>
              <w:widowControl w:val="0"/>
              <w:snapToGrid w:val="0"/>
              <w:spacing w:line="320" w:lineRule="exac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12E469FE">
            <w:pPr>
              <w:widowControl w:val="0"/>
              <w:spacing w:line="320" w:lineRule="exact"/>
              <w:rPr>
                <w:rFonts w:hint="eastAsia"/>
                <w:color w:val="000000"/>
                <w:sz w:val="21"/>
                <w:szCs w:val="21"/>
              </w:rPr>
            </w:pPr>
            <w:r>
              <w:rPr>
                <w:rFonts w:hint="eastAsia"/>
                <w:bCs/>
                <w:color w:val="000000"/>
                <w:sz w:val="21"/>
                <w:szCs w:val="21"/>
              </w:rPr>
              <w:t>①</w:t>
            </w:r>
            <w:r>
              <w:rPr>
                <w:rFonts w:hint="eastAsia"/>
                <w:color w:val="000000"/>
                <w:sz w:val="21"/>
                <w:szCs w:val="21"/>
              </w:rPr>
              <w:t>理解脱水、水肿、低钾血症和高钾血症概念。</w:t>
            </w:r>
          </w:p>
          <w:p w14:paraId="5FC301A0">
            <w:pPr>
              <w:widowControl w:val="0"/>
              <w:snapToGrid w:val="0"/>
              <w:spacing w:line="320" w:lineRule="exact"/>
              <w:rPr>
                <w:rFonts w:hint="eastAsia"/>
                <w:color w:val="000000"/>
                <w:sz w:val="21"/>
                <w:szCs w:val="21"/>
              </w:rPr>
            </w:pPr>
            <w:r>
              <w:rPr>
                <w:rFonts w:hint="eastAsia"/>
                <w:bCs/>
                <w:color w:val="000000"/>
                <w:sz w:val="21"/>
                <w:szCs w:val="21"/>
              </w:rPr>
              <w:t>②</w:t>
            </w:r>
            <w:r>
              <w:rPr>
                <w:rFonts w:hint="eastAsia"/>
                <w:color w:val="000000"/>
                <w:sz w:val="21"/>
                <w:szCs w:val="21"/>
              </w:rPr>
              <w:t>理解各型脱水临床表现；水肿发生原因及基本机制；低钾血症和高钾血症对机体的影响。</w:t>
            </w:r>
            <w:r>
              <w:rPr>
                <w:rFonts w:hint="eastAsia"/>
                <w:bCs/>
                <w:color w:val="000000"/>
                <w:sz w:val="21"/>
                <w:szCs w:val="21"/>
              </w:rPr>
              <w:t>③</w:t>
            </w:r>
            <w:r>
              <w:rPr>
                <w:rFonts w:hint="eastAsia"/>
                <w:color w:val="000000"/>
                <w:sz w:val="21"/>
                <w:szCs w:val="21"/>
              </w:rPr>
              <w:t>知道各型脱水、低钾血症和高钾血症原因及其防治病理生理学基础。</w:t>
            </w:r>
          </w:p>
          <w:p w14:paraId="5722347C">
            <w:pPr>
              <w:widowControl w:val="0"/>
              <w:snapToGrid w:val="0"/>
              <w:spacing w:line="320" w:lineRule="exac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6445F53">
            <w:pPr>
              <w:widowControl w:val="0"/>
              <w:spacing w:line="320" w:lineRule="exact"/>
              <w:rPr>
                <w:rFonts w:hint="eastAsia"/>
                <w:color w:val="000000"/>
                <w:sz w:val="21"/>
                <w:szCs w:val="21"/>
              </w:rPr>
            </w:pPr>
            <w:r>
              <w:rPr>
                <w:rFonts w:hint="eastAsia"/>
                <w:bCs/>
                <w:color w:val="000000"/>
                <w:sz w:val="21"/>
                <w:szCs w:val="21"/>
              </w:rPr>
              <w:t>①运用</w:t>
            </w:r>
            <w:r>
              <w:rPr>
                <w:rFonts w:hint="eastAsia"/>
                <w:color w:val="000000"/>
                <w:sz w:val="21"/>
                <w:szCs w:val="21"/>
              </w:rPr>
              <w:t>高渗性脱水、低渗性脱水、等渗性脱水、水肿、低钾血症和高钾血症病理生理学知识分析、判断水电解质代谢紊乱类型和分析、解释相关的临床表现问题。</w:t>
            </w:r>
          </w:p>
          <w:p w14:paraId="1809CAAC">
            <w:pPr>
              <w:widowControl w:val="0"/>
              <w:snapToGrid w:val="0"/>
              <w:spacing w:line="320" w:lineRule="exact"/>
              <w:rPr>
                <w:rFonts w:hint="eastAsia"/>
                <w:color w:val="000000"/>
                <w:sz w:val="21"/>
                <w:szCs w:val="21"/>
              </w:rPr>
            </w:pPr>
            <w:r>
              <w:rPr>
                <w:rFonts w:hint="eastAsia"/>
                <w:bCs/>
                <w:color w:val="000000"/>
                <w:sz w:val="21"/>
                <w:szCs w:val="21"/>
              </w:rPr>
              <w:t>②</w:t>
            </w:r>
            <w:r>
              <w:rPr>
                <w:rFonts w:hint="eastAsia"/>
                <w:color w:val="000000"/>
                <w:sz w:val="21"/>
                <w:szCs w:val="21"/>
              </w:rPr>
              <w:t>积极对待和正确认识水、电解质在生命活动中的重要性和机体水、电解质代谢紊乱，具有对高渗性脱水、低渗性脱水、等渗性脱水、水肿、低钾血症和高钾血症病理过程的预见意识和科学认知分析能力。</w:t>
            </w:r>
          </w:p>
          <w:p w14:paraId="4AB0E1F4">
            <w:pPr>
              <w:widowControl w:val="0"/>
              <w:snapToGrid w:val="0"/>
              <w:spacing w:line="320" w:lineRule="exact"/>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63479E7C">
            <w:pPr>
              <w:widowControl w:val="0"/>
              <w:snapToGrid w:val="0"/>
              <w:spacing w:line="320" w:lineRule="exact"/>
              <w:rPr>
                <w:rFonts w:hint="eastAsia"/>
                <w:color w:val="000000"/>
                <w:sz w:val="21"/>
                <w:szCs w:val="21"/>
              </w:rPr>
            </w:pPr>
            <w:r>
              <w:rPr>
                <w:rFonts w:hint="eastAsia"/>
                <w:color w:val="000000"/>
                <w:sz w:val="21"/>
                <w:szCs w:val="21"/>
              </w:rPr>
              <w:t>培养目标与规格：1(</w:t>
            </w:r>
            <w:r>
              <w:rPr>
                <w:color w:val="000000"/>
                <w:sz w:val="21"/>
                <w:szCs w:val="21"/>
              </w:rPr>
              <w:t>3)</w:t>
            </w:r>
            <w:r>
              <w:rPr>
                <w:rFonts w:hint="eastAsia"/>
                <w:color w:val="000000"/>
                <w:sz w:val="21"/>
                <w:szCs w:val="21"/>
              </w:rPr>
              <w:t>，2(</w:t>
            </w:r>
            <w:r>
              <w:rPr>
                <w:color w:val="000000"/>
                <w:sz w:val="21"/>
                <w:szCs w:val="21"/>
              </w:rPr>
              <w:t>3)(7),3(6)</w:t>
            </w:r>
          </w:p>
          <w:p w14:paraId="6DA0F646">
            <w:pPr>
              <w:widowControl w:val="0"/>
              <w:snapToGrid w:val="0"/>
              <w:spacing w:line="320" w:lineRule="exact"/>
              <w:rPr>
                <w:rFonts w:hint="eastAsia"/>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5314C7B3">
            <w:pPr>
              <w:widowControl w:val="0"/>
              <w:snapToGrid w:val="0"/>
              <w:spacing w:line="320" w:lineRule="exact"/>
              <w:rPr>
                <w:rFonts w:hint="eastAsia"/>
                <w:sz w:val="21"/>
                <w:szCs w:val="21"/>
              </w:rPr>
            </w:pPr>
            <w:r>
              <w:rPr>
                <w:rFonts w:hint="eastAsia"/>
                <w:color w:val="000000"/>
                <w:sz w:val="21"/>
                <w:szCs w:val="21"/>
              </w:rPr>
              <w:t>脱水、水肿、低钾血症和高钾血症概念。</w:t>
            </w:r>
          </w:p>
        </w:tc>
      </w:tr>
      <w:tr w14:paraId="60AD29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EDE8E2B">
            <w:pPr>
              <w:widowControl w:val="0"/>
              <w:snapToGrid w:val="0"/>
              <w:spacing w:line="320" w:lineRule="exact"/>
              <w:jc w:val="both"/>
              <w:rPr>
                <w:rFonts w:hint="eastAsia"/>
                <w:bCs/>
                <w:color w:val="000000"/>
                <w:sz w:val="21"/>
                <w:szCs w:val="21"/>
              </w:rPr>
            </w:pPr>
            <w:r>
              <w:rPr>
                <w:rFonts w:hint="eastAsia"/>
                <w:bCs/>
                <w:color w:val="000000"/>
                <w:sz w:val="21"/>
                <w:szCs w:val="21"/>
              </w:rPr>
              <w:t xml:space="preserve">第九章 </w:t>
            </w:r>
            <w:r>
              <w:rPr>
                <w:rFonts w:hint="eastAsia"/>
                <w:color w:val="000000"/>
                <w:sz w:val="21"/>
                <w:szCs w:val="21"/>
              </w:rPr>
              <w:t>发热</w:t>
            </w:r>
          </w:p>
          <w:p w14:paraId="0B00B9F0">
            <w:pPr>
              <w:widowControl w:val="0"/>
              <w:snapToGrid w:val="0"/>
              <w:spacing w:line="320" w:lineRule="exac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140FC7DB">
            <w:pPr>
              <w:spacing w:line="320" w:lineRule="exact"/>
              <w:rPr>
                <w:rFonts w:hint="eastAsia"/>
                <w:color w:val="000000"/>
                <w:sz w:val="21"/>
                <w:szCs w:val="21"/>
              </w:rPr>
            </w:pPr>
            <w:r>
              <w:rPr>
                <w:rFonts w:hint="eastAsia"/>
                <w:color w:val="000000"/>
                <w:sz w:val="21"/>
                <w:szCs w:val="21"/>
              </w:rPr>
              <w:t>①理解发热概念；分期和热代谢特点。</w:t>
            </w:r>
          </w:p>
          <w:p w14:paraId="3C72D79A">
            <w:pPr>
              <w:spacing w:line="320" w:lineRule="exact"/>
              <w:rPr>
                <w:rFonts w:hint="eastAsia"/>
                <w:color w:val="000000"/>
                <w:sz w:val="21"/>
                <w:szCs w:val="21"/>
              </w:rPr>
            </w:pPr>
            <w:r>
              <w:rPr>
                <w:rFonts w:hint="eastAsia"/>
                <w:color w:val="000000"/>
                <w:sz w:val="21"/>
                <w:szCs w:val="21"/>
              </w:rPr>
              <w:t>②知道发热原因、分型。</w:t>
            </w:r>
          </w:p>
          <w:p w14:paraId="5C01FF6C">
            <w:pPr>
              <w:widowControl w:val="0"/>
              <w:snapToGrid w:val="0"/>
              <w:spacing w:line="320" w:lineRule="exact"/>
              <w:rPr>
                <w:rFonts w:hint="eastAsia"/>
                <w:color w:val="000000"/>
                <w:sz w:val="21"/>
                <w:szCs w:val="21"/>
              </w:rPr>
            </w:pPr>
            <w:r>
              <w:rPr>
                <w:rFonts w:hint="eastAsia"/>
                <w:color w:val="000000"/>
                <w:sz w:val="21"/>
                <w:szCs w:val="21"/>
              </w:rPr>
              <w:t>③理解发热发生机制、机体代谢和功能变化和防治病理生理基础。</w:t>
            </w:r>
          </w:p>
          <w:p w14:paraId="011F04E6">
            <w:pPr>
              <w:widowControl w:val="0"/>
              <w:snapToGrid w:val="0"/>
              <w:spacing w:line="320" w:lineRule="exac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B32B2B2">
            <w:pPr>
              <w:spacing w:line="320" w:lineRule="exact"/>
              <w:rPr>
                <w:rFonts w:hint="eastAsia"/>
                <w:color w:val="000000"/>
                <w:sz w:val="21"/>
                <w:szCs w:val="21"/>
              </w:rPr>
            </w:pPr>
            <w:r>
              <w:rPr>
                <w:rFonts w:hint="eastAsia"/>
                <w:color w:val="000000"/>
                <w:sz w:val="21"/>
                <w:szCs w:val="21"/>
              </w:rPr>
              <w:t>①运用发热病理生理知识分析、解释相关的临床表现问题。</w:t>
            </w:r>
          </w:p>
          <w:p w14:paraId="05063BD9">
            <w:pPr>
              <w:widowControl w:val="0"/>
              <w:snapToGrid w:val="0"/>
              <w:spacing w:line="320" w:lineRule="exact"/>
              <w:rPr>
                <w:rFonts w:hint="eastAsia"/>
                <w:bCs/>
                <w:color w:val="000000"/>
                <w:sz w:val="21"/>
                <w:szCs w:val="21"/>
              </w:rPr>
            </w:pPr>
            <w:r>
              <w:rPr>
                <w:rFonts w:hint="eastAsia"/>
                <w:color w:val="000000"/>
                <w:sz w:val="21"/>
                <w:szCs w:val="21"/>
              </w:rPr>
              <w:t>②积极对待和正确认识机体发热，具有对发热病理过程的预见意识和科学认知分析能力。</w:t>
            </w:r>
          </w:p>
          <w:p w14:paraId="797D3610">
            <w:pPr>
              <w:widowControl w:val="0"/>
              <w:snapToGrid w:val="0"/>
              <w:spacing w:line="320" w:lineRule="exact"/>
              <w:jc w:val="both"/>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4D97DACF">
            <w:pPr>
              <w:widowControl w:val="0"/>
              <w:snapToGrid w:val="0"/>
              <w:spacing w:line="320" w:lineRule="exact"/>
              <w:rPr>
                <w:rFonts w:hint="eastAsia"/>
                <w:color w:val="000000"/>
                <w:sz w:val="21"/>
                <w:szCs w:val="21"/>
              </w:rPr>
            </w:pPr>
            <w:r>
              <w:rPr>
                <w:rFonts w:hint="eastAsia"/>
                <w:color w:val="000000"/>
                <w:sz w:val="21"/>
                <w:szCs w:val="21"/>
              </w:rPr>
              <w:t>培养目标与规格：1(</w:t>
            </w:r>
            <w:r>
              <w:rPr>
                <w:color w:val="000000"/>
                <w:sz w:val="21"/>
                <w:szCs w:val="21"/>
              </w:rPr>
              <w:t>3)</w:t>
            </w:r>
            <w:r>
              <w:rPr>
                <w:rFonts w:hint="eastAsia"/>
                <w:color w:val="000000"/>
                <w:sz w:val="21"/>
                <w:szCs w:val="21"/>
              </w:rPr>
              <w:t>，2(</w:t>
            </w:r>
            <w:r>
              <w:rPr>
                <w:color w:val="000000"/>
                <w:sz w:val="21"/>
                <w:szCs w:val="21"/>
              </w:rPr>
              <w:t>3)(7),3(6)</w:t>
            </w:r>
          </w:p>
          <w:p w14:paraId="57A077A5">
            <w:pPr>
              <w:pStyle w:val="15"/>
              <w:widowControl w:val="0"/>
              <w:spacing w:line="320" w:lineRule="exact"/>
              <w:jc w:val="left"/>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6A127205">
            <w:pPr>
              <w:pStyle w:val="15"/>
              <w:widowControl w:val="0"/>
              <w:spacing w:line="320" w:lineRule="exact"/>
              <w:jc w:val="left"/>
              <w:rPr>
                <w:rFonts w:hint="eastAsia" w:ascii="宋体" w:hAnsi="宋体"/>
                <w:bCs/>
              </w:rPr>
            </w:pPr>
            <w:r>
              <w:rPr>
                <w:rFonts w:hint="eastAsia" w:ascii="宋体" w:hAnsi="宋体"/>
              </w:rPr>
              <w:t>理解发热概念；分期和热代谢特点。</w:t>
            </w:r>
          </w:p>
        </w:tc>
      </w:tr>
      <w:tr w14:paraId="4874EF8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E265401">
            <w:pPr>
              <w:widowControl w:val="0"/>
              <w:snapToGrid w:val="0"/>
              <w:spacing w:line="320" w:lineRule="exact"/>
              <w:jc w:val="both"/>
              <w:rPr>
                <w:rFonts w:hint="eastAsia"/>
                <w:bCs/>
                <w:color w:val="000000"/>
                <w:sz w:val="21"/>
                <w:szCs w:val="21"/>
              </w:rPr>
            </w:pPr>
            <w:r>
              <w:rPr>
                <w:rFonts w:hint="eastAsia"/>
                <w:bCs/>
                <w:color w:val="000000"/>
                <w:sz w:val="21"/>
                <w:szCs w:val="21"/>
              </w:rPr>
              <w:t xml:space="preserve">第十章 </w:t>
            </w:r>
            <w:r>
              <w:rPr>
                <w:rFonts w:hint="eastAsia"/>
                <w:color w:val="000000"/>
                <w:sz w:val="21"/>
                <w:szCs w:val="21"/>
              </w:rPr>
              <w:t>休克</w:t>
            </w:r>
          </w:p>
          <w:p w14:paraId="4F71943D">
            <w:pPr>
              <w:widowControl w:val="0"/>
              <w:snapToGrid w:val="0"/>
              <w:spacing w:line="320" w:lineRule="exac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5350B4F6">
            <w:pPr>
              <w:widowControl w:val="0"/>
              <w:snapToGrid w:val="0"/>
              <w:spacing w:line="320" w:lineRule="exact"/>
              <w:rPr>
                <w:rFonts w:hint="eastAsia"/>
                <w:color w:val="000000"/>
                <w:sz w:val="21"/>
                <w:szCs w:val="21"/>
              </w:rPr>
            </w:pPr>
            <w:r>
              <w:rPr>
                <w:rFonts w:hint="eastAsia"/>
                <w:bCs/>
                <w:color w:val="000000"/>
                <w:sz w:val="21"/>
                <w:szCs w:val="21"/>
              </w:rPr>
              <w:t>①</w:t>
            </w:r>
            <w:r>
              <w:rPr>
                <w:rFonts w:hint="eastAsia"/>
                <w:color w:val="000000"/>
                <w:sz w:val="21"/>
                <w:szCs w:val="21"/>
              </w:rPr>
              <w:t>理解休克概念；微循环缺血期、微循环淤血期和微循环衰竭期变化特点。</w:t>
            </w:r>
          </w:p>
          <w:p w14:paraId="5A3B222C">
            <w:pPr>
              <w:widowControl w:val="0"/>
              <w:spacing w:line="320" w:lineRule="exact"/>
              <w:rPr>
                <w:rFonts w:hint="eastAsia"/>
                <w:color w:val="000000"/>
                <w:sz w:val="21"/>
                <w:szCs w:val="21"/>
              </w:rPr>
            </w:pPr>
            <w:r>
              <w:rPr>
                <w:rFonts w:hint="eastAsia"/>
                <w:bCs/>
                <w:color w:val="000000"/>
                <w:sz w:val="21"/>
                <w:szCs w:val="21"/>
              </w:rPr>
              <w:t>②</w:t>
            </w:r>
            <w:r>
              <w:rPr>
                <w:rFonts w:hint="eastAsia"/>
                <w:color w:val="000000"/>
                <w:sz w:val="21"/>
                <w:szCs w:val="21"/>
              </w:rPr>
              <w:t>理解休克原因、分类；微循环缺血期、微循环淤血期和微循环衰竭期发生机制、对机体意义和病理临床联系。</w:t>
            </w:r>
          </w:p>
          <w:p w14:paraId="299AE5E6">
            <w:pPr>
              <w:widowControl w:val="0"/>
              <w:spacing w:line="320" w:lineRule="exact"/>
              <w:rPr>
                <w:rFonts w:hint="eastAsia"/>
                <w:color w:val="000000"/>
                <w:sz w:val="21"/>
                <w:szCs w:val="21"/>
              </w:rPr>
            </w:pPr>
            <w:r>
              <w:rPr>
                <w:rFonts w:hint="eastAsia"/>
                <w:sz w:val="21"/>
                <w:szCs w:val="21"/>
              </w:rPr>
              <w:t>③</w:t>
            </w:r>
            <w:r>
              <w:rPr>
                <w:rFonts w:hint="eastAsia"/>
                <w:color w:val="000000"/>
                <w:sz w:val="21"/>
                <w:szCs w:val="21"/>
              </w:rPr>
              <w:t>知道休克原因、分类；微循环缺血期、微循环淤血期和微循环衰竭期发生机制、对机体意义和病理临床联系。</w:t>
            </w:r>
          </w:p>
          <w:p w14:paraId="36728252">
            <w:pPr>
              <w:widowControl w:val="0"/>
              <w:spacing w:line="320" w:lineRule="exact"/>
              <w:jc w:val="both"/>
              <w:rPr>
                <w:rFonts w:hint="eastAsia"/>
                <w:sz w:val="21"/>
                <w:szCs w:val="21"/>
              </w:rPr>
            </w:pPr>
            <w:r>
              <w:rPr>
                <w:rFonts w:hint="eastAsia"/>
                <w:color w:val="000000"/>
                <w:sz w:val="21"/>
                <w:szCs w:val="21"/>
              </w:rPr>
              <w:t>④知道休克代谢及功能变化和防治病理生理基础。</w:t>
            </w:r>
          </w:p>
          <w:p w14:paraId="61FE4E7E">
            <w:pPr>
              <w:widowControl w:val="0"/>
              <w:snapToGrid w:val="0"/>
              <w:spacing w:line="320" w:lineRule="exac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74161548">
            <w:pPr>
              <w:widowControl w:val="0"/>
              <w:spacing w:line="320" w:lineRule="exact"/>
              <w:rPr>
                <w:rFonts w:hint="eastAsia"/>
                <w:color w:val="000000"/>
                <w:sz w:val="21"/>
                <w:szCs w:val="21"/>
              </w:rPr>
            </w:pPr>
            <w:r>
              <w:rPr>
                <w:rFonts w:hint="eastAsia"/>
                <w:bCs/>
                <w:color w:val="000000"/>
                <w:sz w:val="21"/>
                <w:szCs w:val="21"/>
              </w:rPr>
              <w:t>①</w:t>
            </w:r>
            <w:r>
              <w:rPr>
                <w:rFonts w:hint="eastAsia"/>
                <w:color w:val="000000"/>
                <w:sz w:val="21"/>
                <w:szCs w:val="21"/>
              </w:rPr>
              <w:t>运用休克病理生理知识分析、解释相关的临床表现问题。</w:t>
            </w:r>
          </w:p>
          <w:p w14:paraId="0E3B5F60">
            <w:pPr>
              <w:widowControl w:val="0"/>
              <w:snapToGrid w:val="0"/>
              <w:spacing w:line="320" w:lineRule="exact"/>
              <w:rPr>
                <w:rFonts w:hint="eastAsia"/>
                <w:bCs/>
                <w:color w:val="000000"/>
                <w:sz w:val="21"/>
                <w:szCs w:val="21"/>
              </w:rPr>
            </w:pPr>
            <w:r>
              <w:rPr>
                <w:rFonts w:hint="eastAsia"/>
                <w:bCs/>
                <w:color w:val="000000"/>
                <w:sz w:val="21"/>
                <w:szCs w:val="21"/>
              </w:rPr>
              <w:t>②</w:t>
            </w:r>
            <w:r>
              <w:rPr>
                <w:rFonts w:hint="eastAsia"/>
                <w:color w:val="000000"/>
                <w:sz w:val="21"/>
                <w:szCs w:val="21"/>
              </w:rPr>
              <w:t>积极对待和正确认识机体休克。</w:t>
            </w:r>
          </w:p>
          <w:p w14:paraId="16C68EDD">
            <w:pPr>
              <w:widowControl w:val="0"/>
              <w:snapToGrid w:val="0"/>
              <w:spacing w:line="320" w:lineRule="exact"/>
              <w:jc w:val="both"/>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5B206EC">
            <w:pPr>
              <w:widowControl w:val="0"/>
              <w:snapToGrid w:val="0"/>
              <w:spacing w:line="320" w:lineRule="exact"/>
              <w:rPr>
                <w:rFonts w:hint="eastAsia"/>
                <w:color w:val="000000"/>
                <w:sz w:val="21"/>
                <w:szCs w:val="21"/>
              </w:rPr>
            </w:pPr>
            <w:r>
              <w:rPr>
                <w:rFonts w:hint="eastAsia"/>
                <w:color w:val="000000"/>
                <w:sz w:val="21"/>
                <w:szCs w:val="21"/>
              </w:rPr>
              <w:t>培养目标与规格：1(</w:t>
            </w:r>
            <w:r>
              <w:rPr>
                <w:color w:val="000000"/>
                <w:sz w:val="21"/>
                <w:szCs w:val="21"/>
              </w:rPr>
              <w:t>3)</w:t>
            </w:r>
            <w:r>
              <w:rPr>
                <w:rFonts w:hint="eastAsia"/>
                <w:color w:val="000000"/>
                <w:sz w:val="21"/>
                <w:szCs w:val="21"/>
              </w:rPr>
              <w:t>，2(</w:t>
            </w:r>
            <w:r>
              <w:rPr>
                <w:color w:val="000000"/>
                <w:sz w:val="21"/>
                <w:szCs w:val="21"/>
              </w:rPr>
              <w:t>3)(7),3(6)</w:t>
            </w:r>
          </w:p>
          <w:p w14:paraId="349E7DD9">
            <w:pPr>
              <w:pStyle w:val="15"/>
              <w:widowControl w:val="0"/>
              <w:spacing w:line="320" w:lineRule="exact"/>
              <w:jc w:val="left"/>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3F4EADF9">
            <w:pPr>
              <w:widowControl w:val="0"/>
              <w:snapToGrid w:val="0"/>
              <w:spacing w:line="320" w:lineRule="exact"/>
              <w:jc w:val="both"/>
              <w:rPr>
                <w:rFonts w:hint="eastAsia"/>
                <w:bCs/>
                <w:color w:val="000000"/>
                <w:sz w:val="21"/>
                <w:szCs w:val="21"/>
                <w:highlight w:val="yellow"/>
              </w:rPr>
            </w:pPr>
            <w:r>
              <w:rPr>
                <w:rFonts w:hint="eastAsia"/>
                <w:color w:val="000000"/>
                <w:sz w:val="21"/>
                <w:szCs w:val="21"/>
              </w:rPr>
              <w:t>休克概念；微循环缺血期、微循环淤血期和微循环衰竭期变化特点。</w:t>
            </w:r>
          </w:p>
        </w:tc>
      </w:tr>
      <w:tr w14:paraId="29B7AB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9156E6C">
            <w:pPr>
              <w:widowControl w:val="0"/>
              <w:snapToGrid w:val="0"/>
              <w:spacing w:line="320" w:lineRule="exact"/>
              <w:rPr>
                <w:rFonts w:hint="eastAsia"/>
                <w:color w:val="000000"/>
                <w:sz w:val="21"/>
                <w:szCs w:val="21"/>
              </w:rPr>
            </w:pPr>
            <w:r>
              <w:rPr>
                <w:rFonts w:hint="eastAsia"/>
                <w:bCs/>
                <w:sz w:val="21"/>
                <w:szCs w:val="21"/>
              </w:rPr>
              <w:t xml:space="preserve">第十一章 </w:t>
            </w:r>
            <w:r>
              <w:rPr>
                <w:rFonts w:hint="eastAsia"/>
                <w:color w:val="000000"/>
                <w:sz w:val="21"/>
                <w:szCs w:val="21"/>
              </w:rPr>
              <w:t>弥散性血管内凝血</w:t>
            </w:r>
          </w:p>
          <w:p w14:paraId="563A0C69">
            <w:pPr>
              <w:widowControl w:val="0"/>
              <w:snapToGrid w:val="0"/>
              <w:spacing w:line="320" w:lineRule="exac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0BFAF68F">
            <w:pPr>
              <w:widowControl w:val="0"/>
              <w:spacing w:line="320" w:lineRule="exact"/>
              <w:rPr>
                <w:rFonts w:hint="eastAsia"/>
                <w:color w:val="000000"/>
                <w:sz w:val="21"/>
                <w:szCs w:val="21"/>
              </w:rPr>
            </w:pPr>
            <w:r>
              <w:rPr>
                <w:rFonts w:hint="eastAsia"/>
                <w:bCs/>
                <w:color w:val="000000"/>
                <w:sz w:val="21"/>
                <w:szCs w:val="21"/>
              </w:rPr>
              <w:t>①理解</w:t>
            </w:r>
            <w:r>
              <w:rPr>
                <w:rFonts w:hint="eastAsia"/>
                <w:color w:val="000000"/>
                <w:sz w:val="21"/>
                <w:szCs w:val="21"/>
              </w:rPr>
              <w:t>弥散性血管内凝血概念；分期和各期机制及临床特点。</w:t>
            </w:r>
          </w:p>
          <w:p w14:paraId="35D17A55">
            <w:pPr>
              <w:widowControl w:val="0"/>
              <w:spacing w:line="320" w:lineRule="exact"/>
              <w:rPr>
                <w:rFonts w:hint="eastAsia"/>
                <w:color w:val="000000"/>
                <w:sz w:val="21"/>
                <w:szCs w:val="21"/>
              </w:rPr>
            </w:pPr>
            <w:r>
              <w:rPr>
                <w:rFonts w:hint="eastAsia"/>
                <w:bCs/>
                <w:color w:val="000000"/>
                <w:sz w:val="21"/>
                <w:szCs w:val="21"/>
              </w:rPr>
              <w:t>②</w:t>
            </w:r>
            <w:r>
              <w:rPr>
                <w:rFonts w:hint="eastAsia"/>
                <w:color w:val="000000"/>
                <w:sz w:val="21"/>
                <w:szCs w:val="21"/>
              </w:rPr>
              <w:t>理解弥散性血管内凝血原因、影响发生发展因素和主要床表现。</w:t>
            </w:r>
          </w:p>
          <w:p w14:paraId="404ED310">
            <w:pPr>
              <w:widowControl w:val="0"/>
              <w:snapToGrid w:val="0"/>
              <w:spacing w:line="320" w:lineRule="exact"/>
              <w:rPr>
                <w:rFonts w:hint="eastAsia"/>
                <w:color w:val="000000"/>
                <w:sz w:val="21"/>
                <w:szCs w:val="21"/>
              </w:rPr>
            </w:pPr>
            <w:r>
              <w:rPr>
                <w:rFonts w:hint="eastAsia"/>
                <w:bCs/>
                <w:color w:val="000000"/>
                <w:sz w:val="21"/>
                <w:szCs w:val="21"/>
              </w:rPr>
              <w:t>③知道</w:t>
            </w:r>
            <w:r>
              <w:rPr>
                <w:rFonts w:hint="eastAsia"/>
                <w:color w:val="000000"/>
                <w:sz w:val="21"/>
                <w:szCs w:val="21"/>
              </w:rPr>
              <w:t>弥散性血管内凝血发生机制和防治病理生理基础。</w:t>
            </w:r>
          </w:p>
          <w:p w14:paraId="2B03F1E4">
            <w:pPr>
              <w:widowControl w:val="0"/>
              <w:snapToGrid w:val="0"/>
              <w:spacing w:line="320" w:lineRule="exac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16392F1">
            <w:pPr>
              <w:widowControl w:val="0"/>
              <w:spacing w:line="320" w:lineRule="exact"/>
              <w:rPr>
                <w:rFonts w:hint="eastAsia"/>
                <w:color w:val="000000"/>
                <w:sz w:val="21"/>
                <w:szCs w:val="21"/>
              </w:rPr>
            </w:pPr>
            <w:r>
              <w:rPr>
                <w:rFonts w:hint="eastAsia"/>
                <w:bCs/>
                <w:color w:val="000000"/>
                <w:sz w:val="21"/>
                <w:szCs w:val="21"/>
              </w:rPr>
              <w:t>①</w:t>
            </w:r>
            <w:r>
              <w:rPr>
                <w:rFonts w:hint="eastAsia"/>
                <w:color w:val="000000"/>
                <w:sz w:val="21"/>
                <w:szCs w:val="21"/>
              </w:rPr>
              <w:t>运用弥散性血管内凝血病理生理知识分析、解释相关的临床表现问题。</w:t>
            </w:r>
          </w:p>
          <w:p w14:paraId="7408FC97">
            <w:pPr>
              <w:widowControl w:val="0"/>
              <w:snapToGrid w:val="0"/>
              <w:spacing w:line="320" w:lineRule="exact"/>
              <w:rPr>
                <w:rFonts w:hint="eastAsia"/>
                <w:color w:val="000000"/>
                <w:sz w:val="21"/>
                <w:szCs w:val="21"/>
              </w:rPr>
            </w:pPr>
            <w:r>
              <w:rPr>
                <w:rFonts w:hint="eastAsia"/>
                <w:bCs/>
                <w:color w:val="000000"/>
                <w:sz w:val="21"/>
                <w:szCs w:val="21"/>
              </w:rPr>
              <w:t>②</w:t>
            </w:r>
            <w:r>
              <w:rPr>
                <w:color w:val="000000"/>
                <w:sz w:val="21"/>
                <w:szCs w:val="21"/>
              </w:rPr>
              <w:t>积极对待和正确认识机体弥散性血管内凝血,具有对弥散性血管内凝血病理过程的预见意识和科学认知分析能力。</w:t>
            </w:r>
          </w:p>
          <w:p w14:paraId="17CF3348">
            <w:pPr>
              <w:widowControl w:val="0"/>
              <w:snapToGrid w:val="0"/>
              <w:spacing w:line="320" w:lineRule="exact"/>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29C06FC4">
            <w:pPr>
              <w:widowControl w:val="0"/>
              <w:snapToGrid w:val="0"/>
              <w:spacing w:line="320" w:lineRule="exact"/>
              <w:rPr>
                <w:rFonts w:hint="eastAsia"/>
                <w:color w:val="000000"/>
                <w:sz w:val="21"/>
                <w:szCs w:val="21"/>
              </w:rPr>
            </w:pPr>
            <w:r>
              <w:rPr>
                <w:rFonts w:hint="eastAsia"/>
                <w:color w:val="000000"/>
                <w:sz w:val="21"/>
                <w:szCs w:val="21"/>
              </w:rPr>
              <w:t>培养目标与规格：1(</w:t>
            </w:r>
            <w:r>
              <w:rPr>
                <w:color w:val="000000"/>
                <w:sz w:val="21"/>
                <w:szCs w:val="21"/>
              </w:rPr>
              <w:t>3)</w:t>
            </w:r>
            <w:r>
              <w:rPr>
                <w:rFonts w:hint="eastAsia"/>
                <w:color w:val="000000"/>
                <w:sz w:val="21"/>
                <w:szCs w:val="21"/>
              </w:rPr>
              <w:t>，2(</w:t>
            </w:r>
            <w:r>
              <w:rPr>
                <w:color w:val="000000"/>
                <w:sz w:val="21"/>
                <w:szCs w:val="21"/>
              </w:rPr>
              <w:t>3)(7),3(6)</w:t>
            </w:r>
          </w:p>
          <w:p w14:paraId="25CE1552">
            <w:pPr>
              <w:widowControl w:val="0"/>
              <w:snapToGrid w:val="0"/>
              <w:spacing w:line="320" w:lineRule="exact"/>
              <w:rPr>
                <w:rFonts w:hint="eastAsia"/>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6E14A981">
            <w:pPr>
              <w:widowControl w:val="0"/>
              <w:snapToGrid w:val="0"/>
              <w:spacing w:line="320" w:lineRule="exact"/>
              <w:jc w:val="both"/>
              <w:rPr>
                <w:rFonts w:hint="eastAsia"/>
                <w:bCs/>
                <w:color w:val="000000"/>
                <w:sz w:val="21"/>
                <w:szCs w:val="21"/>
              </w:rPr>
            </w:pPr>
            <w:r>
              <w:rPr>
                <w:rFonts w:hint="eastAsia"/>
                <w:color w:val="000000"/>
                <w:sz w:val="21"/>
                <w:szCs w:val="21"/>
              </w:rPr>
              <w:t>弥散性血管内凝血概念；分期和各期机制及临床特点。</w:t>
            </w:r>
          </w:p>
        </w:tc>
      </w:tr>
      <w:tr w14:paraId="465F21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64D883D">
            <w:pPr>
              <w:widowControl w:val="0"/>
              <w:snapToGrid w:val="0"/>
              <w:spacing w:line="320" w:lineRule="exact"/>
              <w:rPr>
                <w:rFonts w:hint="eastAsia"/>
                <w:color w:val="000000"/>
                <w:sz w:val="21"/>
                <w:szCs w:val="21"/>
              </w:rPr>
            </w:pPr>
            <w:r>
              <w:rPr>
                <w:rFonts w:hint="eastAsia"/>
                <w:bCs/>
                <w:sz w:val="21"/>
                <w:szCs w:val="21"/>
              </w:rPr>
              <w:t xml:space="preserve">第十二章 </w:t>
            </w:r>
            <w:r>
              <w:rPr>
                <w:rFonts w:hint="eastAsia"/>
                <w:color w:val="000000"/>
                <w:sz w:val="21"/>
                <w:szCs w:val="21"/>
              </w:rPr>
              <w:t>重要器官功能衰竭</w:t>
            </w:r>
          </w:p>
          <w:p w14:paraId="67704DA5">
            <w:pPr>
              <w:widowControl w:val="0"/>
              <w:snapToGrid w:val="0"/>
              <w:spacing w:line="320" w:lineRule="exac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5A5FA9B4">
            <w:pPr>
              <w:widowControl w:val="0"/>
              <w:spacing w:line="320" w:lineRule="exact"/>
              <w:rPr>
                <w:rFonts w:hint="eastAsia"/>
                <w:color w:val="000000"/>
                <w:sz w:val="21"/>
                <w:szCs w:val="21"/>
              </w:rPr>
            </w:pPr>
            <w:r>
              <w:rPr>
                <w:rFonts w:hint="eastAsia"/>
                <w:bCs/>
                <w:color w:val="000000"/>
                <w:sz w:val="21"/>
                <w:szCs w:val="21"/>
              </w:rPr>
              <w:t>①</w:t>
            </w:r>
            <w:r>
              <w:rPr>
                <w:rFonts w:hint="eastAsia"/>
                <w:color w:val="000000"/>
                <w:sz w:val="21"/>
                <w:szCs w:val="21"/>
              </w:rPr>
              <w:t>理解</w:t>
            </w:r>
            <w:r>
              <w:rPr>
                <w:color w:val="000000"/>
                <w:sz w:val="21"/>
                <w:szCs w:val="21"/>
              </w:rPr>
              <w:t>心力衰竭、呼吸衰竭、1型呼吸衰竭、Ⅱ型呼吸衰竭、急性肾功能衰竭和肝性脑病概念</w:t>
            </w:r>
            <w:r>
              <w:rPr>
                <w:rFonts w:hint="eastAsia"/>
                <w:color w:val="000000"/>
                <w:sz w:val="21"/>
                <w:szCs w:val="21"/>
              </w:rPr>
              <w:t>；</w:t>
            </w:r>
            <w:r>
              <w:rPr>
                <w:color w:val="000000"/>
                <w:sz w:val="21"/>
                <w:szCs w:val="21"/>
              </w:rPr>
              <w:t>心力衰竭诱因</w:t>
            </w:r>
            <w:r>
              <w:rPr>
                <w:rFonts w:hint="eastAsia"/>
                <w:color w:val="000000"/>
                <w:sz w:val="21"/>
                <w:szCs w:val="21"/>
              </w:rPr>
              <w:t>；</w:t>
            </w:r>
            <w:r>
              <w:rPr>
                <w:color w:val="000000"/>
                <w:sz w:val="21"/>
                <w:szCs w:val="21"/>
              </w:rPr>
              <w:t>呼吸衰竭发生机制、急性肾功能衰竭发生机制</w:t>
            </w:r>
            <w:r>
              <w:rPr>
                <w:rFonts w:hint="eastAsia"/>
                <w:color w:val="000000"/>
                <w:sz w:val="21"/>
                <w:szCs w:val="21"/>
              </w:rPr>
              <w:t>；</w:t>
            </w:r>
            <w:r>
              <w:rPr>
                <w:color w:val="000000"/>
                <w:sz w:val="21"/>
                <w:szCs w:val="21"/>
              </w:rPr>
              <w:t>少尿型急性肾功能衰竭发展过程</w:t>
            </w:r>
            <w:r>
              <w:rPr>
                <w:rFonts w:hint="eastAsia"/>
                <w:color w:val="000000"/>
                <w:sz w:val="21"/>
                <w:szCs w:val="21"/>
              </w:rPr>
              <w:t>；</w:t>
            </w:r>
            <w:r>
              <w:rPr>
                <w:color w:val="000000"/>
                <w:sz w:val="21"/>
                <w:szCs w:val="21"/>
              </w:rPr>
              <w:t>肝性脑病分期和诱因。</w:t>
            </w:r>
          </w:p>
          <w:p w14:paraId="22FE3469">
            <w:pPr>
              <w:widowControl w:val="0"/>
              <w:spacing w:line="320" w:lineRule="exact"/>
              <w:rPr>
                <w:rFonts w:hint="eastAsia"/>
                <w:color w:val="000000"/>
                <w:sz w:val="21"/>
                <w:szCs w:val="21"/>
              </w:rPr>
            </w:pPr>
            <w:r>
              <w:rPr>
                <w:rFonts w:hint="eastAsia"/>
                <w:bCs/>
                <w:color w:val="000000"/>
                <w:sz w:val="21"/>
                <w:szCs w:val="21"/>
              </w:rPr>
              <w:t>②</w:t>
            </w:r>
            <w:r>
              <w:rPr>
                <w:rFonts w:hint="eastAsia"/>
                <w:color w:val="000000"/>
                <w:sz w:val="21"/>
                <w:szCs w:val="21"/>
              </w:rPr>
              <w:t>知道</w:t>
            </w:r>
            <w:r>
              <w:rPr>
                <w:color w:val="000000"/>
                <w:sz w:val="21"/>
                <w:szCs w:val="21"/>
              </w:rPr>
              <w:t>心力衰竭原因</w:t>
            </w:r>
            <w:r>
              <w:rPr>
                <w:rFonts w:hint="eastAsia"/>
                <w:color w:val="000000"/>
                <w:sz w:val="21"/>
                <w:szCs w:val="21"/>
              </w:rPr>
              <w:t>；</w:t>
            </w:r>
            <w:r>
              <w:rPr>
                <w:color w:val="000000"/>
                <w:sz w:val="21"/>
                <w:szCs w:val="21"/>
              </w:rPr>
              <w:t>心功能不全代偿性适应反应</w:t>
            </w:r>
            <w:r>
              <w:rPr>
                <w:rFonts w:hint="eastAsia"/>
                <w:color w:val="000000"/>
                <w:sz w:val="21"/>
                <w:szCs w:val="21"/>
              </w:rPr>
              <w:t>；</w:t>
            </w:r>
            <w:r>
              <w:rPr>
                <w:color w:val="000000"/>
                <w:sz w:val="21"/>
                <w:szCs w:val="21"/>
              </w:rPr>
              <w:t>心力衰竭发生机制和机体代谢及功能变化</w:t>
            </w:r>
            <w:r>
              <w:rPr>
                <w:rFonts w:hint="eastAsia"/>
                <w:color w:val="000000"/>
                <w:sz w:val="21"/>
                <w:szCs w:val="21"/>
              </w:rPr>
              <w:t>；</w:t>
            </w:r>
            <w:r>
              <w:rPr>
                <w:color w:val="000000"/>
                <w:sz w:val="21"/>
                <w:szCs w:val="21"/>
              </w:rPr>
              <w:t>呼吸衰竭原因和机体代谢及功能变化</w:t>
            </w:r>
            <w:r>
              <w:rPr>
                <w:rFonts w:hint="eastAsia"/>
                <w:color w:val="000000"/>
                <w:sz w:val="21"/>
                <w:szCs w:val="21"/>
              </w:rPr>
              <w:t>；</w:t>
            </w:r>
            <w:r>
              <w:rPr>
                <w:color w:val="000000"/>
                <w:sz w:val="21"/>
                <w:szCs w:val="21"/>
              </w:rPr>
              <w:t>急性肾功能衰竭分类及原因和机体代谢及功能变化</w:t>
            </w:r>
            <w:r>
              <w:rPr>
                <w:rFonts w:hint="eastAsia"/>
                <w:color w:val="000000"/>
                <w:sz w:val="21"/>
                <w:szCs w:val="21"/>
              </w:rPr>
              <w:t>；</w:t>
            </w:r>
            <w:r>
              <w:rPr>
                <w:color w:val="000000"/>
                <w:sz w:val="21"/>
                <w:szCs w:val="21"/>
              </w:rPr>
              <w:t>肝性脑病原因、发生机制和机体代谢及功能变化。</w:t>
            </w:r>
          </w:p>
          <w:p w14:paraId="0D2D67B4">
            <w:pPr>
              <w:widowControl w:val="0"/>
              <w:spacing w:line="320" w:lineRule="exact"/>
              <w:rPr>
                <w:rFonts w:hint="eastAsia"/>
                <w:color w:val="000000"/>
                <w:sz w:val="21"/>
                <w:szCs w:val="21"/>
              </w:rPr>
            </w:pPr>
            <w:r>
              <w:rPr>
                <w:rFonts w:hint="eastAsia"/>
                <w:bCs/>
                <w:color w:val="000000"/>
                <w:sz w:val="21"/>
                <w:szCs w:val="21"/>
              </w:rPr>
              <w:t>③知道</w:t>
            </w:r>
            <w:r>
              <w:rPr>
                <w:color w:val="000000"/>
                <w:sz w:val="21"/>
                <w:szCs w:val="21"/>
              </w:rPr>
              <w:t>心力衰竭和肝性脑病分</w:t>
            </w:r>
            <w:r>
              <w:rPr>
                <w:rFonts w:hint="eastAsia"/>
                <w:color w:val="000000"/>
                <w:sz w:val="21"/>
                <w:szCs w:val="21"/>
              </w:rPr>
              <w:t>类；</w:t>
            </w:r>
            <w:r>
              <w:rPr>
                <w:color w:val="000000"/>
                <w:sz w:val="21"/>
                <w:szCs w:val="21"/>
              </w:rPr>
              <w:t>心力衰竭、呼吸衰竭、急性肾功能衰竭和肝性脑病</w:t>
            </w:r>
            <w:r>
              <w:rPr>
                <w:rFonts w:hint="eastAsia"/>
                <w:color w:val="000000"/>
                <w:sz w:val="21"/>
                <w:szCs w:val="21"/>
              </w:rPr>
              <w:t>防</w:t>
            </w:r>
            <w:r>
              <w:rPr>
                <w:color w:val="000000"/>
                <w:sz w:val="21"/>
                <w:szCs w:val="21"/>
              </w:rPr>
              <w:t>治病理生理基础。</w:t>
            </w:r>
          </w:p>
          <w:p w14:paraId="21F029C7">
            <w:pPr>
              <w:widowControl w:val="0"/>
              <w:snapToGrid w:val="0"/>
              <w:spacing w:line="320" w:lineRule="exac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57F726A">
            <w:pPr>
              <w:widowControl w:val="0"/>
              <w:spacing w:line="320" w:lineRule="exact"/>
              <w:rPr>
                <w:rFonts w:hint="eastAsia"/>
                <w:color w:val="000000"/>
                <w:sz w:val="21"/>
                <w:szCs w:val="21"/>
              </w:rPr>
            </w:pPr>
            <w:r>
              <w:rPr>
                <w:rFonts w:hint="eastAsia"/>
                <w:bCs/>
                <w:color w:val="000000"/>
                <w:sz w:val="21"/>
                <w:szCs w:val="21"/>
              </w:rPr>
              <w:t>①</w:t>
            </w:r>
            <w:r>
              <w:rPr>
                <w:color w:val="000000"/>
                <w:sz w:val="21"/>
                <w:szCs w:val="21"/>
              </w:rPr>
              <w:t>运用心力衰竭</w:t>
            </w:r>
            <w:r>
              <w:rPr>
                <w:rFonts w:hint="eastAsia"/>
                <w:color w:val="000000"/>
                <w:sz w:val="21"/>
                <w:szCs w:val="21"/>
              </w:rPr>
              <w:t>、</w:t>
            </w:r>
            <w:r>
              <w:rPr>
                <w:color w:val="000000"/>
                <w:sz w:val="21"/>
                <w:szCs w:val="21"/>
              </w:rPr>
              <w:t>呼吸衰竭、急性肾功能衰竭和肝性脑病病理生理知识分析、解释相关的临床表现问题。</w:t>
            </w:r>
          </w:p>
          <w:p w14:paraId="2BD09B7A">
            <w:pPr>
              <w:widowControl w:val="0"/>
              <w:snapToGrid w:val="0"/>
              <w:spacing w:line="320" w:lineRule="exact"/>
              <w:rPr>
                <w:rFonts w:hint="eastAsia"/>
                <w:color w:val="000000"/>
                <w:sz w:val="21"/>
                <w:szCs w:val="21"/>
              </w:rPr>
            </w:pPr>
            <w:r>
              <w:rPr>
                <w:rFonts w:hint="eastAsia"/>
                <w:bCs/>
                <w:color w:val="000000"/>
                <w:sz w:val="21"/>
                <w:szCs w:val="21"/>
              </w:rPr>
              <w:t>②</w:t>
            </w:r>
            <w:r>
              <w:rPr>
                <w:color w:val="000000"/>
                <w:sz w:val="21"/>
                <w:szCs w:val="21"/>
              </w:rPr>
              <w:t>积极对待和正确认识机体心力衰竭、呼吸衰竭、急性肾功能衰竭和肝性脑病</w:t>
            </w:r>
            <w:r>
              <w:rPr>
                <w:rFonts w:hint="eastAsia"/>
                <w:color w:val="000000"/>
                <w:sz w:val="21"/>
                <w:szCs w:val="21"/>
              </w:rPr>
              <w:t>，</w:t>
            </w:r>
            <w:r>
              <w:rPr>
                <w:color w:val="000000"/>
                <w:sz w:val="21"/>
                <w:szCs w:val="21"/>
              </w:rPr>
              <w:t>具有对心力衰竭、呼吸衰竭、急性肾功能衰竭和肝性脑病病理过程的预见意识和科学认知分析能力</w:t>
            </w:r>
            <w:r>
              <w:rPr>
                <w:rFonts w:hint="eastAsia"/>
                <w:color w:val="000000"/>
                <w:sz w:val="21"/>
                <w:szCs w:val="21"/>
              </w:rPr>
              <w:t>。</w:t>
            </w:r>
          </w:p>
          <w:p w14:paraId="55550C0C">
            <w:pPr>
              <w:widowControl w:val="0"/>
              <w:snapToGrid w:val="0"/>
              <w:spacing w:line="320" w:lineRule="exact"/>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68C787C">
            <w:pPr>
              <w:widowControl w:val="0"/>
              <w:snapToGrid w:val="0"/>
              <w:spacing w:line="320" w:lineRule="exact"/>
              <w:rPr>
                <w:rFonts w:hint="eastAsia"/>
                <w:color w:val="000000"/>
                <w:sz w:val="21"/>
                <w:szCs w:val="21"/>
              </w:rPr>
            </w:pPr>
            <w:r>
              <w:rPr>
                <w:rFonts w:hint="eastAsia"/>
                <w:color w:val="000000"/>
                <w:sz w:val="21"/>
                <w:szCs w:val="21"/>
              </w:rPr>
              <w:t>培养目标与规格：1(</w:t>
            </w:r>
            <w:r>
              <w:rPr>
                <w:color w:val="000000"/>
                <w:sz w:val="21"/>
                <w:szCs w:val="21"/>
              </w:rPr>
              <w:t>3)</w:t>
            </w:r>
            <w:r>
              <w:rPr>
                <w:rFonts w:hint="eastAsia"/>
                <w:color w:val="000000"/>
                <w:sz w:val="21"/>
                <w:szCs w:val="21"/>
              </w:rPr>
              <w:t>，2(</w:t>
            </w:r>
            <w:r>
              <w:rPr>
                <w:color w:val="000000"/>
                <w:sz w:val="21"/>
                <w:szCs w:val="21"/>
              </w:rPr>
              <w:t>3)(7),3(6)</w:t>
            </w:r>
          </w:p>
          <w:p w14:paraId="59DB2E21">
            <w:pPr>
              <w:widowControl w:val="0"/>
              <w:snapToGrid w:val="0"/>
              <w:spacing w:line="320" w:lineRule="exact"/>
              <w:rPr>
                <w:rFonts w:hint="eastAsia"/>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48858C2B">
            <w:pPr>
              <w:widowControl w:val="0"/>
              <w:snapToGrid w:val="0"/>
              <w:spacing w:line="320" w:lineRule="exact"/>
              <w:jc w:val="both"/>
              <w:rPr>
                <w:rFonts w:hint="eastAsia"/>
                <w:bCs/>
                <w:sz w:val="21"/>
                <w:szCs w:val="21"/>
              </w:rPr>
            </w:pPr>
            <w:r>
              <w:rPr>
                <w:color w:val="000000"/>
                <w:sz w:val="21"/>
                <w:szCs w:val="21"/>
              </w:rPr>
              <w:t>心力衰竭、呼吸衰竭、1型呼吸衰竭、Ⅱ型呼吸衰竭、急性肾功能衰竭和肝性脑病概念</w:t>
            </w:r>
            <w:r>
              <w:rPr>
                <w:rFonts w:hint="eastAsia"/>
                <w:color w:val="000000"/>
                <w:sz w:val="21"/>
                <w:szCs w:val="21"/>
              </w:rPr>
              <w:t>；</w:t>
            </w:r>
            <w:r>
              <w:rPr>
                <w:color w:val="000000"/>
                <w:sz w:val="21"/>
                <w:szCs w:val="21"/>
              </w:rPr>
              <w:t>心力衰竭诱因</w:t>
            </w:r>
            <w:r>
              <w:rPr>
                <w:rFonts w:hint="eastAsia"/>
                <w:color w:val="000000"/>
                <w:sz w:val="21"/>
                <w:szCs w:val="21"/>
              </w:rPr>
              <w:t>；</w:t>
            </w:r>
            <w:r>
              <w:rPr>
                <w:color w:val="000000"/>
                <w:sz w:val="21"/>
                <w:szCs w:val="21"/>
              </w:rPr>
              <w:t>呼吸衰竭发生机制、急性肾功能衰竭发生机制</w:t>
            </w:r>
            <w:r>
              <w:rPr>
                <w:rFonts w:hint="eastAsia"/>
                <w:color w:val="000000"/>
                <w:sz w:val="21"/>
                <w:szCs w:val="21"/>
              </w:rPr>
              <w:t>；</w:t>
            </w:r>
            <w:r>
              <w:rPr>
                <w:color w:val="000000"/>
                <w:sz w:val="21"/>
                <w:szCs w:val="21"/>
              </w:rPr>
              <w:t>少尿型急性肾功能衰竭发展过程</w:t>
            </w:r>
            <w:r>
              <w:rPr>
                <w:rFonts w:hint="eastAsia"/>
                <w:color w:val="000000"/>
                <w:sz w:val="21"/>
                <w:szCs w:val="21"/>
              </w:rPr>
              <w:t>；</w:t>
            </w:r>
            <w:r>
              <w:rPr>
                <w:color w:val="000000"/>
                <w:sz w:val="21"/>
                <w:szCs w:val="21"/>
              </w:rPr>
              <w:t>肝性脑病分期和诱因。</w:t>
            </w:r>
          </w:p>
        </w:tc>
      </w:tr>
      <w:bookmarkEnd w:id="0"/>
      <w:bookmarkEnd w:id="1"/>
    </w:tbl>
    <w:p w14:paraId="4AA2153D">
      <w:pPr>
        <w:pStyle w:val="18"/>
        <w:spacing w:before="81" w:after="163"/>
      </w:pPr>
      <w:r>
        <w:rPr>
          <w:rFonts w:hint="eastAsia"/>
        </w:rPr>
        <w:t>（二）教学单元对课程目标的支撑关系</w:t>
      </w:r>
    </w:p>
    <w:tbl>
      <w:tblPr>
        <w:tblStyle w:val="8"/>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545"/>
        <w:gridCol w:w="1559"/>
        <w:gridCol w:w="1419"/>
        <w:gridCol w:w="1417"/>
        <w:gridCol w:w="1355"/>
      </w:tblGrid>
      <w:tr w14:paraId="1516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547" w:type="dxa"/>
            <w:tcBorders>
              <w:top w:val="single" w:color="auto" w:sz="12" w:space="0"/>
              <w:left w:val="single" w:color="auto" w:sz="12" w:space="0"/>
              <w:tl2br w:val="single" w:color="auto" w:sz="4" w:space="0"/>
            </w:tcBorders>
          </w:tcPr>
          <w:p w14:paraId="4715A0B9">
            <w:pPr>
              <w:pStyle w:val="14"/>
              <w:ind w:firstLine="489"/>
              <w:jc w:val="right"/>
              <w:rPr>
                <w:szCs w:val="16"/>
              </w:rPr>
            </w:pPr>
            <w:r>
              <w:rPr>
                <w:rFonts w:hint="eastAsia"/>
                <w:szCs w:val="16"/>
              </w:rPr>
              <w:t>课程目标</w:t>
            </w:r>
          </w:p>
          <w:p w14:paraId="23C3B1B3">
            <w:pPr>
              <w:pStyle w:val="14"/>
              <w:ind w:right="210"/>
              <w:jc w:val="left"/>
              <w:rPr>
                <w:szCs w:val="16"/>
              </w:rPr>
            </w:pPr>
          </w:p>
          <w:p w14:paraId="2584E75C">
            <w:pPr>
              <w:pStyle w:val="14"/>
              <w:ind w:right="210"/>
              <w:jc w:val="left"/>
              <w:rPr>
                <w:szCs w:val="16"/>
              </w:rPr>
            </w:pPr>
            <w:r>
              <w:rPr>
                <w:rFonts w:hint="eastAsia"/>
                <w:szCs w:val="16"/>
              </w:rPr>
              <w:t>教学单元</w:t>
            </w:r>
          </w:p>
        </w:tc>
        <w:tc>
          <w:tcPr>
            <w:tcW w:w="1559" w:type="dxa"/>
            <w:tcBorders>
              <w:top w:val="single" w:color="auto" w:sz="12" w:space="0"/>
            </w:tcBorders>
            <w:vAlign w:val="center"/>
          </w:tcPr>
          <w:p w14:paraId="76AC8B43">
            <w:pPr>
              <w:pStyle w:val="14"/>
              <w:rPr>
                <w:szCs w:val="16"/>
              </w:rPr>
            </w:pPr>
            <w:r>
              <w:rPr>
                <w:rFonts w:hint="eastAsia"/>
                <w:szCs w:val="16"/>
              </w:rPr>
              <w:t>1</w:t>
            </w:r>
          </w:p>
        </w:tc>
        <w:tc>
          <w:tcPr>
            <w:tcW w:w="1418" w:type="dxa"/>
            <w:tcBorders>
              <w:top w:val="single" w:color="auto" w:sz="12" w:space="0"/>
            </w:tcBorders>
            <w:vAlign w:val="center"/>
          </w:tcPr>
          <w:p w14:paraId="5467772F">
            <w:pPr>
              <w:pStyle w:val="14"/>
              <w:rPr>
                <w:szCs w:val="16"/>
              </w:rPr>
            </w:pPr>
            <w:r>
              <w:rPr>
                <w:rFonts w:hint="eastAsia"/>
                <w:szCs w:val="16"/>
              </w:rPr>
              <w:t>2</w:t>
            </w:r>
          </w:p>
        </w:tc>
        <w:tc>
          <w:tcPr>
            <w:tcW w:w="1417" w:type="dxa"/>
            <w:tcBorders>
              <w:top w:val="single" w:color="auto" w:sz="12" w:space="0"/>
            </w:tcBorders>
            <w:vAlign w:val="center"/>
          </w:tcPr>
          <w:p w14:paraId="20542B01">
            <w:pPr>
              <w:pStyle w:val="14"/>
              <w:rPr>
                <w:szCs w:val="16"/>
              </w:rPr>
            </w:pPr>
            <w:r>
              <w:rPr>
                <w:rFonts w:hint="eastAsia"/>
                <w:szCs w:val="16"/>
              </w:rPr>
              <w:t>3</w:t>
            </w:r>
          </w:p>
        </w:tc>
        <w:tc>
          <w:tcPr>
            <w:tcW w:w="1354" w:type="dxa"/>
            <w:tcBorders>
              <w:top w:val="single" w:color="auto" w:sz="12" w:space="0"/>
              <w:right w:val="single" w:color="auto" w:sz="12" w:space="0"/>
            </w:tcBorders>
            <w:vAlign w:val="center"/>
          </w:tcPr>
          <w:p w14:paraId="5802928A">
            <w:pPr>
              <w:pStyle w:val="14"/>
              <w:rPr>
                <w:szCs w:val="16"/>
              </w:rPr>
            </w:pPr>
            <w:r>
              <w:rPr>
                <w:rFonts w:hint="eastAsia"/>
                <w:szCs w:val="16"/>
              </w:rPr>
              <w:t>4</w:t>
            </w:r>
          </w:p>
        </w:tc>
      </w:tr>
      <w:tr w14:paraId="5B9C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47" w:type="dxa"/>
            <w:tcBorders>
              <w:left w:val="single" w:color="auto" w:sz="12" w:space="0"/>
            </w:tcBorders>
          </w:tcPr>
          <w:p w14:paraId="08D806CB">
            <w:pPr>
              <w:pStyle w:val="15"/>
              <w:spacing w:line="320" w:lineRule="exact"/>
              <w:jc w:val="left"/>
              <w:rPr>
                <w:rFonts w:hint="eastAsia" w:ascii="宋体" w:hAnsi="宋体"/>
              </w:rPr>
            </w:pPr>
            <w:r>
              <w:rPr>
                <w:rFonts w:hint="eastAsia" w:ascii="宋体" w:hAnsi="宋体"/>
                <w:bCs/>
              </w:rPr>
              <w:t>第一章 细胞、组织的适应、损伤与修复</w:t>
            </w:r>
          </w:p>
        </w:tc>
        <w:tc>
          <w:tcPr>
            <w:tcW w:w="1559" w:type="dxa"/>
            <w:vAlign w:val="center"/>
          </w:tcPr>
          <w:p w14:paraId="62895CF4">
            <w:pPr>
              <w:pStyle w:val="15"/>
              <w:spacing w:line="320" w:lineRule="exact"/>
              <w:rPr>
                <w:rFonts w:hint="eastAsia" w:ascii="宋体" w:hAnsi="宋体"/>
              </w:rPr>
            </w:pPr>
            <w:r>
              <w:rPr>
                <w:rFonts w:hint="eastAsia" w:ascii="宋体" w:hAnsi="宋体"/>
              </w:rPr>
              <w:t>√</w:t>
            </w:r>
          </w:p>
        </w:tc>
        <w:tc>
          <w:tcPr>
            <w:tcW w:w="1418" w:type="dxa"/>
            <w:vAlign w:val="center"/>
          </w:tcPr>
          <w:p w14:paraId="4ABFFA38">
            <w:pPr>
              <w:pStyle w:val="15"/>
              <w:spacing w:line="320" w:lineRule="exact"/>
              <w:rPr>
                <w:rFonts w:hint="eastAsia" w:ascii="宋体" w:hAnsi="宋体"/>
              </w:rPr>
            </w:pPr>
            <w:r>
              <w:rPr>
                <w:rFonts w:hint="eastAsia" w:ascii="宋体" w:hAnsi="宋体"/>
              </w:rPr>
              <w:t>√</w:t>
            </w:r>
          </w:p>
        </w:tc>
        <w:tc>
          <w:tcPr>
            <w:tcW w:w="1417" w:type="dxa"/>
            <w:vAlign w:val="center"/>
          </w:tcPr>
          <w:p w14:paraId="41EF20AB">
            <w:pPr>
              <w:pStyle w:val="15"/>
              <w:spacing w:line="320" w:lineRule="exact"/>
              <w:rPr>
                <w:rFonts w:hint="eastAsia" w:ascii="宋体" w:hAnsi="宋体"/>
              </w:rPr>
            </w:pPr>
            <w:r>
              <w:rPr>
                <w:rFonts w:hint="eastAsia" w:ascii="宋体" w:hAnsi="宋体"/>
              </w:rPr>
              <w:t>√</w:t>
            </w:r>
          </w:p>
        </w:tc>
        <w:tc>
          <w:tcPr>
            <w:tcW w:w="1354" w:type="dxa"/>
            <w:tcBorders>
              <w:right w:val="single" w:color="auto" w:sz="12" w:space="0"/>
            </w:tcBorders>
            <w:vAlign w:val="center"/>
          </w:tcPr>
          <w:p w14:paraId="0DC5104C">
            <w:pPr>
              <w:pStyle w:val="15"/>
              <w:spacing w:line="320" w:lineRule="exact"/>
              <w:rPr>
                <w:rFonts w:hint="eastAsia" w:ascii="宋体" w:hAnsi="宋体"/>
              </w:rPr>
            </w:pPr>
            <w:r>
              <w:rPr>
                <w:rFonts w:hint="eastAsia" w:ascii="宋体" w:hAnsi="宋体"/>
              </w:rPr>
              <w:t>√</w:t>
            </w:r>
          </w:p>
        </w:tc>
      </w:tr>
      <w:tr w14:paraId="11AE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47" w:type="dxa"/>
            <w:tcBorders>
              <w:left w:val="single" w:color="auto" w:sz="12" w:space="0"/>
            </w:tcBorders>
          </w:tcPr>
          <w:p w14:paraId="1E63F3F0">
            <w:pPr>
              <w:pStyle w:val="15"/>
              <w:spacing w:line="320" w:lineRule="exact"/>
              <w:jc w:val="left"/>
              <w:rPr>
                <w:rFonts w:hint="eastAsia" w:ascii="宋体" w:hAnsi="宋体"/>
              </w:rPr>
            </w:pPr>
            <w:r>
              <w:rPr>
                <w:rFonts w:hint="eastAsia" w:ascii="宋体" w:hAnsi="宋体"/>
                <w:bCs/>
              </w:rPr>
              <w:t xml:space="preserve">第二章 </w:t>
            </w:r>
            <w:r>
              <w:rPr>
                <w:rFonts w:hint="eastAsia" w:ascii="宋体" w:hAnsi="宋体"/>
              </w:rPr>
              <w:t>局部血液循环障碍</w:t>
            </w:r>
          </w:p>
        </w:tc>
        <w:tc>
          <w:tcPr>
            <w:tcW w:w="1559" w:type="dxa"/>
            <w:vAlign w:val="center"/>
          </w:tcPr>
          <w:p w14:paraId="7B91EED0">
            <w:pPr>
              <w:pStyle w:val="15"/>
              <w:spacing w:line="320" w:lineRule="exact"/>
              <w:rPr>
                <w:rFonts w:hint="eastAsia" w:ascii="宋体" w:hAnsi="宋体"/>
              </w:rPr>
            </w:pPr>
            <w:r>
              <w:rPr>
                <w:rFonts w:hint="eastAsia" w:ascii="宋体" w:hAnsi="宋体"/>
              </w:rPr>
              <w:t>√</w:t>
            </w:r>
          </w:p>
        </w:tc>
        <w:tc>
          <w:tcPr>
            <w:tcW w:w="1418" w:type="dxa"/>
            <w:vAlign w:val="center"/>
          </w:tcPr>
          <w:p w14:paraId="28839D59">
            <w:pPr>
              <w:pStyle w:val="15"/>
              <w:spacing w:line="320" w:lineRule="exact"/>
              <w:rPr>
                <w:rFonts w:hint="eastAsia" w:ascii="宋体" w:hAnsi="宋体"/>
              </w:rPr>
            </w:pPr>
            <w:r>
              <w:rPr>
                <w:rFonts w:hint="eastAsia" w:ascii="宋体" w:hAnsi="宋体"/>
              </w:rPr>
              <w:t>√</w:t>
            </w:r>
          </w:p>
        </w:tc>
        <w:tc>
          <w:tcPr>
            <w:tcW w:w="1417" w:type="dxa"/>
            <w:vAlign w:val="center"/>
          </w:tcPr>
          <w:p w14:paraId="5C381581">
            <w:pPr>
              <w:pStyle w:val="15"/>
              <w:spacing w:line="320" w:lineRule="exact"/>
              <w:rPr>
                <w:rFonts w:hint="eastAsia" w:ascii="宋体" w:hAnsi="宋体"/>
              </w:rPr>
            </w:pPr>
            <w:r>
              <w:rPr>
                <w:rFonts w:hint="eastAsia" w:ascii="宋体" w:hAnsi="宋体"/>
              </w:rPr>
              <w:t>√</w:t>
            </w:r>
          </w:p>
        </w:tc>
        <w:tc>
          <w:tcPr>
            <w:tcW w:w="1354" w:type="dxa"/>
            <w:tcBorders>
              <w:right w:val="single" w:color="auto" w:sz="12" w:space="0"/>
            </w:tcBorders>
            <w:vAlign w:val="center"/>
          </w:tcPr>
          <w:p w14:paraId="6E9DDC36">
            <w:pPr>
              <w:pStyle w:val="15"/>
              <w:spacing w:line="320" w:lineRule="exact"/>
              <w:rPr>
                <w:rFonts w:hint="eastAsia" w:ascii="宋体" w:hAnsi="宋体"/>
              </w:rPr>
            </w:pPr>
            <w:r>
              <w:rPr>
                <w:rFonts w:hint="eastAsia" w:ascii="宋体" w:hAnsi="宋体"/>
              </w:rPr>
              <w:t>√</w:t>
            </w:r>
          </w:p>
        </w:tc>
      </w:tr>
      <w:tr w14:paraId="3146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47" w:type="dxa"/>
            <w:tcBorders>
              <w:left w:val="single" w:color="auto" w:sz="12" w:space="0"/>
            </w:tcBorders>
          </w:tcPr>
          <w:p w14:paraId="5F6F352A">
            <w:pPr>
              <w:pStyle w:val="15"/>
              <w:spacing w:line="320" w:lineRule="exact"/>
              <w:jc w:val="left"/>
              <w:rPr>
                <w:rFonts w:hint="eastAsia" w:ascii="宋体" w:hAnsi="宋体"/>
              </w:rPr>
            </w:pPr>
            <w:r>
              <w:rPr>
                <w:rFonts w:hint="eastAsia" w:ascii="宋体" w:hAnsi="宋体"/>
                <w:bCs/>
              </w:rPr>
              <w:t xml:space="preserve">第三章 </w:t>
            </w:r>
            <w:r>
              <w:rPr>
                <w:rFonts w:hint="eastAsia" w:ascii="宋体" w:hAnsi="宋体"/>
              </w:rPr>
              <w:t>炎症</w:t>
            </w:r>
          </w:p>
        </w:tc>
        <w:tc>
          <w:tcPr>
            <w:tcW w:w="1559" w:type="dxa"/>
            <w:vAlign w:val="center"/>
          </w:tcPr>
          <w:p w14:paraId="48576439">
            <w:pPr>
              <w:pStyle w:val="15"/>
              <w:spacing w:line="320" w:lineRule="exact"/>
              <w:rPr>
                <w:rFonts w:hint="eastAsia" w:ascii="宋体" w:hAnsi="宋体"/>
              </w:rPr>
            </w:pPr>
            <w:r>
              <w:rPr>
                <w:rFonts w:hint="eastAsia" w:ascii="宋体" w:hAnsi="宋体"/>
              </w:rPr>
              <w:t>√</w:t>
            </w:r>
          </w:p>
        </w:tc>
        <w:tc>
          <w:tcPr>
            <w:tcW w:w="1418" w:type="dxa"/>
            <w:vAlign w:val="center"/>
          </w:tcPr>
          <w:p w14:paraId="5BACC1FC">
            <w:pPr>
              <w:pStyle w:val="15"/>
              <w:spacing w:line="320" w:lineRule="exact"/>
              <w:rPr>
                <w:rFonts w:hint="eastAsia" w:ascii="宋体" w:hAnsi="宋体"/>
              </w:rPr>
            </w:pPr>
            <w:r>
              <w:rPr>
                <w:rFonts w:hint="eastAsia" w:ascii="宋体" w:hAnsi="宋体"/>
              </w:rPr>
              <w:t>√</w:t>
            </w:r>
          </w:p>
        </w:tc>
        <w:tc>
          <w:tcPr>
            <w:tcW w:w="1417" w:type="dxa"/>
            <w:vAlign w:val="center"/>
          </w:tcPr>
          <w:p w14:paraId="0D9AD43D">
            <w:pPr>
              <w:pStyle w:val="15"/>
              <w:spacing w:line="320" w:lineRule="exact"/>
              <w:rPr>
                <w:rFonts w:hint="eastAsia" w:ascii="宋体" w:hAnsi="宋体"/>
              </w:rPr>
            </w:pPr>
            <w:r>
              <w:rPr>
                <w:rFonts w:hint="eastAsia" w:ascii="宋体" w:hAnsi="宋体"/>
              </w:rPr>
              <w:t>√</w:t>
            </w:r>
          </w:p>
        </w:tc>
        <w:tc>
          <w:tcPr>
            <w:tcW w:w="1354" w:type="dxa"/>
            <w:tcBorders>
              <w:right w:val="single" w:color="auto" w:sz="12" w:space="0"/>
            </w:tcBorders>
            <w:vAlign w:val="center"/>
          </w:tcPr>
          <w:p w14:paraId="07CCED06">
            <w:pPr>
              <w:pStyle w:val="15"/>
              <w:spacing w:line="320" w:lineRule="exact"/>
              <w:rPr>
                <w:rFonts w:hint="eastAsia" w:ascii="宋体" w:hAnsi="宋体"/>
              </w:rPr>
            </w:pPr>
            <w:r>
              <w:rPr>
                <w:rFonts w:hint="eastAsia" w:ascii="宋体" w:hAnsi="宋体"/>
              </w:rPr>
              <w:t>√</w:t>
            </w:r>
          </w:p>
        </w:tc>
      </w:tr>
      <w:tr w14:paraId="7030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47" w:type="dxa"/>
            <w:tcBorders>
              <w:left w:val="single" w:color="auto" w:sz="12" w:space="0"/>
            </w:tcBorders>
          </w:tcPr>
          <w:p w14:paraId="7A956160">
            <w:pPr>
              <w:pStyle w:val="15"/>
              <w:widowControl w:val="0"/>
              <w:spacing w:line="320" w:lineRule="exact"/>
              <w:jc w:val="left"/>
              <w:rPr>
                <w:rFonts w:hint="eastAsia" w:ascii="宋体" w:hAnsi="宋体"/>
                <w:bCs/>
              </w:rPr>
            </w:pPr>
            <w:r>
              <w:rPr>
                <w:rFonts w:hint="eastAsia" w:ascii="宋体" w:hAnsi="宋体"/>
                <w:bCs/>
              </w:rPr>
              <w:t xml:space="preserve">第四章 </w:t>
            </w:r>
            <w:r>
              <w:rPr>
                <w:rFonts w:hint="eastAsia" w:ascii="宋体" w:hAnsi="宋体"/>
              </w:rPr>
              <w:t>肿瘤</w:t>
            </w:r>
          </w:p>
        </w:tc>
        <w:tc>
          <w:tcPr>
            <w:tcW w:w="1559" w:type="dxa"/>
            <w:vAlign w:val="center"/>
          </w:tcPr>
          <w:p w14:paraId="4FC5A133">
            <w:pPr>
              <w:pStyle w:val="15"/>
              <w:spacing w:line="320" w:lineRule="exact"/>
              <w:rPr>
                <w:rFonts w:hint="eastAsia" w:ascii="宋体" w:hAnsi="宋体"/>
              </w:rPr>
            </w:pPr>
            <w:r>
              <w:rPr>
                <w:rFonts w:hint="eastAsia" w:ascii="宋体" w:hAnsi="宋体"/>
              </w:rPr>
              <w:t>√</w:t>
            </w:r>
          </w:p>
        </w:tc>
        <w:tc>
          <w:tcPr>
            <w:tcW w:w="1418" w:type="dxa"/>
            <w:vAlign w:val="center"/>
          </w:tcPr>
          <w:p w14:paraId="6BC60F25">
            <w:pPr>
              <w:pStyle w:val="15"/>
              <w:spacing w:line="320" w:lineRule="exact"/>
              <w:rPr>
                <w:rFonts w:hint="eastAsia" w:ascii="宋体" w:hAnsi="宋体"/>
              </w:rPr>
            </w:pPr>
            <w:r>
              <w:rPr>
                <w:rFonts w:hint="eastAsia" w:ascii="宋体" w:hAnsi="宋体"/>
              </w:rPr>
              <w:t>√</w:t>
            </w:r>
          </w:p>
        </w:tc>
        <w:tc>
          <w:tcPr>
            <w:tcW w:w="1417" w:type="dxa"/>
            <w:vAlign w:val="center"/>
          </w:tcPr>
          <w:p w14:paraId="283FF4AE">
            <w:pPr>
              <w:pStyle w:val="15"/>
              <w:spacing w:line="320" w:lineRule="exact"/>
              <w:rPr>
                <w:rFonts w:hint="eastAsia" w:ascii="宋体" w:hAnsi="宋体"/>
              </w:rPr>
            </w:pPr>
            <w:r>
              <w:rPr>
                <w:rFonts w:hint="eastAsia" w:ascii="宋体" w:hAnsi="宋体"/>
              </w:rPr>
              <w:t>√</w:t>
            </w:r>
          </w:p>
        </w:tc>
        <w:tc>
          <w:tcPr>
            <w:tcW w:w="1354" w:type="dxa"/>
            <w:tcBorders>
              <w:right w:val="single" w:color="auto" w:sz="12" w:space="0"/>
            </w:tcBorders>
            <w:vAlign w:val="center"/>
          </w:tcPr>
          <w:p w14:paraId="389A82F7">
            <w:pPr>
              <w:pStyle w:val="15"/>
              <w:spacing w:line="320" w:lineRule="exact"/>
              <w:rPr>
                <w:rFonts w:hint="eastAsia" w:ascii="宋体" w:hAnsi="宋体"/>
              </w:rPr>
            </w:pPr>
            <w:r>
              <w:rPr>
                <w:rFonts w:hint="eastAsia" w:ascii="宋体" w:hAnsi="宋体"/>
              </w:rPr>
              <w:t>√</w:t>
            </w:r>
          </w:p>
        </w:tc>
      </w:tr>
      <w:tr w14:paraId="5C2E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47" w:type="dxa"/>
            <w:tcBorders>
              <w:left w:val="single" w:color="auto" w:sz="12" w:space="0"/>
            </w:tcBorders>
          </w:tcPr>
          <w:p w14:paraId="08E2CBF2">
            <w:pPr>
              <w:pStyle w:val="15"/>
              <w:spacing w:line="320" w:lineRule="exact"/>
              <w:jc w:val="left"/>
              <w:rPr>
                <w:rFonts w:hint="eastAsia" w:ascii="宋体" w:hAnsi="宋体"/>
              </w:rPr>
            </w:pPr>
            <w:r>
              <w:rPr>
                <w:rFonts w:hint="eastAsia" w:ascii="宋体" w:hAnsi="宋体"/>
                <w:bCs/>
              </w:rPr>
              <w:t>第五章 心血管系统的常见疾病</w:t>
            </w:r>
          </w:p>
        </w:tc>
        <w:tc>
          <w:tcPr>
            <w:tcW w:w="1559" w:type="dxa"/>
            <w:vAlign w:val="center"/>
          </w:tcPr>
          <w:p w14:paraId="7FB6A7B3">
            <w:pPr>
              <w:pStyle w:val="15"/>
              <w:spacing w:line="320" w:lineRule="exact"/>
              <w:rPr>
                <w:rFonts w:hint="eastAsia" w:ascii="宋体" w:hAnsi="宋体"/>
              </w:rPr>
            </w:pPr>
            <w:r>
              <w:rPr>
                <w:rFonts w:hint="eastAsia" w:ascii="宋体" w:hAnsi="宋体"/>
              </w:rPr>
              <w:t>√</w:t>
            </w:r>
          </w:p>
        </w:tc>
        <w:tc>
          <w:tcPr>
            <w:tcW w:w="1418" w:type="dxa"/>
            <w:vAlign w:val="center"/>
          </w:tcPr>
          <w:p w14:paraId="1D4C855A">
            <w:pPr>
              <w:pStyle w:val="15"/>
              <w:spacing w:line="320" w:lineRule="exact"/>
              <w:rPr>
                <w:rFonts w:hint="eastAsia" w:ascii="宋体" w:hAnsi="宋体"/>
              </w:rPr>
            </w:pPr>
            <w:r>
              <w:rPr>
                <w:rFonts w:hint="eastAsia" w:ascii="宋体" w:hAnsi="宋体"/>
              </w:rPr>
              <w:t>√</w:t>
            </w:r>
          </w:p>
        </w:tc>
        <w:tc>
          <w:tcPr>
            <w:tcW w:w="1417" w:type="dxa"/>
            <w:vAlign w:val="center"/>
          </w:tcPr>
          <w:p w14:paraId="1BA482F9">
            <w:pPr>
              <w:pStyle w:val="15"/>
              <w:spacing w:line="320" w:lineRule="exact"/>
              <w:rPr>
                <w:rFonts w:hint="eastAsia" w:ascii="宋体" w:hAnsi="宋体"/>
              </w:rPr>
            </w:pPr>
            <w:r>
              <w:rPr>
                <w:rFonts w:hint="eastAsia" w:ascii="宋体" w:hAnsi="宋体"/>
              </w:rPr>
              <w:t>√</w:t>
            </w:r>
          </w:p>
        </w:tc>
        <w:tc>
          <w:tcPr>
            <w:tcW w:w="1354" w:type="dxa"/>
            <w:tcBorders>
              <w:right w:val="single" w:color="auto" w:sz="12" w:space="0"/>
            </w:tcBorders>
            <w:vAlign w:val="center"/>
          </w:tcPr>
          <w:p w14:paraId="1141438E">
            <w:pPr>
              <w:pStyle w:val="15"/>
              <w:spacing w:line="320" w:lineRule="exact"/>
              <w:rPr>
                <w:rFonts w:hint="eastAsia" w:ascii="宋体" w:hAnsi="宋体"/>
              </w:rPr>
            </w:pPr>
            <w:r>
              <w:rPr>
                <w:rFonts w:hint="eastAsia" w:ascii="宋体" w:hAnsi="宋体"/>
              </w:rPr>
              <w:t>√</w:t>
            </w:r>
          </w:p>
        </w:tc>
      </w:tr>
      <w:tr w14:paraId="40BD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47" w:type="dxa"/>
            <w:tcBorders>
              <w:left w:val="single" w:color="auto" w:sz="12" w:space="0"/>
            </w:tcBorders>
          </w:tcPr>
          <w:p w14:paraId="0502207F">
            <w:pPr>
              <w:pStyle w:val="15"/>
              <w:spacing w:line="320" w:lineRule="exact"/>
              <w:jc w:val="left"/>
              <w:rPr>
                <w:rFonts w:hint="eastAsia" w:ascii="宋体" w:hAnsi="宋体"/>
              </w:rPr>
            </w:pPr>
            <w:r>
              <w:rPr>
                <w:rFonts w:hint="eastAsia" w:ascii="宋体" w:hAnsi="宋体"/>
                <w:bCs/>
              </w:rPr>
              <w:t xml:space="preserve">第六章 </w:t>
            </w:r>
            <w:r>
              <w:rPr>
                <w:rFonts w:hint="eastAsia" w:ascii="宋体" w:hAnsi="宋体"/>
              </w:rPr>
              <w:t>呼吸系统的常见疾病</w:t>
            </w:r>
          </w:p>
        </w:tc>
        <w:tc>
          <w:tcPr>
            <w:tcW w:w="1559" w:type="dxa"/>
            <w:vAlign w:val="center"/>
          </w:tcPr>
          <w:p w14:paraId="3DA56940">
            <w:pPr>
              <w:pStyle w:val="15"/>
              <w:spacing w:line="320" w:lineRule="exact"/>
              <w:rPr>
                <w:rFonts w:hint="eastAsia" w:ascii="宋体" w:hAnsi="宋体"/>
              </w:rPr>
            </w:pPr>
            <w:r>
              <w:rPr>
                <w:rFonts w:hint="eastAsia" w:ascii="宋体" w:hAnsi="宋体"/>
              </w:rPr>
              <w:t>√</w:t>
            </w:r>
          </w:p>
        </w:tc>
        <w:tc>
          <w:tcPr>
            <w:tcW w:w="1418" w:type="dxa"/>
            <w:vAlign w:val="center"/>
          </w:tcPr>
          <w:p w14:paraId="0DC3902C">
            <w:pPr>
              <w:pStyle w:val="15"/>
              <w:spacing w:line="320" w:lineRule="exact"/>
              <w:rPr>
                <w:rFonts w:hint="eastAsia" w:ascii="宋体" w:hAnsi="宋体"/>
              </w:rPr>
            </w:pPr>
            <w:r>
              <w:rPr>
                <w:rFonts w:hint="eastAsia" w:ascii="宋体" w:hAnsi="宋体"/>
              </w:rPr>
              <w:t>√</w:t>
            </w:r>
          </w:p>
        </w:tc>
        <w:tc>
          <w:tcPr>
            <w:tcW w:w="1417" w:type="dxa"/>
            <w:vAlign w:val="center"/>
          </w:tcPr>
          <w:p w14:paraId="227EAC3F">
            <w:pPr>
              <w:pStyle w:val="15"/>
              <w:spacing w:line="320" w:lineRule="exact"/>
              <w:rPr>
                <w:rFonts w:hint="eastAsia" w:ascii="宋体" w:hAnsi="宋体"/>
              </w:rPr>
            </w:pPr>
            <w:r>
              <w:rPr>
                <w:rFonts w:hint="eastAsia" w:ascii="宋体" w:hAnsi="宋体"/>
              </w:rPr>
              <w:t>√</w:t>
            </w:r>
          </w:p>
        </w:tc>
        <w:tc>
          <w:tcPr>
            <w:tcW w:w="1354" w:type="dxa"/>
            <w:tcBorders>
              <w:right w:val="single" w:color="auto" w:sz="12" w:space="0"/>
            </w:tcBorders>
            <w:vAlign w:val="center"/>
          </w:tcPr>
          <w:p w14:paraId="70A2B291">
            <w:pPr>
              <w:pStyle w:val="15"/>
              <w:spacing w:line="320" w:lineRule="exact"/>
              <w:rPr>
                <w:rFonts w:hint="eastAsia" w:ascii="宋体" w:hAnsi="宋体"/>
              </w:rPr>
            </w:pPr>
            <w:r>
              <w:rPr>
                <w:rFonts w:hint="eastAsia" w:ascii="宋体" w:hAnsi="宋体"/>
              </w:rPr>
              <w:t>√</w:t>
            </w:r>
          </w:p>
        </w:tc>
      </w:tr>
      <w:tr w14:paraId="07B3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47" w:type="dxa"/>
            <w:tcBorders>
              <w:left w:val="single" w:color="auto" w:sz="12" w:space="0"/>
            </w:tcBorders>
          </w:tcPr>
          <w:p w14:paraId="2EB17E2E">
            <w:pPr>
              <w:pStyle w:val="15"/>
              <w:spacing w:line="320" w:lineRule="exact"/>
              <w:jc w:val="left"/>
              <w:rPr>
                <w:rFonts w:hint="eastAsia" w:ascii="宋体" w:hAnsi="宋体"/>
              </w:rPr>
            </w:pPr>
            <w:r>
              <w:rPr>
                <w:rFonts w:hint="eastAsia" w:ascii="宋体" w:hAnsi="宋体"/>
                <w:bCs/>
              </w:rPr>
              <w:t>第七章 消化系统的常见疾病</w:t>
            </w:r>
          </w:p>
        </w:tc>
        <w:tc>
          <w:tcPr>
            <w:tcW w:w="1559" w:type="dxa"/>
            <w:vAlign w:val="center"/>
          </w:tcPr>
          <w:p w14:paraId="6A428991">
            <w:pPr>
              <w:pStyle w:val="15"/>
              <w:spacing w:line="320" w:lineRule="exact"/>
              <w:rPr>
                <w:rFonts w:hint="eastAsia" w:ascii="宋体" w:hAnsi="宋体"/>
              </w:rPr>
            </w:pPr>
            <w:r>
              <w:rPr>
                <w:rFonts w:hint="eastAsia" w:ascii="宋体" w:hAnsi="宋体"/>
              </w:rPr>
              <w:t>√</w:t>
            </w:r>
          </w:p>
        </w:tc>
        <w:tc>
          <w:tcPr>
            <w:tcW w:w="1418" w:type="dxa"/>
            <w:vAlign w:val="center"/>
          </w:tcPr>
          <w:p w14:paraId="15A47E3C">
            <w:pPr>
              <w:pStyle w:val="15"/>
              <w:spacing w:line="320" w:lineRule="exact"/>
              <w:rPr>
                <w:rFonts w:hint="eastAsia" w:ascii="宋体" w:hAnsi="宋体"/>
              </w:rPr>
            </w:pPr>
            <w:r>
              <w:rPr>
                <w:rFonts w:hint="eastAsia" w:ascii="宋体" w:hAnsi="宋体"/>
              </w:rPr>
              <w:t>√</w:t>
            </w:r>
          </w:p>
        </w:tc>
        <w:tc>
          <w:tcPr>
            <w:tcW w:w="1417" w:type="dxa"/>
            <w:vAlign w:val="center"/>
          </w:tcPr>
          <w:p w14:paraId="628B6F41">
            <w:pPr>
              <w:pStyle w:val="15"/>
              <w:spacing w:line="320" w:lineRule="exact"/>
              <w:rPr>
                <w:rFonts w:hint="eastAsia" w:ascii="宋体" w:hAnsi="宋体"/>
              </w:rPr>
            </w:pPr>
            <w:r>
              <w:rPr>
                <w:rFonts w:hint="eastAsia" w:ascii="宋体" w:hAnsi="宋体"/>
              </w:rPr>
              <w:t>√</w:t>
            </w:r>
          </w:p>
        </w:tc>
        <w:tc>
          <w:tcPr>
            <w:tcW w:w="1354" w:type="dxa"/>
            <w:tcBorders>
              <w:right w:val="single" w:color="auto" w:sz="12" w:space="0"/>
            </w:tcBorders>
            <w:vAlign w:val="center"/>
          </w:tcPr>
          <w:p w14:paraId="1A37F7F1">
            <w:pPr>
              <w:pStyle w:val="15"/>
              <w:spacing w:line="320" w:lineRule="exact"/>
              <w:rPr>
                <w:rFonts w:hint="eastAsia" w:ascii="宋体" w:hAnsi="宋体"/>
              </w:rPr>
            </w:pPr>
            <w:r>
              <w:rPr>
                <w:rFonts w:hint="eastAsia" w:ascii="宋体" w:hAnsi="宋体"/>
              </w:rPr>
              <w:t>√</w:t>
            </w:r>
          </w:p>
        </w:tc>
      </w:tr>
      <w:tr w14:paraId="5D2D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2547" w:type="dxa"/>
            <w:tcBorders>
              <w:left w:val="single" w:color="auto" w:sz="12" w:space="0"/>
            </w:tcBorders>
          </w:tcPr>
          <w:p w14:paraId="18E9B1C5">
            <w:pPr>
              <w:pStyle w:val="15"/>
              <w:spacing w:line="320" w:lineRule="exact"/>
              <w:jc w:val="left"/>
              <w:rPr>
                <w:rFonts w:hint="eastAsia" w:ascii="宋体" w:hAnsi="宋体"/>
              </w:rPr>
            </w:pPr>
            <w:r>
              <w:rPr>
                <w:rFonts w:hint="eastAsia" w:ascii="宋体" w:hAnsi="宋体"/>
                <w:bCs/>
              </w:rPr>
              <w:t xml:space="preserve">第八章 </w:t>
            </w:r>
            <w:r>
              <w:rPr>
                <w:rFonts w:hint="eastAsia" w:ascii="宋体" w:hAnsi="宋体"/>
              </w:rPr>
              <w:t>水、电解质代谢紊乱</w:t>
            </w:r>
          </w:p>
        </w:tc>
        <w:tc>
          <w:tcPr>
            <w:tcW w:w="1559" w:type="dxa"/>
            <w:vAlign w:val="center"/>
          </w:tcPr>
          <w:p w14:paraId="58558751">
            <w:pPr>
              <w:pStyle w:val="15"/>
              <w:spacing w:line="320" w:lineRule="exact"/>
              <w:rPr>
                <w:rFonts w:hint="eastAsia" w:ascii="宋体" w:hAnsi="宋体"/>
              </w:rPr>
            </w:pPr>
            <w:r>
              <w:rPr>
                <w:rFonts w:hint="eastAsia" w:ascii="宋体" w:hAnsi="宋体"/>
              </w:rPr>
              <w:t>√</w:t>
            </w:r>
          </w:p>
        </w:tc>
        <w:tc>
          <w:tcPr>
            <w:tcW w:w="1418" w:type="dxa"/>
            <w:vAlign w:val="center"/>
          </w:tcPr>
          <w:p w14:paraId="64350378">
            <w:pPr>
              <w:pStyle w:val="15"/>
              <w:spacing w:line="320" w:lineRule="exact"/>
              <w:rPr>
                <w:rFonts w:hint="eastAsia" w:ascii="宋体" w:hAnsi="宋体"/>
              </w:rPr>
            </w:pPr>
            <w:r>
              <w:rPr>
                <w:rFonts w:hint="eastAsia" w:ascii="宋体" w:hAnsi="宋体"/>
              </w:rPr>
              <w:t>√</w:t>
            </w:r>
          </w:p>
        </w:tc>
        <w:tc>
          <w:tcPr>
            <w:tcW w:w="1417" w:type="dxa"/>
            <w:vAlign w:val="center"/>
          </w:tcPr>
          <w:p w14:paraId="60D2F2A6">
            <w:pPr>
              <w:pStyle w:val="15"/>
              <w:spacing w:line="320" w:lineRule="exact"/>
              <w:rPr>
                <w:rFonts w:hint="eastAsia" w:ascii="宋体" w:hAnsi="宋体"/>
              </w:rPr>
            </w:pPr>
            <w:r>
              <w:rPr>
                <w:rFonts w:hint="eastAsia" w:ascii="宋体" w:hAnsi="宋体"/>
              </w:rPr>
              <w:t>√</w:t>
            </w:r>
          </w:p>
        </w:tc>
        <w:tc>
          <w:tcPr>
            <w:tcW w:w="1354" w:type="dxa"/>
            <w:tcBorders>
              <w:right w:val="single" w:color="auto" w:sz="12" w:space="0"/>
            </w:tcBorders>
            <w:vAlign w:val="center"/>
          </w:tcPr>
          <w:p w14:paraId="17B3C544">
            <w:pPr>
              <w:pStyle w:val="15"/>
              <w:spacing w:line="320" w:lineRule="exact"/>
              <w:rPr>
                <w:rFonts w:hint="eastAsia" w:ascii="宋体" w:hAnsi="宋体"/>
              </w:rPr>
            </w:pPr>
            <w:r>
              <w:rPr>
                <w:rFonts w:hint="eastAsia" w:ascii="宋体" w:hAnsi="宋体"/>
              </w:rPr>
              <w:t>√</w:t>
            </w:r>
          </w:p>
        </w:tc>
      </w:tr>
      <w:tr w14:paraId="3DA4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47" w:type="dxa"/>
            <w:tcBorders>
              <w:left w:val="single" w:color="auto" w:sz="12" w:space="0"/>
            </w:tcBorders>
          </w:tcPr>
          <w:p w14:paraId="41DC0D00">
            <w:pPr>
              <w:pStyle w:val="15"/>
              <w:spacing w:line="320" w:lineRule="exact"/>
              <w:jc w:val="left"/>
              <w:rPr>
                <w:rFonts w:hint="eastAsia" w:ascii="宋体" w:hAnsi="宋体"/>
              </w:rPr>
            </w:pPr>
            <w:r>
              <w:rPr>
                <w:rFonts w:hint="eastAsia" w:ascii="宋体" w:hAnsi="宋体"/>
                <w:bCs/>
              </w:rPr>
              <w:t xml:space="preserve">第九章 </w:t>
            </w:r>
            <w:r>
              <w:rPr>
                <w:rFonts w:hint="eastAsia" w:ascii="宋体" w:hAnsi="宋体"/>
              </w:rPr>
              <w:t>发热</w:t>
            </w:r>
          </w:p>
        </w:tc>
        <w:tc>
          <w:tcPr>
            <w:tcW w:w="1559" w:type="dxa"/>
            <w:vAlign w:val="center"/>
          </w:tcPr>
          <w:p w14:paraId="31EB9BE8">
            <w:pPr>
              <w:pStyle w:val="15"/>
              <w:spacing w:line="320" w:lineRule="exact"/>
              <w:rPr>
                <w:rFonts w:hint="eastAsia" w:ascii="宋体" w:hAnsi="宋体"/>
              </w:rPr>
            </w:pPr>
            <w:r>
              <w:rPr>
                <w:rFonts w:hint="eastAsia" w:ascii="宋体" w:hAnsi="宋体"/>
              </w:rPr>
              <w:t>√</w:t>
            </w:r>
          </w:p>
        </w:tc>
        <w:tc>
          <w:tcPr>
            <w:tcW w:w="1418" w:type="dxa"/>
            <w:vAlign w:val="center"/>
          </w:tcPr>
          <w:p w14:paraId="36C8E421">
            <w:pPr>
              <w:pStyle w:val="15"/>
              <w:spacing w:line="320" w:lineRule="exact"/>
              <w:rPr>
                <w:rFonts w:hint="eastAsia" w:ascii="宋体" w:hAnsi="宋体"/>
              </w:rPr>
            </w:pPr>
            <w:r>
              <w:rPr>
                <w:rFonts w:hint="eastAsia" w:ascii="宋体" w:hAnsi="宋体"/>
              </w:rPr>
              <w:t>√</w:t>
            </w:r>
          </w:p>
        </w:tc>
        <w:tc>
          <w:tcPr>
            <w:tcW w:w="1417" w:type="dxa"/>
            <w:vAlign w:val="center"/>
          </w:tcPr>
          <w:p w14:paraId="53E49F74">
            <w:pPr>
              <w:pStyle w:val="15"/>
              <w:spacing w:line="320" w:lineRule="exact"/>
              <w:rPr>
                <w:rFonts w:hint="eastAsia" w:ascii="宋体" w:hAnsi="宋体"/>
              </w:rPr>
            </w:pPr>
            <w:r>
              <w:rPr>
                <w:rFonts w:hint="eastAsia" w:ascii="宋体" w:hAnsi="宋体"/>
              </w:rPr>
              <w:t>√</w:t>
            </w:r>
          </w:p>
        </w:tc>
        <w:tc>
          <w:tcPr>
            <w:tcW w:w="1354" w:type="dxa"/>
            <w:tcBorders>
              <w:right w:val="single" w:color="auto" w:sz="12" w:space="0"/>
            </w:tcBorders>
            <w:vAlign w:val="center"/>
          </w:tcPr>
          <w:p w14:paraId="04C5FA57">
            <w:pPr>
              <w:pStyle w:val="15"/>
              <w:spacing w:line="320" w:lineRule="exact"/>
              <w:rPr>
                <w:rFonts w:hint="eastAsia" w:ascii="宋体" w:hAnsi="宋体"/>
              </w:rPr>
            </w:pPr>
            <w:r>
              <w:rPr>
                <w:rFonts w:hint="eastAsia" w:ascii="宋体" w:hAnsi="宋体"/>
              </w:rPr>
              <w:t>√</w:t>
            </w:r>
          </w:p>
        </w:tc>
      </w:tr>
      <w:tr w14:paraId="50F2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47" w:type="dxa"/>
            <w:tcBorders>
              <w:left w:val="single" w:color="auto" w:sz="12" w:space="0"/>
            </w:tcBorders>
          </w:tcPr>
          <w:p w14:paraId="797C4DBC">
            <w:pPr>
              <w:pStyle w:val="15"/>
              <w:spacing w:line="320" w:lineRule="exact"/>
              <w:jc w:val="left"/>
              <w:rPr>
                <w:rFonts w:hint="eastAsia" w:ascii="宋体" w:hAnsi="宋体"/>
                <w:bCs/>
              </w:rPr>
            </w:pPr>
            <w:r>
              <w:rPr>
                <w:rFonts w:hint="eastAsia" w:ascii="宋体" w:hAnsi="宋体"/>
                <w:bCs/>
              </w:rPr>
              <w:t xml:space="preserve">第十章 </w:t>
            </w:r>
            <w:r>
              <w:rPr>
                <w:rFonts w:hint="eastAsia" w:ascii="宋体" w:hAnsi="宋体"/>
              </w:rPr>
              <w:t>休克</w:t>
            </w:r>
          </w:p>
        </w:tc>
        <w:tc>
          <w:tcPr>
            <w:tcW w:w="1559" w:type="dxa"/>
            <w:vAlign w:val="center"/>
          </w:tcPr>
          <w:p w14:paraId="30BF232D">
            <w:pPr>
              <w:pStyle w:val="15"/>
              <w:spacing w:line="320" w:lineRule="exact"/>
              <w:rPr>
                <w:rFonts w:hint="eastAsia" w:ascii="宋体" w:hAnsi="宋体"/>
              </w:rPr>
            </w:pPr>
            <w:r>
              <w:rPr>
                <w:rFonts w:hint="eastAsia" w:ascii="宋体" w:hAnsi="宋体"/>
              </w:rPr>
              <w:t>√</w:t>
            </w:r>
          </w:p>
        </w:tc>
        <w:tc>
          <w:tcPr>
            <w:tcW w:w="1418" w:type="dxa"/>
            <w:vAlign w:val="center"/>
          </w:tcPr>
          <w:p w14:paraId="2FB5552F">
            <w:pPr>
              <w:pStyle w:val="15"/>
              <w:spacing w:line="320" w:lineRule="exact"/>
              <w:rPr>
                <w:rFonts w:hint="eastAsia" w:ascii="宋体" w:hAnsi="宋体"/>
              </w:rPr>
            </w:pPr>
            <w:r>
              <w:rPr>
                <w:rFonts w:hint="eastAsia" w:ascii="宋体" w:hAnsi="宋体"/>
              </w:rPr>
              <w:t>√</w:t>
            </w:r>
          </w:p>
        </w:tc>
        <w:tc>
          <w:tcPr>
            <w:tcW w:w="1417" w:type="dxa"/>
            <w:vAlign w:val="center"/>
          </w:tcPr>
          <w:p w14:paraId="5A91ABC3">
            <w:pPr>
              <w:pStyle w:val="15"/>
              <w:spacing w:line="320" w:lineRule="exact"/>
              <w:rPr>
                <w:rFonts w:hint="eastAsia" w:ascii="宋体" w:hAnsi="宋体"/>
              </w:rPr>
            </w:pPr>
            <w:r>
              <w:rPr>
                <w:rFonts w:hint="eastAsia" w:ascii="宋体" w:hAnsi="宋体"/>
              </w:rPr>
              <w:t>√</w:t>
            </w:r>
          </w:p>
        </w:tc>
        <w:tc>
          <w:tcPr>
            <w:tcW w:w="1354" w:type="dxa"/>
            <w:tcBorders>
              <w:right w:val="single" w:color="auto" w:sz="12" w:space="0"/>
            </w:tcBorders>
            <w:vAlign w:val="center"/>
          </w:tcPr>
          <w:p w14:paraId="217740D1">
            <w:pPr>
              <w:pStyle w:val="15"/>
              <w:spacing w:line="320" w:lineRule="exact"/>
              <w:rPr>
                <w:rFonts w:hint="eastAsia" w:ascii="宋体" w:hAnsi="宋体"/>
              </w:rPr>
            </w:pPr>
            <w:r>
              <w:rPr>
                <w:rFonts w:hint="eastAsia" w:ascii="宋体" w:hAnsi="宋体"/>
              </w:rPr>
              <w:t>√</w:t>
            </w:r>
          </w:p>
        </w:tc>
      </w:tr>
      <w:tr w14:paraId="41DD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47" w:type="dxa"/>
            <w:tcBorders>
              <w:left w:val="single" w:color="auto" w:sz="12" w:space="0"/>
            </w:tcBorders>
          </w:tcPr>
          <w:p w14:paraId="7F4DB028">
            <w:pPr>
              <w:pStyle w:val="15"/>
              <w:spacing w:line="320" w:lineRule="exact"/>
              <w:jc w:val="left"/>
              <w:rPr>
                <w:rFonts w:hint="eastAsia" w:ascii="宋体" w:hAnsi="宋体"/>
                <w:bCs/>
              </w:rPr>
            </w:pPr>
            <w:r>
              <w:rPr>
                <w:rFonts w:hint="eastAsia" w:ascii="宋体" w:hAnsi="宋体"/>
                <w:bCs/>
              </w:rPr>
              <w:t xml:space="preserve">第十一章 </w:t>
            </w:r>
            <w:r>
              <w:rPr>
                <w:rFonts w:hint="eastAsia" w:ascii="宋体" w:hAnsi="宋体"/>
              </w:rPr>
              <w:t>弥散性血管内凝血</w:t>
            </w:r>
          </w:p>
        </w:tc>
        <w:tc>
          <w:tcPr>
            <w:tcW w:w="1559" w:type="dxa"/>
            <w:vAlign w:val="center"/>
          </w:tcPr>
          <w:p w14:paraId="626BF015">
            <w:pPr>
              <w:pStyle w:val="15"/>
              <w:spacing w:line="320" w:lineRule="exact"/>
              <w:rPr>
                <w:rFonts w:hint="eastAsia" w:ascii="宋体" w:hAnsi="宋体"/>
              </w:rPr>
            </w:pPr>
            <w:r>
              <w:rPr>
                <w:rFonts w:hint="eastAsia" w:ascii="宋体" w:hAnsi="宋体"/>
              </w:rPr>
              <w:t>√</w:t>
            </w:r>
          </w:p>
        </w:tc>
        <w:tc>
          <w:tcPr>
            <w:tcW w:w="1418" w:type="dxa"/>
            <w:vAlign w:val="center"/>
          </w:tcPr>
          <w:p w14:paraId="61E631B7">
            <w:pPr>
              <w:pStyle w:val="15"/>
              <w:spacing w:line="320" w:lineRule="exact"/>
              <w:rPr>
                <w:rFonts w:hint="eastAsia" w:ascii="宋体" w:hAnsi="宋体"/>
              </w:rPr>
            </w:pPr>
            <w:r>
              <w:rPr>
                <w:rFonts w:hint="eastAsia" w:ascii="宋体" w:hAnsi="宋体"/>
              </w:rPr>
              <w:t>√</w:t>
            </w:r>
          </w:p>
        </w:tc>
        <w:tc>
          <w:tcPr>
            <w:tcW w:w="1417" w:type="dxa"/>
            <w:vAlign w:val="center"/>
          </w:tcPr>
          <w:p w14:paraId="570E1C62">
            <w:pPr>
              <w:pStyle w:val="15"/>
              <w:spacing w:line="320" w:lineRule="exact"/>
              <w:rPr>
                <w:rFonts w:hint="eastAsia" w:ascii="宋体" w:hAnsi="宋体"/>
              </w:rPr>
            </w:pPr>
            <w:r>
              <w:rPr>
                <w:rFonts w:hint="eastAsia" w:ascii="宋体" w:hAnsi="宋体"/>
              </w:rPr>
              <w:t>√</w:t>
            </w:r>
          </w:p>
        </w:tc>
        <w:tc>
          <w:tcPr>
            <w:tcW w:w="1354" w:type="dxa"/>
            <w:tcBorders>
              <w:right w:val="single" w:color="auto" w:sz="12" w:space="0"/>
            </w:tcBorders>
            <w:vAlign w:val="center"/>
          </w:tcPr>
          <w:p w14:paraId="5363D2D0">
            <w:pPr>
              <w:pStyle w:val="15"/>
              <w:spacing w:line="320" w:lineRule="exact"/>
              <w:rPr>
                <w:rFonts w:hint="eastAsia" w:ascii="宋体" w:hAnsi="宋体"/>
              </w:rPr>
            </w:pPr>
            <w:r>
              <w:rPr>
                <w:rFonts w:hint="eastAsia" w:ascii="宋体" w:hAnsi="宋体"/>
              </w:rPr>
              <w:t>√</w:t>
            </w:r>
          </w:p>
        </w:tc>
      </w:tr>
      <w:tr w14:paraId="2AA9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47" w:type="dxa"/>
            <w:tcBorders>
              <w:left w:val="single" w:color="auto" w:sz="12" w:space="0"/>
              <w:bottom w:val="single" w:color="auto" w:sz="12" w:space="0"/>
            </w:tcBorders>
          </w:tcPr>
          <w:p w14:paraId="77A5AF98">
            <w:pPr>
              <w:pStyle w:val="15"/>
              <w:spacing w:line="320" w:lineRule="exact"/>
              <w:jc w:val="left"/>
              <w:rPr>
                <w:rFonts w:hint="eastAsia" w:ascii="宋体" w:hAnsi="宋体"/>
                <w:bCs/>
              </w:rPr>
            </w:pPr>
            <w:r>
              <w:rPr>
                <w:rFonts w:hint="eastAsia" w:ascii="宋体" w:hAnsi="宋体"/>
                <w:bCs/>
              </w:rPr>
              <w:t xml:space="preserve">第十二章 </w:t>
            </w:r>
            <w:r>
              <w:rPr>
                <w:rFonts w:hint="eastAsia" w:ascii="宋体" w:hAnsi="宋体"/>
              </w:rPr>
              <w:t>重要器官功能衰竭</w:t>
            </w:r>
          </w:p>
        </w:tc>
        <w:tc>
          <w:tcPr>
            <w:tcW w:w="1559" w:type="dxa"/>
            <w:tcBorders>
              <w:bottom w:val="single" w:color="auto" w:sz="12" w:space="0"/>
            </w:tcBorders>
            <w:vAlign w:val="center"/>
          </w:tcPr>
          <w:p w14:paraId="2A4E5DF2">
            <w:pPr>
              <w:pStyle w:val="15"/>
              <w:spacing w:line="320" w:lineRule="exact"/>
              <w:rPr>
                <w:rFonts w:hint="eastAsia" w:ascii="宋体" w:hAnsi="宋体"/>
              </w:rPr>
            </w:pPr>
            <w:r>
              <w:rPr>
                <w:rFonts w:hint="eastAsia" w:ascii="宋体" w:hAnsi="宋体"/>
              </w:rPr>
              <w:t>√</w:t>
            </w:r>
          </w:p>
        </w:tc>
        <w:tc>
          <w:tcPr>
            <w:tcW w:w="1418" w:type="dxa"/>
            <w:tcBorders>
              <w:bottom w:val="single" w:color="auto" w:sz="12" w:space="0"/>
            </w:tcBorders>
            <w:vAlign w:val="center"/>
          </w:tcPr>
          <w:p w14:paraId="1B76CCFB">
            <w:pPr>
              <w:pStyle w:val="15"/>
              <w:spacing w:line="320" w:lineRule="exact"/>
              <w:rPr>
                <w:rFonts w:hint="eastAsia" w:ascii="宋体" w:hAnsi="宋体"/>
              </w:rPr>
            </w:pPr>
            <w:r>
              <w:rPr>
                <w:rFonts w:hint="eastAsia" w:ascii="宋体" w:hAnsi="宋体"/>
              </w:rPr>
              <w:t>√</w:t>
            </w:r>
          </w:p>
        </w:tc>
        <w:tc>
          <w:tcPr>
            <w:tcW w:w="1417" w:type="dxa"/>
            <w:tcBorders>
              <w:bottom w:val="single" w:color="auto" w:sz="12" w:space="0"/>
            </w:tcBorders>
            <w:vAlign w:val="center"/>
          </w:tcPr>
          <w:p w14:paraId="37A27846">
            <w:pPr>
              <w:pStyle w:val="15"/>
              <w:spacing w:line="320" w:lineRule="exact"/>
              <w:rPr>
                <w:rFonts w:hint="eastAsia" w:ascii="宋体" w:hAnsi="宋体"/>
              </w:rPr>
            </w:pPr>
            <w:r>
              <w:rPr>
                <w:rFonts w:hint="eastAsia" w:ascii="宋体" w:hAnsi="宋体"/>
              </w:rPr>
              <w:t>√</w:t>
            </w:r>
          </w:p>
        </w:tc>
        <w:tc>
          <w:tcPr>
            <w:tcW w:w="1354" w:type="dxa"/>
            <w:tcBorders>
              <w:bottom w:val="single" w:color="auto" w:sz="12" w:space="0"/>
              <w:right w:val="single" w:color="auto" w:sz="12" w:space="0"/>
            </w:tcBorders>
            <w:vAlign w:val="center"/>
          </w:tcPr>
          <w:p w14:paraId="6EECED05">
            <w:pPr>
              <w:pStyle w:val="15"/>
              <w:spacing w:line="320" w:lineRule="exact"/>
              <w:rPr>
                <w:rFonts w:hint="eastAsia" w:ascii="宋体" w:hAnsi="宋体"/>
              </w:rPr>
            </w:pPr>
            <w:r>
              <w:rPr>
                <w:rFonts w:hint="eastAsia" w:ascii="宋体" w:hAnsi="宋体"/>
              </w:rPr>
              <w:t>√</w:t>
            </w:r>
          </w:p>
        </w:tc>
      </w:tr>
    </w:tbl>
    <w:p w14:paraId="404F2BF6">
      <w:pPr>
        <w:pStyle w:val="18"/>
        <w:spacing w:before="326" w:beforeLines="100" w:after="163"/>
      </w:pPr>
      <w:r>
        <w:rPr>
          <w:rFonts w:hint="eastAsia"/>
        </w:rPr>
        <w:t>（三）课程教学方法与学时分配</w:t>
      </w:r>
    </w:p>
    <w:tbl>
      <w:tblPr>
        <w:tblStyle w:val="8"/>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19"/>
        <w:gridCol w:w="2415"/>
        <w:gridCol w:w="1738"/>
        <w:gridCol w:w="725"/>
        <w:gridCol w:w="669"/>
        <w:gridCol w:w="717"/>
      </w:tblGrid>
      <w:tr w14:paraId="6AD5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19" w:type="dxa"/>
            <w:vMerge w:val="restart"/>
            <w:tcBorders>
              <w:top w:val="single" w:color="auto" w:sz="12" w:space="0"/>
              <w:left w:val="single" w:color="auto" w:sz="12" w:space="0"/>
            </w:tcBorders>
            <w:vAlign w:val="center"/>
          </w:tcPr>
          <w:p w14:paraId="38564CB1">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415" w:type="dxa"/>
            <w:vMerge w:val="restart"/>
            <w:tcBorders>
              <w:top w:val="single" w:color="auto" w:sz="12" w:space="0"/>
            </w:tcBorders>
            <w:vAlign w:val="center"/>
          </w:tcPr>
          <w:p w14:paraId="61C8F159">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74DFD55F">
            <w:pPr>
              <w:pStyle w:val="14"/>
              <w:widowControl w:val="0"/>
              <w:rPr>
                <w:rFonts w:hint="eastAsia"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A0988E2">
            <w:pPr>
              <w:pStyle w:val="14"/>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5D3C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19" w:type="dxa"/>
            <w:vMerge w:val="continue"/>
            <w:tcBorders>
              <w:left w:val="single" w:color="auto" w:sz="12" w:space="0"/>
            </w:tcBorders>
          </w:tcPr>
          <w:p w14:paraId="0EE65ED4">
            <w:pPr>
              <w:widowControl w:val="0"/>
              <w:snapToGrid w:val="0"/>
              <w:jc w:val="center"/>
              <w:rPr>
                <w:rFonts w:hint="eastAsia" w:ascii="黑体" w:hAnsi="黑体" w:eastAsia="黑体"/>
                <w:bCs/>
                <w:sz w:val="21"/>
                <w:szCs w:val="21"/>
              </w:rPr>
            </w:pPr>
          </w:p>
        </w:tc>
        <w:tc>
          <w:tcPr>
            <w:tcW w:w="2415" w:type="dxa"/>
            <w:vMerge w:val="continue"/>
          </w:tcPr>
          <w:p w14:paraId="36D099B2">
            <w:pPr>
              <w:widowControl w:val="0"/>
              <w:snapToGrid w:val="0"/>
              <w:jc w:val="center"/>
              <w:rPr>
                <w:rFonts w:hint="eastAsia" w:ascii="黑体" w:hAnsi="黑体" w:eastAsia="黑体"/>
                <w:bCs/>
                <w:sz w:val="21"/>
                <w:szCs w:val="21"/>
              </w:rPr>
            </w:pPr>
          </w:p>
        </w:tc>
        <w:tc>
          <w:tcPr>
            <w:tcW w:w="1738" w:type="dxa"/>
            <w:vMerge w:val="continue"/>
          </w:tcPr>
          <w:p w14:paraId="7BA521B8">
            <w:pPr>
              <w:widowControl w:val="0"/>
              <w:snapToGrid w:val="0"/>
              <w:jc w:val="center"/>
              <w:rPr>
                <w:rFonts w:hint="eastAsia" w:ascii="黑体" w:hAnsi="黑体" w:eastAsia="黑体"/>
                <w:bCs/>
                <w:sz w:val="21"/>
                <w:szCs w:val="21"/>
              </w:rPr>
            </w:pPr>
          </w:p>
        </w:tc>
        <w:tc>
          <w:tcPr>
            <w:tcW w:w="725" w:type="dxa"/>
            <w:vAlign w:val="center"/>
          </w:tcPr>
          <w:p w14:paraId="090B8ACE">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9" w:type="dxa"/>
            <w:vAlign w:val="center"/>
          </w:tcPr>
          <w:p w14:paraId="1AD8B729">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06F76DD3">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2718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9" w:type="dxa"/>
            <w:tcBorders>
              <w:left w:val="single" w:color="auto" w:sz="12" w:space="0"/>
            </w:tcBorders>
          </w:tcPr>
          <w:p w14:paraId="048B28DF">
            <w:pPr>
              <w:pStyle w:val="15"/>
              <w:spacing w:line="320" w:lineRule="exact"/>
              <w:rPr>
                <w:rFonts w:hint="eastAsia" w:ascii="宋体" w:hAnsi="宋体"/>
              </w:rPr>
            </w:pPr>
            <w:r>
              <w:rPr>
                <w:rFonts w:hint="eastAsia" w:ascii="宋体" w:hAnsi="宋体"/>
                <w:bCs/>
              </w:rPr>
              <w:t>第一章 细胞、组织的适应、损伤与修复</w:t>
            </w:r>
          </w:p>
        </w:tc>
        <w:tc>
          <w:tcPr>
            <w:tcW w:w="2415" w:type="dxa"/>
            <w:vAlign w:val="center"/>
          </w:tcPr>
          <w:p w14:paraId="1546BCC8">
            <w:pPr>
              <w:snapToGrid w:val="0"/>
              <w:spacing w:line="320" w:lineRule="exact"/>
              <w:jc w:val="both"/>
              <w:rPr>
                <w:rFonts w:hint="eastAsia"/>
                <w:bCs/>
                <w:sz w:val="21"/>
                <w:szCs w:val="21"/>
              </w:rPr>
            </w:pPr>
            <w:r>
              <w:rPr>
                <w:rFonts w:hint="eastAsia"/>
                <w:bCs/>
                <w:sz w:val="21"/>
                <w:szCs w:val="21"/>
              </w:rPr>
              <w:t>教：讲述教学法、讨论教学法、显微镜示教教学法。</w:t>
            </w:r>
          </w:p>
          <w:p w14:paraId="69ABAC08">
            <w:pPr>
              <w:widowControl w:val="0"/>
              <w:snapToGrid w:val="0"/>
              <w:spacing w:line="320" w:lineRule="exact"/>
              <w:jc w:val="both"/>
              <w:rPr>
                <w:rFonts w:hint="eastAsia"/>
                <w:sz w:val="21"/>
                <w:szCs w:val="21"/>
              </w:rPr>
            </w:pPr>
            <w:r>
              <w:rPr>
                <w:rFonts w:hint="eastAsia"/>
                <w:bCs/>
                <w:sz w:val="21"/>
                <w:szCs w:val="21"/>
              </w:rPr>
              <w:t>学：</w:t>
            </w:r>
            <w:r>
              <w:rPr>
                <w:bCs/>
                <w:sz w:val="21"/>
                <w:szCs w:val="21"/>
              </w:rPr>
              <w:t>PBL</w:t>
            </w:r>
            <w:r>
              <w:rPr>
                <w:rFonts w:hint="eastAsia"/>
                <w:bCs/>
                <w:sz w:val="21"/>
                <w:szCs w:val="21"/>
              </w:rPr>
              <w:t>、实作学习</w:t>
            </w:r>
          </w:p>
        </w:tc>
        <w:tc>
          <w:tcPr>
            <w:tcW w:w="1738" w:type="dxa"/>
            <w:vAlign w:val="center"/>
          </w:tcPr>
          <w:p w14:paraId="384BB683">
            <w:pPr>
              <w:snapToGrid w:val="0"/>
              <w:spacing w:line="320" w:lineRule="exact"/>
              <w:jc w:val="center"/>
              <w:rPr>
                <w:rFonts w:hint="eastAsia"/>
                <w:bCs/>
                <w:sz w:val="21"/>
                <w:szCs w:val="21"/>
              </w:rPr>
            </w:pPr>
            <w:r>
              <w:rPr>
                <w:rFonts w:hint="eastAsia"/>
                <w:bCs/>
                <w:sz w:val="21"/>
                <w:szCs w:val="21"/>
              </w:rPr>
              <w:t>纸笔测试</w:t>
            </w:r>
          </w:p>
          <w:p w14:paraId="102229EE">
            <w:pPr>
              <w:widowControl w:val="0"/>
              <w:snapToGrid w:val="0"/>
              <w:spacing w:line="320" w:lineRule="exact"/>
              <w:jc w:val="center"/>
              <w:rPr>
                <w:rFonts w:hint="eastAsia"/>
                <w:sz w:val="21"/>
                <w:szCs w:val="21"/>
              </w:rPr>
            </w:pPr>
            <w:r>
              <w:rPr>
                <w:rFonts w:hint="eastAsia"/>
                <w:bCs/>
                <w:sz w:val="21"/>
                <w:szCs w:val="21"/>
              </w:rPr>
              <w:t>实验报告</w:t>
            </w:r>
          </w:p>
        </w:tc>
        <w:tc>
          <w:tcPr>
            <w:tcW w:w="725" w:type="dxa"/>
            <w:vAlign w:val="center"/>
          </w:tcPr>
          <w:p w14:paraId="09AF5320">
            <w:pPr>
              <w:widowControl w:val="0"/>
              <w:snapToGrid w:val="0"/>
              <w:spacing w:line="320" w:lineRule="exact"/>
              <w:jc w:val="center"/>
              <w:rPr>
                <w:rFonts w:hint="eastAsia"/>
                <w:bCs/>
                <w:sz w:val="21"/>
                <w:szCs w:val="21"/>
              </w:rPr>
            </w:pPr>
            <w:r>
              <w:rPr>
                <w:rFonts w:hint="eastAsia"/>
                <w:bCs/>
                <w:sz w:val="21"/>
                <w:szCs w:val="21"/>
              </w:rPr>
              <w:t>3</w:t>
            </w:r>
          </w:p>
        </w:tc>
        <w:tc>
          <w:tcPr>
            <w:tcW w:w="669" w:type="dxa"/>
            <w:vAlign w:val="center"/>
          </w:tcPr>
          <w:p w14:paraId="2614A6ED">
            <w:pPr>
              <w:widowControl w:val="0"/>
              <w:snapToGrid w:val="0"/>
              <w:spacing w:line="320" w:lineRule="exact"/>
              <w:jc w:val="center"/>
              <w:rPr>
                <w:rFonts w:hint="eastAsia"/>
                <w:bCs/>
                <w:sz w:val="21"/>
                <w:szCs w:val="21"/>
              </w:rPr>
            </w:pPr>
            <w:r>
              <w:rPr>
                <w:rFonts w:hint="eastAsia"/>
                <w:bCs/>
                <w:sz w:val="21"/>
                <w:szCs w:val="21"/>
              </w:rPr>
              <w:t>1.5</w:t>
            </w:r>
          </w:p>
        </w:tc>
        <w:tc>
          <w:tcPr>
            <w:tcW w:w="717" w:type="dxa"/>
            <w:tcBorders>
              <w:right w:val="single" w:color="auto" w:sz="12" w:space="0"/>
            </w:tcBorders>
            <w:vAlign w:val="center"/>
          </w:tcPr>
          <w:p w14:paraId="0154A3B3">
            <w:pPr>
              <w:widowControl w:val="0"/>
              <w:snapToGrid w:val="0"/>
              <w:spacing w:line="320" w:lineRule="exact"/>
              <w:jc w:val="center"/>
              <w:rPr>
                <w:rFonts w:hint="eastAsia"/>
                <w:bCs/>
                <w:sz w:val="21"/>
                <w:szCs w:val="21"/>
              </w:rPr>
            </w:pPr>
            <w:r>
              <w:rPr>
                <w:rFonts w:hint="eastAsia"/>
                <w:bCs/>
                <w:sz w:val="21"/>
                <w:szCs w:val="21"/>
              </w:rPr>
              <w:t>4.5</w:t>
            </w:r>
          </w:p>
        </w:tc>
      </w:tr>
      <w:tr w14:paraId="63E9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4" w:hRule="atLeast"/>
          <w:jc w:val="center"/>
        </w:trPr>
        <w:tc>
          <w:tcPr>
            <w:tcW w:w="2019" w:type="dxa"/>
            <w:tcBorders>
              <w:left w:val="single" w:color="auto" w:sz="12" w:space="0"/>
            </w:tcBorders>
          </w:tcPr>
          <w:p w14:paraId="7A0E3C56">
            <w:pPr>
              <w:pStyle w:val="15"/>
              <w:widowControl w:val="0"/>
              <w:spacing w:line="320" w:lineRule="exact"/>
              <w:jc w:val="left"/>
              <w:rPr>
                <w:rFonts w:hint="eastAsia" w:ascii="宋体" w:hAnsi="宋体"/>
              </w:rPr>
            </w:pPr>
            <w:r>
              <w:rPr>
                <w:rFonts w:hint="eastAsia" w:ascii="宋体" w:hAnsi="宋体"/>
                <w:bCs/>
              </w:rPr>
              <w:t xml:space="preserve">第二章 </w:t>
            </w:r>
            <w:r>
              <w:rPr>
                <w:rFonts w:hint="eastAsia" w:ascii="宋体" w:hAnsi="宋体"/>
              </w:rPr>
              <w:t>局部血液循环障碍</w:t>
            </w:r>
          </w:p>
        </w:tc>
        <w:tc>
          <w:tcPr>
            <w:tcW w:w="2415" w:type="dxa"/>
            <w:vAlign w:val="center"/>
          </w:tcPr>
          <w:p w14:paraId="18A9F290">
            <w:pPr>
              <w:snapToGrid w:val="0"/>
              <w:spacing w:line="320" w:lineRule="exact"/>
              <w:jc w:val="both"/>
              <w:rPr>
                <w:rFonts w:hint="eastAsia"/>
                <w:bCs/>
                <w:sz w:val="21"/>
                <w:szCs w:val="21"/>
              </w:rPr>
            </w:pPr>
            <w:r>
              <w:rPr>
                <w:rFonts w:hint="eastAsia"/>
                <w:bCs/>
                <w:sz w:val="21"/>
                <w:szCs w:val="21"/>
              </w:rPr>
              <w:t>教：讲述教学法、讨论教学法、显微镜示教教学法。</w:t>
            </w:r>
          </w:p>
          <w:p w14:paraId="663EEF3B">
            <w:pPr>
              <w:widowControl w:val="0"/>
              <w:snapToGrid w:val="0"/>
              <w:spacing w:line="320" w:lineRule="exact"/>
              <w:jc w:val="both"/>
              <w:rPr>
                <w:rFonts w:hint="eastAsia"/>
                <w:sz w:val="21"/>
                <w:szCs w:val="21"/>
              </w:rPr>
            </w:pPr>
            <w:r>
              <w:rPr>
                <w:rFonts w:hint="eastAsia"/>
                <w:bCs/>
                <w:sz w:val="21"/>
                <w:szCs w:val="21"/>
              </w:rPr>
              <w:t>学：</w:t>
            </w:r>
            <w:r>
              <w:rPr>
                <w:bCs/>
                <w:sz w:val="21"/>
                <w:szCs w:val="21"/>
              </w:rPr>
              <w:t>PBL</w:t>
            </w:r>
            <w:r>
              <w:rPr>
                <w:rFonts w:hint="eastAsia"/>
                <w:bCs/>
                <w:sz w:val="21"/>
                <w:szCs w:val="21"/>
              </w:rPr>
              <w:t>、实作学习</w:t>
            </w:r>
          </w:p>
        </w:tc>
        <w:tc>
          <w:tcPr>
            <w:tcW w:w="1738" w:type="dxa"/>
            <w:vAlign w:val="center"/>
          </w:tcPr>
          <w:p w14:paraId="2994956D">
            <w:pPr>
              <w:snapToGrid w:val="0"/>
              <w:spacing w:line="320" w:lineRule="exact"/>
              <w:jc w:val="center"/>
              <w:rPr>
                <w:rFonts w:hint="eastAsia"/>
                <w:bCs/>
                <w:sz w:val="21"/>
                <w:szCs w:val="21"/>
              </w:rPr>
            </w:pPr>
            <w:r>
              <w:rPr>
                <w:rFonts w:hint="eastAsia"/>
                <w:bCs/>
                <w:sz w:val="21"/>
                <w:szCs w:val="21"/>
              </w:rPr>
              <w:t>纸笔测试</w:t>
            </w:r>
          </w:p>
          <w:p w14:paraId="794C55CA">
            <w:pPr>
              <w:widowControl w:val="0"/>
              <w:snapToGrid w:val="0"/>
              <w:spacing w:line="320" w:lineRule="exact"/>
              <w:jc w:val="center"/>
              <w:rPr>
                <w:rFonts w:hint="eastAsia"/>
                <w:sz w:val="21"/>
                <w:szCs w:val="21"/>
              </w:rPr>
            </w:pPr>
            <w:r>
              <w:rPr>
                <w:rFonts w:hint="eastAsia"/>
                <w:bCs/>
                <w:sz w:val="21"/>
                <w:szCs w:val="21"/>
              </w:rPr>
              <w:t>实验报告</w:t>
            </w:r>
          </w:p>
        </w:tc>
        <w:tc>
          <w:tcPr>
            <w:tcW w:w="725" w:type="dxa"/>
            <w:vAlign w:val="center"/>
          </w:tcPr>
          <w:p w14:paraId="0084326E">
            <w:pPr>
              <w:widowControl w:val="0"/>
              <w:snapToGrid w:val="0"/>
              <w:spacing w:line="320" w:lineRule="exact"/>
              <w:jc w:val="center"/>
              <w:rPr>
                <w:rFonts w:hint="eastAsia"/>
                <w:bCs/>
                <w:sz w:val="21"/>
                <w:szCs w:val="21"/>
              </w:rPr>
            </w:pPr>
            <w:r>
              <w:rPr>
                <w:rFonts w:hint="eastAsia"/>
                <w:bCs/>
                <w:sz w:val="21"/>
                <w:szCs w:val="21"/>
              </w:rPr>
              <w:t>3</w:t>
            </w:r>
          </w:p>
        </w:tc>
        <w:tc>
          <w:tcPr>
            <w:tcW w:w="669" w:type="dxa"/>
            <w:vAlign w:val="center"/>
          </w:tcPr>
          <w:p w14:paraId="6A8F45CE">
            <w:pPr>
              <w:widowControl w:val="0"/>
              <w:snapToGrid w:val="0"/>
              <w:spacing w:line="320" w:lineRule="exact"/>
              <w:jc w:val="center"/>
              <w:rPr>
                <w:rFonts w:hint="eastAsia"/>
                <w:bCs/>
                <w:sz w:val="21"/>
                <w:szCs w:val="21"/>
              </w:rPr>
            </w:pPr>
            <w:r>
              <w:rPr>
                <w:rFonts w:hint="eastAsia"/>
                <w:bCs/>
                <w:sz w:val="21"/>
                <w:szCs w:val="21"/>
              </w:rPr>
              <w:t>1.5</w:t>
            </w:r>
          </w:p>
        </w:tc>
        <w:tc>
          <w:tcPr>
            <w:tcW w:w="717" w:type="dxa"/>
            <w:tcBorders>
              <w:right w:val="single" w:color="auto" w:sz="12" w:space="0"/>
            </w:tcBorders>
            <w:vAlign w:val="center"/>
          </w:tcPr>
          <w:p w14:paraId="1575D13F">
            <w:pPr>
              <w:widowControl w:val="0"/>
              <w:snapToGrid w:val="0"/>
              <w:spacing w:line="320" w:lineRule="exact"/>
              <w:jc w:val="center"/>
              <w:rPr>
                <w:rFonts w:hint="eastAsia"/>
                <w:bCs/>
                <w:sz w:val="21"/>
                <w:szCs w:val="21"/>
              </w:rPr>
            </w:pPr>
            <w:r>
              <w:rPr>
                <w:rFonts w:hint="eastAsia"/>
                <w:bCs/>
                <w:sz w:val="21"/>
                <w:szCs w:val="21"/>
              </w:rPr>
              <w:t>4.5</w:t>
            </w:r>
          </w:p>
        </w:tc>
      </w:tr>
      <w:tr w14:paraId="08A5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9" w:type="dxa"/>
            <w:tcBorders>
              <w:left w:val="single" w:color="auto" w:sz="12" w:space="0"/>
            </w:tcBorders>
          </w:tcPr>
          <w:p w14:paraId="01C731E1">
            <w:pPr>
              <w:pStyle w:val="15"/>
              <w:widowControl w:val="0"/>
              <w:spacing w:line="320" w:lineRule="exact"/>
              <w:jc w:val="left"/>
              <w:rPr>
                <w:rFonts w:hint="eastAsia" w:ascii="宋体" w:hAnsi="宋体"/>
                <w:bCs/>
              </w:rPr>
            </w:pPr>
            <w:r>
              <w:rPr>
                <w:rFonts w:hint="eastAsia" w:ascii="宋体" w:hAnsi="宋体"/>
                <w:bCs/>
              </w:rPr>
              <w:t xml:space="preserve">第三章 </w:t>
            </w:r>
            <w:r>
              <w:rPr>
                <w:rFonts w:hint="eastAsia" w:ascii="宋体" w:hAnsi="宋体"/>
              </w:rPr>
              <w:t>炎症</w:t>
            </w:r>
          </w:p>
        </w:tc>
        <w:tc>
          <w:tcPr>
            <w:tcW w:w="2415" w:type="dxa"/>
            <w:vAlign w:val="center"/>
          </w:tcPr>
          <w:p w14:paraId="53D2F2CE">
            <w:pPr>
              <w:snapToGrid w:val="0"/>
              <w:spacing w:line="320" w:lineRule="exact"/>
              <w:jc w:val="both"/>
              <w:rPr>
                <w:rFonts w:hint="eastAsia"/>
                <w:bCs/>
                <w:sz w:val="21"/>
                <w:szCs w:val="21"/>
              </w:rPr>
            </w:pPr>
            <w:r>
              <w:rPr>
                <w:rFonts w:hint="eastAsia"/>
                <w:bCs/>
                <w:sz w:val="21"/>
                <w:szCs w:val="21"/>
              </w:rPr>
              <w:t>教：讲述教学法、讨论教学法、显微镜示教教学法。</w:t>
            </w:r>
          </w:p>
          <w:p w14:paraId="63D3773A">
            <w:pPr>
              <w:widowControl w:val="0"/>
              <w:snapToGrid w:val="0"/>
              <w:spacing w:line="320" w:lineRule="exact"/>
              <w:jc w:val="both"/>
              <w:rPr>
                <w:rFonts w:hint="eastAsia"/>
                <w:sz w:val="21"/>
                <w:szCs w:val="21"/>
              </w:rPr>
            </w:pPr>
            <w:r>
              <w:rPr>
                <w:rFonts w:hint="eastAsia"/>
                <w:bCs/>
                <w:sz w:val="21"/>
                <w:szCs w:val="21"/>
              </w:rPr>
              <w:t>学：</w:t>
            </w:r>
            <w:r>
              <w:rPr>
                <w:bCs/>
                <w:sz w:val="21"/>
                <w:szCs w:val="21"/>
              </w:rPr>
              <w:t>PBL</w:t>
            </w:r>
            <w:r>
              <w:rPr>
                <w:rFonts w:hint="eastAsia"/>
                <w:bCs/>
                <w:sz w:val="21"/>
                <w:szCs w:val="21"/>
              </w:rPr>
              <w:t>、实作学习</w:t>
            </w:r>
          </w:p>
        </w:tc>
        <w:tc>
          <w:tcPr>
            <w:tcW w:w="1738" w:type="dxa"/>
            <w:vAlign w:val="center"/>
          </w:tcPr>
          <w:p w14:paraId="5495DF69">
            <w:pPr>
              <w:snapToGrid w:val="0"/>
              <w:spacing w:line="320" w:lineRule="exact"/>
              <w:jc w:val="center"/>
              <w:rPr>
                <w:rFonts w:hint="eastAsia"/>
                <w:bCs/>
                <w:sz w:val="21"/>
                <w:szCs w:val="21"/>
              </w:rPr>
            </w:pPr>
            <w:r>
              <w:rPr>
                <w:rFonts w:hint="eastAsia"/>
                <w:bCs/>
                <w:sz w:val="21"/>
                <w:szCs w:val="21"/>
              </w:rPr>
              <w:t>纸笔测试</w:t>
            </w:r>
          </w:p>
          <w:p w14:paraId="72D18EB8">
            <w:pPr>
              <w:widowControl w:val="0"/>
              <w:snapToGrid w:val="0"/>
              <w:spacing w:line="320" w:lineRule="exact"/>
              <w:jc w:val="center"/>
              <w:rPr>
                <w:rFonts w:hint="eastAsia"/>
                <w:bCs/>
                <w:sz w:val="21"/>
                <w:szCs w:val="21"/>
              </w:rPr>
            </w:pPr>
            <w:r>
              <w:rPr>
                <w:rFonts w:hint="eastAsia"/>
                <w:bCs/>
                <w:sz w:val="21"/>
                <w:szCs w:val="21"/>
              </w:rPr>
              <w:t>实验报告</w:t>
            </w:r>
          </w:p>
        </w:tc>
        <w:tc>
          <w:tcPr>
            <w:tcW w:w="725" w:type="dxa"/>
            <w:vAlign w:val="center"/>
          </w:tcPr>
          <w:p w14:paraId="6C5D28E5">
            <w:pPr>
              <w:widowControl w:val="0"/>
              <w:snapToGrid w:val="0"/>
              <w:spacing w:line="320" w:lineRule="exact"/>
              <w:jc w:val="center"/>
              <w:rPr>
                <w:rFonts w:hint="eastAsia"/>
                <w:bCs/>
                <w:sz w:val="21"/>
                <w:szCs w:val="21"/>
              </w:rPr>
            </w:pPr>
            <w:r>
              <w:rPr>
                <w:rFonts w:hint="eastAsia"/>
                <w:bCs/>
                <w:sz w:val="21"/>
                <w:szCs w:val="21"/>
              </w:rPr>
              <w:t>3</w:t>
            </w:r>
          </w:p>
        </w:tc>
        <w:tc>
          <w:tcPr>
            <w:tcW w:w="669" w:type="dxa"/>
            <w:vAlign w:val="center"/>
          </w:tcPr>
          <w:p w14:paraId="4CF6C35D">
            <w:pPr>
              <w:widowControl w:val="0"/>
              <w:snapToGrid w:val="0"/>
              <w:spacing w:line="320" w:lineRule="exact"/>
              <w:jc w:val="center"/>
              <w:rPr>
                <w:rFonts w:hint="eastAsia"/>
                <w:bCs/>
                <w:sz w:val="21"/>
                <w:szCs w:val="21"/>
              </w:rPr>
            </w:pPr>
            <w:r>
              <w:rPr>
                <w:rFonts w:hint="eastAsia"/>
                <w:bCs/>
                <w:sz w:val="21"/>
                <w:szCs w:val="21"/>
              </w:rPr>
              <w:t>1.5</w:t>
            </w:r>
          </w:p>
        </w:tc>
        <w:tc>
          <w:tcPr>
            <w:tcW w:w="717" w:type="dxa"/>
            <w:tcBorders>
              <w:right w:val="single" w:color="auto" w:sz="12" w:space="0"/>
            </w:tcBorders>
            <w:vAlign w:val="center"/>
          </w:tcPr>
          <w:p w14:paraId="31B1AF76">
            <w:pPr>
              <w:widowControl w:val="0"/>
              <w:snapToGrid w:val="0"/>
              <w:spacing w:line="320" w:lineRule="exact"/>
              <w:jc w:val="center"/>
              <w:rPr>
                <w:rFonts w:hint="eastAsia"/>
                <w:bCs/>
                <w:sz w:val="21"/>
                <w:szCs w:val="21"/>
              </w:rPr>
            </w:pPr>
            <w:r>
              <w:rPr>
                <w:rFonts w:hint="eastAsia"/>
                <w:bCs/>
                <w:sz w:val="21"/>
                <w:szCs w:val="21"/>
              </w:rPr>
              <w:t>4.5</w:t>
            </w:r>
          </w:p>
        </w:tc>
      </w:tr>
      <w:tr w14:paraId="0C3F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9" w:type="dxa"/>
            <w:tcBorders>
              <w:left w:val="single" w:color="auto" w:sz="12" w:space="0"/>
            </w:tcBorders>
          </w:tcPr>
          <w:p w14:paraId="3FB7B0DA">
            <w:pPr>
              <w:pStyle w:val="15"/>
              <w:widowControl w:val="0"/>
              <w:spacing w:line="320" w:lineRule="exact"/>
              <w:jc w:val="left"/>
              <w:rPr>
                <w:rFonts w:hint="eastAsia" w:ascii="宋体" w:hAnsi="宋体"/>
                <w:bCs/>
              </w:rPr>
            </w:pPr>
            <w:r>
              <w:rPr>
                <w:rFonts w:hint="eastAsia" w:ascii="宋体" w:hAnsi="宋体"/>
                <w:bCs/>
              </w:rPr>
              <w:t xml:space="preserve">第四章 </w:t>
            </w:r>
            <w:r>
              <w:rPr>
                <w:rFonts w:hint="eastAsia" w:ascii="宋体" w:hAnsi="宋体"/>
              </w:rPr>
              <w:t>肿瘤</w:t>
            </w:r>
          </w:p>
          <w:p w14:paraId="050866E0">
            <w:pPr>
              <w:pStyle w:val="15"/>
              <w:widowControl w:val="0"/>
              <w:spacing w:line="320" w:lineRule="exact"/>
              <w:jc w:val="left"/>
              <w:rPr>
                <w:rFonts w:hint="eastAsia" w:ascii="宋体" w:hAnsi="宋体"/>
              </w:rPr>
            </w:pPr>
          </w:p>
        </w:tc>
        <w:tc>
          <w:tcPr>
            <w:tcW w:w="2415" w:type="dxa"/>
            <w:vAlign w:val="center"/>
          </w:tcPr>
          <w:p w14:paraId="6B032472">
            <w:pPr>
              <w:snapToGrid w:val="0"/>
              <w:spacing w:line="320" w:lineRule="exact"/>
              <w:jc w:val="both"/>
              <w:rPr>
                <w:rFonts w:hint="eastAsia"/>
                <w:bCs/>
                <w:sz w:val="21"/>
                <w:szCs w:val="21"/>
              </w:rPr>
            </w:pPr>
            <w:r>
              <w:rPr>
                <w:rFonts w:hint="eastAsia"/>
                <w:bCs/>
                <w:sz w:val="21"/>
                <w:szCs w:val="21"/>
              </w:rPr>
              <w:t>教：讲述教学法、讨论教学法、显微镜示教教学法。</w:t>
            </w:r>
          </w:p>
          <w:p w14:paraId="1C9AE89B">
            <w:pPr>
              <w:widowControl w:val="0"/>
              <w:snapToGrid w:val="0"/>
              <w:spacing w:line="320" w:lineRule="exact"/>
              <w:jc w:val="both"/>
              <w:rPr>
                <w:rFonts w:hint="eastAsia"/>
                <w:sz w:val="21"/>
                <w:szCs w:val="21"/>
              </w:rPr>
            </w:pPr>
            <w:r>
              <w:rPr>
                <w:rFonts w:hint="eastAsia"/>
                <w:bCs/>
                <w:sz w:val="21"/>
                <w:szCs w:val="21"/>
              </w:rPr>
              <w:t>学：</w:t>
            </w:r>
            <w:r>
              <w:rPr>
                <w:bCs/>
                <w:sz w:val="21"/>
                <w:szCs w:val="21"/>
              </w:rPr>
              <w:t>PBL</w:t>
            </w:r>
            <w:r>
              <w:rPr>
                <w:rFonts w:hint="eastAsia"/>
                <w:bCs/>
                <w:sz w:val="21"/>
                <w:szCs w:val="21"/>
              </w:rPr>
              <w:t>、实作学习</w:t>
            </w:r>
          </w:p>
        </w:tc>
        <w:tc>
          <w:tcPr>
            <w:tcW w:w="1738" w:type="dxa"/>
            <w:vAlign w:val="center"/>
          </w:tcPr>
          <w:p w14:paraId="19BE35A4">
            <w:pPr>
              <w:snapToGrid w:val="0"/>
              <w:spacing w:line="320" w:lineRule="exact"/>
              <w:jc w:val="center"/>
              <w:rPr>
                <w:rFonts w:hint="eastAsia"/>
                <w:bCs/>
                <w:sz w:val="21"/>
                <w:szCs w:val="21"/>
              </w:rPr>
            </w:pPr>
            <w:r>
              <w:rPr>
                <w:rFonts w:hint="eastAsia"/>
                <w:bCs/>
                <w:sz w:val="21"/>
                <w:szCs w:val="21"/>
              </w:rPr>
              <w:t>纸笔测试</w:t>
            </w:r>
          </w:p>
          <w:p w14:paraId="3C33794E">
            <w:pPr>
              <w:widowControl w:val="0"/>
              <w:snapToGrid w:val="0"/>
              <w:spacing w:line="320" w:lineRule="exact"/>
              <w:jc w:val="center"/>
              <w:rPr>
                <w:rFonts w:hint="eastAsia"/>
                <w:bCs/>
                <w:sz w:val="21"/>
                <w:szCs w:val="21"/>
              </w:rPr>
            </w:pPr>
            <w:r>
              <w:rPr>
                <w:rFonts w:hint="eastAsia"/>
                <w:bCs/>
                <w:sz w:val="21"/>
                <w:szCs w:val="21"/>
              </w:rPr>
              <w:t>实验报告</w:t>
            </w:r>
          </w:p>
        </w:tc>
        <w:tc>
          <w:tcPr>
            <w:tcW w:w="725" w:type="dxa"/>
            <w:vAlign w:val="center"/>
          </w:tcPr>
          <w:p w14:paraId="1DC1852C">
            <w:pPr>
              <w:widowControl w:val="0"/>
              <w:snapToGrid w:val="0"/>
              <w:spacing w:line="320" w:lineRule="exact"/>
              <w:jc w:val="center"/>
              <w:rPr>
                <w:rFonts w:hint="eastAsia"/>
                <w:bCs/>
                <w:sz w:val="21"/>
                <w:szCs w:val="21"/>
              </w:rPr>
            </w:pPr>
            <w:r>
              <w:rPr>
                <w:rFonts w:hint="eastAsia"/>
                <w:bCs/>
                <w:sz w:val="21"/>
                <w:szCs w:val="21"/>
              </w:rPr>
              <w:t>3</w:t>
            </w:r>
          </w:p>
        </w:tc>
        <w:tc>
          <w:tcPr>
            <w:tcW w:w="669" w:type="dxa"/>
            <w:vAlign w:val="center"/>
          </w:tcPr>
          <w:p w14:paraId="241EA8AD">
            <w:pPr>
              <w:widowControl w:val="0"/>
              <w:snapToGrid w:val="0"/>
              <w:spacing w:line="320" w:lineRule="exact"/>
              <w:jc w:val="center"/>
              <w:rPr>
                <w:rFonts w:hint="eastAsia"/>
                <w:bCs/>
                <w:sz w:val="21"/>
                <w:szCs w:val="21"/>
              </w:rPr>
            </w:pPr>
            <w:r>
              <w:rPr>
                <w:bCs/>
                <w:sz w:val="21"/>
                <w:szCs w:val="21"/>
              </w:rPr>
              <w:t>3</w:t>
            </w:r>
          </w:p>
        </w:tc>
        <w:tc>
          <w:tcPr>
            <w:tcW w:w="717" w:type="dxa"/>
            <w:tcBorders>
              <w:right w:val="single" w:color="auto" w:sz="12" w:space="0"/>
            </w:tcBorders>
            <w:vAlign w:val="center"/>
          </w:tcPr>
          <w:p w14:paraId="4739B775">
            <w:pPr>
              <w:widowControl w:val="0"/>
              <w:snapToGrid w:val="0"/>
              <w:spacing w:line="320" w:lineRule="exact"/>
              <w:jc w:val="center"/>
              <w:rPr>
                <w:rFonts w:hint="eastAsia"/>
                <w:bCs/>
                <w:sz w:val="21"/>
                <w:szCs w:val="21"/>
              </w:rPr>
            </w:pPr>
            <w:r>
              <w:rPr>
                <w:rFonts w:hint="eastAsia"/>
                <w:bCs/>
                <w:sz w:val="21"/>
                <w:szCs w:val="21"/>
              </w:rPr>
              <w:t>4.5</w:t>
            </w:r>
          </w:p>
        </w:tc>
      </w:tr>
      <w:tr w14:paraId="3DF3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9" w:type="dxa"/>
            <w:tcBorders>
              <w:left w:val="single" w:color="auto" w:sz="12" w:space="0"/>
            </w:tcBorders>
          </w:tcPr>
          <w:p w14:paraId="0BDB8AF6">
            <w:pPr>
              <w:pStyle w:val="15"/>
              <w:widowControl w:val="0"/>
              <w:spacing w:line="320" w:lineRule="exact"/>
              <w:jc w:val="left"/>
              <w:rPr>
                <w:rFonts w:hint="eastAsia" w:ascii="宋体" w:hAnsi="宋体"/>
                <w:bCs/>
              </w:rPr>
            </w:pPr>
            <w:r>
              <w:rPr>
                <w:rFonts w:hint="eastAsia" w:ascii="宋体" w:hAnsi="宋体"/>
                <w:bCs/>
              </w:rPr>
              <w:t>第五章 心血管系统的常见疾病</w:t>
            </w:r>
          </w:p>
        </w:tc>
        <w:tc>
          <w:tcPr>
            <w:tcW w:w="2415" w:type="dxa"/>
            <w:vAlign w:val="center"/>
          </w:tcPr>
          <w:p w14:paraId="1584FE0A">
            <w:pPr>
              <w:snapToGrid w:val="0"/>
              <w:spacing w:line="320" w:lineRule="exact"/>
              <w:jc w:val="both"/>
              <w:rPr>
                <w:rFonts w:hint="eastAsia"/>
                <w:bCs/>
                <w:sz w:val="21"/>
                <w:szCs w:val="21"/>
              </w:rPr>
            </w:pPr>
            <w:r>
              <w:rPr>
                <w:rFonts w:hint="eastAsia"/>
                <w:bCs/>
                <w:sz w:val="21"/>
                <w:szCs w:val="21"/>
              </w:rPr>
              <w:t>教：讲述教学法、讨论教学法、显微镜示教教学法。</w:t>
            </w:r>
          </w:p>
          <w:p w14:paraId="2FEA0FFF">
            <w:pPr>
              <w:widowControl w:val="0"/>
              <w:snapToGrid w:val="0"/>
              <w:spacing w:line="320" w:lineRule="exact"/>
              <w:jc w:val="both"/>
              <w:rPr>
                <w:rFonts w:hint="eastAsia"/>
                <w:bCs/>
                <w:sz w:val="21"/>
                <w:szCs w:val="21"/>
              </w:rPr>
            </w:pPr>
            <w:r>
              <w:rPr>
                <w:rFonts w:hint="eastAsia"/>
                <w:bCs/>
                <w:sz w:val="21"/>
                <w:szCs w:val="21"/>
              </w:rPr>
              <w:t>学：</w:t>
            </w:r>
            <w:r>
              <w:rPr>
                <w:bCs/>
                <w:sz w:val="21"/>
                <w:szCs w:val="21"/>
              </w:rPr>
              <w:t>PBL</w:t>
            </w:r>
            <w:r>
              <w:rPr>
                <w:rFonts w:hint="eastAsia"/>
                <w:bCs/>
                <w:sz w:val="21"/>
                <w:szCs w:val="21"/>
              </w:rPr>
              <w:t>、实作学习</w:t>
            </w:r>
          </w:p>
        </w:tc>
        <w:tc>
          <w:tcPr>
            <w:tcW w:w="1738" w:type="dxa"/>
            <w:vAlign w:val="center"/>
          </w:tcPr>
          <w:p w14:paraId="7CEA5D8F">
            <w:pPr>
              <w:snapToGrid w:val="0"/>
              <w:spacing w:line="320" w:lineRule="exact"/>
              <w:jc w:val="center"/>
              <w:rPr>
                <w:rFonts w:hint="eastAsia"/>
                <w:bCs/>
                <w:sz w:val="21"/>
                <w:szCs w:val="21"/>
              </w:rPr>
            </w:pPr>
            <w:r>
              <w:rPr>
                <w:rFonts w:hint="eastAsia"/>
                <w:bCs/>
                <w:sz w:val="21"/>
                <w:szCs w:val="21"/>
              </w:rPr>
              <w:t>纸笔测试</w:t>
            </w:r>
          </w:p>
          <w:p w14:paraId="2EB6930E">
            <w:pPr>
              <w:widowControl w:val="0"/>
              <w:snapToGrid w:val="0"/>
              <w:spacing w:line="320" w:lineRule="exact"/>
              <w:jc w:val="center"/>
              <w:rPr>
                <w:rFonts w:hint="eastAsia"/>
                <w:bCs/>
                <w:sz w:val="21"/>
                <w:szCs w:val="21"/>
              </w:rPr>
            </w:pPr>
            <w:r>
              <w:rPr>
                <w:rFonts w:hint="eastAsia"/>
                <w:bCs/>
                <w:sz w:val="21"/>
                <w:szCs w:val="21"/>
              </w:rPr>
              <w:t>实验报告</w:t>
            </w:r>
          </w:p>
        </w:tc>
        <w:tc>
          <w:tcPr>
            <w:tcW w:w="725" w:type="dxa"/>
            <w:vAlign w:val="center"/>
          </w:tcPr>
          <w:p w14:paraId="2D3447DE">
            <w:pPr>
              <w:widowControl w:val="0"/>
              <w:snapToGrid w:val="0"/>
              <w:spacing w:line="320" w:lineRule="exact"/>
              <w:jc w:val="center"/>
              <w:rPr>
                <w:rFonts w:hint="eastAsia"/>
                <w:bCs/>
                <w:sz w:val="21"/>
                <w:szCs w:val="21"/>
              </w:rPr>
            </w:pPr>
            <w:r>
              <w:rPr>
                <w:rFonts w:hint="eastAsia"/>
                <w:bCs/>
                <w:sz w:val="21"/>
                <w:szCs w:val="21"/>
              </w:rPr>
              <w:t>3</w:t>
            </w:r>
          </w:p>
        </w:tc>
        <w:tc>
          <w:tcPr>
            <w:tcW w:w="669" w:type="dxa"/>
            <w:vAlign w:val="center"/>
          </w:tcPr>
          <w:p w14:paraId="49B5E9F0">
            <w:pPr>
              <w:widowControl w:val="0"/>
              <w:snapToGrid w:val="0"/>
              <w:spacing w:line="320" w:lineRule="exact"/>
              <w:jc w:val="center"/>
              <w:rPr>
                <w:rFonts w:hint="eastAsia"/>
                <w:bCs/>
                <w:sz w:val="21"/>
                <w:szCs w:val="21"/>
              </w:rPr>
            </w:pPr>
            <w:r>
              <w:rPr>
                <w:rFonts w:hint="eastAsia"/>
                <w:bCs/>
                <w:sz w:val="21"/>
                <w:szCs w:val="21"/>
              </w:rPr>
              <w:t>1.5</w:t>
            </w:r>
          </w:p>
        </w:tc>
        <w:tc>
          <w:tcPr>
            <w:tcW w:w="717" w:type="dxa"/>
            <w:tcBorders>
              <w:right w:val="single" w:color="auto" w:sz="12" w:space="0"/>
            </w:tcBorders>
            <w:vAlign w:val="center"/>
          </w:tcPr>
          <w:p w14:paraId="62DC714E">
            <w:pPr>
              <w:widowControl w:val="0"/>
              <w:snapToGrid w:val="0"/>
              <w:spacing w:line="320" w:lineRule="exact"/>
              <w:jc w:val="center"/>
              <w:rPr>
                <w:rFonts w:hint="eastAsia"/>
                <w:bCs/>
                <w:sz w:val="21"/>
                <w:szCs w:val="21"/>
              </w:rPr>
            </w:pPr>
            <w:r>
              <w:rPr>
                <w:rFonts w:hint="eastAsia"/>
                <w:bCs/>
                <w:sz w:val="21"/>
                <w:szCs w:val="21"/>
              </w:rPr>
              <w:t>4.5</w:t>
            </w:r>
          </w:p>
        </w:tc>
      </w:tr>
      <w:tr w14:paraId="2336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9" w:type="dxa"/>
            <w:tcBorders>
              <w:left w:val="single" w:color="auto" w:sz="12" w:space="0"/>
            </w:tcBorders>
          </w:tcPr>
          <w:p w14:paraId="46F55442">
            <w:pPr>
              <w:widowControl w:val="0"/>
              <w:snapToGrid w:val="0"/>
              <w:spacing w:line="320" w:lineRule="exact"/>
              <w:rPr>
                <w:rFonts w:hint="eastAsia"/>
                <w:color w:val="000000"/>
                <w:sz w:val="21"/>
                <w:szCs w:val="21"/>
              </w:rPr>
            </w:pPr>
            <w:r>
              <w:rPr>
                <w:rFonts w:hint="eastAsia"/>
                <w:bCs/>
                <w:sz w:val="21"/>
                <w:szCs w:val="21"/>
              </w:rPr>
              <w:t xml:space="preserve">第六章 </w:t>
            </w:r>
            <w:r>
              <w:rPr>
                <w:rFonts w:hint="eastAsia"/>
                <w:color w:val="000000"/>
                <w:sz w:val="21"/>
                <w:szCs w:val="21"/>
              </w:rPr>
              <w:t>呼吸系统的常见疾病</w:t>
            </w:r>
          </w:p>
        </w:tc>
        <w:tc>
          <w:tcPr>
            <w:tcW w:w="2415" w:type="dxa"/>
            <w:vAlign w:val="center"/>
          </w:tcPr>
          <w:p w14:paraId="0111922A">
            <w:pPr>
              <w:snapToGrid w:val="0"/>
              <w:spacing w:line="320" w:lineRule="exact"/>
              <w:jc w:val="both"/>
              <w:rPr>
                <w:rFonts w:hint="eastAsia"/>
                <w:bCs/>
                <w:sz w:val="21"/>
                <w:szCs w:val="21"/>
              </w:rPr>
            </w:pPr>
            <w:r>
              <w:rPr>
                <w:rFonts w:hint="eastAsia"/>
                <w:bCs/>
                <w:sz w:val="21"/>
                <w:szCs w:val="21"/>
              </w:rPr>
              <w:t>教：讲述教学法、讨论教学法、显微镜示教教学法。</w:t>
            </w:r>
          </w:p>
          <w:p w14:paraId="54987B2A">
            <w:pPr>
              <w:widowControl w:val="0"/>
              <w:snapToGrid w:val="0"/>
              <w:spacing w:line="320" w:lineRule="exact"/>
              <w:jc w:val="both"/>
              <w:rPr>
                <w:rFonts w:hint="eastAsia"/>
                <w:sz w:val="21"/>
                <w:szCs w:val="21"/>
              </w:rPr>
            </w:pPr>
            <w:r>
              <w:rPr>
                <w:rFonts w:hint="eastAsia"/>
                <w:bCs/>
                <w:sz w:val="21"/>
                <w:szCs w:val="21"/>
              </w:rPr>
              <w:t>学：</w:t>
            </w:r>
            <w:r>
              <w:rPr>
                <w:bCs/>
                <w:sz w:val="21"/>
                <w:szCs w:val="21"/>
              </w:rPr>
              <w:t>PBL</w:t>
            </w:r>
            <w:r>
              <w:rPr>
                <w:rFonts w:hint="eastAsia"/>
                <w:bCs/>
                <w:sz w:val="21"/>
                <w:szCs w:val="21"/>
              </w:rPr>
              <w:t>、实作学习</w:t>
            </w:r>
          </w:p>
        </w:tc>
        <w:tc>
          <w:tcPr>
            <w:tcW w:w="1738" w:type="dxa"/>
            <w:vAlign w:val="center"/>
          </w:tcPr>
          <w:p w14:paraId="6E35E209">
            <w:pPr>
              <w:snapToGrid w:val="0"/>
              <w:spacing w:line="320" w:lineRule="exact"/>
              <w:jc w:val="center"/>
              <w:rPr>
                <w:rFonts w:hint="eastAsia"/>
                <w:bCs/>
                <w:sz w:val="21"/>
                <w:szCs w:val="21"/>
              </w:rPr>
            </w:pPr>
            <w:r>
              <w:rPr>
                <w:rFonts w:hint="eastAsia"/>
                <w:bCs/>
                <w:sz w:val="21"/>
                <w:szCs w:val="21"/>
              </w:rPr>
              <w:t>纸笔测试</w:t>
            </w:r>
          </w:p>
          <w:p w14:paraId="0EC7F534">
            <w:pPr>
              <w:widowControl w:val="0"/>
              <w:snapToGrid w:val="0"/>
              <w:spacing w:line="320" w:lineRule="exact"/>
              <w:jc w:val="center"/>
              <w:rPr>
                <w:rFonts w:hint="eastAsia"/>
                <w:bCs/>
                <w:sz w:val="21"/>
                <w:szCs w:val="21"/>
              </w:rPr>
            </w:pPr>
            <w:r>
              <w:rPr>
                <w:rFonts w:hint="eastAsia"/>
                <w:bCs/>
                <w:sz w:val="21"/>
                <w:szCs w:val="21"/>
              </w:rPr>
              <w:t>实验报告</w:t>
            </w:r>
          </w:p>
        </w:tc>
        <w:tc>
          <w:tcPr>
            <w:tcW w:w="725" w:type="dxa"/>
            <w:vAlign w:val="center"/>
          </w:tcPr>
          <w:p w14:paraId="281676FA">
            <w:pPr>
              <w:widowControl w:val="0"/>
              <w:snapToGrid w:val="0"/>
              <w:spacing w:line="320" w:lineRule="exact"/>
              <w:jc w:val="center"/>
              <w:rPr>
                <w:rFonts w:hint="eastAsia"/>
                <w:bCs/>
                <w:sz w:val="21"/>
                <w:szCs w:val="21"/>
              </w:rPr>
            </w:pPr>
            <w:r>
              <w:rPr>
                <w:rFonts w:hint="eastAsia"/>
                <w:bCs/>
                <w:sz w:val="21"/>
                <w:szCs w:val="21"/>
              </w:rPr>
              <w:t>3</w:t>
            </w:r>
          </w:p>
        </w:tc>
        <w:tc>
          <w:tcPr>
            <w:tcW w:w="669" w:type="dxa"/>
            <w:vAlign w:val="center"/>
          </w:tcPr>
          <w:p w14:paraId="00DF194F">
            <w:pPr>
              <w:widowControl w:val="0"/>
              <w:snapToGrid w:val="0"/>
              <w:spacing w:line="320" w:lineRule="exact"/>
              <w:jc w:val="center"/>
              <w:rPr>
                <w:rFonts w:hint="eastAsia"/>
                <w:bCs/>
                <w:sz w:val="21"/>
                <w:szCs w:val="21"/>
              </w:rPr>
            </w:pPr>
            <w:r>
              <w:rPr>
                <w:rFonts w:hint="eastAsia"/>
                <w:bCs/>
                <w:sz w:val="21"/>
                <w:szCs w:val="21"/>
              </w:rPr>
              <w:t>1.5</w:t>
            </w:r>
          </w:p>
        </w:tc>
        <w:tc>
          <w:tcPr>
            <w:tcW w:w="717" w:type="dxa"/>
            <w:tcBorders>
              <w:right w:val="single" w:color="auto" w:sz="12" w:space="0"/>
            </w:tcBorders>
            <w:vAlign w:val="center"/>
          </w:tcPr>
          <w:p w14:paraId="09DA9FEE">
            <w:pPr>
              <w:widowControl w:val="0"/>
              <w:snapToGrid w:val="0"/>
              <w:spacing w:line="320" w:lineRule="exact"/>
              <w:jc w:val="center"/>
              <w:rPr>
                <w:rFonts w:hint="eastAsia"/>
                <w:bCs/>
                <w:sz w:val="21"/>
                <w:szCs w:val="21"/>
              </w:rPr>
            </w:pPr>
            <w:r>
              <w:rPr>
                <w:rFonts w:hint="eastAsia"/>
                <w:bCs/>
                <w:sz w:val="21"/>
                <w:szCs w:val="21"/>
              </w:rPr>
              <w:t>4.5</w:t>
            </w:r>
          </w:p>
        </w:tc>
      </w:tr>
      <w:tr w14:paraId="7B5D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9" w:type="dxa"/>
            <w:tcBorders>
              <w:left w:val="single" w:color="auto" w:sz="12" w:space="0"/>
            </w:tcBorders>
          </w:tcPr>
          <w:p w14:paraId="6C52EE9D">
            <w:pPr>
              <w:widowControl w:val="0"/>
              <w:snapToGrid w:val="0"/>
              <w:spacing w:line="320" w:lineRule="exact"/>
              <w:rPr>
                <w:rFonts w:hint="eastAsia"/>
                <w:bCs/>
                <w:sz w:val="21"/>
                <w:szCs w:val="21"/>
              </w:rPr>
            </w:pPr>
            <w:r>
              <w:rPr>
                <w:rFonts w:hint="eastAsia"/>
                <w:bCs/>
                <w:sz w:val="21"/>
                <w:szCs w:val="21"/>
              </w:rPr>
              <w:t>第七章 消化系统的常见疾病</w:t>
            </w:r>
          </w:p>
        </w:tc>
        <w:tc>
          <w:tcPr>
            <w:tcW w:w="2415" w:type="dxa"/>
            <w:vAlign w:val="center"/>
          </w:tcPr>
          <w:p w14:paraId="112CA66C">
            <w:pPr>
              <w:snapToGrid w:val="0"/>
              <w:spacing w:line="320" w:lineRule="exact"/>
              <w:jc w:val="both"/>
              <w:rPr>
                <w:rFonts w:hint="eastAsia"/>
                <w:bCs/>
                <w:sz w:val="21"/>
                <w:szCs w:val="21"/>
              </w:rPr>
            </w:pPr>
            <w:r>
              <w:rPr>
                <w:rFonts w:hint="eastAsia"/>
                <w:bCs/>
                <w:sz w:val="21"/>
                <w:szCs w:val="21"/>
              </w:rPr>
              <w:t>教：讲述教学法、讨论教学法、显微镜示教教学法。</w:t>
            </w:r>
          </w:p>
          <w:p w14:paraId="377C4562">
            <w:pPr>
              <w:widowControl w:val="0"/>
              <w:snapToGrid w:val="0"/>
              <w:spacing w:line="320" w:lineRule="exact"/>
              <w:jc w:val="both"/>
              <w:rPr>
                <w:rFonts w:hint="eastAsia"/>
                <w:sz w:val="21"/>
                <w:szCs w:val="21"/>
              </w:rPr>
            </w:pPr>
            <w:r>
              <w:rPr>
                <w:rFonts w:hint="eastAsia"/>
                <w:bCs/>
                <w:sz w:val="21"/>
                <w:szCs w:val="21"/>
              </w:rPr>
              <w:t>学：</w:t>
            </w:r>
            <w:r>
              <w:rPr>
                <w:bCs/>
                <w:sz w:val="21"/>
                <w:szCs w:val="21"/>
              </w:rPr>
              <w:t>PBL</w:t>
            </w:r>
            <w:r>
              <w:rPr>
                <w:rFonts w:hint="eastAsia"/>
                <w:bCs/>
                <w:sz w:val="21"/>
                <w:szCs w:val="21"/>
              </w:rPr>
              <w:t>、实作学习</w:t>
            </w:r>
          </w:p>
        </w:tc>
        <w:tc>
          <w:tcPr>
            <w:tcW w:w="1738" w:type="dxa"/>
            <w:vAlign w:val="center"/>
          </w:tcPr>
          <w:p w14:paraId="2EDD7699">
            <w:pPr>
              <w:snapToGrid w:val="0"/>
              <w:spacing w:line="320" w:lineRule="exact"/>
              <w:jc w:val="center"/>
              <w:rPr>
                <w:rFonts w:hint="eastAsia"/>
                <w:bCs/>
                <w:sz w:val="21"/>
                <w:szCs w:val="21"/>
              </w:rPr>
            </w:pPr>
            <w:r>
              <w:rPr>
                <w:rFonts w:hint="eastAsia"/>
                <w:bCs/>
                <w:sz w:val="21"/>
                <w:szCs w:val="21"/>
              </w:rPr>
              <w:t>纸笔测试</w:t>
            </w:r>
          </w:p>
          <w:p w14:paraId="5145FD45">
            <w:pPr>
              <w:widowControl w:val="0"/>
              <w:snapToGrid w:val="0"/>
              <w:spacing w:line="320" w:lineRule="exact"/>
              <w:jc w:val="center"/>
              <w:rPr>
                <w:rFonts w:hint="eastAsia"/>
                <w:bCs/>
                <w:sz w:val="21"/>
                <w:szCs w:val="21"/>
              </w:rPr>
            </w:pPr>
            <w:r>
              <w:rPr>
                <w:rFonts w:hint="eastAsia"/>
                <w:bCs/>
                <w:sz w:val="21"/>
                <w:szCs w:val="21"/>
              </w:rPr>
              <w:t>实验报告</w:t>
            </w:r>
          </w:p>
        </w:tc>
        <w:tc>
          <w:tcPr>
            <w:tcW w:w="725" w:type="dxa"/>
            <w:vAlign w:val="center"/>
          </w:tcPr>
          <w:p w14:paraId="05122692">
            <w:pPr>
              <w:widowControl w:val="0"/>
              <w:snapToGrid w:val="0"/>
              <w:spacing w:line="320" w:lineRule="exact"/>
              <w:jc w:val="center"/>
              <w:rPr>
                <w:rFonts w:hint="eastAsia"/>
                <w:bCs/>
                <w:sz w:val="21"/>
                <w:szCs w:val="21"/>
              </w:rPr>
            </w:pPr>
            <w:r>
              <w:rPr>
                <w:rFonts w:hint="eastAsia"/>
                <w:bCs/>
                <w:sz w:val="21"/>
                <w:szCs w:val="21"/>
              </w:rPr>
              <w:t>3</w:t>
            </w:r>
          </w:p>
        </w:tc>
        <w:tc>
          <w:tcPr>
            <w:tcW w:w="669" w:type="dxa"/>
            <w:vAlign w:val="center"/>
          </w:tcPr>
          <w:p w14:paraId="245E7519">
            <w:pPr>
              <w:widowControl w:val="0"/>
              <w:snapToGrid w:val="0"/>
              <w:spacing w:line="320" w:lineRule="exact"/>
              <w:jc w:val="center"/>
              <w:rPr>
                <w:rFonts w:hint="eastAsia"/>
                <w:bCs/>
                <w:sz w:val="21"/>
                <w:szCs w:val="21"/>
              </w:rPr>
            </w:pPr>
            <w:r>
              <w:rPr>
                <w:bCs/>
                <w:sz w:val="21"/>
                <w:szCs w:val="21"/>
              </w:rPr>
              <w:t>1.5</w:t>
            </w:r>
          </w:p>
        </w:tc>
        <w:tc>
          <w:tcPr>
            <w:tcW w:w="717" w:type="dxa"/>
            <w:tcBorders>
              <w:right w:val="single" w:color="auto" w:sz="12" w:space="0"/>
            </w:tcBorders>
            <w:vAlign w:val="center"/>
          </w:tcPr>
          <w:p w14:paraId="56BF138D">
            <w:pPr>
              <w:widowControl w:val="0"/>
              <w:snapToGrid w:val="0"/>
              <w:spacing w:line="320" w:lineRule="exact"/>
              <w:jc w:val="center"/>
              <w:rPr>
                <w:rFonts w:hint="eastAsia"/>
                <w:bCs/>
                <w:sz w:val="21"/>
                <w:szCs w:val="21"/>
              </w:rPr>
            </w:pPr>
            <w:r>
              <w:rPr>
                <w:rFonts w:hint="eastAsia"/>
                <w:bCs/>
                <w:sz w:val="21"/>
                <w:szCs w:val="21"/>
              </w:rPr>
              <w:t>6</w:t>
            </w:r>
          </w:p>
        </w:tc>
      </w:tr>
      <w:tr w14:paraId="3647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9" w:type="dxa"/>
            <w:tcBorders>
              <w:left w:val="single" w:color="auto" w:sz="12" w:space="0"/>
            </w:tcBorders>
          </w:tcPr>
          <w:p w14:paraId="5DB5FA76">
            <w:pPr>
              <w:widowControl w:val="0"/>
              <w:snapToGrid w:val="0"/>
              <w:spacing w:line="320" w:lineRule="exact"/>
              <w:rPr>
                <w:rFonts w:hint="eastAsia"/>
                <w:color w:val="000000"/>
                <w:sz w:val="21"/>
                <w:szCs w:val="21"/>
              </w:rPr>
            </w:pPr>
            <w:r>
              <w:rPr>
                <w:rFonts w:hint="eastAsia"/>
                <w:bCs/>
                <w:sz w:val="21"/>
                <w:szCs w:val="21"/>
              </w:rPr>
              <w:t xml:space="preserve">第八章 </w:t>
            </w:r>
            <w:r>
              <w:rPr>
                <w:rFonts w:hint="eastAsia"/>
                <w:color w:val="000000"/>
                <w:sz w:val="21"/>
                <w:szCs w:val="21"/>
              </w:rPr>
              <w:t>水、电解质代谢紊乱</w:t>
            </w:r>
          </w:p>
        </w:tc>
        <w:tc>
          <w:tcPr>
            <w:tcW w:w="2415" w:type="dxa"/>
            <w:vAlign w:val="center"/>
          </w:tcPr>
          <w:p w14:paraId="0714515E">
            <w:pPr>
              <w:snapToGrid w:val="0"/>
              <w:spacing w:line="320" w:lineRule="exact"/>
              <w:jc w:val="both"/>
              <w:rPr>
                <w:rFonts w:hint="eastAsia"/>
                <w:bCs/>
                <w:sz w:val="21"/>
                <w:szCs w:val="21"/>
              </w:rPr>
            </w:pPr>
            <w:r>
              <w:rPr>
                <w:rFonts w:hint="eastAsia"/>
                <w:bCs/>
                <w:sz w:val="21"/>
                <w:szCs w:val="21"/>
              </w:rPr>
              <w:t>教：讲述教学法、讨论教学法。</w:t>
            </w:r>
          </w:p>
          <w:p w14:paraId="75DEEA01">
            <w:pPr>
              <w:widowControl w:val="0"/>
              <w:snapToGrid w:val="0"/>
              <w:spacing w:line="320" w:lineRule="exact"/>
              <w:jc w:val="both"/>
              <w:rPr>
                <w:rFonts w:hint="eastAsia"/>
                <w:bCs/>
                <w:sz w:val="21"/>
                <w:szCs w:val="21"/>
              </w:rPr>
            </w:pPr>
            <w:r>
              <w:rPr>
                <w:rFonts w:hint="eastAsia"/>
                <w:bCs/>
                <w:sz w:val="21"/>
                <w:szCs w:val="21"/>
              </w:rPr>
              <w:t>学：</w:t>
            </w:r>
            <w:r>
              <w:rPr>
                <w:bCs/>
                <w:sz w:val="21"/>
                <w:szCs w:val="21"/>
              </w:rPr>
              <w:t>PBL</w:t>
            </w:r>
            <w:r>
              <w:rPr>
                <w:rFonts w:hint="eastAsia"/>
                <w:bCs/>
                <w:sz w:val="21"/>
                <w:szCs w:val="21"/>
              </w:rPr>
              <w:t>、教师辅导</w:t>
            </w:r>
          </w:p>
        </w:tc>
        <w:tc>
          <w:tcPr>
            <w:tcW w:w="1738" w:type="dxa"/>
            <w:vAlign w:val="center"/>
          </w:tcPr>
          <w:p w14:paraId="315B31B4">
            <w:pPr>
              <w:snapToGrid w:val="0"/>
              <w:spacing w:line="320" w:lineRule="exact"/>
              <w:jc w:val="center"/>
              <w:rPr>
                <w:rFonts w:hint="eastAsia"/>
                <w:bCs/>
                <w:sz w:val="21"/>
                <w:szCs w:val="21"/>
              </w:rPr>
            </w:pPr>
            <w:r>
              <w:rPr>
                <w:rFonts w:hint="eastAsia"/>
                <w:bCs/>
                <w:sz w:val="21"/>
                <w:szCs w:val="21"/>
              </w:rPr>
              <w:t>纸笔测试</w:t>
            </w:r>
          </w:p>
          <w:p w14:paraId="03C40D72">
            <w:pPr>
              <w:widowControl w:val="0"/>
              <w:snapToGrid w:val="0"/>
              <w:spacing w:line="320" w:lineRule="exact"/>
              <w:jc w:val="center"/>
              <w:rPr>
                <w:rFonts w:hint="eastAsia"/>
                <w:bCs/>
                <w:sz w:val="21"/>
                <w:szCs w:val="21"/>
              </w:rPr>
            </w:pPr>
          </w:p>
        </w:tc>
        <w:tc>
          <w:tcPr>
            <w:tcW w:w="725" w:type="dxa"/>
            <w:vAlign w:val="center"/>
          </w:tcPr>
          <w:p w14:paraId="1344833E">
            <w:pPr>
              <w:widowControl w:val="0"/>
              <w:snapToGrid w:val="0"/>
              <w:spacing w:line="320" w:lineRule="exact"/>
              <w:jc w:val="center"/>
              <w:rPr>
                <w:rFonts w:hint="eastAsia"/>
                <w:bCs/>
                <w:sz w:val="21"/>
                <w:szCs w:val="21"/>
              </w:rPr>
            </w:pPr>
            <w:r>
              <w:rPr>
                <w:rFonts w:hint="eastAsia"/>
                <w:bCs/>
                <w:sz w:val="21"/>
                <w:szCs w:val="21"/>
              </w:rPr>
              <w:t>3</w:t>
            </w:r>
          </w:p>
        </w:tc>
        <w:tc>
          <w:tcPr>
            <w:tcW w:w="669" w:type="dxa"/>
            <w:vAlign w:val="center"/>
          </w:tcPr>
          <w:p w14:paraId="466B972C">
            <w:pPr>
              <w:widowControl w:val="0"/>
              <w:snapToGrid w:val="0"/>
              <w:spacing w:line="320" w:lineRule="exact"/>
              <w:jc w:val="center"/>
              <w:rPr>
                <w:rFonts w:hint="eastAsia"/>
                <w:bCs/>
                <w:sz w:val="21"/>
                <w:szCs w:val="21"/>
              </w:rPr>
            </w:pPr>
            <w:r>
              <w:rPr>
                <w:rFonts w:hint="eastAsia"/>
                <w:bCs/>
                <w:sz w:val="21"/>
                <w:szCs w:val="21"/>
              </w:rPr>
              <w:t>0</w:t>
            </w:r>
          </w:p>
        </w:tc>
        <w:tc>
          <w:tcPr>
            <w:tcW w:w="717" w:type="dxa"/>
            <w:tcBorders>
              <w:right w:val="single" w:color="auto" w:sz="12" w:space="0"/>
            </w:tcBorders>
            <w:vAlign w:val="center"/>
          </w:tcPr>
          <w:p w14:paraId="28934EEC">
            <w:pPr>
              <w:widowControl w:val="0"/>
              <w:snapToGrid w:val="0"/>
              <w:spacing w:line="320" w:lineRule="exact"/>
              <w:jc w:val="center"/>
              <w:rPr>
                <w:rFonts w:hint="eastAsia"/>
                <w:bCs/>
                <w:sz w:val="21"/>
                <w:szCs w:val="21"/>
              </w:rPr>
            </w:pPr>
            <w:r>
              <w:rPr>
                <w:rFonts w:hint="eastAsia"/>
                <w:bCs/>
                <w:sz w:val="21"/>
                <w:szCs w:val="21"/>
              </w:rPr>
              <w:t>3</w:t>
            </w:r>
          </w:p>
        </w:tc>
      </w:tr>
      <w:tr w14:paraId="4603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9" w:type="dxa"/>
            <w:tcBorders>
              <w:left w:val="single" w:color="auto" w:sz="12" w:space="0"/>
            </w:tcBorders>
          </w:tcPr>
          <w:p w14:paraId="71543A7A">
            <w:pPr>
              <w:widowControl w:val="0"/>
              <w:snapToGrid w:val="0"/>
              <w:spacing w:line="320" w:lineRule="exact"/>
              <w:jc w:val="both"/>
              <w:rPr>
                <w:rFonts w:hint="eastAsia"/>
                <w:bCs/>
                <w:color w:val="000000"/>
                <w:sz w:val="21"/>
                <w:szCs w:val="21"/>
              </w:rPr>
            </w:pPr>
            <w:r>
              <w:rPr>
                <w:rFonts w:hint="eastAsia"/>
                <w:bCs/>
                <w:color w:val="000000"/>
                <w:sz w:val="21"/>
                <w:szCs w:val="21"/>
              </w:rPr>
              <w:t xml:space="preserve">第九章 </w:t>
            </w:r>
            <w:r>
              <w:rPr>
                <w:rFonts w:hint="eastAsia"/>
                <w:color w:val="000000"/>
                <w:sz w:val="21"/>
                <w:szCs w:val="21"/>
              </w:rPr>
              <w:t>发热</w:t>
            </w:r>
          </w:p>
        </w:tc>
        <w:tc>
          <w:tcPr>
            <w:tcW w:w="2415" w:type="dxa"/>
            <w:vAlign w:val="center"/>
          </w:tcPr>
          <w:p w14:paraId="3330016A">
            <w:pPr>
              <w:snapToGrid w:val="0"/>
              <w:spacing w:line="320" w:lineRule="exact"/>
              <w:jc w:val="both"/>
              <w:rPr>
                <w:rFonts w:hint="eastAsia"/>
                <w:bCs/>
                <w:sz w:val="21"/>
                <w:szCs w:val="21"/>
              </w:rPr>
            </w:pPr>
            <w:r>
              <w:rPr>
                <w:rFonts w:hint="eastAsia"/>
                <w:bCs/>
                <w:sz w:val="21"/>
                <w:szCs w:val="21"/>
              </w:rPr>
              <w:t>教：讲述教学法、讨论教学法。</w:t>
            </w:r>
          </w:p>
          <w:p w14:paraId="09F67A4C">
            <w:pPr>
              <w:widowControl w:val="0"/>
              <w:snapToGrid w:val="0"/>
              <w:spacing w:line="320" w:lineRule="exact"/>
              <w:jc w:val="both"/>
              <w:rPr>
                <w:rFonts w:hint="eastAsia"/>
                <w:bCs/>
                <w:sz w:val="21"/>
                <w:szCs w:val="21"/>
              </w:rPr>
            </w:pPr>
            <w:r>
              <w:rPr>
                <w:rFonts w:hint="eastAsia"/>
                <w:bCs/>
                <w:sz w:val="21"/>
                <w:szCs w:val="21"/>
              </w:rPr>
              <w:t>学：</w:t>
            </w:r>
            <w:r>
              <w:rPr>
                <w:bCs/>
                <w:sz w:val="21"/>
                <w:szCs w:val="21"/>
              </w:rPr>
              <w:t>PBL</w:t>
            </w:r>
            <w:r>
              <w:rPr>
                <w:rFonts w:hint="eastAsia"/>
                <w:bCs/>
                <w:sz w:val="21"/>
                <w:szCs w:val="21"/>
              </w:rPr>
              <w:t>、教师辅导</w:t>
            </w:r>
          </w:p>
        </w:tc>
        <w:tc>
          <w:tcPr>
            <w:tcW w:w="1738" w:type="dxa"/>
            <w:vAlign w:val="center"/>
          </w:tcPr>
          <w:p w14:paraId="3EE54496">
            <w:pPr>
              <w:snapToGrid w:val="0"/>
              <w:spacing w:line="320" w:lineRule="exact"/>
              <w:jc w:val="center"/>
              <w:rPr>
                <w:rFonts w:hint="eastAsia"/>
                <w:bCs/>
                <w:sz w:val="21"/>
                <w:szCs w:val="21"/>
              </w:rPr>
            </w:pPr>
            <w:r>
              <w:rPr>
                <w:rFonts w:hint="eastAsia"/>
                <w:bCs/>
                <w:sz w:val="21"/>
                <w:szCs w:val="21"/>
              </w:rPr>
              <w:t>纸笔测试</w:t>
            </w:r>
          </w:p>
          <w:p w14:paraId="4FBE59B9">
            <w:pPr>
              <w:widowControl w:val="0"/>
              <w:snapToGrid w:val="0"/>
              <w:spacing w:line="320" w:lineRule="exact"/>
              <w:jc w:val="center"/>
              <w:rPr>
                <w:rFonts w:hint="eastAsia"/>
                <w:bCs/>
                <w:sz w:val="21"/>
                <w:szCs w:val="21"/>
              </w:rPr>
            </w:pPr>
          </w:p>
        </w:tc>
        <w:tc>
          <w:tcPr>
            <w:tcW w:w="725" w:type="dxa"/>
            <w:vAlign w:val="center"/>
          </w:tcPr>
          <w:p w14:paraId="5484FD2D">
            <w:pPr>
              <w:widowControl w:val="0"/>
              <w:snapToGrid w:val="0"/>
              <w:spacing w:line="320" w:lineRule="exact"/>
              <w:jc w:val="center"/>
              <w:rPr>
                <w:rFonts w:hint="eastAsia"/>
                <w:bCs/>
                <w:sz w:val="21"/>
                <w:szCs w:val="21"/>
              </w:rPr>
            </w:pPr>
            <w:r>
              <w:rPr>
                <w:rFonts w:hint="eastAsia"/>
                <w:bCs/>
                <w:sz w:val="21"/>
                <w:szCs w:val="21"/>
              </w:rPr>
              <w:t>3</w:t>
            </w:r>
          </w:p>
        </w:tc>
        <w:tc>
          <w:tcPr>
            <w:tcW w:w="669" w:type="dxa"/>
            <w:vAlign w:val="center"/>
          </w:tcPr>
          <w:p w14:paraId="0CF18191">
            <w:pPr>
              <w:widowControl w:val="0"/>
              <w:snapToGrid w:val="0"/>
              <w:spacing w:line="320" w:lineRule="exact"/>
              <w:jc w:val="center"/>
              <w:rPr>
                <w:rFonts w:hint="eastAsia"/>
                <w:bCs/>
                <w:sz w:val="21"/>
                <w:szCs w:val="21"/>
              </w:rPr>
            </w:pPr>
            <w:r>
              <w:rPr>
                <w:rFonts w:hint="eastAsia"/>
                <w:bCs/>
                <w:sz w:val="21"/>
                <w:szCs w:val="21"/>
              </w:rPr>
              <w:t>0</w:t>
            </w:r>
          </w:p>
        </w:tc>
        <w:tc>
          <w:tcPr>
            <w:tcW w:w="717" w:type="dxa"/>
            <w:tcBorders>
              <w:right w:val="single" w:color="auto" w:sz="12" w:space="0"/>
            </w:tcBorders>
            <w:vAlign w:val="center"/>
          </w:tcPr>
          <w:p w14:paraId="28043F77">
            <w:pPr>
              <w:widowControl w:val="0"/>
              <w:snapToGrid w:val="0"/>
              <w:spacing w:line="320" w:lineRule="exact"/>
              <w:jc w:val="center"/>
              <w:rPr>
                <w:rFonts w:hint="eastAsia"/>
                <w:bCs/>
                <w:sz w:val="21"/>
                <w:szCs w:val="21"/>
              </w:rPr>
            </w:pPr>
            <w:r>
              <w:rPr>
                <w:rFonts w:hint="eastAsia"/>
                <w:bCs/>
                <w:sz w:val="21"/>
                <w:szCs w:val="21"/>
              </w:rPr>
              <w:t>3</w:t>
            </w:r>
          </w:p>
        </w:tc>
      </w:tr>
      <w:tr w14:paraId="2018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9" w:type="dxa"/>
            <w:tcBorders>
              <w:left w:val="single" w:color="auto" w:sz="12" w:space="0"/>
            </w:tcBorders>
          </w:tcPr>
          <w:p w14:paraId="0EDFD28E">
            <w:pPr>
              <w:widowControl w:val="0"/>
              <w:snapToGrid w:val="0"/>
              <w:spacing w:line="320" w:lineRule="exact"/>
              <w:jc w:val="both"/>
              <w:rPr>
                <w:rFonts w:hint="eastAsia"/>
                <w:bCs/>
                <w:color w:val="000000"/>
                <w:sz w:val="21"/>
                <w:szCs w:val="21"/>
              </w:rPr>
            </w:pPr>
            <w:r>
              <w:rPr>
                <w:rFonts w:hint="eastAsia"/>
                <w:bCs/>
                <w:color w:val="000000"/>
                <w:sz w:val="21"/>
                <w:szCs w:val="21"/>
              </w:rPr>
              <w:t xml:space="preserve">第十章 </w:t>
            </w:r>
            <w:r>
              <w:rPr>
                <w:rFonts w:hint="eastAsia"/>
                <w:color w:val="000000"/>
                <w:sz w:val="21"/>
                <w:szCs w:val="21"/>
              </w:rPr>
              <w:t>休克</w:t>
            </w:r>
          </w:p>
        </w:tc>
        <w:tc>
          <w:tcPr>
            <w:tcW w:w="2415" w:type="dxa"/>
            <w:vAlign w:val="center"/>
          </w:tcPr>
          <w:p w14:paraId="26AAD051">
            <w:pPr>
              <w:snapToGrid w:val="0"/>
              <w:spacing w:line="320" w:lineRule="exact"/>
              <w:jc w:val="both"/>
              <w:rPr>
                <w:rFonts w:hint="eastAsia"/>
                <w:bCs/>
                <w:sz w:val="21"/>
                <w:szCs w:val="21"/>
              </w:rPr>
            </w:pPr>
            <w:r>
              <w:rPr>
                <w:rFonts w:hint="eastAsia"/>
                <w:bCs/>
                <w:sz w:val="21"/>
                <w:szCs w:val="21"/>
              </w:rPr>
              <w:t>教：讲述教学法、讨论教学法。</w:t>
            </w:r>
          </w:p>
          <w:p w14:paraId="1C6F1CFA">
            <w:pPr>
              <w:widowControl w:val="0"/>
              <w:snapToGrid w:val="0"/>
              <w:spacing w:line="320" w:lineRule="exact"/>
              <w:jc w:val="both"/>
              <w:rPr>
                <w:rFonts w:hint="eastAsia"/>
                <w:sz w:val="21"/>
                <w:szCs w:val="21"/>
              </w:rPr>
            </w:pPr>
            <w:r>
              <w:rPr>
                <w:rFonts w:hint="eastAsia"/>
                <w:bCs/>
                <w:sz w:val="21"/>
                <w:szCs w:val="21"/>
              </w:rPr>
              <w:t>学：</w:t>
            </w:r>
            <w:r>
              <w:rPr>
                <w:bCs/>
                <w:sz w:val="21"/>
                <w:szCs w:val="21"/>
              </w:rPr>
              <w:t>PBL</w:t>
            </w:r>
            <w:r>
              <w:rPr>
                <w:rFonts w:hint="eastAsia"/>
                <w:bCs/>
                <w:sz w:val="21"/>
                <w:szCs w:val="21"/>
              </w:rPr>
              <w:t>、教师辅导</w:t>
            </w:r>
          </w:p>
        </w:tc>
        <w:tc>
          <w:tcPr>
            <w:tcW w:w="1738" w:type="dxa"/>
            <w:vAlign w:val="center"/>
          </w:tcPr>
          <w:p w14:paraId="2CDF1F95">
            <w:pPr>
              <w:snapToGrid w:val="0"/>
              <w:spacing w:line="320" w:lineRule="exact"/>
              <w:jc w:val="center"/>
              <w:rPr>
                <w:rFonts w:hint="eastAsia"/>
                <w:bCs/>
                <w:sz w:val="21"/>
                <w:szCs w:val="21"/>
              </w:rPr>
            </w:pPr>
            <w:r>
              <w:rPr>
                <w:rFonts w:hint="eastAsia"/>
                <w:bCs/>
                <w:sz w:val="21"/>
                <w:szCs w:val="21"/>
              </w:rPr>
              <w:t>纸笔测试</w:t>
            </w:r>
          </w:p>
          <w:p w14:paraId="6DB766B4">
            <w:pPr>
              <w:widowControl w:val="0"/>
              <w:snapToGrid w:val="0"/>
              <w:spacing w:line="320" w:lineRule="exact"/>
              <w:jc w:val="center"/>
              <w:rPr>
                <w:rFonts w:hint="eastAsia"/>
                <w:sz w:val="21"/>
                <w:szCs w:val="21"/>
              </w:rPr>
            </w:pPr>
          </w:p>
        </w:tc>
        <w:tc>
          <w:tcPr>
            <w:tcW w:w="725" w:type="dxa"/>
            <w:vAlign w:val="center"/>
          </w:tcPr>
          <w:p w14:paraId="2FEBF6F6">
            <w:pPr>
              <w:widowControl w:val="0"/>
              <w:snapToGrid w:val="0"/>
              <w:spacing w:line="320" w:lineRule="exact"/>
              <w:jc w:val="center"/>
              <w:rPr>
                <w:rFonts w:hint="eastAsia"/>
                <w:bCs/>
                <w:sz w:val="21"/>
                <w:szCs w:val="21"/>
              </w:rPr>
            </w:pPr>
            <w:r>
              <w:rPr>
                <w:rFonts w:hint="eastAsia"/>
                <w:bCs/>
                <w:sz w:val="21"/>
                <w:szCs w:val="21"/>
              </w:rPr>
              <w:t>3</w:t>
            </w:r>
          </w:p>
        </w:tc>
        <w:tc>
          <w:tcPr>
            <w:tcW w:w="669" w:type="dxa"/>
            <w:vAlign w:val="center"/>
          </w:tcPr>
          <w:p w14:paraId="0A6E00AE">
            <w:pPr>
              <w:widowControl w:val="0"/>
              <w:snapToGrid w:val="0"/>
              <w:spacing w:line="320" w:lineRule="exact"/>
              <w:jc w:val="center"/>
              <w:rPr>
                <w:rFonts w:hint="eastAsia"/>
                <w:bCs/>
                <w:sz w:val="21"/>
                <w:szCs w:val="21"/>
              </w:rPr>
            </w:pPr>
            <w:r>
              <w:rPr>
                <w:rFonts w:hint="eastAsia"/>
                <w:bCs/>
                <w:sz w:val="21"/>
                <w:szCs w:val="21"/>
              </w:rPr>
              <w:t>0</w:t>
            </w:r>
          </w:p>
        </w:tc>
        <w:tc>
          <w:tcPr>
            <w:tcW w:w="717" w:type="dxa"/>
            <w:tcBorders>
              <w:right w:val="single" w:color="auto" w:sz="12" w:space="0"/>
            </w:tcBorders>
            <w:vAlign w:val="center"/>
          </w:tcPr>
          <w:p w14:paraId="391CC75D">
            <w:pPr>
              <w:widowControl w:val="0"/>
              <w:snapToGrid w:val="0"/>
              <w:spacing w:line="320" w:lineRule="exact"/>
              <w:jc w:val="center"/>
              <w:rPr>
                <w:rFonts w:hint="eastAsia"/>
                <w:bCs/>
                <w:sz w:val="21"/>
                <w:szCs w:val="21"/>
              </w:rPr>
            </w:pPr>
            <w:r>
              <w:rPr>
                <w:rFonts w:hint="eastAsia"/>
                <w:bCs/>
                <w:sz w:val="21"/>
                <w:szCs w:val="21"/>
              </w:rPr>
              <w:t>3</w:t>
            </w:r>
          </w:p>
        </w:tc>
      </w:tr>
      <w:tr w14:paraId="6FD4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9" w:type="dxa"/>
            <w:tcBorders>
              <w:left w:val="single" w:color="auto" w:sz="12" w:space="0"/>
            </w:tcBorders>
          </w:tcPr>
          <w:p w14:paraId="79E63613">
            <w:pPr>
              <w:widowControl w:val="0"/>
              <w:snapToGrid w:val="0"/>
              <w:spacing w:line="320" w:lineRule="exact"/>
              <w:rPr>
                <w:rFonts w:hint="eastAsia"/>
                <w:color w:val="000000"/>
                <w:sz w:val="21"/>
                <w:szCs w:val="21"/>
              </w:rPr>
            </w:pPr>
            <w:r>
              <w:rPr>
                <w:rFonts w:hint="eastAsia"/>
                <w:bCs/>
                <w:sz w:val="21"/>
                <w:szCs w:val="21"/>
              </w:rPr>
              <w:t xml:space="preserve">第十一章 </w:t>
            </w:r>
            <w:r>
              <w:rPr>
                <w:rFonts w:hint="eastAsia"/>
                <w:color w:val="000000"/>
                <w:sz w:val="21"/>
                <w:szCs w:val="21"/>
              </w:rPr>
              <w:t>弥散性血管内凝血</w:t>
            </w:r>
          </w:p>
        </w:tc>
        <w:tc>
          <w:tcPr>
            <w:tcW w:w="2415" w:type="dxa"/>
            <w:vAlign w:val="center"/>
          </w:tcPr>
          <w:p w14:paraId="55DED407">
            <w:pPr>
              <w:snapToGrid w:val="0"/>
              <w:spacing w:line="320" w:lineRule="exact"/>
              <w:jc w:val="both"/>
              <w:rPr>
                <w:rFonts w:hint="eastAsia"/>
                <w:bCs/>
                <w:sz w:val="21"/>
                <w:szCs w:val="21"/>
              </w:rPr>
            </w:pPr>
            <w:r>
              <w:rPr>
                <w:rFonts w:hint="eastAsia"/>
                <w:bCs/>
                <w:sz w:val="21"/>
                <w:szCs w:val="21"/>
              </w:rPr>
              <w:t>教：讲述教学法、讨论教学法。</w:t>
            </w:r>
          </w:p>
          <w:p w14:paraId="3E6AE6C8">
            <w:pPr>
              <w:widowControl w:val="0"/>
              <w:snapToGrid w:val="0"/>
              <w:spacing w:line="320" w:lineRule="exact"/>
              <w:jc w:val="both"/>
              <w:rPr>
                <w:rFonts w:hint="eastAsia"/>
                <w:sz w:val="21"/>
                <w:szCs w:val="21"/>
              </w:rPr>
            </w:pPr>
            <w:r>
              <w:rPr>
                <w:rFonts w:hint="eastAsia"/>
                <w:bCs/>
                <w:sz w:val="21"/>
                <w:szCs w:val="21"/>
              </w:rPr>
              <w:t>学：</w:t>
            </w:r>
            <w:r>
              <w:rPr>
                <w:bCs/>
                <w:sz w:val="21"/>
                <w:szCs w:val="21"/>
              </w:rPr>
              <w:t>PBL</w:t>
            </w:r>
            <w:r>
              <w:rPr>
                <w:rFonts w:hint="eastAsia"/>
                <w:bCs/>
                <w:sz w:val="21"/>
                <w:szCs w:val="21"/>
              </w:rPr>
              <w:t>、教师辅导</w:t>
            </w:r>
          </w:p>
        </w:tc>
        <w:tc>
          <w:tcPr>
            <w:tcW w:w="1738" w:type="dxa"/>
            <w:vAlign w:val="center"/>
          </w:tcPr>
          <w:p w14:paraId="20015AC4">
            <w:pPr>
              <w:snapToGrid w:val="0"/>
              <w:spacing w:line="320" w:lineRule="exact"/>
              <w:jc w:val="center"/>
              <w:rPr>
                <w:rFonts w:hint="eastAsia"/>
                <w:bCs/>
                <w:sz w:val="21"/>
                <w:szCs w:val="21"/>
              </w:rPr>
            </w:pPr>
            <w:r>
              <w:rPr>
                <w:rFonts w:hint="eastAsia"/>
                <w:bCs/>
                <w:sz w:val="21"/>
                <w:szCs w:val="21"/>
              </w:rPr>
              <w:t>纸笔测试</w:t>
            </w:r>
          </w:p>
          <w:p w14:paraId="26245FF9">
            <w:pPr>
              <w:widowControl w:val="0"/>
              <w:snapToGrid w:val="0"/>
              <w:spacing w:line="320" w:lineRule="exact"/>
              <w:jc w:val="center"/>
              <w:rPr>
                <w:rFonts w:hint="eastAsia"/>
                <w:sz w:val="21"/>
                <w:szCs w:val="21"/>
              </w:rPr>
            </w:pPr>
          </w:p>
        </w:tc>
        <w:tc>
          <w:tcPr>
            <w:tcW w:w="725" w:type="dxa"/>
            <w:vAlign w:val="center"/>
          </w:tcPr>
          <w:p w14:paraId="5C829AB6">
            <w:pPr>
              <w:widowControl w:val="0"/>
              <w:snapToGrid w:val="0"/>
              <w:spacing w:line="320" w:lineRule="exact"/>
              <w:jc w:val="center"/>
              <w:rPr>
                <w:rFonts w:hint="eastAsia"/>
                <w:bCs/>
                <w:sz w:val="21"/>
                <w:szCs w:val="21"/>
              </w:rPr>
            </w:pPr>
            <w:r>
              <w:rPr>
                <w:rFonts w:hint="eastAsia"/>
                <w:bCs/>
                <w:sz w:val="21"/>
                <w:szCs w:val="21"/>
              </w:rPr>
              <w:t>3</w:t>
            </w:r>
          </w:p>
        </w:tc>
        <w:tc>
          <w:tcPr>
            <w:tcW w:w="669" w:type="dxa"/>
            <w:vAlign w:val="center"/>
          </w:tcPr>
          <w:p w14:paraId="19762E5B">
            <w:pPr>
              <w:widowControl w:val="0"/>
              <w:snapToGrid w:val="0"/>
              <w:spacing w:line="320" w:lineRule="exact"/>
              <w:jc w:val="center"/>
              <w:rPr>
                <w:rFonts w:hint="eastAsia"/>
                <w:bCs/>
                <w:sz w:val="21"/>
                <w:szCs w:val="21"/>
              </w:rPr>
            </w:pPr>
            <w:r>
              <w:rPr>
                <w:rFonts w:hint="eastAsia"/>
                <w:bCs/>
                <w:sz w:val="21"/>
                <w:szCs w:val="21"/>
              </w:rPr>
              <w:t>0</w:t>
            </w:r>
          </w:p>
        </w:tc>
        <w:tc>
          <w:tcPr>
            <w:tcW w:w="717" w:type="dxa"/>
            <w:tcBorders>
              <w:right w:val="single" w:color="auto" w:sz="12" w:space="0"/>
            </w:tcBorders>
            <w:vAlign w:val="center"/>
          </w:tcPr>
          <w:p w14:paraId="65DD24A9">
            <w:pPr>
              <w:widowControl w:val="0"/>
              <w:snapToGrid w:val="0"/>
              <w:spacing w:line="320" w:lineRule="exact"/>
              <w:jc w:val="center"/>
              <w:rPr>
                <w:rFonts w:hint="eastAsia"/>
                <w:bCs/>
                <w:sz w:val="21"/>
                <w:szCs w:val="21"/>
              </w:rPr>
            </w:pPr>
            <w:r>
              <w:rPr>
                <w:rFonts w:hint="eastAsia"/>
                <w:bCs/>
                <w:sz w:val="21"/>
                <w:szCs w:val="21"/>
              </w:rPr>
              <w:t>3</w:t>
            </w:r>
          </w:p>
        </w:tc>
      </w:tr>
      <w:tr w14:paraId="3EEF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9" w:type="dxa"/>
            <w:tcBorders>
              <w:left w:val="single" w:color="auto" w:sz="12" w:space="0"/>
            </w:tcBorders>
          </w:tcPr>
          <w:p w14:paraId="3E6CBA3C">
            <w:pPr>
              <w:widowControl w:val="0"/>
              <w:snapToGrid w:val="0"/>
              <w:spacing w:line="320" w:lineRule="exact"/>
              <w:rPr>
                <w:rFonts w:hint="eastAsia"/>
                <w:color w:val="000000"/>
                <w:sz w:val="21"/>
                <w:szCs w:val="21"/>
              </w:rPr>
            </w:pPr>
            <w:r>
              <w:rPr>
                <w:rFonts w:hint="eastAsia"/>
                <w:bCs/>
                <w:sz w:val="21"/>
                <w:szCs w:val="21"/>
              </w:rPr>
              <w:t xml:space="preserve">第十二章 </w:t>
            </w:r>
            <w:r>
              <w:rPr>
                <w:rFonts w:hint="eastAsia"/>
                <w:color w:val="000000"/>
                <w:sz w:val="21"/>
                <w:szCs w:val="21"/>
              </w:rPr>
              <w:t>重要器官功能衰竭</w:t>
            </w:r>
          </w:p>
        </w:tc>
        <w:tc>
          <w:tcPr>
            <w:tcW w:w="2415" w:type="dxa"/>
            <w:vAlign w:val="center"/>
          </w:tcPr>
          <w:p w14:paraId="65E66105">
            <w:pPr>
              <w:snapToGrid w:val="0"/>
              <w:spacing w:line="320" w:lineRule="exact"/>
              <w:jc w:val="both"/>
              <w:rPr>
                <w:rFonts w:hint="eastAsia"/>
                <w:bCs/>
                <w:sz w:val="21"/>
                <w:szCs w:val="21"/>
              </w:rPr>
            </w:pPr>
            <w:r>
              <w:rPr>
                <w:rFonts w:hint="eastAsia"/>
                <w:bCs/>
                <w:sz w:val="21"/>
                <w:szCs w:val="21"/>
              </w:rPr>
              <w:t>教：讲述教学法、讨论教学法。</w:t>
            </w:r>
          </w:p>
          <w:p w14:paraId="3DC86E3C">
            <w:pPr>
              <w:widowControl w:val="0"/>
              <w:snapToGrid w:val="0"/>
              <w:spacing w:line="320" w:lineRule="exact"/>
              <w:jc w:val="both"/>
              <w:rPr>
                <w:rFonts w:hint="eastAsia"/>
                <w:sz w:val="21"/>
                <w:szCs w:val="21"/>
              </w:rPr>
            </w:pPr>
            <w:r>
              <w:rPr>
                <w:rFonts w:hint="eastAsia"/>
                <w:bCs/>
                <w:sz w:val="21"/>
                <w:szCs w:val="21"/>
              </w:rPr>
              <w:t>学：</w:t>
            </w:r>
            <w:r>
              <w:rPr>
                <w:bCs/>
                <w:sz w:val="21"/>
                <w:szCs w:val="21"/>
              </w:rPr>
              <w:t>PBL</w:t>
            </w:r>
            <w:r>
              <w:rPr>
                <w:rFonts w:hint="eastAsia"/>
                <w:bCs/>
                <w:sz w:val="21"/>
                <w:szCs w:val="21"/>
              </w:rPr>
              <w:t>、教师辅导</w:t>
            </w:r>
          </w:p>
        </w:tc>
        <w:tc>
          <w:tcPr>
            <w:tcW w:w="1738" w:type="dxa"/>
            <w:vAlign w:val="center"/>
          </w:tcPr>
          <w:p w14:paraId="31A2D376">
            <w:pPr>
              <w:snapToGrid w:val="0"/>
              <w:spacing w:line="320" w:lineRule="exact"/>
              <w:jc w:val="center"/>
              <w:rPr>
                <w:rFonts w:hint="eastAsia"/>
                <w:bCs/>
                <w:sz w:val="21"/>
                <w:szCs w:val="21"/>
              </w:rPr>
            </w:pPr>
            <w:r>
              <w:rPr>
                <w:rFonts w:hint="eastAsia"/>
                <w:bCs/>
                <w:sz w:val="21"/>
                <w:szCs w:val="21"/>
              </w:rPr>
              <w:t>纸笔测试</w:t>
            </w:r>
          </w:p>
          <w:p w14:paraId="4D39BDC0">
            <w:pPr>
              <w:widowControl w:val="0"/>
              <w:snapToGrid w:val="0"/>
              <w:spacing w:line="320" w:lineRule="exact"/>
              <w:jc w:val="center"/>
              <w:rPr>
                <w:rFonts w:hint="eastAsia"/>
                <w:sz w:val="21"/>
                <w:szCs w:val="21"/>
              </w:rPr>
            </w:pPr>
          </w:p>
        </w:tc>
        <w:tc>
          <w:tcPr>
            <w:tcW w:w="725" w:type="dxa"/>
            <w:vAlign w:val="center"/>
          </w:tcPr>
          <w:p w14:paraId="3B31534E">
            <w:pPr>
              <w:widowControl w:val="0"/>
              <w:snapToGrid w:val="0"/>
              <w:spacing w:line="320" w:lineRule="exact"/>
              <w:jc w:val="center"/>
              <w:rPr>
                <w:rFonts w:hint="eastAsia"/>
                <w:bCs/>
                <w:sz w:val="21"/>
                <w:szCs w:val="21"/>
              </w:rPr>
            </w:pPr>
            <w:r>
              <w:rPr>
                <w:rFonts w:hint="eastAsia"/>
                <w:bCs/>
                <w:sz w:val="21"/>
                <w:szCs w:val="21"/>
              </w:rPr>
              <w:t>3</w:t>
            </w:r>
          </w:p>
        </w:tc>
        <w:tc>
          <w:tcPr>
            <w:tcW w:w="669" w:type="dxa"/>
            <w:vAlign w:val="center"/>
          </w:tcPr>
          <w:p w14:paraId="6E55A808">
            <w:pPr>
              <w:widowControl w:val="0"/>
              <w:snapToGrid w:val="0"/>
              <w:spacing w:line="320" w:lineRule="exact"/>
              <w:jc w:val="center"/>
              <w:rPr>
                <w:rFonts w:hint="eastAsia"/>
                <w:bCs/>
                <w:sz w:val="21"/>
                <w:szCs w:val="21"/>
              </w:rPr>
            </w:pPr>
            <w:r>
              <w:rPr>
                <w:rFonts w:hint="eastAsia"/>
                <w:bCs/>
                <w:sz w:val="21"/>
                <w:szCs w:val="21"/>
              </w:rPr>
              <w:t>0</w:t>
            </w:r>
          </w:p>
        </w:tc>
        <w:tc>
          <w:tcPr>
            <w:tcW w:w="717" w:type="dxa"/>
            <w:tcBorders>
              <w:right w:val="single" w:color="auto" w:sz="12" w:space="0"/>
            </w:tcBorders>
            <w:vAlign w:val="center"/>
          </w:tcPr>
          <w:p w14:paraId="671C2CCC">
            <w:pPr>
              <w:widowControl w:val="0"/>
              <w:snapToGrid w:val="0"/>
              <w:spacing w:line="320" w:lineRule="exact"/>
              <w:jc w:val="center"/>
              <w:rPr>
                <w:rFonts w:hint="eastAsia"/>
                <w:bCs/>
                <w:sz w:val="21"/>
                <w:szCs w:val="21"/>
              </w:rPr>
            </w:pPr>
            <w:r>
              <w:rPr>
                <w:rFonts w:hint="eastAsia"/>
                <w:bCs/>
                <w:sz w:val="21"/>
                <w:szCs w:val="21"/>
              </w:rPr>
              <w:t>3</w:t>
            </w:r>
          </w:p>
        </w:tc>
      </w:tr>
      <w:tr w14:paraId="6221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72" w:type="dxa"/>
            <w:gridSpan w:val="3"/>
            <w:tcBorders>
              <w:left w:val="single" w:color="auto" w:sz="12" w:space="0"/>
              <w:bottom w:val="single" w:color="auto" w:sz="12" w:space="0"/>
            </w:tcBorders>
            <w:vAlign w:val="center"/>
          </w:tcPr>
          <w:p w14:paraId="01FDA0BF">
            <w:pPr>
              <w:pStyle w:val="14"/>
              <w:widowControl w:val="0"/>
              <w:spacing w:line="320" w:lineRule="exact"/>
              <w:rPr>
                <w:rFonts w:hint="eastAsia" w:ascii="宋体" w:hAnsi="宋体" w:eastAsia="宋体"/>
                <w:szCs w:val="21"/>
              </w:rPr>
            </w:pPr>
            <w:r>
              <w:rPr>
                <w:rFonts w:hint="eastAsia" w:ascii="宋体" w:hAnsi="宋体" w:eastAsia="宋体"/>
                <w:szCs w:val="21"/>
              </w:rPr>
              <w:t>合计</w:t>
            </w:r>
          </w:p>
        </w:tc>
        <w:tc>
          <w:tcPr>
            <w:tcW w:w="725" w:type="dxa"/>
            <w:tcBorders>
              <w:bottom w:val="single" w:color="auto" w:sz="12" w:space="0"/>
            </w:tcBorders>
            <w:vAlign w:val="center"/>
          </w:tcPr>
          <w:p w14:paraId="7A0C6C6A">
            <w:pPr>
              <w:widowControl w:val="0"/>
              <w:snapToGrid w:val="0"/>
              <w:spacing w:line="320" w:lineRule="exact"/>
              <w:jc w:val="center"/>
              <w:rPr>
                <w:rFonts w:hint="eastAsia"/>
                <w:bCs/>
                <w:sz w:val="21"/>
                <w:szCs w:val="21"/>
              </w:rPr>
            </w:pPr>
            <w:r>
              <w:rPr>
                <w:rFonts w:hint="eastAsia"/>
                <w:bCs/>
                <w:sz w:val="21"/>
                <w:szCs w:val="21"/>
              </w:rPr>
              <w:t>3</w:t>
            </w:r>
            <w:r>
              <w:rPr>
                <w:bCs/>
                <w:sz w:val="21"/>
                <w:szCs w:val="21"/>
              </w:rPr>
              <w:t>6</w:t>
            </w:r>
          </w:p>
        </w:tc>
        <w:tc>
          <w:tcPr>
            <w:tcW w:w="669" w:type="dxa"/>
            <w:tcBorders>
              <w:bottom w:val="single" w:color="auto" w:sz="12" w:space="0"/>
            </w:tcBorders>
            <w:vAlign w:val="center"/>
          </w:tcPr>
          <w:p w14:paraId="49A82515">
            <w:pPr>
              <w:widowControl w:val="0"/>
              <w:snapToGrid w:val="0"/>
              <w:spacing w:line="320" w:lineRule="exact"/>
              <w:jc w:val="center"/>
              <w:rPr>
                <w:rFonts w:hint="eastAsia"/>
                <w:bCs/>
                <w:sz w:val="21"/>
                <w:szCs w:val="21"/>
              </w:rPr>
            </w:pPr>
            <w:r>
              <w:rPr>
                <w:rFonts w:hint="eastAsia"/>
                <w:bCs/>
                <w:sz w:val="21"/>
                <w:szCs w:val="21"/>
              </w:rPr>
              <w:t>1</w:t>
            </w:r>
            <w:r>
              <w:rPr>
                <w:bCs/>
                <w:sz w:val="21"/>
                <w:szCs w:val="21"/>
              </w:rPr>
              <w:t>2</w:t>
            </w:r>
          </w:p>
        </w:tc>
        <w:tc>
          <w:tcPr>
            <w:tcW w:w="717" w:type="dxa"/>
            <w:tcBorders>
              <w:bottom w:val="single" w:color="auto" w:sz="12" w:space="0"/>
              <w:right w:val="single" w:color="auto" w:sz="12" w:space="0"/>
            </w:tcBorders>
            <w:vAlign w:val="center"/>
          </w:tcPr>
          <w:p w14:paraId="52A369E0">
            <w:pPr>
              <w:widowControl w:val="0"/>
              <w:snapToGrid w:val="0"/>
              <w:spacing w:line="320" w:lineRule="exact"/>
              <w:jc w:val="center"/>
              <w:rPr>
                <w:rFonts w:hint="eastAsia"/>
                <w:bCs/>
                <w:sz w:val="21"/>
                <w:szCs w:val="21"/>
              </w:rPr>
            </w:pPr>
            <w:r>
              <w:rPr>
                <w:rFonts w:hint="eastAsia"/>
                <w:bCs/>
                <w:sz w:val="21"/>
                <w:szCs w:val="21"/>
              </w:rPr>
              <w:t>4</w:t>
            </w:r>
            <w:r>
              <w:rPr>
                <w:bCs/>
                <w:sz w:val="21"/>
                <w:szCs w:val="21"/>
              </w:rPr>
              <w:t>8</w:t>
            </w:r>
          </w:p>
        </w:tc>
      </w:tr>
    </w:tbl>
    <w:p w14:paraId="3B840CB7">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4"/>
        <w:gridCol w:w="2166"/>
        <w:gridCol w:w="3769"/>
        <w:gridCol w:w="864"/>
        <w:gridCol w:w="952"/>
      </w:tblGrid>
      <w:tr w14:paraId="7E54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53E89C19">
            <w:pPr>
              <w:pStyle w:val="14"/>
              <w:rPr>
                <w:szCs w:val="16"/>
              </w:rPr>
            </w:pPr>
            <w:r>
              <w:rPr>
                <w:rFonts w:hint="eastAsia"/>
                <w:szCs w:val="16"/>
              </w:rPr>
              <w:t>序号</w:t>
            </w:r>
          </w:p>
        </w:tc>
        <w:tc>
          <w:tcPr>
            <w:tcW w:w="2168" w:type="dxa"/>
            <w:tcBorders>
              <w:top w:val="single" w:color="auto" w:sz="12" w:space="0"/>
              <w:left w:val="single" w:color="auto" w:sz="4" w:space="0"/>
              <w:bottom w:val="single" w:color="auto" w:sz="4" w:space="0"/>
              <w:right w:val="single" w:color="auto" w:sz="4" w:space="0"/>
            </w:tcBorders>
            <w:shd w:val="clear" w:color="auto" w:fill="auto"/>
            <w:vAlign w:val="center"/>
          </w:tcPr>
          <w:p w14:paraId="1DB96033">
            <w:pPr>
              <w:pStyle w:val="14"/>
              <w:rPr>
                <w:szCs w:val="16"/>
              </w:rPr>
            </w:pPr>
            <w:r>
              <w:rPr>
                <w:rFonts w:hint="eastAsia"/>
                <w:szCs w:val="16"/>
              </w:rPr>
              <w:t>实验项目名称</w:t>
            </w:r>
          </w:p>
        </w:tc>
        <w:tc>
          <w:tcPr>
            <w:tcW w:w="3775" w:type="dxa"/>
            <w:tcBorders>
              <w:top w:val="single" w:color="auto" w:sz="12" w:space="0"/>
              <w:left w:val="single" w:color="auto" w:sz="4" w:space="0"/>
              <w:bottom w:val="single" w:color="auto" w:sz="4" w:space="0"/>
              <w:right w:val="single" w:color="auto" w:sz="4" w:space="0"/>
            </w:tcBorders>
            <w:vAlign w:val="center"/>
          </w:tcPr>
          <w:p w14:paraId="6BAC3454">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4860765F">
            <w:pPr>
              <w:pStyle w:val="14"/>
              <w:rPr>
                <w:szCs w:val="16"/>
              </w:rPr>
            </w:pPr>
            <w:r>
              <w:rPr>
                <w:rFonts w:hint="eastAsia"/>
                <w:szCs w:val="16"/>
              </w:rPr>
              <w:t>实验</w:t>
            </w:r>
          </w:p>
          <w:p w14:paraId="37A9FE18">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0F85A18F">
            <w:pPr>
              <w:pStyle w:val="14"/>
              <w:rPr>
                <w:szCs w:val="16"/>
              </w:rPr>
            </w:pPr>
            <w:r>
              <w:rPr>
                <w:rFonts w:hint="eastAsia"/>
                <w:szCs w:val="16"/>
              </w:rPr>
              <w:t>实验</w:t>
            </w:r>
          </w:p>
          <w:p w14:paraId="14939F54">
            <w:pPr>
              <w:pStyle w:val="14"/>
              <w:rPr>
                <w:szCs w:val="16"/>
              </w:rPr>
            </w:pPr>
            <w:r>
              <w:rPr>
                <w:rFonts w:hint="eastAsia"/>
                <w:szCs w:val="16"/>
              </w:rPr>
              <w:t>类型</w:t>
            </w:r>
          </w:p>
        </w:tc>
      </w:tr>
      <w:tr w14:paraId="5219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79526024">
            <w:pPr>
              <w:pStyle w:val="15"/>
            </w:pPr>
            <w:r>
              <w:rPr>
                <w:rFonts w:hint="eastAsia"/>
              </w:rPr>
              <w:t>1</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683F3E3C">
            <w:pPr>
              <w:spacing w:line="320" w:lineRule="exact"/>
              <w:rPr>
                <w:rFonts w:hint="eastAsia"/>
                <w:color w:val="000000"/>
                <w:sz w:val="21"/>
                <w:szCs w:val="21"/>
              </w:rPr>
            </w:pPr>
            <w:r>
              <w:rPr>
                <w:rFonts w:hint="eastAsia"/>
                <w:color w:val="000000"/>
                <w:sz w:val="21"/>
                <w:szCs w:val="21"/>
              </w:rPr>
              <w:t>实验一：组织、细胞适应、损伤与修复，局部血液循环障碍</w:t>
            </w:r>
          </w:p>
        </w:tc>
        <w:tc>
          <w:tcPr>
            <w:tcW w:w="3775" w:type="dxa"/>
            <w:tcBorders>
              <w:top w:val="single" w:color="auto" w:sz="4" w:space="0"/>
              <w:left w:val="single" w:color="auto" w:sz="4" w:space="0"/>
              <w:bottom w:val="single" w:color="auto" w:sz="4" w:space="0"/>
              <w:right w:val="single" w:color="auto" w:sz="4" w:space="0"/>
            </w:tcBorders>
          </w:tcPr>
          <w:p w14:paraId="5D43790F">
            <w:pPr>
              <w:pStyle w:val="15"/>
              <w:spacing w:line="320" w:lineRule="exact"/>
              <w:jc w:val="left"/>
              <w:rPr>
                <w:rFonts w:hint="eastAsia" w:ascii="宋体" w:hAnsi="宋体"/>
              </w:rPr>
            </w:pPr>
            <w:r>
              <w:rPr>
                <w:rFonts w:hint="eastAsia" w:ascii="宋体" w:hAnsi="宋体"/>
              </w:rPr>
              <w:t>肝脂肪变性、支气管黏膜鳞化、肉芽组织、慢性肺淤血、混合血栓</w:t>
            </w:r>
          </w:p>
        </w:tc>
        <w:tc>
          <w:tcPr>
            <w:tcW w:w="862" w:type="dxa"/>
            <w:tcBorders>
              <w:left w:val="single" w:color="auto" w:sz="4" w:space="0"/>
              <w:right w:val="single" w:color="auto" w:sz="4" w:space="0"/>
            </w:tcBorders>
            <w:shd w:val="clear" w:color="auto" w:fill="auto"/>
            <w:vAlign w:val="center"/>
          </w:tcPr>
          <w:p w14:paraId="0088188F">
            <w:pPr>
              <w:pStyle w:val="15"/>
              <w:spacing w:line="320" w:lineRule="exact"/>
              <w:rPr>
                <w:rFonts w:hint="eastAsia" w:ascii="宋体" w:hAnsi="宋体"/>
              </w:rPr>
            </w:pPr>
            <w:r>
              <w:rPr>
                <w:rFonts w:hint="eastAsia" w:ascii="宋体" w:hAnsi="宋体"/>
              </w:rPr>
              <w:t>3</w:t>
            </w:r>
          </w:p>
        </w:tc>
        <w:tc>
          <w:tcPr>
            <w:tcW w:w="950" w:type="dxa"/>
            <w:tcBorders>
              <w:left w:val="single" w:color="auto" w:sz="4" w:space="0"/>
              <w:right w:val="single" w:color="auto" w:sz="12" w:space="0"/>
            </w:tcBorders>
            <w:shd w:val="clear" w:color="auto" w:fill="auto"/>
            <w:vAlign w:val="center"/>
          </w:tcPr>
          <w:p w14:paraId="0022CCD7">
            <w:pPr>
              <w:pStyle w:val="15"/>
              <w:spacing w:line="320" w:lineRule="exact"/>
              <w:ind w:left="360"/>
              <w:jc w:val="left"/>
              <w:rPr>
                <w:rFonts w:hint="eastAsia" w:ascii="宋体" w:hAnsi="宋体"/>
              </w:rPr>
            </w:pPr>
            <w:r>
              <w:rPr>
                <w:rFonts w:hint="eastAsia" w:ascii="宋体" w:hAnsi="宋体"/>
              </w:rPr>
              <w:t>④</w:t>
            </w:r>
          </w:p>
        </w:tc>
      </w:tr>
      <w:tr w14:paraId="7CBA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26D44A53">
            <w:pPr>
              <w:pStyle w:val="15"/>
            </w:pPr>
            <w:r>
              <w:rPr>
                <w:rFonts w:hint="eastAsia"/>
              </w:rPr>
              <w:t>2</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393428B2">
            <w:pPr>
              <w:pStyle w:val="15"/>
              <w:widowControl w:val="0"/>
              <w:spacing w:line="320" w:lineRule="exact"/>
              <w:jc w:val="left"/>
              <w:rPr>
                <w:rFonts w:hint="eastAsia" w:ascii="宋体" w:hAnsi="宋体"/>
              </w:rPr>
            </w:pPr>
            <w:r>
              <w:rPr>
                <w:rFonts w:hint="eastAsia" w:ascii="宋体" w:hAnsi="宋体"/>
              </w:rPr>
              <w:t>实验二：炎症、肿瘤（一）</w:t>
            </w:r>
          </w:p>
        </w:tc>
        <w:tc>
          <w:tcPr>
            <w:tcW w:w="3775" w:type="dxa"/>
            <w:tcBorders>
              <w:top w:val="single" w:color="auto" w:sz="4" w:space="0"/>
              <w:left w:val="single" w:color="auto" w:sz="4" w:space="0"/>
              <w:bottom w:val="single" w:color="auto" w:sz="4" w:space="0"/>
              <w:right w:val="single" w:color="auto" w:sz="4" w:space="0"/>
            </w:tcBorders>
          </w:tcPr>
          <w:p w14:paraId="210A06A3">
            <w:pPr>
              <w:pStyle w:val="15"/>
              <w:spacing w:line="320" w:lineRule="exact"/>
              <w:jc w:val="left"/>
              <w:rPr>
                <w:rFonts w:hint="eastAsia" w:ascii="宋体" w:hAnsi="宋体"/>
              </w:rPr>
            </w:pPr>
            <w:r>
              <w:rPr>
                <w:rFonts w:hint="eastAsia" w:ascii="宋体" w:hAnsi="宋体"/>
              </w:rPr>
              <w:t>各类炎性细胞、肝脓肿、纤维瘤、纤维肉瘤</w:t>
            </w:r>
          </w:p>
        </w:tc>
        <w:tc>
          <w:tcPr>
            <w:tcW w:w="862" w:type="dxa"/>
            <w:tcBorders>
              <w:left w:val="single" w:color="auto" w:sz="4" w:space="0"/>
              <w:bottom w:val="single" w:color="auto" w:sz="4" w:space="0"/>
              <w:right w:val="single" w:color="auto" w:sz="4" w:space="0"/>
            </w:tcBorders>
            <w:shd w:val="clear" w:color="auto" w:fill="auto"/>
            <w:vAlign w:val="center"/>
          </w:tcPr>
          <w:p w14:paraId="18AD6A1E">
            <w:pPr>
              <w:pStyle w:val="15"/>
              <w:spacing w:line="320" w:lineRule="exact"/>
              <w:rPr>
                <w:rFonts w:hint="eastAsia" w:ascii="宋体" w:hAnsi="宋体"/>
              </w:rPr>
            </w:pPr>
            <w:r>
              <w:rPr>
                <w:rFonts w:hint="eastAsia" w:ascii="宋体" w:hAnsi="宋体"/>
              </w:rPr>
              <w:t>3</w:t>
            </w:r>
          </w:p>
        </w:tc>
        <w:tc>
          <w:tcPr>
            <w:tcW w:w="950" w:type="dxa"/>
            <w:tcBorders>
              <w:left w:val="single" w:color="auto" w:sz="4" w:space="0"/>
              <w:bottom w:val="single" w:color="auto" w:sz="4" w:space="0"/>
              <w:right w:val="single" w:color="auto" w:sz="12" w:space="0"/>
            </w:tcBorders>
            <w:shd w:val="clear" w:color="auto" w:fill="auto"/>
            <w:vAlign w:val="center"/>
          </w:tcPr>
          <w:p w14:paraId="4FCCBEA4">
            <w:pPr>
              <w:pStyle w:val="15"/>
              <w:spacing w:line="320" w:lineRule="exact"/>
              <w:ind w:left="360"/>
              <w:jc w:val="left"/>
              <w:rPr>
                <w:rFonts w:hint="eastAsia" w:ascii="宋体" w:hAnsi="宋体"/>
              </w:rPr>
            </w:pPr>
            <w:r>
              <w:rPr>
                <w:rFonts w:hint="eastAsia" w:ascii="宋体" w:hAnsi="宋体"/>
              </w:rPr>
              <w:t>④</w:t>
            </w:r>
          </w:p>
        </w:tc>
      </w:tr>
      <w:tr w14:paraId="5A0C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1607B746">
            <w:pPr>
              <w:pStyle w:val="15"/>
            </w:pPr>
            <w:r>
              <w:rPr>
                <w:rFonts w:hint="eastAsia"/>
              </w:rPr>
              <w:t>3</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410EAD67">
            <w:pPr>
              <w:pStyle w:val="15"/>
              <w:widowControl w:val="0"/>
              <w:spacing w:line="320" w:lineRule="exact"/>
              <w:jc w:val="left"/>
              <w:rPr>
                <w:rFonts w:hint="eastAsia" w:ascii="宋体" w:hAnsi="宋体"/>
              </w:rPr>
            </w:pPr>
            <w:r>
              <w:rPr>
                <w:rFonts w:hint="eastAsia" w:ascii="宋体" w:hAnsi="宋体"/>
              </w:rPr>
              <w:t>实验三：心血管疾病、呼吸系统常见疾病</w:t>
            </w:r>
          </w:p>
        </w:tc>
        <w:tc>
          <w:tcPr>
            <w:tcW w:w="3775" w:type="dxa"/>
            <w:tcBorders>
              <w:top w:val="single" w:color="auto" w:sz="4" w:space="0"/>
              <w:left w:val="single" w:color="auto" w:sz="4" w:space="0"/>
              <w:bottom w:val="single" w:color="auto" w:sz="4" w:space="0"/>
              <w:right w:val="single" w:color="auto" w:sz="4" w:space="0"/>
            </w:tcBorders>
          </w:tcPr>
          <w:p w14:paraId="6B1F325D">
            <w:pPr>
              <w:pStyle w:val="15"/>
              <w:spacing w:line="320" w:lineRule="exact"/>
              <w:jc w:val="left"/>
              <w:rPr>
                <w:rFonts w:hint="eastAsia" w:ascii="宋体" w:hAnsi="宋体"/>
              </w:rPr>
            </w:pPr>
            <w:r>
              <w:rPr>
                <w:rFonts w:hint="eastAsia" w:ascii="宋体" w:hAnsi="宋体"/>
              </w:rPr>
              <w:t>心肌梗死、大叶性肺炎、小叶性肺炎、粟粒性肺结核</w:t>
            </w:r>
          </w:p>
        </w:tc>
        <w:tc>
          <w:tcPr>
            <w:tcW w:w="862" w:type="dxa"/>
            <w:tcBorders>
              <w:left w:val="single" w:color="auto" w:sz="4" w:space="0"/>
              <w:right w:val="single" w:color="auto" w:sz="4" w:space="0"/>
            </w:tcBorders>
            <w:shd w:val="clear" w:color="auto" w:fill="auto"/>
            <w:vAlign w:val="center"/>
          </w:tcPr>
          <w:p w14:paraId="26DC13D8">
            <w:pPr>
              <w:pStyle w:val="15"/>
              <w:spacing w:line="320" w:lineRule="exact"/>
              <w:rPr>
                <w:rFonts w:hint="eastAsia" w:ascii="宋体" w:hAnsi="宋体"/>
              </w:rPr>
            </w:pPr>
            <w:r>
              <w:rPr>
                <w:rFonts w:hint="eastAsia" w:ascii="宋体" w:hAnsi="宋体"/>
              </w:rPr>
              <w:t>3</w:t>
            </w:r>
          </w:p>
        </w:tc>
        <w:tc>
          <w:tcPr>
            <w:tcW w:w="950" w:type="dxa"/>
            <w:tcBorders>
              <w:left w:val="single" w:color="auto" w:sz="4" w:space="0"/>
              <w:right w:val="single" w:color="auto" w:sz="12" w:space="0"/>
            </w:tcBorders>
            <w:shd w:val="clear" w:color="auto" w:fill="auto"/>
            <w:vAlign w:val="center"/>
          </w:tcPr>
          <w:p w14:paraId="63F21B43">
            <w:pPr>
              <w:pStyle w:val="15"/>
              <w:spacing w:line="320" w:lineRule="exact"/>
              <w:rPr>
                <w:rFonts w:hint="eastAsia" w:ascii="宋体" w:hAnsi="宋体"/>
              </w:rPr>
            </w:pPr>
            <w:r>
              <w:rPr>
                <w:rFonts w:hint="eastAsia" w:ascii="宋体" w:hAnsi="宋体"/>
              </w:rPr>
              <w:t>④</w:t>
            </w:r>
          </w:p>
        </w:tc>
      </w:tr>
      <w:tr w14:paraId="3DA7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34231ECE">
            <w:pPr>
              <w:pStyle w:val="15"/>
            </w:pPr>
            <w:r>
              <w:rPr>
                <w:rFonts w:hint="eastAsia"/>
              </w:rPr>
              <w:t>4</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4261A532">
            <w:pPr>
              <w:spacing w:line="320" w:lineRule="exact"/>
              <w:rPr>
                <w:rFonts w:hint="eastAsia"/>
                <w:color w:val="000000"/>
                <w:sz w:val="21"/>
                <w:szCs w:val="21"/>
              </w:rPr>
            </w:pPr>
            <w:r>
              <w:rPr>
                <w:rFonts w:hint="eastAsia"/>
                <w:color w:val="000000"/>
                <w:sz w:val="21"/>
                <w:szCs w:val="21"/>
              </w:rPr>
              <w:t>实验四：消化系统常见疾病、肿瘤（二）</w:t>
            </w:r>
          </w:p>
        </w:tc>
        <w:tc>
          <w:tcPr>
            <w:tcW w:w="3775" w:type="dxa"/>
            <w:tcBorders>
              <w:top w:val="single" w:color="auto" w:sz="4" w:space="0"/>
              <w:left w:val="single" w:color="auto" w:sz="4" w:space="0"/>
              <w:bottom w:val="single" w:color="auto" w:sz="4" w:space="0"/>
              <w:right w:val="single" w:color="auto" w:sz="4" w:space="0"/>
            </w:tcBorders>
          </w:tcPr>
          <w:p w14:paraId="370B3945">
            <w:pPr>
              <w:pStyle w:val="15"/>
              <w:spacing w:line="320" w:lineRule="exact"/>
              <w:jc w:val="left"/>
              <w:rPr>
                <w:rFonts w:hint="eastAsia" w:ascii="宋体" w:hAnsi="宋体"/>
              </w:rPr>
            </w:pPr>
            <w:r>
              <w:rPr>
                <w:rFonts w:hint="eastAsia" w:ascii="宋体" w:hAnsi="宋体"/>
              </w:rPr>
              <w:t>胃溃疡、门脉性肝硬化、慢性活动性肝炎、肠腺瘤、鳞癌、腺癌</w:t>
            </w:r>
          </w:p>
        </w:tc>
        <w:tc>
          <w:tcPr>
            <w:tcW w:w="862" w:type="dxa"/>
            <w:tcBorders>
              <w:left w:val="single" w:color="auto" w:sz="4" w:space="0"/>
              <w:right w:val="single" w:color="auto" w:sz="4" w:space="0"/>
            </w:tcBorders>
            <w:shd w:val="clear" w:color="auto" w:fill="auto"/>
            <w:vAlign w:val="center"/>
          </w:tcPr>
          <w:p w14:paraId="44A0D832">
            <w:pPr>
              <w:pStyle w:val="15"/>
              <w:spacing w:line="320" w:lineRule="exact"/>
              <w:rPr>
                <w:rFonts w:hint="eastAsia" w:ascii="宋体" w:hAnsi="宋体"/>
              </w:rPr>
            </w:pPr>
            <w:r>
              <w:rPr>
                <w:rFonts w:hint="eastAsia" w:ascii="宋体" w:hAnsi="宋体"/>
              </w:rPr>
              <w:t>3</w:t>
            </w:r>
          </w:p>
        </w:tc>
        <w:tc>
          <w:tcPr>
            <w:tcW w:w="950" w:type="dxa"/>
            <w:tcBorders>
              <w:left w:val="single" w:color="auto" w:sz="4" w:space="0"/>
              <w:right w:val="single" w:color="auto" w:sz="12" w:space="0"/>
            </w:tcBorders>
            <w:shd w:val="clear" w:color="auto" w:fill="auto"/>
            <w:vAlign w:val="center"/>
          </w:tcPr>
          <w:p w14:paraId="6992BE9E">
            <w:pPr>
              <w:pStyle w:val="15"/>
              <w:spacing w:line="320" w:lineRule="exact"/>
              <w:rPr>
                <w:rFonts w:hint="eastAsia" w:ascii="宋体" w:hAnsi="宋体"/>
              </w:rPr>
            </w:pPr>
            <w:r>
              <w:rPr>
                <w:rFonts w:hint="eastAsia" w:ascii="宋体" w:hAnsi="宋体"/>
              </w:rPr>
              <w:t>④</w:t>
            </w:r>
          </w:p>
        </w:tc>
      </w:tr>
      <w:tr w14:paraId="1836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6399A406">
            <w:pPr>
              <w:pStyle w:val="14"/>
            </w:pPr>
            <w:r>
              <w:rPr>
                <w:rFonts w:hint="eastAsia"/>
              </w:rPr>
              <w:t>实验类型：①演示型②验证型③设计型④综合型</w:t>
            </w:r>
          </w:p>
        </w:tc>
      </w:tr>
    </w:tbl>
    <w:p w14:paraId="79BD58E7">
      <w:pPr>
        <w:pStyle w:val="17"/>
        <w:spacing w:before="326" w:beforeLines="100" w:line="360" w:lineRule="auto"/>
        <w:ind w:firstLine="140" w:firstLineChars="50"/>
        <w:rPr>
          <w:rFonts w:hint="eastAsia"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5C73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476" w:type="dxa"/>
            <w:vAlign w:val="center"/>
          </w:tcPr>
          <w:p w14:paraId="30BEC757">
            <w:pPr>
              <w:spacing w:line="300" w:lineRule="exact"/>
              <w:ind w:firstLine="422" w:firstLineChars="200"/>
              <w:rPr>
                <w:rFonts w:hint="eastAsia"/>
                <w:sz w:val="21"/>
                <w:szCs w:val="21"/>
              </w:rPr>
            </w:pPr>
            <w:r>
              <w:rPr>
                <w:b/>
                <w:bCs/>
                <w:kern w:val="2"/>
                <w:sz w:val="21"/>
                <w:szCs w:val="21"/>
              </w:rPr>
              <w:t>1.</w:t>
            </w:r>
            <w:r>
              <w:rPr>
                <w:rFonts w:hint="eastAsia"/>
                <w:b/>
                <w:bCs/>
                <w:kern w:val="2"/>
                <w:sz w:val="21"/>
                <w:szCs w:val="21"/>
              </w:rPr>
              <w:t>课程简介</w:t>
            </w:r>
          </w:p>
          <w:p w14:paraId="21F22575">
            <w:pPr>
              <w:snapToGrid w:val="0"/>
              <w:spacing w:line="300" w:lineRule="exact"/>
              <w:ind w:firstLine="420" w:firstLineChars="200"/>
              <w:rPr>
                <w:rFonts w:hint="eastAsia"/>
                <w:color w:val="000000"/>
                <w:sz w:val="21"/>
                <w:szCs w:val="21"/>
              </w:rPr>
            </w:pPr>
            <w:r>
              <w:rPr>
                <w:rFonts w:hint="eastAsia"/>
                <w:color w:val="000000"/>
                <w:sz w:val="21"/>
                <w:szCs w:val="21"/>
              </w:rPr>
              <w:t>《病理学与病理生理学》课程包括病理学与病理生理学两部分内容。两部分内容联系紧密，难以分割。</w:t>
            </w:r>
          </w:p>
          <w:p w14:paraId="6193AC9A">
            <w:pPr>
              <w:snapToGrid w:val="0"/>
              <w:spacing w:line="300" w:lineRule="exact"/>
              <w:ind w:firstLine="420" w:firstLineChars="200"/>
              <w:rPr>
                <w:rFonts w:hint="eastAsia"/>
                <w:color w:val="000000"/>
                <w:sz w:val="21"/>
                <w:szCs w:val="21"/>
              </w:rPr>
            </w:pPr>
            <w:r>
              <w:rPr>
                <w:color w:val="000000"/>
                <w:sz w:val="21"/>
                <w:szCs w:val="21"/>
              </w:rP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w:t>
            </w:r>
            <w:r>
              <w:rPr>
                <w:rFonts w:hint="eastAsia"/>
                <w:color w:val="000000"/>
                <w:sz w:val="21"/>
                <w:szCs w:val="21"/>
              </w:rPr>
              <w:t>章</w:t>
            </w:r>
            <w:r>
              <w:rPr>
                <w:color w:val="000000"/>
                <w:sz w:val="21"/>
                <w:szCs w:val="21"/>
              </w:rPr>
              <w:t>主要讲述人体各系统器官主要疾病的具体病理变化及其规律，属于系统病理学，总论和各论之间存在着密切的联系。</w:t>
            </w:r>
          </w:p>
          <w:p w14:paraId="79518B80">
            <w:pPr>
              <w:spacing w:line="300" w:lineRule="exact"/>
              <w:ind w:firstLine="420" w:firstLineChars="200"/>
              <w:rPr>
                <w:rFonts w:hint="eastAsia"/>
                <w:color w:val="000000"/>
                <w:sz w:val="21"/>
                <w:szCs w:val="21"/>
              </w:rPr>
            </w:pPr>
            <w:r>
              <w:rPr>
                <w:color w:val="000000"/>
                <w:sz w:val="21"/>
                <w:szCs w:val="21"/>
              </w:rPr>
              <w:t>病理生理学是研究疾病发生发展过程中功能和代谢变化的机制及规律的一门医学基础学科。病理生理学内容分为疾病概论、基本病理过程和系统器官病理生理学三部分。病理生理学学习的目的,是通过对上述内容的学习,揭示疾病的本质,为疾病的预防和诊断治疗提供理论和实验依据。</w:t>
            </w:r>
          </w:p>
          <w:p w14:paraId="48619B7F">
            <w:pPr>
              <w:spacing w:line="300" w:lineRule="exact"/>
              <w:ind w:firstLine="422" w:firstLineChars="200"/>
              <w:rPr>
                <w:rFonts w:hint="eastAsia"/>
                <w:sz w:val="21"/>
                <w:szCs w:val="21"/>
              </w:rPr>
            </w:pPr>
            <w:r>
              <w:rPr>
                <w:b/>
                <w:bCs/>
                <w:kern w:val="2"/>
                <w:sz w:val="21"/>
                <w:szCs w:val="21"/>
              </w:rPr>
              <w:t>2.</w:t>
            </w:r>
            <w:r>
              <w:rPr>
                <w:rFonts w:hint="eastAsia"/>
                <w:b/>
                <w:bCs/>
                <w:kern w:val="2"/>
                <w:sz w:val="21"/>
                <w:szCs w:val="21"/>
              </w:rPr>
              <w:t>思政目标</w:t>
            </w:r>
          </w:p>
          <w:p w14:paraId="6397237D">
            <w:pPr>
              <w:spacing w:line="300" w:lineRule="exact"/>
              <w:ind w:firstLine="420" w:firstLineChars="200"/>
              <w:rPr>
                <w:rFonts w:hint="eastAsia"/>
                <w:sz w:val="21"/>
                <w:szCs w:val="21"/>
              </w:rPr>
            </w:pPr>
            <w:r>
              <w:rPr>
                <w:rFonts w:hint="eastAsia"/>
                <w:kern w:val="2"/>
                <w:sz w:val="21"/>
                <w:szCs w:val="21"/>
              </w:rPr>
              <w:t>随着医疗体制不断的改革，对医护人员的要求已不仅仅停留在专业技术水平，对其职业道德也提出了更高的要求，思政元素融入专业基础课的必要性不言而喻。高校教师做好课程思政建设必须做到以下几点</w:t>
            </w:r>
            <w:r>
              <w:rPr>
                <w:kern w:val="2"/>
                <w:sz w:val="21"/>
                <w:szCs w:val="21"/>
              </w:rPr>
              <w:t xml:space="preserve"> </w:t>
            </w:r>
            <w:r>
              <w:rPr>
                <w:rFonts w:hint="eastAsia"/>
                <w:kern w:val="2"/>
                <w:sz w:val="21"/>
                <w:szCs w:val="21"/>
              </w:rPr>
              <w:t>：一是加强教师对</w:t>
            </w:r>
            <w:r>
              <w:rPr>
                <w:kern w:val="2"/>
                <w:sz w:val="21"/>
                <w:szCs w:val="21"/>
              </w:rPr>
              <w:t>“</w:t>
            </w:r>
            <w:r>
              <w:rPr>
                <w:rFonts w:hint="eastAsia"/>
                <w:kern w:val="2"/>
                <w:sz w:val="21"/>
                <w:szCs w:val="21"/>
              </w:rPr>
              <w:t>课程思政</w:t>
            </w:r>
            <w:r>
              <w:rPr>
                <w:kern w:val="2"/>
                <w:sz w:val="21"/>
                <w:szCs w:val="21"/>
              </w:rPr>
              <w:t>”</w:t>
            </w:r>
            <w:r>
              <w:rPr>
                <w:rFonts w:hint="eastAsia"/>
                <w:kern w:val="2"/>
                <w:sz w:val="21"/>
                <w:szCs w:val="21"/>
              </w:rPr>
              <w:t>的认同感和</w:t>
            </w:r>
            <w:r>
              <w:rPr>
                <w:kern w:val="2"/>
                <w:sz w:val="21"/>
                <w:szCs w:val="21"/>
              </w:rPr>
              <w:t>“</w:t>
            </w:r>
            <w:r>
              <w:rPr>
                <w:rFonts w:hint="eastAsia"/>
                <w:kern w:val="2"/>
                <w:sz w:val="21"/>
                <w:szCs w:val="21"/>
              </w:rPr>
              <w:t>师德师风</w:t>
            </w:r>
            <w:r>
              <w:rPr>
                <w:kern w:val="2"/>
                <w:sz w:val="21"/>
                <w:szCs w:val="21"/>
              </w:rPr>
              <w:t>”</w:t>
            </w:r>
            <w:r>
              <w:rPr>
                <w:rFonts w:hint="eastAsia"/>
                <w:kern w:val="2"/>
                <w:sz w:val="21"/>
                <w:szCs w:val="21"/>
              </w:rPr>
              <w:t>建设，教师要以身作则做好当代大学生的思想引导和行为规范</w:t>
            </w:r>
            <w:r>
              <w:rPr>
                <w:kern w:val="2"/>
                <w:sz w:val="21"/>
                <w:szCs w:val="21"/>
              </w:rPr>
              <w:t xml:space="preserve"> </w:t>
            </w:r>
            <w:r>
              <w:rPr>
                <w:rFonts w:hint="eastAsia"/>
                <w:kern w:val="2"/>
                <w:sz w:val="21"/>
                <w:szCs w:val="21"/>
              </w:rPr>
              <w:t>；二是</w:t>
            </w:r>
            <w:r>
              <w:rPr>
                <w:kern w:val="2"/>
                <w:sz w:val="21"/>
                <w:szCs w:val="21"/>
              </w:rPr>
              <w:t>“</w:t>
            </w:r>
            <w:r>
              <w:rPr>
                <w:rFonts w:hint="eastAsia"/>
                <w:kern w:val="2"/>
                <w:sz w:val="21"/>
                <w:szCs w:val="21"/>
              </w:rPr>
              <w:t>课程思政</w:t>
            </w:r>
            <w:r>
              <w:rPr>
                <w:kern w:val="2"/>
                <w:sz w:val="21"/>
                <w:szCs w:val="21"/>
              </w:rPr>
              <w:t>”</w:t>
            </w:r>
            <w:r>
              <w:rPr>
                <w:rFonts w:hint="eastAsia"/>
                <w:kern w:val="2"/>
                <w:sz w:val="21"/>
                <w:szCs w:val="21"/>
              </w:rPr>
              <w:t>必须做到思政教育元素融入各专业课程教育内容中去，不能以</w:t>
            </w:r>
            <w:r>
              <w:rPr>
                <w:kern w:val="2"/>
                <w:sz w:val="21"/>
                <w:szCs w:val="21"/>
              </w:rPr>
              <w:t>“</w:t>
            </w:r>
            <w:r>
              <w:rPr>
                <w:rFonts w:hint="eastAsia"/>
                <w:kern w:val="2"/>
                <w:sz w:val="21"/>
                <w:szCs w:val="21"/>
              </w:rPr>
              <w:t>思政课程</w:t>
            </w:r>
            <w:r>
              <w:rPr>
                <w:kern w:val="2"/>
                <w:sz w:val="21"/>
                <w:szCs w:val="21"/>
              </w:rPr>
              <w:t>”</w:t>
            </w:r>
            <w:r>
              <w:rPr>
                <w:rFonts w:hint="eastAsia"/>
                <w:kern w:val="2"/>
                <w:sz w:val="21"/>
                <w:szCs w:val="21"/>
              </w:rPr>
              <w:t>枯燥的面目出现，一定要达到润物细无声的双重育人作用</w:t>
            </w:r>
            <w:r>
              <w:rPr>
                <w:kern w:val="2"/>
                <w:sz w:val="21"/>
                <w:szCs w:val="21"/>
              </w:rPr>
              <w:t xml:space="preserve"> </w:t>
            </w:r>
            <w:r>
              <w:rPr>
                <w:rFonts w:hint="eastAsia"/>
                <w:kern w:val="2"/>
                <w:sz w:val="21"/>
                <w:szCs w:val="21"/>
              </w:rPr>
              <w:t>；三是进行</w:t>
            </w:r>
            <w:r>
              <w:rPr>
                <w:kern w:val="2"/>
                <w:sz w:val="21"/>
                <w:szCs w:val="21"/>
              </w:rPr>
              <w:t>“</w:t>
            </w:r>
            <w:r>
              <w:rPr>
                <w:rFonts w:hint="eastAsia"/>
                <w:kern w:val="2"/>
                <w:sz w:val="21"/>
                <w:szCs w:val="21"/>
              </w:rPr>
              <w:t>课程思政</w:t>
            </w:r>
            <w:r>
              <w:rPr>
                <w:kern w:val="2"/>
                <w:sz w:val="21"/>
                <w:szCs w:val="21"/>
              </w:rPr>
              <w:t>”</w:t>
            </w:r>
            <w:r>
              <w:rPr>
                <w:rFonts w:hint="eastAsia"/>
                <w:kern w:val="2"/>
                <w:sz w:val="21"/>
                <w:szCs w:val="21"/>
              </w:rPr>
              <w:t>设计中，务必注意培养学生的价值观、人生观、职业道德和社会道德观，注重培养学生对中国传统文化乃至世界传统文化的兴趣。在今后的理论及实验教学活动中，人体生理学</w:t>
            </w:r>
            <w:r>
              <w:rPr>
                <w:kern w:val="2"/>
                <w:sz w:val="21"/>
                <w:szCs w:val="21"/>
              </w:rPr>
              <w:t>“</w:t>
            </w:r>
            <w:r>
              <w:rPr>
                <w:rFonts w:hint="eastAsia"/>
                <w:kern w:val="2"/>
                <w:sz w:val="21"/>
                <w:szCs w:val="21"/>
              </w:rPr>
              <w:t>课程思政</w:t>
            </w:r>
            <w:r>
              <w:rPr>
                <w:kern w:val="2"/>
                <w:sz w:val="21"/>
                <w:szCs w:val="21"/>
              </w:rPr>
              <w:t>”</w:t>
            </w:r>
            <w:r>
              <w:rPr>
                <w:rFonts w:hint="eastAsia"/>
                <w:kern w:val="2"/>
                <w:sz w:val="21"/>
                <w:szCs w:val="21"/>
              </w:rPr>
              <w:t>教学重点是以科学精神为指导，灵活运用多种教学形式，以达到教书育人的双重目标。</w:t>
            </w:r>
          </w:p>
          <w:p w14:paraId="38394FC6">
            <w:pPr>
              <w:spacing w:line="300" w:lineRule="exact"/>
              <w:ind w:firstLine="420" w:firstLineChars="200"/>
              <w:rPr>
                <w:rFonts w:hint="eastAsia"/>
                <w:sz w:val="21"/>
                <w:szCs w:val="21"/>
              </w:rPr>
            </w:pPr>
            <w:r>
              <w:rPr>
                <w:rFonts w:hint="eastAsia"/>
                <w:kern w:val="2"/>
                <w:sz w:val="21"/>
                <w:szCs w:val="21"/>
              </w:rPr>
              <w:t>本课程涉及内容庞杂，知识面广泛，既密切联系人们的日常生活实践，又紧扣生命科学的发展前沿，可以融入课程思政的切入点非常丰富。</w:t>
            </w:r>
          </w:p>
          <w:p w14:paraId="09B61ED9">
            <w:pPr>
              <w:spacing w:line="300" w:lineRule="exact"/>
              <w:ind w:firstLine="422" w:firstLineChars="200"/>
              <w:rPr>
                <w:rFonts w:hint="eastAsia"/>
                <w:sz w:val="21"/>
                <w:szCs w:val="21"/>
              </w:rPr>
            </w:pPr>
            <w:r>
              <w:rPr>
                <w:b/>
                <w:bCs/>
                <w:kern w:val="2"/>
                <w:sz w:val="21"/>
                <w:szCs w:val="21"/>
              </w:rPr>
              <w:t>3.</w:t>
            </w:r>
            <w:r>
              <w:rPr>
                <w:rFonts w:hint="eastAsia"/>
                <w:b/>
                <w:bCs/>
                <w:kern w:val="2"/>
                <w:sz w:val="21"/>
                <w:szCs w:val="21"/>
              </w:rPr>
              <w:t>融入思政的教学设计</w:t>
            </w:r>
          </w:p>
          <w:p w14:paraId="2ACA1BFD">
            <w:pPr>
              <w:spacing w:line="300" w:lineRule="exact"/>
              <w:ind w:firstLine="420" w:firstLineChars="200"/>
              <w:rPr>
                <w:rFonts w:hint="eastAsia"/>
                <w:sz w:val="21"/>
                <w:szCs w:val="21"/>
              </w:rPr>
            </w:pPr>
            <w:r>
              <w:rPr>
                <w:rFonts w:hint="eastAsia"/>
                <w:kern w:val="2"/>
                <w:sz w:val="21"/>
                <w:szCs w:val="21"/>
              </w:rPr>
              <w:t>根据本课程的教学内容及其特点，可将思政内容划分为以下六个方面，在进行具体的教学设计时进行有机融合。对应培养计划中素质要求的指标点</w:t>
            </w:r>
            <w:r>
              <w:rPr>
                <w:kern w:val="2"/>
                <w:sz w:val="21"/>
                <w:szCs w:val="21"/>
              </w:rPr>
              <w:t>3(6)</w:t>
            </w:r>
            <w:r>
              <w:rPr>
                <w:rFonts w:hint="eastAsia"/>
                <w:kern w:val="2"/>
                <w:sz w:val="21"/>
                <w:szCs w:val="21"/>
              </w:rPr>
              <w:t>。</w:t>
            </w:r>
          </w:p>
          <w:p w14:paraId="26A07262">
            <w:pPr>
              <w:spacing w:line="300" w:lineRule="exact"/>
              <w:ind w:firstLine="420"/>
              <w:rPr>
                <w:rFonts w:hint="eastAsia"/>
                <w:sz w:val="21"/>
                <w:szCs w:val="21"/>
              </w:rPr>
            </w:pPr>
            <w:r>
              <w:rPr>
                <w:rFonts w:hint="eastAsia"/>
                <w:kern w:val="2"/>
                <w:sz w:val="21"/>
                <w:szCs w:val="21"/>
              </w:rPr>
              <w:t>（1）疾病观中“脑死亡”和“植物人”概念的区分，医学伦理观的树立；对应绪论部分内容。</w:t>
            </w:r>
          </w:p>
          <w:p w14:paraId="7450D94A">
            <w:pPr>
              <w:spacing w:line="300" w:lineRule="exact"/>
              <w:ind w:firstLine="420"/>
              <w:rPr>
                <w:rFonts w:hint="eastAsia"/>
                <w:sz w:val="21"/>
                <w:szCs w:val="21"/>
              </w:rPr>
            </w:pPr>
            <w:r>
              <w:rPr>
                <w:rFonts w:hint="eastAsia"/>
                <w:kern w:val="2"/>
                <w:sz w:val="21"/>
                <w:szCs w:val="21"/>
              </w:rPr>
              <w:t>（2）培养对病人的怜悯之心，对应所有章节。</w:t>
            </w:r>
          </w:p>
          <w:p w14:paraId="5CACD4DB">
            <w:pPr>
              <w:spacing w:line="300" w:lineRule="exact"/>
              <w:ind w:firstLine="420"/>
              <w:rPr>
                <w:rFonts w:hint="eastAsia"/>
                <w:kern w:val="2"/>
                <w:sz w:val="21"/>
                <w:szCs w:val="21"/>
              </w:rPr>
            </w:pPr>
            <w:r>
              <w:rPr>
                <w:rFonts w:hint="eastAsia"/>
                <w:kern w:val="2"/>
                <w:sz w:val="21"/>
                <w:szCs w:val="21"/>
              </w:rPr>
              <w:t>（3）与疾病相关的环境保护意识，例如空气污染与呼吸系统疾病等。对应第六单元呼吸系统疾病。</w:t>
            </w:r>
          </w:p>
          <w:p w14:paraId="6D6EC1D4">
            <w:pPr>
              <w:spacing w:line="300" w:lineRule="exact"/>
              <w:ind w:firstLine="420"/>
              <w:rPr>
                <w:rFonts w:hint="eastAsia"/>
                <w:sz w:val="21"/>
                <w:szCs w:val="21"/>
              </w:rPr>
            </w:pPr>
            <w:r>
              <w:rPr>
                <w:rFonts w:hint="eastAsia"/>
                <w:kern w:val="2"/>
                <w:sz w:val="21"/>
                <w:szCs w:val="21"/>
              </w:rPr>
              <w:t>（4）公共卫生意识的建立，如何预防幽门螺旋杆菌的蔓延。对应第七单元消化系统疾病。</w:t>
            </w:r>
          </w:p>
          <w:p w14:paraId="4D0ECDE9">
            <w:pPr>
              <w:spacing w:line="300" w:lineRule="exact"/>
              <w:ind w:firstLine="420"/>
              <w:rPr>
                <w:rFonts w:hint="eastAsia"/>
                <w:sz w:val="21"/>
                <w:szCs w:val="21"/>
              </w:rPr>
            </w:pPr>
            <w:r>
              <w:rPr>
                <w:rFonts w:hint="eastAsia"/>
                <w:kern w:val="2"/>
                <w:sz w:val="21"/>
                <w:szCs w:val="21"/>
              </w:rPr>
              <w:t>（5）学生整体观思维模式的建立。对应所有章节。</w:t>
            </w:r>
          </w:p>
          <w:p w14:paraId="6A98DF9B">
            <w:pPr>
              <w:pStyle w:val="15"/>
              <w:ind w:firstLine="420" w:firstLineChars="200"/>
              <w:jc w:val="left"/>
            </w:pPr>
            <w:r>
              <w:rPr>
                <w:rFonts w:hint="eastAsia" w:ascii="宋体" w:hAnsi="宋体"/>
                <w:kern w:val="2"/>
              </w:rPr>
              <w:t>（6）介绍我们国家在病理学领域的科学家，树立为医学做出贡献的信心。对应所有章节。</w:t>
            </w:r>
          </w:p>
        </w:tc>
      </w:tr>
    </w:tbl>
    <w:p w14:paraId="5FC523A6">
      <w:pPr>
        <w:pStyle w:val="17"/>
        <w:numPr>
          <w:ilvl w:val="0"/>
          <w:numId w:val="1"/>
        </w:numPr>
        <w:spacing w:before="326" w:beforeLines="100" w:line="360" w:lineRule="auto"/>
        <w:rPr>
          <w:rFonts w:hint="eastAsia" w:ascii="黑体" w:hAnsi="宋体"/>
        </w:rPr>
      </w:pPr>
      <w:r>
        <w:rPr>
          <w:rFonts w:ascii="黑体" w:hAnsi="宋体"/>
        </w:rPr>
        <w:t>文理融合、医工融合教学课程设计</w:t>
      </w:r>
    </w:p>
    <w:p w14:paraId="28F5720B">
      <w:pPr>
        <w:spacing w:line="300" w:lineRule="exact"/>
        <w:rPr>
          <w:rFonts w:hint="eastAsia"/>
          <w:sz w:val="21"/>
          <w:szCs w:val="21"/>
        </w:rPr>
      </w:pPr>
      <w:r>
        <w:rPr>
          <w:rFonts w:hint="eastAsia"/>
          <w:sz w:val="21"/>
          <w:szCs w:val="21"/>
        </w:rPr>
        <w:t>（1）</w:t>
      </w:r>
      <w:r>
        <w:rPr>
          <w:sz w:val="21"/>
          <w:szCs w:val="21"/>
        </w:rPr>
        <w:t>课程简介</w:t>
      </w:r>
    </w:p>
    <w:p w14:paraId="67BFC521">
      <w:pPr>
        <w:widowControl w:val="0"/>
        <w:snapToGrid w:val="0"/>
        <w:spacing w:line="300" w:lineRule="exact"/>
        <w:ind w:firstLine="420" w:firstLineChars="200"/>
        <w:jc w:val="both"/>
        <w:rPr>
          <w:rFonts w:hint="eastAsia"/>
          <w:color w:val="000000"/>
          <w:sz w:val="21"/>
          <w:szCs w:val="21"/>
        </w:rPr>
      </w:pPr>
      <w:r>
        <w:rPr>
          <w:rFonts w:hint="eastAsia"/>
          <w:color w:val="000000"/>
          <w:sz w:val="21"/>
          <w:szCs w:val="21"/>
        </w:rP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论主要讲述人体各系统器官主要疾病的具体病理变化及其规律，属于系统病理学，总论和各论之间存在着密切的联系。</w:t>
      </w:r>
    </w:p>
    <w:p w14:paraId="3C5F162E">
      <w:pPr>
        <w:spacing w:line="300" w:lineRule="exact"/>
        <w:rPr>
          <w:rFonts w:hint="eastAsia"/>
          <w:color w:val="000000"/>
          <w:sz w:val="21"/>
          <w:szCs w:val="21"/>
        </w:rPr>
      </w:pPr>
      <w:r>
        <w:rPr>
          <w:color w:val="000000"/>
          <w:sz w:val="21"/>
          <w:szCs w:val="21"/>
        </w:rPr>
        <w:t>病理生理学是研究疾病发生发展过程中功能和代谢变化的机制及规律的一</w:t>
      </w:r>
      <w:r>
        <w:rPr>
          <w:rFonts w:hint="eastAsia"/>
          <w:color w:val="000000"/>
          <w:sz w:val="21"/>
          <w:szCs w:val="21"/>
        </w:rPr>
        <w:t>门</w:t>
      </w:r>
      <w:r>
        <w:rPr>
          <w:color w:val="000000"/>
          <w:sz w:val="21"/>
          <w:szCs w:val="21"/>
        </w:rPr>
        <w:t>医学基础学科。病理生理学内容分为疾病概论、基本病理过程和系统器官病理生理学三部分</w:t>
      </w:r>
      <w:r>
        <w:rPr>
          <w:rFonts w:hint="eastAsia"/>
          <w:color w:val="000000"/>
          <w:sz w:val="21"/>
          <w:szCs w:val="21"/>
        </w:rPr>
        <w:t>。</w:t>
      </w:r>
      <w:r>
        <w:rPr>
          <w:color w:val="000000"/>
          <w:sz w:val="21"/>
          <w:szCs w:val="21"/>
        </w:rPr>
        <w:t>病理生理学学习的目的,是通过对上述内容的学习,揭示疾病的本质,为疾病的预防和诊断治疗提供理论和实验依据。</w:t>
      </w:r>
      <w:r>
        <w:rPr>
          <w:sz w:val="21"/>
          <w:szCs w:val="21"/>
        </w:rPr>
        <w:t>本课程涉及内容庞杂，知识面广泛，既密切联系人们疾病预防、发生、发展与结局，又密切联系医疗、护理、康复、健康管理实践、慢病管理、健康促进，紧扣人文、医学工程的发展前沿，可以融入的切入点非常丰富。</w:t>
      </w:r>
    </w:p>
    <w:p w14:paraId="01FAAA9E">
      <w:pPr>
        <w:spacing w:line="300" w:lineRule="exact"/>
        <w:rPr>
          <w:rFonts w:hint="eastAsia"/>
          <w:sz w:val="21"/>
          <w:szCs w:val="21"/>
        </w:rPr>
      </w:pPr>
      <w:r>
        <w:rPr>
          <w:rFonts w:hint="eastAsia"/>
          <w:sz w:val="21"/>
          <w:szCs w:val="21"/>
        </w:rPr>
        <w:t>（2）</w:t>
      </w:r>
      <w:r>
        <w:rPr>
          <w:sz w:val="21"/>
          <w:szCs w:val="21"/>
        </w:rPr>
        <w:t>融合目标</w:t>
      </w:r>
    </w:p>
    <w:p w14:paraId="08701BD6">
      <w:pPr>
        <w:spacing w:line="300" w:lineRule="exact"/>
        <w:ind w:firstLine="420" w:firstLineChars="200"/>
        <w:rPr>
          <w:rFonts w:hint="eastAsia"/>
          <w:sz w:val="21"/>
          <w:szCs w:val="21"/>
        </w:rPr>
      </w:pPr>
      <w:r>
        <w:rPr>
          <w:sz w:val="21"/>
          <w:szCs w:val="21"/>
        </w:rPr>
        <w:t>随着新医学的发展</w:t>
      </w:r>
      <w:r>
        <w:rPr>
          <w:rFonts w:hint="eastAsia"/>
          <w:sz w:val="21"/>
          <w:szCs w:val="21"/>
        </w:rPr>
        <w:t>和</w:t>
      </w:r>
      <w:r>
        <w:rPr>
          <w:sz w:val="21"/>
          <w:szCs w:val="21"/>
        </w:rPr>
        <w:t>医疗体制不断的改革，医学基础学科中文理融合、医工融合是跨学科合作的重要方面，旨在将文科、理科和工程学的知识与医学知识结合起来，以促进更全面、高效的医疗、护理、康复、健康管理的解决方案。</w:t>
      </w:r>
    </w:p>
    <w:p w14:paraId="4FE88935">
      <w:pPr>
        <w:spacing w:line="300" w:lineRule="exact"/>
        <w:ind w:firstLine="420" w:firstLineChars="200"/>
        <w:rPr>
          <w:rFonts w:hint="eastAsia"/>
          <w:sz w:val="21"/>
          <w:szCs w:val="21"/>
        </w:rPr>
      </w:pPr>
      <w:r>
        <w:rPr>
          <w:sz w:val="21"/>
          <w:szCs w:val="21"/>
        </w:rPr>
        <w:t>①</w:t>
      </w:r>
      <w:r>
        <w:rPr>
          <w:rFonts w:hint="eastAsia"/>
          <w:sz w:val="21"/>
          <w:szCs w:val="21"/>
        </w:rPr>
        <w:t>文理融合</w:t>
      </w:r>
      <w:r>
        <w:rPr>
          <w:sz w:val="21"/>
          <w:szCs w:val="21"/>
        </w:rPr>
        <w:t>，如医学伦理学、医学心理学</w:t>
      </w:r>
      <w:r>
        <w:rPr>
          <w:rFonts w:hint="eastAsia"/>
          <w:sz w:val="21"/>
          <w:szCs w:val="21"/>
        </w:rPr>
        <w:t>、医疗政策、传统医学见解</w:t>
      </w:r>
      <w:r>
        <w:rPr>
          <w:sz w:val="21"/>
          <w:szCs w:val="21"/>
        </w:rPr>
        <w:t>等，培养学生的跨学科思维。</w:t>
      </w:r>
    </w:p>
    <w:p w14:paraId="0AB40EED">
      <w:pPr>
        <w:spacing w:line="300" w:lineRule="exact"/>
        <w:ind w:firstLine="420"/>
        <w:rPr>
          <w:rFonts w:hint="eastAsia"/>
          <w:sz w:val="21"/>
          <w:szCs w:val="21"/>
        </w:rPr>
      </w:pPr>
      <w:r>
        <w:rPr>
          <w:sz w:val="21"/>
          <w:szCs w:val="21"/>
        </w:rPr>
        <w:t>②</w:t>
      </w:r>
      <w:r>
        <w:rPr>
          <w:rFonts w:hint="eastAsia"/>
          <w:sz w:val="21"/>
          <w:szCs w:val="21"/>
        </w:rPr>
        <w:t>医工融合</w:t>
      </w:r>
      <w:r>
        <w:rPr>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Pr>
          <w:rFonts w:hint="eastAsia"/>
          <w:sz w:val="21"/>
          <w:szCs w:val="21"/>
        </w:rPr>
        <w:t>A</w:t>
      </w:r>
      <w:r>
        <w:rPr>
          <w:sz w:val="21"/>
          <w:szCs w:val="21"/>
        </w:rPr>
        <w:t>I辅助诊断等</w:t>
      </w:r>
      <w:r>
        <w:rPr>
          <w:rFonts w:hint="eastAsia"/>
          <w:sz w:val="21"/>
          <w:szCs w:val="21"/>
        </w:rPr>
        <w:t>；</w:t>
      </w:r>
      <w:r>
        <w:rPr>
          <w:sz w:val="21"/>
          <w:szCs w:val="21"/>
        </w:rPr>
        <w:t>结合心理学和社会学知识，提高患者满意度,优化医疗服务流程</w:t>
      </w:r>
      <w:r>
        <w:rPr>
          <w:rFonts w:hint="eastAsia"/>
          <w:sz w:val="21"/>
          <w:szCs w:val="21"/>
        </w:rPr>
        <w:t>；</w:t>
      </w:r>
      <w:r>
        <w:rPr>
          <w:sz w:val="21"/>
          <w:szCs w:val="21"/>
        </w:rPr>
        <w:t>设立标准化组织，制定医工产品和程序的标准，确保安全性和有效性。</w:t>
      </w:r>
    </w:p>
    <w:p w14:paraId="54B23B22">
      <w:pPr>
        <w:spacing w:line="300" w:lineRule="exact"/>
        <w:ind w:firstLine="420"/>
        <w:rPr>
          <w:rFonts w:hint="eastAsia"/>
          <w:sz w:val="21"/>
          <w:szCs w:val="21"/>
        </w:rPr>
      </w:pPr>
      <w:r>
        <w:rPr>
          <w:rFonts w:hint="eastAsia"/>
          <w:sz w:val="21"/>
          <w:szCs w:val="21"/>
        </w:rPr>
        <w:t>③</w:t>
      </w:r>
      <w:r>
        <w:rPr>
          <w:sz w:val="21"/>
          <w:szCs w:val="21"/>
        </w:rPr>
        <w:t>创新与创业:鼓励医学背景的学生学习创新和创业技能，推动医学技术的商业化</w:t>
      </w:r>
      <w:r>
        <w:rPr>
          <w:rFonts w:hint="eastAsia"/>
          <w:sz w:val="21"/>
          <w:szCs w:val="21"/>
        </w:rPr>
        <w:t>；</w:t>
      </w:r>
      <w:r>
        <w:rPr>
          <w:sz w:val="21"/>
          <w:szCs w:val="21"/>
        </w:rPr>
        <w:t>支持跨学科团队创立初创企业，将科研成果转化为实际的医疗产品和服务。</w:t>
      </w:r>
    </w:p>
    <w:p w14:paraId="76D8370F">
      <w:pPr>
        <w:spacing w:line="300" w:lineRule="exact"/>
        <w:ind w:firstLine="420"/>
        <w:rPr>
          <w:rFonts w:hint="eastAsia"/>
          <w:sz w:val="21"/>
          <w:szCs w:val="21"/>
        </w:rPr>
      </w:pPr>
      <w:r>
        <w:rPr>
          <w:sz w:val="21"/>
          <w:szCs w:val="21"/>
        </w:rPr>
        <w:t>总之，通过上述方式，医学基础学科可以有效地进行文理融合和医工融合，不仅有助于培养具有综合能力的新医学人才，而且能够促进医学科技的创新和发展，最终提升医疗健康服务的水平。</w:t>
      </w:r>
    </w:p>
    <w:p w14:paraId="46EEA381">
      <w:pPr>
        <w:pStyle w:val="17"/>
        <w:spacing w:before="326" w:beforeLines="100" w:line="360" w:lineRule="auto"/>
        <w:rPr>
          <w:rFonts w:hint="eastAsia" w:ascii="黑体" w:hAnsi="宋体"/>
        </w:rPr>
      </w:pPr>
      <w:r>
        <w:rPr>
          <w:rFonts w:hint="eastAsia" w:ascii="黑体" w:hAnsi="宋体"/>
        </w:rPr>
        <w:t>六、课程考核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888"/>
        <w:gridCol w:w="992"/>
        <w:gridCol w:w="851"/>
        <w:gridCol w:w="941"/>
        <w:gridCol w:w="706"/>
      </w:tblGrid>
      <w:tr w14:paraId="2055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C0365DA">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9673BCE">
            <w:pPr>
              <w:pStyle w:val="17"/>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86E1EFC">
            <w:pPr>
              <w:pStyle w:val="17"/>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4"/>
            <w:tcBorders>
              <w:top w:val="single" w:color="auto" w:sz="12" w:space="0"/>
              <w:left w:val="double" w:color="auto" w:sz="4" w:space="0"/>
            </w:tcBorders>
            <w:vAlign w:val="center"/>
          </w:tcPr>
          <w:p w14:paraId="43A77885">
            <w:pPr>
              <w:pStyle w:val="17"/>
              <w:widowControl w:val="0"/>
              <w:spacing w:line="240" w:lineRule="auto"/>
              <w:jc w:val="center"/>
              <w:rPr>
                <w:rFonts w:hint="eastAsia" w:ascii="黑体" w:hAnsi="宋体"/>
                <w:color w:val="FF0000"/>
                <w:highlight w:val="darkYellow"/>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AC77164">
            <w:pPr>
              <w:pStyle w:val="17"/>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5E72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777B723">
            <w:pPr>
              <w:widowControl w:val="0"/>
              <w:snapToGrid w:val="0"/>
              <w:jc w:val="center"/>
              <w:rPr>
                <w:rFonts w:hint="eastAsia" w:ascii="黑体" w:hAnsi="黑体" w:eastAsia="黑体"/>
                <w:bCs/>
                <w:sz w:val="21"/>
                <w:szCs w:val="21"/>
              </w:rPr>
            </w:pPr>
          </w:p>
        </w:tc>
        <w:tc>
          <w:tcPr>
            <w:tcW w:w="709" w:type="dxa"/>
            <w:vMerge w:val="continue"/>
          </w:tcPr>
          <w:p w14:paraId="66B96B04">
            <w:pPr>
              <w:pStyle w:val="17"/>
              <w:widowControl w:val="0"/>
              <w:jc w:val="both"/>
              <w:rPr>
                <w:rFonts w:hint="eastAsia" w:ascii="黑体" w:hAnsi="黑体"/>
                <w:bCs/>
                <w:sz w:val="21"/>
                <w:szCs w:val="21"/>
              </w:rPr>
            </w:pPr>
          </w:p>
        </w:tc>
        <w:tc>
          <w:tcPr>
            <w:tcW w:w="2353" w:type="dxa"/>
            <w:vMerge w:val="continue"/>
            <w:tcBorders>
              <w:right w:val="double" w:color="auto" w:sz="4" w:space="0"/>
            </w:tcBorders>
          </w:tcPr>
          <w:p w14:paraId="724B6638">
            <w:pPr>
              <w:pStyle w:val="17"/>
              <w:widowControl w:val="0"/>
              <w:jc w:val="both"/>
              <w:rPr>
                <w:rFonts w:hint="eastAsia" w:ascii="黑体" w:hAnsi="黑体"/>
                <w:bCs/>
                <w:sz w:val="21"/>
                <w:szCs w:val="21"/>
              </w:rPr>
            </w:pPr>
          </w:p>
        </w:tc>
        <w:tc>
          <w:tcPr>
            <w:tcW w:w="888" w:type="dxa"/>
            <w:tcBorders>
              <w:left w:val="double" w:color="auto" w:sz="4" w:space="0"/>
            </w:tcBorders>
            <w:vAlign w:val="center"/>
          </w:tcPr>
          <w:p w14:paraId="519D7684">
            <w:pPr>
              <w:pStyle w:val="17"/>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992" w:type="dxa"/>
            <w:vAlign w:val="center"/>
          </w:tcPr>
          <w:p w14:paraId="20D88FAE">
            <w:pPr>
              <w:pStyle w:val="17"/>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851" w:type="dxa"/>
            <w:vAlign w:val="center"/>
          </w:tcPr>
          <w:p w14:paraId="2F0CC501">
            <w:pPr>
              <w:pStyle w:val="17"/>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941" w:type="dxa"/>
            <w:vAlign w:val="center"/>
          </w:tcPr>
          <w:p w14:paraId="7091AAA7">
            <w:pPr>
              <w:pStyle w:val="17"/>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1F4CC01B">
            <w:pPr>
              <w:pStyle w:val="17"/>
              <w:widowControl w:val="0"/>
              <w:spacing w:line="240" w:lineRule="auto"/>
              <w:jc w:val="center"/>
              <w:rPr>
                <w:rFonts w:hint="eastAsia" w:ascii="黑体" w:hAnsi="黑体"/>
                <w:bCs/>
                <w:sz w:val="21"/>
                <w:szCs w:val="21"/>
              </w:rPr>
            </w:pPr>
          </w:p>
        </w:tc>
      </w:tr>
      <w:tr w14:paraId="5C12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CA3417F">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4E148C03">
            <w:pPr>
              <w:pStyle w:val="15"/>
              <w:widowControl w:val="0"/>
              <w:spacing w:line="320" w:lineRule="exact"/>
              <w:rPr>
                <w:rFonts w:hint="eastAsia" w:ascii="宋体" w:hAnsi="宋体"/>
              </w:rPr>
            </w:pPr>
            <w:r>
              <w:rPr>
                <w:rFonts w:hint="eastAsia" w:ascii="宋体" w:hAnsi="宋体"/>
              </w:rPr>
              <w:t>60%</w:t>
            </w:r>
          </w:p>
        </w:tc>
        <w:tc>
          <w:tcPr>
            <w:tcW w:w="2353" w:type="dxa"/>
            <w:tcBorders>
              <w:right w:val="double" w:color="auto" w:sz="4" w:space="0"/>
            </w:tcBorders>
          </w:tcPr>
          <w:p w14:paraId="054C3811">
            <w:pPr>
              <w:pStyle w:val="15"/>
              <w:widowControl w:val="0"/>
              <w:spacing w:line="320" w:lineRule="exact"/>
              <w:rPr>
                <w:rFonts w:hint="eastAsia" w:ascii="宋体" w:hAnsi="宋体"/>
              </w:rPr>
            </w:pPr>
            <w:r>
              <w:rPr>
                <w:rFonts w:hint="eastAsia" w:ascii="宋体" w:hAnsi="宋体"/>
              </w:rPr>
              <w:t>期末闭卷考试</w:t>
            </w:r>
          </w:p>
        </w:tc>
        <w:tc>
          <w:tcPr>
            <w:tcW w:w="888" w:type="dxa"/>
            <w:tcBorders>
              <w:left w:val="double" w:color="auto" w:sz="4" w:space="0"/>
            </w:tcBorders>
            <w:vAlign w:val="center"/>
          </w:tcPr>
          <w:p w14:paraId="580FAA02">
            <w:pPr>
              <w:pStyle w:val="15"/>
              <w:widowControl w:val="0"/>
              <w:spacing w:line="320" w:lineRule="exact"/>
              <w:rPr>
                <w:rFonts w:hint="eastAsia" w:ascii="宋体" w:hAnsi="宋体"/>
              </w:rPr>
            </w:pPr>
            <w:r>
              <w:rPr>
                <w:rFonts w:hint="eastAsia" w:ascii="宋体" w:hAnsi="宋体"/>
              </w:rPr>
              <w:t>2</w:t>
            </w:r>
            <w:r>
              <w:rPr>
                <w:rFonts w:ascii="宋体" w:hAnsi="宋体"/>
              </w:rPr>
              <w:t>0</w:t>
            </w:r>
          </w:p>
        </w:tc>
        <w:tc>
          <w:tcPr>
            <w:tcW w:w="992" w:type="dxa"/>
            <w:vAlign w:val="center"/>
          </w:tcPr>
          <w:p w14:paraId="6BF9F3A7">
            <w:pPr>
              <w:pStyle w:val="15"/>
              <w:widowControl w:val="0"/>
              <w:spacing w:line="320" w:lineRule="exact"/>
              <w:rPr>
                <w:rFonts w:hint="eastAsia" w:ascii="宋体" w:hAnsi="宋体"/>
              </w:rPr>
            </w:pPr>
            <w:r>
              <w:rPr>
                <w:rFonts w:hint="eastAsia" w:ascii="宋体" w:hAnsi="宋体"/>
              </w:rPr>
              <w:t>3</w:t>
            </w:r>
            <w:r>
              <w:rPr>
                <w:rFonts w:ascii="宋体" w:hAnsi="宋体"/>
              </w:rPr>
              <w:t>0</w:t>
            </w:r>
          </w:p>
        </w:tc>
        <w:tc>
          <w:tcPr>
            <w:tcW w:w="851" w:type="dxa"/>
            <w:vAlign w:val="center"/>
          </w:tcPr>
          <w:p w14:paraId="6F054134">
            <w:pPr>
              <w:pStyle w:val="15"/>
              <w:widowControl w:val="0"/>
              <w:spacing w:line="320" w:lineRule="exact"/>
              <w:rPr>
                <w:rFonts w:hint="eastAsia" w:ascii="宋体" w:hAnsi="宋体"/>
              </w:rPr>
            </w:pPr>
            <w:r>
              <w:rPr>
                <w:rFonts w:hint="eastAsia" w:ascii="宋体" w:hAnsi="宋体"/>
              </w:rPr>
              <w:t>3</w:t>
            </w:r>
            <w:r>
              <w:rPr>
                <w:rFonts w:ascii="宋体" w:hAnsi="宋体"/>
              </w:rPr>
              <w:t>0</w:t>
            </w:r>
          </w:p>
        </w:tc>
        <w:tc>
          <w:tcPr>
            <w:tcW w:w="941" w:type="dxa"/>
            <w:vAlign w:val="center"/>
          </w:tcPr>
          <w:p w14:paraId="7819BA56">
            <w:pPr>
              <w:pStyle w:val="15"/>
              <w:widowControl w:val="0"/>
              <w:spacing w:line="320" w:lineRule="exact"/>
              <w:rPr>
                <w:rFonts w:hint="eastAsia" w:ascii="宋体" w:hAnsi="宋体"/>
              </w:rPr>
            </w:pPr>
            <w:r>
              <w:rPr>
                <w:rFonts w:ascii="宋体" w:hAnsi="宋体"/>
              </w:rPr>
              <w:t>20</w:t>
            </w:r>
          </w:p>
        </w:tc>
        <w:tc>
          <w:tcPr>
            <w:tcW w:w="706" w:type="dxa"/>
            <w:tcBorders>
              <w:right w:val="single" w:color="auto" w:sz="12" w:space="0"/>
            </w:tcBorders>
            <w:vAlign w:val="center"/>
          </w:tcPr>
          <w:p w14:paraId="0E0E77B2">
            <w:pPr>
              <w:pStyle w:val="15"/>
              <w:widowControl w:val="0"/>
              <w:spacing w:line="320" w:lineRule="exact"/>
              <w:rPr>
                <w:rFonts w:hint="eastAsia" w:ascii="宋体" w:hAnsi="宋体"/>
              </w:rPr>
            </w:pPr>
            <w:r>
              <w:rPr>
                <w:rFonts w:hint="eastAsia" w:ascii="宋体" w:hAnsi="宋体"/>
              </w:rPr>
              <w:t>1</w:t>
            </w:r>
            <w:r>
              <w:rPr>
                <w:rFonts w:ascii="宋体" w:hAnsi="宋体"/>
              </w:rPr>
              <w:t>00</w:t>
            </w:r>
          </w:p>
        </w:tc>
      </w:tr>
      <w:tr w14:paraId="7E9B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23535F9">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5E6466CC">
            <w:pPr>
              <w:pStyle w:val="15"/>
              <w:widowControl w:val="0"/>
              <w:spacing w:line="320" w:lineRule="exact"/>
              <w:rPr>
                <w:rFonts w:hint="eastAsia" w:ascii="宋体" w:hAnsi="宋体"/>
              </w:rPr>
            </w:pPr>
            <w:r>
              <w:rPr>
                <w:rFonts w:hint="eastAsia" w:ascii="宋体" w:hAnsi="宋体"/>
              </w:rPr>
              <w:t>10%</w:t>
            </w:r>
          </w:p>
        </w:tc>
        <w:tc>
          <w:tcPr>
            <w:tcW w:w="2353" w:type="dxa"/>
            <w:tcBorders>
              <w:right w:val="double" w:color="auto" w:sz="4" w:space="0"/>
            </w:tcBorders>
          </w:tcPr>
          <w:p w14:paraId="4CC89C0A">
            <w:pPr>
              <w:pStyle w:val="15"/>
              <w:widowControl w:val="0"/>
              <w:spacing w:line="320" w:lineRule="exact"/>
              <w:rPr>
                <w:rFonts w:hint="eastAsia" w:ascii="宋体" w:hAnsi="宋体"/>
              </w:rPr>
            </w:pPr>
            <w:r>
              <w:rPr>
                <w:rFonts w:ascii="宋体" w:hAnsi="宋体"/>
              </w:rPr>
              <w:t>课堂表现</w:t>
            </w:r>
          </w:p>
        </w:tc>
        <w:tc>
          <w:tcPr>
            <w:tcW w:w="888" w:type="dxa"/>
            <w:tcBorders>
              <w:left w:val="double" w:color="auto" w:sz="4" w:space="0"/>
            </w:tcBorders>
            <w:vAlign w:val="center"/>
          </w:tcPr>
          <w:p w14:paraId="4717161B">
            <w:pPr>
              <w:pStyle w:val="15"/>
              <w:widowControl w:val="0"/>
              <w:spacing w:line="320" w:lineRule="exact"/>
              <w:rPr>
                <w:rFonts w:hint="eastAsia" w:ascii="宋体" w:hAnsi="宋体"/>
              </w:rPr>
            </w:pPr>
            <w:r>
              <w:rPr>
                <w:rFonts w:hint="eastAsia" w:ascii="宋体" w:hAnsi="宋体"/>
              </w:rPr>
              <w:t>2</w:t>
            </w:r>
            <w:r>
              <w:rPr>
                <w:rFonts w:ascii="宋体" w:hAnsi="宋体"/>
              </w:rPr>
              <w:t>0</w:t>
            </w:r>
          </w:p>
        </w:tc>
        <w:tc>
          <w:tcPr>
            <w:tcW w:w="992" w:type="dxa"/>
            <w:vAlign w:val="center"/>
          </w:tcPr>
          <w:p w14:paraId="5BB7E7EB">
            <w:pPr>
              <w:pStyle w:val="15"/>
              <w:widowControl w:val="0"/>
              <w:spacing w:line="320" w:lineRule="exact"/>
              <w:rPr>
                <w:rFonts w:hint="eastAsia" w:ascii="宋体" w:hAnsi="宋体"/>
              </w:rPr>
            </w:pPr>
            <w:r>
              <w:rPr>
                <w:rFonts w:hint="eastAsia" w:ascii="宋体" w:hAnsi="宋体"/>
              </w:rPr>
              <w:t>3</w:t>
            </w:r>
            <w:r>
              <w:rPr>
                <w:rFonts w:ascii="宋体" w:hAnsi="宋体"/>
              </w:rPr>
              <w:t>0</w:t>
            </w:r>
          </w:p>
        </w:tc>
        <w:tc>
          <w:tcPr>
            <w:tcW w:w="851" w:type="dxa"/>
            <w:vAlign w:val="center"/>
          </w:tcPr>
          <w:p w14:paraId="3949019B">
            <w:pPr>
              <w:pStyle w:val="15"/>
              <w:widowControl w:val="0"/>
              <w:spacing w:line="320" w:lineRule="exact"/>
              <w:rPr>
                <w:rFonts w:hint="eastAsia" w:ascii="宋体" w:hAnsi="宋体"/>
              </w:rPr>
            </w:pPr>
            <w:r>
              <w:rPr>
                <w:rFonts w:hint="eastAsia" w:ascii="宋体" w:hAnsi="宋体"/>
              </w:rPr>
              <w:t>3</w:t>
            </w:r>
            <w:r>
              <w:rPr>
                <w:rFonts w:ascii="宋体" w:hAnsi="宋体"/>
              </w:rPr>
              <w:t>0</w:t>
            </w:r>
          </w:p>
        </w:tc>
        <w:tc>
          <w:tcPr>
            <w:tcW w:w="941" w:type="dxa"/>
            <w:vAlign w:val="center"/>
          </w:tcPr>
          <w:p w14:paraId="4F9CE741">
            <w:pPr>
              <w:pStyle w:val="15"/>
              <w:widowControl w:val="0"/>
              <w:spacing w:line="320" w:lineRule="exact"/>
              <w:rPr>
                <w:rFonts w:hint="eastAsia" w:ascii="宋体" w:hAnsi="宋体"/>
              </w:rPr>
            </w:pPr>
            <w:r>
              <w:rPr>
                <w:rFonts w:ascii="宋体" w:hAnsi="宋体"/>
              </w:rPr>
              <w:t>20</w:t>
            </w:r>
          </w:p>
        </w:tc>
        <w:tc>
          <w:tcPr>
            <w:tcW w:w="706" w:type="dxa"/>
            <w:tcBorders>
              <w:right w:val="single" w:color="auto" w:sz="12" w:space="0"/>
            </w:tcBorders>
            <w:vAlign w:val="center"/>
          </w:tcPr>
          <w:p w14:paraId="5160835A">
            <w:pPr>
              <w:pStyle w:val="15"/>
              <w:widowControl w:val="0"/>
              <w:spacing w:line="320" w:lineRule="exact"/>
              <w:rPr>
                <w:rFonts w:hint="eastAsia" w:ascii="宋体" w:hAnsi="宋体"/>
              </w:rPr>
            </w:pPr>
            <w:r>
              <w:rPr>
                <w:rFonts w:hint="eastAsia" w:ascii="宋体" w:hAnsi="宋体"/>
              </w:rPr>
              <w:t>1</w:t>
            </w:r>
            <w:r>
              <w:rPr>
                <w:rFonts w:ascii="宋体" w:hAnsi="宋体"/>
              </w:rPr>
              <w:t>00</w:t>
            </w:r>
          </w:p>
        </w:tc>
      </w:tr>
      <w:tr w14:paraId="5833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C394A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702A2A5F">
            <w:pPr>
              <w:pStyle w:val="15"/>
              <w:widowControl w:val="0"/>
              <w:spacing w:line="320" w:lineRule="exact"/>
              <w:rPr>
                <w:rFonts w:hint="eastAsia" w:ascii="宋体" w:hAnsi="宋体"/>
              </w:rPr>
            </w:pPr>
            <w:r>
              <w:rPr>
                <w:rFonts w:hint="eastAsia" w:ascii="宋体" w:hAnsi="宋体"/>
              </w:rPr>
              <w:t>20%</w:t>
            </w:r>
          </w:p>
        </w:tc>
        <w:tc>
          <w:tcPr>
            <w:tcW w:w="2353" w:type="dxa"/>
            <w:tcBorders>
              <w:right w:val="double" w:color="auto" w:sz="4" w:space="0"/>
            </w:tcBorders>
          </w:tcPr>
          <w:p w14:paraId="1CA873B4">
            <w:pPr>
              <w:pStyle w:val="15"/>
              <w:widowControl w:val="0"/>
              <w:spacing w:line="320" w:lineRule="exact"/>
              <w:rPr>
                <w:rFonts w:hint="eastAsia" w:ascii="宋体" w:hAnsi="宋体"/>
              </w:rPr>
            </w:pPr>
            <w:r>
              <w:rPr>
                <w:rFonts w:hint="eastAsia" w:ascii="宋体" w:hAnsi="宋体"/>
              </w:rPr>
              <w:t>期中小测验</w:t>
            </w:r>
          </w:p>
        </w:tc>
        <w:tc>
          <w:tcPr>
            <w:tcW w:w="888" w:type="dxa"/>
            <w:tcBorders>
              <w:left w:val="double" w:color="auto" w:sz="4" w:space="0"/>
            </w:tcBorders>
            <w:vAlign w:val="center"/>
          </w:tcPr>
          <w:p w14:paraId="056B772B">
            <w:pPr>
              <w:pStyle w:val="15"/>
              <w:widowControl w:val="0"/>
              <w:spacing w:line="320" w:lineRule="exact"/>
              <w:rPr>
                <w:rFonts w:hint="eastAsia" w:ascii="宋体" w:hAnsi="宋体"/>
              </w:rPr>
            </w:pPr>
            <w:r>
              <w:rPr>
                <w:rFonts w:hint="eastAsia" w:ascii="宋体" w:hAnsi="宋体"/>
              </w:rPr>
              <w:t>2</w:t>
            </w:r>
            <w:r>
              <w:rPr>
                <w:rFonts w:ascii="宋体" w:hAnsi="宋体"/>
              </w:rPr>
              <w:t>0</w:t>
            </w:r>
          </w:p>
        </w:tc>
        <w:tc>
          <w:tcPr>
            <w:tcW w:w="992" w:type="dxa"/>
            <w:vAlign w:val="center"/>
          </w:tcPr>
          <w:p w14:paraId="06C757A2">
            <w:pPr>
              <w:pStyle w:val="15"/>
              <w:widowControl w:val="0"/>
              <w:spacing w:line="320" w:lineRule="exact"/>
              <w:rPr>
                <w:rFonts w:hint="eastAsia" w:ascii="宋体" w:hAnsi="宋体"/>
              </w:rPr>
            </w:pPr>
            <w:r>
              <w:rPr>
                <w:rFonts w:hint="eastAsia" w:ascii="宋体" w:hAnsi="宋体"/>
              </w:rPr>
              <w:t>3</w:t>
            </w:r>
            <w:r>
              <w:rPr>
                <w:rFonts w:ascii="宋体" w:hAnsi="宋体"/>
              </w:rPr>
              <w:t>0</w:t>
            </w:r>
          </w:p>
        </w:tc>
        <w:tc>
          <w:tcPr>
            <w:tcW w:w="851" w:type="dxa"/>
            <w:vAlign w:val="center"/>
          </w:tcPr>
          <w:p w14:paraId="28799F5F">
            <w:pPr>
              <w:pStyle w:val="15"/>
              <w:widowControl w:val="0"/>
              <w:spacing w:line="320" w:lineRule="exact"/>
              <w:rPr>
                <w:rFonts w:hint="eastAsia" w:ascii="宋体" w:hAnsi="宋体"/>
              </w:rPr>
            </w:pPr>
            <w:r>
              <w:rPr>
                <w:rFonts w:hint="eastAsia" w:ascii="宋体" w:hAnsi="宋体"/>
              </w:rPr>
              <w:t>3</w:t>
            </w:r>
            <w:r>
              <w:rPr>
                <w:rFonts w:ascii="宋体" w:hAnsi="宋体"/>
              </w:rPr>
              <w:t>0</w:t>
            </w:r>
          </w:p>
        </w:tc>
        <w:tc>
          <w:tcPr>
            <w:tcW w:w="941" w:type="dxa"/>
            <w:vAlign w:val="center"/>
          </w:tcPr>
          <w:p w14:paraId="5B64C169">
            <w:pPr>
              <w:pStyle w:val="15"/>
              <w:widowControl w:val="0"/>
              <w:spacing w:line="320" w:lineRule="exact"/>
              <w:rPr>
                <w:rFonts w:hint="eastAsia" w:ascii="宋体" w:hAnsi="宋体"/>
              </w:rPr>
            </w:pPr>
            <w:r>
              <w:rPr>
                <w:rFonts w:ascii="宋体" w:hAnsi="宋体"/>
              </w:rPr>
              <w:t>20</w:t>
            </w:r>
          </w:p>
        </w:tc>
        <w:tc>
          <w:tcPr>
            <w:tcW w:w="706" w:type="dxa"/>
            <w:tcBorders>
              <w:right w:val="single" w:color="auto" w:sz="12" w:space="0"/>
            </w:tcBorders>
            <w:vAlign w:val="center"/>
          </w:tcPr>
          <w:p w14:paraId="435CBFB9">
            <w:pPr>
              <w:pStyle w:val="15"/>
              <w:widowControl w:val="0"/>
              <w:spacing w:line="320" w:lineRule="exact"/>
              <w:rPr>
                <w:rFonts w:hint="eastAsia" w:ascii="宋体" w:hAnsi="宋体"/>
              </w:rPr>
            </w:pPr>
            <w:r>
              <w:rPr>
                <w:rFonts w:hint="eastAsia" w:ascii="宋体" w:hAnsi="宋体"/>
              </w:rPr>
              <w:t>1</w:t>
            </w:r>
            <w:r>
              <w:rPr>
                <w:rFonts w:ascii="宋体" w:hAnsi="宋体"/>
              </w:rPr>
              <w:t>00</w:t>
            </w:r>
          </w:p>
        </w:tc>
      </w:tr>
      <w:tr w14:paraId="2F3A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A87722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1932DCFF">
            <w:pPr>
              <w:pStyle w:val="15"/>
              <w:widowControl w:val="0"/>
              <w:spacing w:line="320" w:lineRule="exact"/>
              <w:rPr>
                <w:rFonts w:hint="eastAsia" w:ascii="宋体" w:hAnsi="宋体"/>
              </w:rPr>
            </w:pPr>
            <w:r>
              <w:rPr>
                <w:rFonts w:ascii="宋体" w:hAnsi="宋体"/>
              </w:rPr>
              <w:t>10</w:t>
            </w:r>
            <w:r>
              <w:rPr>
                <w:rFonts w:hint="eastAsia" w:ascii="宋体" w:hAnsi="宋体"/>
              </w:rPr>
              <w:t>%</w:t>
            </w:r>
          </w:p>
        </w:tc>
        <w:tc>
          <w:tcPr>
            <w:tcW w:w="2353" w:type="dxa"/>
            <w:tcBorders>
              <w:right w:val="double" w:color="auto" w:sz="4" w:space="0"/>
            </w:tcBorders>
          </w:tcPr>
          <w:p w14:paraId="4F54D729">
            <w:pPr>
              <w:pStyle w:val="15"/>
              <w:widowControl w:val="0"/>
              <w:spacing w:line="320" w:lineRule="exact"/>
              <w:rPr>
                <w:rFonts w:hint="eastAsia" w:ascii="宋体" w:hAnsi="宋体"/>
              </w:rPr>
            </w:pPr>
            <w:r>
              <w:rPr>
                <w:rFonts w:hint="eastAsia" w:ascii="宋体" w:hAnsi="宋体"/>
              </w:rPr>
              <w:t>实验报告</w:t>
            </w:r>
          </w:p>
        </w:tc>
        <w:tc>
          <w:tcPr>
            <w:tcW w:w="888" w:type="dxa"/>
            <w:tcBorders>
              <w:left w:val="double" w:color="auto" w:sz="4" w:space="0"/>
            </w:tcBorders>
            <w:vAlign w:val="center"/>
          </w:tcPr>
          <w:p w14:paraId="04CF2666">
            <w:pPr>
              <w:pStyle w:val="15"/>
              <w:widowControl w:val="0"/>
              <w:spacing w:line="320" w:lineRule="exact"/>
              <w:rPr>
                <w:rFonts w:hint="eastAsia" w:ascii="宋体" w:hAnsi="宋体"/>
              </w:rPr>
            </w:pPr>
            <w:r>
              <w:rPr>
                <w:rFonts w:hint="eastAsia" w:ascii="宋体" w:hAnsi="宋体"/>
              </w:rPr>
              <w:t>2</w:t>
            </w:r>
            <w:r>
              <w:rPr>
                <w:rFonts w:ascii="宋体" w:hAnsi="宋体"/>
              </w:rPr>
              <w:t>0</w:t>
            </w:r>
          </w:p>
        </w:tc>
        <w:tc>
          <w:tcPr>
            <w:tcW w:w="992" w:type="dxa"/>
            <w:vAlign w:val="center"/>
          </w:tcPr>
          <w:p w14:paraId="1A00DD1E">
            <w:pPr>
              <w:pStyle w:val="15"/>
              <w:widowControl w:val="0"/>
              <w:spacing w:line="320" w:lineRule="exact"/>
              <w:rPr>
                <w:rFonts w:hint="eastAsia" w:ascii="宋体" w:hAnsi="宋体"/>
              </w:rPr>
            </w:pPr>
            <w:r>
              <w:rPr>
                <w:rFonts w:hint="eastAsia" w:ascii="宋体" w:hAnsi="宋体"/>
              </w:rPr>
              <w:t>3</w:t>
            </w:r>
            <w:r>
              <w:rPr>
                <w:rFonts w:ascii="宋体" w:hAnsi="宋体"/>
              </w:rPr>
              <w:t>0</w:t>
            </w:r>
          </w:p>
        </w:tc>
        <w:tc>
          <w:tcPr>
            <w:tcW w:w="851" w:type="dxa"/>
            <w:vAlign w:val="center"/>
          </w:tcPr>
          <w:p w14:paraId="2E2F7502">
            <w:pPr>
              <w:pStyle w:val="15"/>
              <w:widowControl w:val="0"/>
              <w:spacing w:line="320" w:lineRule="exact"/>
              <w:rPr>
                <w:rFonts w:hint="eastAsia" w:ascii="宋体" w:hAnsi="宋体"/>
              </w:rPr>
            </w:pPr>
            <w:r>
              <w:rPr>
                <w:rFonts w:hint="eastAsia" w:ascii="宋体" w:hAnsi="宋体"/>
              </w:rPr>
              <w:t>3</w:t>
            </w:r>
            <w:r>
              <w:rPr>
                <w:rFonts w:ascii="宋体" w:hAnsi="宋体"/>
              </w:rPr>
              <w:t>0</w:t>
            </w:r>
          </w:p>
        </w:tc>
        <w:tc>
          <w:tcPr>
            <w:tcW w:w="941" w:type="dxa"/>
            <w:vAlign w:val="center"/>
          </w:tcPr>
          <w:p w14:paraId="6D47033D">
            <w:pPr>
              <w:pStyle w:val="15"/>
              <w:widowControl w:val="0"/>
              <w:spacing w:line="320" w:lineRule="exact"/>
              <w:rPr>
                <w:rFonts w:hint="eastAsia" w:ascii="宋体" w:hAnsi="宋体"/>
              </w:rPr>
            </w:pPr>
            <w:r>
              <w:rPr>
                <w:rFonts w:ascii="宋体" w:hAnsi="宋体"/>
              </w:rPr>
              <w:t>20</w:t>
            </w:r>
          </w:p>
        </w:tc>
        <w:tc>
          <w:tcPr>
            <w:tcW w:w="706" w:type="dxa"/>
            <w:tcBorders>
              <w:right w:val="single" w:color="auto" w:sz="12" w:space="0"/>
            </w:tcBorders>
            <w:vAlign w:val="center"/>
          </w:tcPr>
          <w:p w14:paraId="585425C8">
            <w:pPr>
              <w:pStyle w:val="15"/>
              <w:widowControl w:val="0"/>
              <w:spacing w:line="320" w:lineRule="exact"/>
              <w:rPr>
                <w:rFonts w:hint="eastAsia" w:ascii="宋体" w:hAnsi="宋体"/>
              </w:rPr>
            </w:pPr>
            <w:r>
              <w:rPr>
                <w:rFonts w:hint="eastAsia" w:ascii="宋体" w:hAnsi="宋体"/>
              </w:rPr>
              <w:t>1</w:t>
            </w:r>
            <w:r>
              <w:rPr>
                <w:rFonts w:ascii="宋体" w:hAnsi="宋体"/>
              </w:rPr>
              <w:t>00</w:t>
            </w:r>
          </w:p>
        </w:tc>
      </w:tr>
    </w:tbl>
    <w:p w14:paraId="7C04F4C8">
      <w:pPr>
        <w:pStyle w:val="17"/>
        <w:spacing w:before="326" w:beforeLines="100" w:line="360" w:lineRule="auto"/>
        <w:rPr>
          <w:rFonts w:hint="eastAsia"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D7575">
    <w:pPr>
      <w:pStyle w:val="5"/>
      <w:jc w:val="center"/>
    </w:pPr>
    <w:r>
      <w:fldChar w:fldCharType="begin"/>
    </w:r>
    <w:r>
      <w:instrText xml:space="preserve">PAGE   \* MERGEFORMAT</w:instrText>
    </w:r>
    <w:r>
      <w:fldChar w:fldCharType="separate"/>
    </w:r>
    <w:r>
      <w:rPr>
        <w:lang w:val="zh-CN"/>
      </w:rPr>
      <w:t>2</w:t>
    </w:r>
    <w:r>
      <w:fldChar w:fldCharType="end"/>
    </w:r>
  </w:p>
  <w:p w14:paraId="62B122B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6EE74">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195600162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5FAB308">
                          <w:pPr>
                            <w:rPr>
                              <w:rFonts w:ascii="Times New Roman" w:hAnsi="Times New Roman"/>
                            </w:rPr>
                          </w:pPr>
                          <w:r>
                            <w:rPr>
                              <w:rFonts w:ascii="Times New Roman" w:hAnsi="Times New Roman"/>
                            </w:rPr>
                            <w:t>SJQU-QR-JW-05</w:t>
                          </w:r>
                          <w:r>
                            <w:rPr>
                              <w:rFonts w:hint="eastAsia" w:ascii="Times New Roman" w:hAnsi="Times New Roman"/>
                            </w:rPr>
                            <w:t>2</w:t>
                          </w:r>
                          <w:r>
                            <w:rPr>
                              <w:rFonts w:ascii="Times New Roman" w:hAnsi="Times New Roman"/>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4ZKZ&#10;1AAAAAkBAAAPAAAAAAAAAAEAIAAAACIAAABkcnMvZG93bnJldi54bWxQSwECFAAUAAAACACHTuJA&#10;AjFVDV4CAACmBAAADgAAAAAAAAABACAAAAAjAQAAZHJzL2Uyb0RvYy54bWxQSwUGAAAAAAYABgBZ&#10;AQAA8wUAAAAA&#10;">
              <v:fill on="t" focussize="0,0"/>
              <v:stroke on="f" weight="0.5pt"/>
              <v:imagedata o:title=""/>
              <o:lock v:ext="edit" aspectratio="f"/>
              <v:textbox>
                <w:txbxContent>
                  <w:p w14:paraId="55FAB308">
                    <w:pPr>
                      <w:rPr>
                        <w:rFonts w:ascii="Times New Roman" w:hAnsi="Times New Roman"/>
                      </w:rPr>
                    </w:pPr>
                    <w:r>
                      <w:rPr>
                        <w:rFonts w:ascii="Times New Roman" w:hAnsi="Times New Roman"/>
                      </w:rPr>
                      <w:t>SJQU-QR-JW-05</w:t>
                    </w:r>
                    <w:r>
                      <w:rPr>
                        <w:rFonts w:hint="eastAsia" w:ascii="Times New Roman" w:hAnsi="Times New Roman"/>
                      </w:rPr>
                      <w:t>2</w:t>
                    </w:r>
                    <w:r>
                      <w:rPr>
                        <w:rFonts w:ascii="Times New Roman" w:hAnsi="Times New Roman"/>
                      </w:rPr>
                      <w:t>（A0）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A1C3A"/>
    <w:multiLevelType w:val="multilevel"/>
    <w:tmpl w:val="42BA1C3A"/>
    <w:lvl w:ilvl="0" w:tentative="0">
      <w:start w:val="5"/>
      <w:numFmt w:val="chi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296A"/>
    <w:rsid w:val="000203E0"/>
    <w:rsid w:val="000210E0"/>
    <w:rsid w:val="00033082"/>
    <w:rsid w:val="0003686D"/>
    <w:rsid w:val="00044088"/>
    <w:rsid w:val="00053590"/>
    <w:rsid w:val="0006001D"/>
    <w:rsid w:val="00066041"/>
    <w:rsid w:val="00076794"/>
    <w:rsid w:val="0008122A"/>
    <w:rsid w:val="00087488"/>
    <w:rsid w:val="0009050A"/>
    <w:rsid w:val="0009721F"/>
    <w:rsid w:val="000A4E73"/>
    <w:rsid w:val="000B1BD2"/>
    <w:rsid w:val="000B7BB8"/>
    <w:rsid w:val="000C0F0D"/>
    <w:rsid w:val="000C13BC"/>
    <w:rsid w:val="000D28E5"/>
    <w:rsid w:val="000D34D7"/>
    <w:rsid w:val="000F7F9A"/>
    <w:rsid w:val="00100633"/>
    <w:rsid w:val="00102485"/>
    <w:rsid w:val="001072BC"/>
    <w:rsid w:val="0011198F"/>
    <w:rsid w:val="00114BD6"/>
    <w:rsid w:val="001164CC"/>
    <w:rsid w:val="00117175"/>
    <w:rsid w:val="00120AA5"/>
    <w:rsid w:val="00130F6D"/>
    <w:rsid w:val="00133554"/>
    <w:rsid w:val="001341DC"/>
    <w:rsid w:val="00144082"/>
    <w:rsid w:val="00144441"/>
    <w:rsid w:val="0016381F"/>
    <w:rsid w:val="00163A48"/>
    <w:rsid w:val="0016438B"/>
    <w:rsid w:val="00164E36"/>
    <w:rsid w:val="001678A2"/>
    <w:rsid w:val="0017239C"/>
    <w:rsid w:val="001800D7"/>
    <w:rsid w:val="00183AA1"/>
    <w:rsid w:val="0018767C"/>
    <w:rsid w:val="001A0475"/>
    <w:rsid w:val="001A135C"/>
    <w:rsid w:val="001B0D49"/>
    <w:rsid w:val="001B546F"/>
    <w:rsid w:val="001C16FC"/>
    <w:rsid w:val="001C2E3E"/>
    <w:rsid w:val="001C388D"/>
    <w:rsid w:val="001E0494"/>
    <w:rsid w:val="001E1D2D"/>
    <w:rsid w:val="001E4A52"/>
    <w:rsid w:val="001E5A17"/>
    <w:rsid w:val="001F284E"/>
    <w:rsid w:val="001F332E"/>
    <w:rsid w:val="00217861"/>
    <w:rsid w:val="002204E4"/>
    <w:rsid w:val="002211BF"/>
    <w:rsid w:val="0022142B"/>
    <w:rsid w:val="00233F15"/>
    <w:rsid w:val="002420F1"/>
    <w:rsid w:val="00253AC8"/>
    <w:rsid w:val="00256B39"/>
    <w:rsid w:val="0026033C"/>
    <w:rsid w:val="002647A6"/>
    <w:rsid w:val="0027324E"/>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D7FA4"/>
    <w:rsid w:val="002E20E5"/>
    <w:rsid w:val="002E33CE"/>
    <w:rsid w:val="002E3721"/>
    <w:rsid w:val="002E6F95"/>
    <w:rsid w:val="002E764D"/>
    <w:rsid w:val="002F3157"/>
    <w:rsid w:val="002F6BD5"/>
    <w:rsid w:val="00305F23"/>
    <w:rsid w:val="00306BE3"/>
    <w:rsid w:val="00313BBA"/>
    <w:rsid w:val="00317E29"/>
    <w:rsid w:val="00321515"/>
    <w:rsid w:val="003225FF"/>
    <w:rsid w:val="0032602E"/>
    <w:rsid w:val="00327B8C"/>
    <w:rsid w:val="00331638"/>
    <w:rsid w:val="003344A7"/>
    <w:rsid w:val="0033450D"/>
    <w:rsid w:val="00334623"/>
    <w:rsid w:val="003367AE"/>
    <w:rsid w:val="00340439"/>
    <w:rsid w:val="00344EF2"/>
    <w:rsid w:val="00347EB8"/>
    <w:rsid w:val="00347F80"/>
    <w:rsid w:val="00353F74"/>
    <w:rsid w:val="003557DE"/>
    <w:rsid w:val="00356647"/>
    <w:rsid w:val="00361BEB"/>
    <w:rsid w:val="003629D0"/>
    <w:rsid w:val="00370184"/>
    <w:rsid w:val="00373C8A"/>
    <w:rsid w:val="00377C10"/>
    <w:rsid w:val="00384A1F"/>
    <w:rsid w:val="00384D60"/>
    <w:rsid w:val="00385D41"/>
    <w:rsid w:val="003861BA"/>
    <w:rsid w:val="00393DDF"/>
    <w:rsid w:val="00396F92"/>
    <w:rsid w:val="003A00E1"/>
    <w:rsid w:val="003A1680"/>
    <w:rsid w:val="003A373C"/>
    <w:rsid w:val="003A5874"/>
    <w:rsid w:val="003B0004"/>
    <w:rsid w:val="003B1258"/>
    <w:rsid w:val="003B4A81"/>
    <w:rsid w:val="003C1F8D"/>
    <w:rsid w:val="003C3C3C"/>
    <w:rsid w:val="003C61A5"/>
    <w:rsid w:val="003D1968"/>
    <w:rsid w:val="003D4994"/>
    <w:rsid w:val="003E10A5"/>
    <w:rsid w:val="003E7D72"/>
    <w:rsid w:val="003F2B1F"/>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48FA"/>
    <w:rsid w:val="0046549D"/>
    <w:rsid w:val="00471668"/>
    <w:rsid w:val="00481F98"/>
    <w:rsid w:val="004852BF"/>
    <w:rsid w:val="0048662E"/>
    <w:rsid w:val="00487A46"/>
    <w:rsid w:val="00493504"/>
    <w:rsid w:val="00494579"/>
    <w:rsid w:val="00497334"/>
    <w:rsid w:val="004A4645"/>
    <w:rsid w:val="004A5100"/>
    <w:rsid w:val="004A6F3A"/>
    <w:rsid w:val="004B408D"/>
    <w:rsid w:val="004B6F68"/>
    <w:rsid w:val="004B73F7"/>
    <w:rsid w:val="004D496A"/>
    <w:rsid w:val="004D4FB3"/>
    <w:rsid w:val="004D75A6"/>
    <w:rsid w:val="004E3456"/>
    <w:rsid w:val="004F3DF0"/>
    <w:rsid w:val="005074E1"/>
    <w:rsid w:val="005126F1"/>
    <w:rsid w:val="00513F2F"/>
    <w:rsid w:val="00514043"/>
    <w:rsid w:val="0051612A"/>
    <w:rsid w:val="00516814"/>
    <w:rsid w:val="00517176"/>
    <w:rsid w:val="0052192E"/>
    <w:rsid w:val="00524300"/>
    <w:rsid w:val="00541F72"/>
    <w:rsid w:val="00542388"/>
    <w:rsid w:val="00544523"/>
    <w:rsid w:val="00545BB5"/>
    <w:rsid w:val="005467DC"/>
    <w:rsid w:val="00546A82"/>
    <w:rsid w:val="00547C51"/>
    <w:rsid w:val="00551335"/>
    <w:rsid w:val="005519BB"/>
    <w:rsid w:val="005523FD"/>
    <w:rsid w:val="00553D03"/>
    <w:rsid w:val="00555BA0"/>
    <w:rsid w:val="00556E41"/>
    <w:rsid w:val="0057496F"/>
    <w:rsid w:val="005770A6"/>
    <w:rsid w:val="0058348D"/>
    <w:rsid w:val="0058416C"/>
    <w:rsid w:val="0059045B"/>
    <w:rsid w:val="00597EC2"/>
    <w:rsid w:val="005A13AB"/>
    <w:rsid w:val="005B1150"/>
    <w:rsid w:val="005B1FFC"/>
    <w:rsid w:val="005B2B6D"/>
    <w:rsid w:val="005B4B4E"/>
    <w:rsid w:val="005C3A76"/>
    <w:rsid w:val="005D5B6F"/>
    <w:rsid w:val="005E38A5"/>
    <w:rsid w:val="005F5185"/>
    <w:rsid w:val="00607F95"/>
    <w:rsid w:val="0062115C"/>
    <w:rsid w:val="0062265B"/>
    <w:rsid w:val="00624B5C"/>
    <w:rsid w:val="00624FE1"/>
    <w:rsid w:val="0062577D"/>
    <w:rsid w:val="0063249D"/>
    <w:rsid w:val="006331EE"/>
    <w:rsid w:val="00634464"/>
    <w:rsid w:val="006355E6"/>
    <w:rsid w:val="00637E00"/>
    <w:rsid w:val="0064038A"/>
    <w:rsid w:val="0065167D"/>
    <w:rsid w:val="00652D13"/>
    <w:rsid w:val="0066595A"/>
    <w:rsid w:val="00666206"/>
    <w:rsid w:val="00667792"/>
    <w:rsid w:val="00670B19"/>
    <w:rsid w:val="00672788"/>
    <w:rsid w:val="00673789"/>
    <w:rsid w:val="00676183"/>
    <w:rsid w:val="00680858"/>
    <w:rsid w:val="00680DA3"/>
    <w:rsid w:val="00681DCA"/>
    <w:rsid w:val="0068377F"/>
    <w:rsid w:val="006904E9"/>
    <w:rsid w:val="00691B24"/>
    <w:rsid w:val="00695B93"/>
    <w:rsid w:val="00697C16"/>
    <w:rsid w:val="006A13C7"/>
    <w:rsid w:val="006A3D55"/>
    <w:rsid w:val="006A5A89"/>
    <w:rsid w:val="006B3BB9"/>
    <w:rsid w:val="006B48AC"/>
    <w:rsid w:val="006B5977"/>
    <w:rsid w:val="006D1B59"/>
    <w:rsid w:val="006D2F9C"/>
    <w:rsid w:val="006D4351"/>
    <w:rsid w:val="006D5424"/>
    <w:rsid w:val="006E20F0"/>
    <w:rsid w:val="006E5CA9"/>
    <w:rsid w:val="006E5E98"/>
    <w:rsid w:val="006E7A37"/>
    <w:rsid w:val="006F3151"/>
    <w:rsid w:val="007011CA"/>
    <w:rsid w:val="00704890"/>
    <w:rsid w:val="007056DE"/>
    <w:rsid w:val="00706121"/>
    <w:rsid w:val="00710B6B"/>
    <w:rsid w:val="00712A2C"/>
    <w:rsid w:val="00712E84"/>
    <w:rsid w:val="00714914"/>
    <w:rsid w:val="007208D6"/>
    <w:rsid w:val="00726786"/>
    <w:rsid w:val="00732152"/>
    <w:rsid w:val="007428DF"/>
    <w:rsid w:val="00742BD1"/>
    <w:rsid w:val="00742E7A"/>
    <w:rsid w:val="0074424F"/>
    <w:rsid w:val="00761B33"/>
    <w:rsid w:val="00764FD9"/>
    <w:rsid w:val="007740B2"/>
    <w:rsid w:val="00774C1F"/>
    <w:rsid w:val="0078194F"/>
    <w:rsid w:val="007934A4"/>
    <w:rsid w:val="007A0AC9"/>
    <w:rsid w:val="007A1B70"/>
    <w:rsid w:val="007A57F6"/>
    <w:rsid w:val="007B4FFB"/>
    <w:rsid w:val="007C0BCE"/>
    <w:rsid w:val="007C1D1B"/>
    <w:rsid w:val="007C3566"/>
    <w:rsid w:val="007C3E3D"/>
    <w:rsid w:val="007C4F35"/>
    <w:rsid w:val="007C794A"/>
    <w:rsid w:val="007D5326"/>
    <w:rsid w:val="007D5A33"/>
    <w:rsid w:val="007E4F3A"/>
    <w:rsid w:val="007E620F"/>
    <w:rsid w:val="007E628D"/>
    <w:rsid w:val="007E663C"/>
    <w:rsid w:val="007E7795"/>
    <w:rsid w:val="0080066B"/>
    <w:rsid w:val="00803578"/>
    <w:rsid w:val="00815B8D"/>
    <w:rsid w:val="00815B8E"/>
    <w:rsid w:val="00816D99"/>
    <w:rsid w:val="0082324C"/>
    <w:rsid w:val="00823D71"/>
    <w:rsid w:val="008245AF"/>
    <w:rsid w:val="008256B9"/>
    <w:rsid w:val="00827FE1"/>
    <w:rsid w:val="0083705D"/>
    <w:rsid w:val="0084242F"/>
    <w:rsid w:val="00845795"/>
    <w:rsid w:val="00847437"/>
    <w:rsid w:val="00850404"/>
    <w:rsid w:val="00852B4F"/>
    <w:rsid w:val="00882E15"/>
    <w:rsid w:val="00883C73"/>
    <w:rsid w:val="008901A2"/>
    <w:rsid w:val="008917D3"/>
    <w:rsid w:val="00894276"/>
    <w:rsid w:val="008A08B0"/>
    <w:rsid w:val="008B0385"/>
    <w:rsid w:val="008B1082"/>
    <w:rsid w:val="008B188E"/>
    <w:rsid w:val="008B397C"/>
    <w:rsid w:val="008B47F4"/>
    <w:rsid w:val="008B6A60"/>
    <w:rsid w:val="008B7448"/>
    <w:rsid w:val="008B7E1E"/>
    <w:rsid w:val="008C2AE6"/>
    <w:rsid w:val="008C2DE8"/>
    <w:rsid w:val="008C5113"/>
    <w:rsid w:val="008C5B8A"/>
    <w:rsid w:val="008C6645"/>
    <w:rsid w:val="008D1865"/>
    <w:rsid w:val="008D3D5F"/>
    <w:rsid w:val="008D4E81"/>
    <w:rsid w:val="008D505F"/>
    <w:rsid w:val="008E0F55"/>
    <w:rsid w:val="008E1E69"/>
    <w:rsid w:val="008E7A99"/>
    <w:rsid w:val="008F253F"/>
    <w:rsid w:val="008F7F31"/>
    <w:rsid w:val="00900019"/>
    <w:rsid w:val="009023B1"/>
    <w:rsid w:val="00913C40"/>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172"/>
    <w:rsid w:val="00994793"/>
    <w:rsid w:val="00996AE3"/>
    <w:rsid w:val="009A0450"/>
    <w:rsid w:val="009A1E27"/>
    <w:rsid w:val="009A307B"/>
    <w:rsid w:val="009B04E7"/>
    <w:rsid w:val="009B14E8"/>
    <w:rsid w:val="009B1A92"/>
    <w:rsid w:val="009B4D21"/>
    <w:rsid w:val="009B5A73"/>
    <w:rsid w:val="009C54C9"/>
    <w:rsid w:val="009C589C"/>
    <w:rsid w:val="009D192B"/>
    <w:rsid w:val="009D2582"/>
    <w:rsid w:val="009D33E1"/>
    <w:rsid w:val="009D3B45"/>
    <w:rsid w:val="009D7961"/>
    <w:rsid w:val="009D7CF9"/>
    <w:rsid w:val="009E0998"/>
    <w:rsid w:val="009E29A9"/>
    <w:rsid w:val="009E2CCC"/>
    <w:rsid w:val="009E2CDD"/>
    <w:rsid w:val="009E366E"/>
    <w:rsid w:val="009E6097"/>
    <w:rsid w:val="009E6FC4"/>
    <w:rsid w:val="009F00DC"/>
    <w:rsid w:val="009F3199"/>
    <w:rsid w:val="009F3355"/>
    <w:rsid w:val="009F3648"/>
    <w:rsid w:val="009F3B7A"/>
    <w:rsid w:val="009F54D0"/>
    <w:rsid w:val="00A03FDE"/>
    <w:rsid w:val="00A04523"/>
    <w:rsid w:val="00A06E9F"/>
    <w:rsid w:val="00A112B2"/>
    <w:rsid w:val="00A16159"/>
    <w:rsid w:val="00A161E6"/>
    <w:rsid w:val="00A17885"/>
    <w:rsid w:val="00A2337D"/>
    <w:rsid w:val="00A25A31"/>
    <w:rsid w:val="00A31BBE"/>
    <w:rsid w:val="00A31D34"/>
    <w:rsid w:val="00A333EF"/>
    <w:rsid w:val="00A33F85"/>
    <w:rsid w:val="00A40645"/>
    <w:rsid w:val="00A44E7D"/>
    <w:rsid w:val="00A50CE6"/>
    <w:rsid w:val="00A5705D"/>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4E2F"/>
    <w:rsid w:val="00AF14FB"/>
    <w:rsid w:val="00AF289F"/>
    <w:rsid w:val="00AF30B9"/>
    <w:rsid w:val="00AF43DF"/>
    <w:rsid w:val="00AF67A4"/>
    <w:rsid w:val="00AF7510"/>
    <w:rsid w:val="00B01835"/>
    <w:rsid w:val="00B12D31"/>
    <w:rsid w:val="00B15F6E"/>
    <w:rsid w:val="00B21BEE"/>
    <w:rsid w:val="00B2285E"/>
    <w:rsid w:val="00B23284"/>
    <w:rsid w:val="00B37D43"/>
    <w:rsid w:val="00B422E9"/>
    <w:rsid w:val="00B45614"/>
    <w:rsid w:val="00B46F21"/>
    <w:rsid w:val="00B511A5"/>
    <w:rsid w:val="00B51CDE"/>
    <w:rsid w:val="00B56541"/>
    <w:rsid w:val="00B605ED"/>
    <w:rsid w:val="00B647D0"/>
    <w:rsid w:val="00B71F97"/>
    <w:rsid w:val="00B72538"/>
    <w:rsid w:val="00B736A7"/>
    <w:rsid w:val="00B7651F"/>
    <w:rsid w:val="00B81126"/>
    <w:rsid w:val="00B919FA"/>
    <w:rsid w:val="00B94A16"/>
    <w:rsid w:val="00BA6044"/>
    <w:rsid w:val="00BB1A93"/>
    <w:rsid w:val="00BB5DA7"/>
    <w:rsid w:val="00BC14BF"/>
    <w:rsid w:val="00BC2625"/>
    <w:rsid w:val="00BC3200"/>
    <w:rsid w:val="00BC338A"/>
    <w:rsid w:val="00BD4F84"/>
    <w:rsid w:val="00BD7AB0"/>
    <w:rsid w:val="00BE53E8"/>
    <w:rsid w:val="00BF3C20"/>
    <w:rsid w:val="00C011BC"/>
    <w:rsid w:val="00C03DBA"/>
    <w:rsid w:val="00C051F7"/>
    <w:rsid w:val="00C112E7"/>
    <w:rsid w:val="00C11C78"/>
    <w:rsid w:val="00C11CD4"/>
    <w:rsid w:val="00C14B1C"/>
    <w:rsid w:val="00C15061"/>
    <w:rsid w:val="00C1713D"/>
    <w:rsid w:val="00C20D9D"/>
    <w:rsid w:val="00C2134F"/>
    <w:rsid w:val="00C2320C"/>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850"/>
    <w:rsid w:val="00CB5A1A"/>
    <w:rsid w:val="00CC59E6"/>
    <w:rsid w:val="00CD08F4"/>
    <w:rsid w:val="00CD5BDD"/>
    <w:rsid w:val="00CF096B"/>
    <w:rsid w:val="00CF10F7"/>
    <w:rsid w:val="00CF5EE3"/>
    <w:rsid w:val="00CF691F"/>
    <w:rsid w:val="00D00D99"/>
    <w:rsid w:val="00D013A4"/>
    <w:rsid w:val="00D026DC"/>
    <w:rsid w:val="00D15595"/>
    <w:rsid w:val="00D343A8"/>
    <w:rsid w:val="00D36993"/>
    <w:rsid w:val="00D37832"/>
    <w:rsid w:val="00D44860"/>
    <w:rsid w:val="00D47689"/>
    <w:rsid w:val="00D50C42"/>
    <w:rsid w:val="00D57CF5"/>
    <w:rsid w:val="00D612BC"/>
    <w:rsid w:val="00D62F98"/>
    <w:rsid w:val="00D638B8"/>
    <w:rsid w:val="00D66FD6"/>
    <w:rsid w:val="00D8285B"/>
    <w:rsid w:val="00D862EB"/>
    <w:rsid w:val="00D86619"/>
    <w:rsid w:val="00D93E7C"/>
    <w:rsid w:val="00D97D18"/>
    <w:rsid w:val="00DA483C"/>
    <w:rsid w:val="00DB2BE6"/>
    <w:rsid w:val="00DB76B3"/>
    <w:rsid w:val="00DB7999"/>
    <w:rsid w:val="00DC5BF1"/>
    <w:rsid w:val="00DD1052"/>
    <w:rsid w:val="00DD3C7B"/>
    <w:rsid w:val="00DE2B21"/>
    <w:rsid w:val="00DE48DE"/>
    <w:rsid w:val="00DF25F2"/>
    <w:rsid w:val="00DF4166"/>
    <w:rsid w:val="00E000F4"/>
    <w:rsid w:val="00E01231"/>
    <w:rsid w:val="00E04279"/>
    <w:rsid w:val="00E11393"/>
    <w:rsid w:val="00E125D9"/>
    <w:rsid w:val="00E16A1A"/>
    <w:rsid w:val="00E16D30"/>
    <w:rsid w:val="00E31E69"/>
    <w:rsid w:val="00E33169"/>
    <w:rsid w:val="00E34A7B"/>
    <w:rsid w:val="00E40973"/>
    <w:rsid w:val="00E545FF"/>
    <w:rsid w:val="00E6080E"/>
    <w:rsid w:val="00E64168"/>
    <w:rsid w:val="00E655B3"/>
    <w:rsid w:val="00E7081D"/>
    <w:rsid w:val="00E70904"/>
    <w:rsid w:val="00E71319"/>
    <w:rsid w:val="00E75171"/>
    <w:rsid w:val="00E770B5"/>
    <w:rsid w:val="00E804B0"/>
    <w:rsid w:val="00E86772"/>
    <w:rsid w:val="00E90B8B"/>
    <w:rsid w:val="00E93ADD"/>
    <w:rsid w:val="00E952D8"/>
    <w:rsid w:val="00EA6D69"/>
    <w:rsid w:val="00EB00E4"/>
    <w:rsid w:val="00EB28DA"/>
    <w:rsid w:val="00EB3812"/>
    <w:rsid w:val="00EB44EB"/>
    <w:rsid w:val="00EB66B8"/>
    <w:rsid w:val="00EB791E"/>
    <w:rsid w:val="00EC70A9"/>
    <w:rsid w:val="00ED1364"/>
    <w:rsid w:val="00ED4C3A"/>
    <w:rsid w:val="00EE1C85"/>
    <w:rsid w:val="00EE42A3"/>
    <w:rsid w:val="00EF21D9"/>
    <w:rsid w:val="00EF2A94"/>
    <w:rsid w:val="00EF32FB"/>
    <w:rsid w:val="00EF44B1"/>
    <w:rsid w:val="00EF4865"/>
    <w:rsid w:val="00EF5954"/>
    <w:rsid w:val="00F100D2"/>
    <w:rsid w:val="00F12942"/>
    <w:rsid w:val="00F13C41"/>
    <w:rsid w:val="00F14886"/>
    <w:rsid w:val="00F16421"/>
    <w:rsid w:val="00F201EE"/>
    <w:rsid w:val="00F2718D"/>
    <w:rsid w:val="00F35AA0"/>
    <w:rsid w:val="00F37CD2"/>
    <w:rsid w:val="00F43C49"/>
    <w:rsid w:val="00F45C12"/>
    <w:rsid w:val="00F544A2"/>
    <w:rsid w:val="00F668B3"/>
    <w:rsid w:val="00F66C89"/>
    <w:rsid w:val="00F70CAF"/>
    <w:rsid w:val="00F73D03"/>
    <w:rsid w:val="00F76CB9"/>
    <w:rsid w:val="00F77A73"/>
    <w:rsid w:val="00F80E46"/>
    <w:rsid w:val="00F81C8D"/>
    <w:rsid w:val="00F96236"/>
    <w:rsid w:val="00FA10CE"/>
    <w:rsid w:val="00FA222F"/>
    <w:rsid w:val="00FA2891"/>
    <w:rsid w:val="00FB693D"/>
    <w:rsid w:val="00FB7768"/>
    <w:rsid w:val="00FC00E8"/>
    <w:rsid w:val="00FC6E56"/>
    <w:rsid w:val="00FC7489"/>
    <w:rsid w:val="00FD1BA8"/>
    <w:rsid w:val="00FD218F"/>
    <w:rsid w:val="00FD5663"/>
    <w:rsid w:val="00FD56C6"/>
    <w:rsid w:val="00FE3221"/>
    <w:rsid w:val="00FE48EA"/>
    <w:rsid w:val="00FE571F"/>
    <w:rsid w:val="00FF47F6"/>
    <w:rsid w:val="016E63C2"/>
    <w:rsid w:val="024B0C39"/>
    <w:rsid w:val="03C8118C"/>
    <w:rsid w:val="0A8128A6"/>
    <w:rsid w:val="0BF32A1B"/>
    <w:rsid w:val="0ECF0F80"/>
    <w:rsid w:val="10BD2C22"/>
    <w:rsid w:val="1C744D56"/>
    <w:rsid w:val="22987C80"/>
    <w:rsid w:val="24192CCC"/>
    <w:rsid w:val="25AB17E9"/>
    <w:rsid w:val="31F14A27"/>
    <w:rsid w:val="34D523DE"/>
    <w:rsid w:val="39A66CD4"/>
    <w:rsid w:val="3CD52CE1"/>
    <w:rsid w:val="410F2E6A"/>
    <w:rsid w:val="4430136C"/>
    <w:rsid w:val="4AB0382B"/>
    <w:rsid w:val="569868B5"/>
    <w:rsid w:val="611F6817"/>
    <w:rsid w:val="66CA1754"/>
    <w:rsid w:val="6A162576"/>
    <w:rsid w:val="6F1E65D4"/>
    <w:rsid w:val="6F266C86"/>
    <w:rsid w:val="6F5042C2"/>
    <w:rsid w:val="74316312"/>
    <w:rsid w:val="780F13C8"/>
    <w:rsid w:val="7C385448"/>
    <w:rsid w:val="7CB3663D"/>
    <w:rsid w:val="7D456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Calibri" w:hAnsi="Calibri" w:cs="Times New Roman"/>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customStyle="1" w:styleId="12">
    <w:name w:val="页眉 字符"/>
    <w:link w:val="6"/>
    <w:semiHidden/>
    <w:qFormat/>
    <w:uiPriority w:val="99"/>
    <w:rPr>
      <w:sz w:val="18"/>
      <w:szCs w:val="18"/>
    </w:rPr>
  </w:style>
  <w:style w:type="character" w:customStyle="1" w:styleId="13">
    <w:name w:val="页脚 字符"/>
    <w:link w:val="5"/>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customStyle="1" w:styleId="16">
    <w:name w:val="列出段落"/>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25" w:beforeAutospacing="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link w:val="2"/>
    <w:uiPriority w:val="9"/>
    <w:rPr>
      <w:rFonts w:ascii="Calibri" w:hAnsi="Calibri" w:eastAsia="宋体" w:cs="Times New Roman"/>
      <w:b/>
      <w:bCs/>
      <w:kern w:val="44"/>
      <w:sz w:val="44"/>
      <w:szCs w:val="44"/>
    </w:rPr>
  </w:style>
  <w:style w:type="character" w:customStyle="1" w:styleId="21">
    <w:name w:val="批注文字 字符"/>
    <w:link w:val="3"/>
    <w:uiPriority w:val="99"/>
    <w:rPr>
      <w:rFonts w:ascii="Times New Roman" w:hAnsi="Times New Roman" w:eastAsia="宋体" w:cs="Times New Roman"/>
      <w:kern w:val="2"/>
      <w:sz w:val="21"/>
      <w:szCs w:val="24"/>
    </w:rPr>
  </w:style>
  <w:style w:type="character" w:customStyle="1" w:styleId="22">
    <w:name w:val="editor-text-node"/>
    <w:basedOn w:val="10"/>
    <w:uiPriority w:val="0"/>
  </w:style>
  <w:style w:type="character" w:styleId="23">
    <w:name w:val="Placeholder Text"/>
    <w:unhideWhenUsed/>
    <w:uiPriority w:val="99"/>
    <w:rPr>
      <w:color w:val="808080"/>
    </w:rPr>
  </w:style>
  <w:style w:type="character" w:customStyle="1" w:styleId="24">
    <w:name w:val="批注框文本 字符"/>
    <w:link w:val="4"/>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7D948-BA1E-46AC-825A-97B84CD90141}">
  <ds:schemaRefs/>
</ds:datastoreItem>
</file>

<file path=docProps/app.xml><?xml version="1.0" encoding="utf-8"?>
<Properties xmlns="http://schemas.openxmlformats.org/officeDocument/2006/extended-properties" xmlns:vt="http://schemas.openxmlformats.org/officeDocument/2006/docPropsVTypes">
  <Template>Normal</Template>
  <Pages>11</Pages>
  <Words>2032</Words>
  <Characters>2159</Characters>
  <Lines>69</Lines>
  <Paragraphs>19</Paragraphs>
  <TotalTime>0</TotalTime>
  <ScaleCrop>false</ScaleCrop>
  <LinksUpToDate>false</LinksUpToDate>
  <CharactersWithSpaces>2416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2025-02-23T11:34:00Z</dcterms:created>
  <dc:creator>juvg</dc:creator>
  <cp:lastModifiedBy>归晚.</cp:lastModifiedBy>
  <cp:lastPrinted>2025-02-23T11:32:00Z</cp:lastPrinted>
  <dcterms:modified xsi:type="dcterms:W3CDTF">2025-03-19T07:08:44Z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eyJoZGlkIjoiOGYyZTQwNzY0YmUwZjVjNTE5NzMzOGJiOTgwZmM0NTEiLCJ1c2VySWQiOiI1NTQ0NjQ5MzAifQ==</vt:lpwstr>
  </property>
  <property fmtid="{D5CDD505-2E9C-101B-9397-08002B2CF9AE}" pid="4" name="ICV">
    <vt:lpwstr>4DFBD9CBD7744D0A830FAF9A7FE659A9_12</vt:lpwstr>
  </property>
</Properties>
</file>