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F1B2B">
      <w:pPr>
        <w:jc w:val="center"/>
        <w:rPr>
          <w:rFonts w:ascii="黑体" w:hAnsi="黑体" w:eastAsia="黑体"/>
          <w:bCs/>
          <w:sz w:val="32"/>
          <w:szCs w:val="32"/>
        </w:rPr>
      </w:pPr>
      <w:r>
        <w:rPr>
          <w:rFonts w:hint="eastAsia" w:ascii="黑体" w:hAnsi="黑体" w:eastAsia="黑体"/>
          <w:bCs/>
          <w:sz w:val="32"/>
          <w:szCs w:val="32"/>
        </w:rPr>
        <w:t>《康复护理学》本科课程教学大纲</w:t>
      </w:r>
    </w:p>
    <w:p w14:paraId="65992A28">
      <w:pPr>
        <w:pStyle w:val="19"/>
        <w:spacing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559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8640D5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378AFC6">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（中文）康复护理学</w:t>
            </w:r>
          </w:p>
        </w:tc>
      </w:tr>
      <w:tr w14:paraId="441F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E82F458">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226316E">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（英文）Rehabilitation Nursing</w:t>
            </w:r>
          </w:p>
        </w:tc>
      </w:tr>
      <w:tr w14:paraId="5F7B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8927A6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6B7B12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1170019</w:t>
            </w:r>
          </w:p>
        </w:tc>
        <w:tc>
          <w:tcPr>
            <w:tcW w:w="2126" w:type="dxa"/>
            <w:gridSpan w:val="2"/>
            <w:vAlign w:val="center"/>
          </w:tcPr>
          <w:p w14:paraId="0D41FCF4">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51E966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38E1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F7BD25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3B86D05">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03B4D5F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60AA4AC">
            <w:pPr>
              <w:widowControl w:val="0"/>
              <w:jc w:val="center"/>
              <w:rPr>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24</w:t>
            </w:r>
          </w:p>
        </w:tc>
        <w:tc>
          <w:tcPr>
            <w:tcW w:w="1413" w:type="dxa"/>
            <w:gridSpan w:val="2"/>
            <w:vAlign w:val="center"/>
          </w:tcPr>
          <w:p w14:paraId="620F942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F71C40A">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8</w:t>
            </w:r>
          </w:p>
        </w:tc>
      </w:tr>
      <w:tr w14:paraId="7777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3606FA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04FA52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66658DC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8D7045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护理学，专升本</w:t>
            </w:r>
            <w:r>
              <w:rPr>
                <w:color w:val="000000" w:themeColor="text1"/>
                <w:sz w:val="21"/>
                <w:szCs w:val="21"/>
                <w14:textFill>
                  <w14:solidFill>
                    <w14:schemeClr w14:val="tx1"/>
                  </w14:solidFill>
                </w14:textFill>
              </w:rPr>
              <w:t xml:space="preserve"> </w:t>
            </w:r>
          </w:p>
        </w:tc>
      </w:tr>
      <w:tr w14:paraId="42AD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EC0DDC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7B7A7E6">
            <w:pPr>
              <w:widowControl w:val="0"/>
              <w:jc w:val="center"/>
              <w:rPr>
                <w:color w:val="000000" w:themeColor="text1"/>
                <w:sz w:val="21"/>
                <w:szCs w:val="21"/>
                <w14:textFill>
                  <w14:solidFill>
                    <w14:schemeClr w14:val="tx1"/>
                  </w14:solidFill>
                </w14:textFill>
              </w:rPr>
            </w:pPr>
            <w:r>
              <w:rPr>
                <w:rFonts w:hint="eastAsia"/>
                <w:color w:val="000000"/>
                <w:sz w:val="20"/>
                <w:szCs w:val="20"/>
              </w:rPr>
              <w:t>专业必修课</w:t>
            </w:r>
          </w:p>
        </w:tc>
        <w:tc>
          <w:tcPr>
            <w:tcW w:w="2126" w:type="dxa"/>
            <w:gridSpan w:val="2"/>
            <w:vAlign w:val="center"/>
          </w:tcPr>
          <w:p w14:paraId="3FEE5F4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87D3BD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0318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C0A027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3FE7C9F">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《康复护理学》主编</w:t>
            </w:r>
            <w:r>
              <w:rPr>
                <w:color w:val="000000"/>
                <w:sz w:val="20"/>
                <w:szCs w:val="20"/>
              </w:rPr>
              <w:t xml:space="preserve"> </w:t>
            </w:r>
            <w:r>
              <w:rPr>
                <w:rFonts w:hint="eastAsia"/>
                <w:color w:val="000000"/>
                <w:sz w:val="20"/>
                <w:szCs w:val="20"/>
              </w:rPr>
              <w:t>刘楠 李卡I</w:t>
            </w:r>
            <w:r>
              <w:rPr>
                <w:color w:val="000000"/>
                <w:sz w:val="20"/>
                <w:szCs w:val="20"/>
              </w:rPr>
              <w:t>SBN9787117</w:t>
            </w:r>
            <w:r>
              <w:rPr>
                <w:rFonts w:hint="eastAsia"/>
                <w:color w:val="000000"/>
                <w:sz w:val="20"/>
                <w:szCs w:val="20"/>
              </w:rPr>
              <w:t>331883</w:t>
            </w:r>
            <w:r>
              <w:rPr>
                <w:color w:val="000000"/>
                <w:sz w:val="20"/>
                <w:szCs w:val="20"/>
              </w:rPr>
              <w:t xml:space="preserve">  </w:t>
            </w:r>
            <w:r>
              <w:rPr>
                <w:rFonts w:hint="eastAsia"/>
                <w:color w:val="000000"/>
                <w:sz w:val="20"/>
                <w:szCs w:val="20"/>
              </w:rPr>
              <w:t>人民卫生出版社</w:t>
            </w:r>
            <w:r>
              <w:rPr>
                <w:color w:val="000000"/>
                <w:sz w:val="20"/>
                <w:szCs w:val="20"/>
              </w:rPr>
              <w:t xml:space="preserve"> </w:t>
            </w:r>
            <w:r>
              <w:rPr>
                <w:rFonts w:hint="eastAsia"/>
                <w:color w:val="000000"/>
                <w:sz w:val="20"/>
                <w:szCs w:val="20"/>
              </w:rPr>
              <w:t>第五版</w:t>
            </w:r>
          </w:p>
        </w:tc>
        <w:tc>
          <w:tcPr>
            <w:tcW w:w="1413" w:type="dxa"/>
            <w:gridSpan w:val="2"/>
            <w:vAlign w:val="center"/>
          </w:tcPr>
          <w:p w14:paraId="7280198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971C4F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6111176">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F49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D4229D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9E80390">
            <w:pPr>
              <w:pStyle w:val="17"/>
              <w:widowControl w:val="0"/>
              <w:jc w:val="both"/>
            </w:pPr>
            <w:r>
              <w:rPr>
                <w:rFonts w:hint="eastAsia"/>
                <w:sz w:val="20"/>
                <w:szCs w:val="20"/>
              </w:rPr>
              <w:t>人体解剖学2</w:t>
            </w:r>
            <w:r>
              <w:rPr>
                <w:sz w:val="20"/>
                <w:szCs w:val="20"/>
              </w:rPr>
              <w:t>070001</w:t>
            </w:r>
            <w:r>
              <w:rPr>
                <w:rFonts w:hint="eastAsia"/>
                <w:sz w:val="20"/>
                <w:szCs w:val="20"/>
              </w:rPr>
              <w:t>（6）、组织组织胚胎学2</w:t>
            </w:r>
            <w:r>
              <w:rPr>
                <w:sz w:val="20"/>
                <w:szCs w:val="20"/>
              </w:rPr>
              <w:t>070002</w:t>
            </w:r>
            <w:r>
              <w:rPr>
                <w:rFonts w:hint="eastAsia"/>
                <w:sz w:val="20"/>
                <w:szCs w:val="20"/>
              </w:rPr>
              <w:t>（2）、生理学2</w:t>
            </w:r>
            <w:r>
              <w:rPr>
                <w:sz w:val="20"/>
                <w:szCs w:val="20"/>
              </w:rPr>
              <w:t>070003</w:t>
            </w:r>
            <w:r>
              <w:rPr>
                <w:rFonts w:hint="eastAsia"/>
                <w:sz w:val="20"/>
                <w:szCs w:val="20"/>
              </w:rPr>
              <w:t>（4）、病理学与病理生理学2</w:t>
            </w:r>
            <w:r>
              <w:rPr>
                <w:sz w:val="20"/>
                <w:szCs w:val="20"/>
              </w:rPr>
              <w:t>070005</w:t>
            </w:r>
            <w:r>
              <w:rPr>
                <w:rFonts w:hint="eastAsia"/>
                <w:sz w:val="20"/>
                <w:szCs w:val="20"/>
              </w:rPr>
              <w:t>（3）、药理学2</w:t>
            </w:r>
            <w:r>
              <w:rPr>
                <w:sz w:val="20"/>
                <w:szCs w:val="20"/>
              </w:rPr>
              <w:t>070006</w:t>
            </w:r>
            <w:r>
              <w:rPr>
                <w:rFonts w:hint="eastAsia"/>
                <w:sz w:val="20"/>
                <w:szCs w:val="20"/>
              </w:rPr>
              <w:t>（3）、健康评估2</w:t>
            </w:r>
            <w:r>
              <w:rPr>
                <w:sz w:val="20"/>
                <w:szCs w:val="20"/>
              </w:rPr>
              <w:t>070017</w:t>
            </w:r>
            <w:r>
              <w:rPr>
                <w:rFonts w:hint="eastAsia"/>
                <w:sz w:val="20"/>
                <w:szCs w:val="20"/>
              </w:rPr>
              <w:t>（4）、基础护理学</w:t>
            </w:r>
            <w:r>
              <w:rPr>
                <w:sz w:val="20"/>
                <w:szCs w:val="20"/>
              </w:rPr>
              <w:t>1 2070018</w:t>
            </w:r>
            <w:r>
              <w:rPr>
                <w:rFonts w:hint="eastAsia"/>
                <w:sz w:val="20"/>
                <w:szCs w:val="20"/>
              </w:rPr>
              <w:t>（4）、基础护理2</w:t>
            </w:r>
            <w:r>
              <w:rPr>
                <w:sz w:val="20"/>
                <w:szCs w:val="20"/>
              </w:rPr>
              <w:t>2070019</w:t>
            </w:r>
            <w:r>
              <w:rPr>
                <w:rFonts w:hint="eastAsia"/>
                <w:sz w:val="20"/>
                <w:szCs w:val="20"/>
              </w:rPr>
              <w:t>（4）、外科护理学2070022（6）、</w:t>
            </w:r>
            <w:r>
              <w:rPr>
                <w:sz w:val="20"/>
                <w:szCs w:val="20"/>
              </w:rPr>
              <w:t xml:space="preserve"> 内科护理学</w:t>
            </w:r>
            <w:r>
              <w:rPr>
                <w:rFonts w:hint="eastAsia"/>
                <w:sz w:val="20"/>
                <w:szCs w:val="20"/>
              </w:rPr>
              <w:t>2070021(6)、</w:t>
            </w:r>
            <w:r>
              <w:rPr>
                <w:sz w:val="20"/>
                <w:szCs w:val="20"/>
              </w:rPr>
              <w:t>急危重症护理学</w:t>
            </w:r>
            <w:r>
              <w:rPr>
                <w:rFonts w:hint="eastAsia"/>
                <w:sz w:val="20"/>
                <w:szCs w:val="20"/>
              </w:rPr>
              <w:t>2070025（2）等</w:t>
            </w:r>
          </w:p>
        </w:tc>
      </w:tr>
      <w:tr w14:paraId="47FC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0" w:hRule="atLeast"/>
        </w:trPr>
        <w:tc>
          <w:tcPr>
            <w:tcW w:w="1691" w:type="dxa"/>
            <w:tcBorders>
              <w:left w:val="single" w:color="auto" w:sz="12" w:space="0"/>
            </w:tcBorders>
            <w:shd w:val="clear" w:color="auto" w:fill="auto"/>
            <w:vAlign w:val="center"/>
          </w:tcPr>
          <w:p w14:paraId="5890B47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4F0B703">
            <w:pPr>
              <w:widowControl w:val="0"/>
              <w:snapToGrid w:val="0"/>
              <w:spacing w:line="288" w:lineRule="auto"/>
              <w:ind w:firstLine="400" w:firstLineChars="200"/>
              <w:jc w:val="both"/>
              <w:rPr>
                <w:color w:val="000000"/>
                <w:sz w:val="20"/>
                <w:szCs w:val="20"/>
              </w:rPr>
            </w:pPr>
            <w:r>
              <w:rPr>
                <w:rFonts w:hint="eastAsia"/>
                <w:color w:val="000000"/>
                <w:sz w:val="20"/>
                <w:szCs w:val="20"/>
              </w:rPr>
              <w:t>《康复护理学》是康复医学的基本内容之一，是在总的康复医疗计划实施过程中，为达到躯体的精神的社会的和职业的全面康复的目的，紧密配合康复意识和其它康复专业人员，对康复对象进行的除基础护理以外的功能促进护理。康复护理有别于一般临床护理的自身特点，其护理对象主要是残疾人、老年人、老年病和慢性病者。护理目的是使残疾者的残存功能和能力得到最大限度的改善，重建患者身心平衡，最大限度地恢复其生活的能力。康复护理在临床护理学中占有重要的地位，护理人员可运用所学的理论知识为患者实施整体护理。主要介绍康复护理学的有关概念，常见功能障碍的康复护理，神经系统疾病的康复护理，运动系统疾病的康复护理，其他相关疾病的康复护理等问题，总结和探索康复护理理论、知识和技能，维护和促进残疾人、老年人、老年病和慢性病者的健康状态，提高残疾人、老年人、老年病和慢性病者的生命质量。</w:t>
            </w:r>
          </w:p>
          <w:p w14:paraId="161336EA">
            <w:pPr>
              <w:widowControl w:val="0"/>
              <w:snapToGrid w:val="0"/>
              <w:spacing w:line="288" w:lineRule="auto"/>
              <w:ind w:firstLine="400" w:firstLineChars="200"/>
              <w:jc w:val="both"/>
              <w:rPr>
                <w:color w:val="000000"/>
                <w:sz w:val="20"/>
                <w:szCs w:val="20"/>
              </w:rPr>
            </w:pPr>
            <w:r>
              <w:rPr>
                <w:rFonts w:hint="eastAsia"/>
                <w:color w:val="000000"/>
                <w:sz w:val="20"/>
                <w:szCs w:val="20"/>
              </w:rPr>
              <w:t>本课程可通过以理论讲授为主、辅以课堂讨论、多媒体、社区实践和临床实训等方式教学，充分利用教学资源，调动学生的学习积极性。让护理专业的学生能够认识到当前学习康复护理学基础的重要性和必要性，并重视康复护理学基础的研究，根据残疾人、老年人、老年病和慢性病者等个性化、多样化的需求，为残疾人、老年人、老年病和慢性病者提供专业化、规范化、普及化和优质化的护理服务，以提高和增强学生的实际动手能力和良好职业素质。</w:t>
            </w:r>
          </w:p>
          <w:p w14:paraId="701CE641">
            <w:pPr>
              <w:widowControl w:val="0"/>
              <w:snapToGrid w:val="0"/>
              <w:spacing w:line="288" w:lineRule="auto"/>
              <w:ind w:firstLine="400" w:firstLineChars="200"/>
              <w:jc w:val="both"/>
              <w:rPr>
                <w:color w:val="000000"/>
                <w:szCs w:val="21"/>
              </w:rPr>
            </w:pPr>
            <w:r>
              <w:rPr>
                <w:rFonts w:hint="eastAsia"/>
                <w:color w:val="000000"/>
                <w:sz w:val="20"/>
                <w:szCs w:val="20"/>
              </w:rPr>
              <w:t>通过本课程的学习，使学生知晓康复医学康复护理在整个医疗护理过程中的重要性，掌握康复护理的工作内容、康复护理基本技术；熟悉康复医学的基本知识、常用康复治疗技术；了解康复工程、各类康复治疗的原理。</w:t>
            </w:r>
          </w:p>
        </w:tc>
      </w:tr>
      <w:tr w14:paraId="33ED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0" w:hRule="atLeast"/>
        </w:trPr>
        <w:tc>
          <w:tcPr>
            <w:tcW w:w="1691" w:type="dxa"/>
            <w:tcBorders>
              <w:left w:val="single" w:color="auto" w:sz="12" w:space="0"/>
              <w:bottom w:val="double" w:color="auto" w:sz="4" w:space="0"/>
            </w:tcBorders>
            <w:shd w:val="clear" w:color="auto" w:fill="auto"/>
            <w:vAlign w:val="center"/>
          </w:tcPr>
          <w:p w14:paraId="02B1B56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E73C1E9">
            <w:pPr>
              <w:widowControl w:val="0"/>
              <w:ind w:firstLine="400" w:firstLineChars="200"/>
              <w:jc w:val="both"/>
              <w:rPr>
                <w:color w:val="000000"/>
                <w:sz w:val="20"/>
                <w:szCs w:val="20"/>
              </w:rPr>
            </w:pPr>
            <w:r>
              <w:rPr>
                <w:rFonts w:hint="eastAsia"/>
                <w:color w:val="000000"/>
                <w:sz w:val="20"/>
                <w:szCs w:val="20"/>
              </w:rPr>
              <w:t>进入21世纪，康复护理事业以令人瞩目的速度发展。危重患者的抢救成功率明显提高，人口老龄化、意外伤残的不断增加，人们对健康的认识和要求的变化，对康复护理工作的需求日益增加。为了促进护理学科的发展，为了维护和促进残疾人、老年人、老年病和慢性病者的健康状态，提高残疾人、老年人、老年病和慢性病者的生命质量。康复护理已成为护理领域的一个重要课题。本课程是目前护理专业培养的需要。</w:t>
            </w:r>
          </w:p>
          <w:p w14:paraId="63BC3967">
            <w:pPr>
              <w:widowControl w:val="0"/>
              <w:snapToGrid w:val="0"/>
              <w:spacing w:line="288" w:lineRule="auto"/>
              <w:ind w:firstLine="400" w:firstLineChars="200"/>
              <w:jc w:val="both"/>
              <w:rPr>
                <w:color w:val="000000"/>
                <w:sz w:val="20"/>
                <w:szCs w:val="20"/>
              </w:rPr>
            </w:pPr>
          </w:p>
        </w:tc>
      </w:tr>
      <w:tr w14:paraId="15E0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777D396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FA2FC08">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59264" behindDoc="0" locked="0" layoutInCell="1" allowOverlap="1">
                  <wp:simplePos x="0" y="0"/>
                  <wp:positionH relativeFrom="column">
                    <wp:posOffset>73025</wp:posOffset>
                  </wp:positionH>
                  <wp:positionV relativeFrom="paragraph">
                    <wp:posOffset>62230</wp:posOffset>
                  </wp:positionV>
                  <wp:extent cx="457200" cy="285750"/>
                  <wp:effectExtent l="19050" t="0" r="0" b="0"/>
                  <wp:wrapSquare wrapText="bothSides"/>
                  <wp:docPr id="1" name="图片 0" descr="自己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自己签名.jpg"/>
                          <pic:cNvPicPr>
                            <a:picLocks noChangeAspect="1"/>
                          </pic:cNvPicPr>
                        </pic:nvPicPr>
                        <pic:blipFill>
                          <a:blip r:embed="rId5" cstate="print"/>
                          <a:stretch>
                            <a:fillRect/>
                          </a:stretch>
                        </pic:blipFill>
                        <pic:spPr>
                          <a:xfrm>
                            <a:off x="0" y="0"/>
                            <a:ext cx="457200" cy="285750"/>
                          </a:xfrm>
                          <a:prstGeom prst="rect">
                            <a:avLst/>
                          </a:prstGeom>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22B7054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3115293">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4</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8</w:t>
            </w:r>
          </w:p>
        </w:tc>
      </w:tr>
      <w:tr w14:paraId="46AF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5E8216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A3ED600">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07060" cy="330835"/>
                  <wp:effectExtent l="0" t="0" r="2540" b="12065"/>
                  <wp:docPr id="3" name="图片 3" descr="a7785b6b311f3ed840082f25802e9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7785b6b311f3ed840082f25802e9b7"/>
                          <pic:cNvPicPr>
                            <a:picLocks noChangeAspect="1"/>
                          </pic:cNvPicPr>
                        </pic:nvPicPr>
                        <pic:blipFill>
                          <a:blip r:embed="rId6"/>
                          <a:stretch>
                            <a:fillRect/>
                          </a:stretch>
                        </pic:blipFill>
                        <pic:spPr>
                          <a:xfrm>
                            <a:off x="0" y="0"/>
                            <a:ext cx="607060" cy="330835"/>
                          </a:xfrm>
                          <a:prstGeom prst="rect">
                            <a:avLst/>
                          </a:prstGeom>
                        </pic:spPr>
                      </pic:pic>
                    </a:graphicData>
                  </a:graphic>
                </wp:inline>
              </w:drawing>
            </w:r>
            <w:r>
              <w:rPr>
                <w:rFonts w:hint="eastAsia"/>
                <w:sz w:val="21"/>
                <w:szCs w:val="21"/>
                <w:lang w:val="en-US" w:eastAsia="zh-CN"/>
              </w:rPr>
              <w:t xml:space="preserve">              </w:t>
            </w:r>
            <w:r>
              <w:rPr>
                <w:rFonts w:hint="eastAsia"/>
                <w:sz w:val="21"/>
                <w:szCs w:val="21"/>
              </w:rPr>
              <w:t>（签名）</w:t>
            </w:r>
          </w:p>
        </w:tc>
        <w:tc>
          <w:tcPr>
            <w:tcW w:w="1425" w:type="dxa"/>
            <w:gridSpan w:val="2"/>
            <w:vAlign w:val="center"/>
          </w:tcPr>
          <w:p w14:paraId="46A4687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3DFC781">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4</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8</w:t>
            </w:r>
          </w:p>
        </w:tc>
      </w:tr>
      <w:tr w14:paraId="5D17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D954EC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7DA296E">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6D834FF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95B8A28">
            <w:pPr>
              <w:widowControl w:val="0"/>
              <w:jc w:val="center"/>
              <w:rPr>
                <w:rFonts w:ascii="Times New Roman" w:hAnsi="Times New Roman"/>
                <w:color w:val="000000"/>
                <w:sz w:val="21"/>
                <w:szCs w:val="21"/>
              </w:rPr>
            </w:pPr>
          </w:p>
        </w:tc>
      </w:tr>
    </w:tbl>
    <w:p w14:paraId="53B72953">
      <w:pPr>
        <w:spacing w:line="100" w:lineRule="exact"/>
        <w:rPr>
          <w:rFonts w:ascii="Arial" w:hAnsi="Arial" w:eastAsia="黑体"/>
        </w:rPr>
      </w:pPr>
      <w:bookmarkStart w:id="6" w:name="_GoBack"/>
      <w:bookmarkEnd w:id="6"/>
      <w:r>
        <w:br w:type="page"/>
      </w:r>
    </w:p>
    <w:p w14:paraId="3666FDE0">
      <w:pPr>
        <w:pStyle w:val="19"/>
        <w:spacing w:beforeLines="100" w:line="360" w:lineRule="auto"/>
        <w:rPr>
          <w:rFonts w:ascii="黑体" w:hAnsi="宋体"/>
        </w:rPr>
      </w:pPr>
      <w:r>
        <w:rPr>
          <w:rFonts w:hint="eastAsia" w:ascii="黑体" w:hAnsi="宋体"/>
        </w:rPr>
        <w:t>二、课程目标与毕业要求</w:t>
      </w:r>
    </w:p>
    <w:p w14:paraId="4F49966A">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59EDC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637A1772">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20A210F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5952BDE9">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3D5D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7625602">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5F98273D">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4F03D6A2">
            <w:pPr>
              <w:pStyle w:val="17"/>
              <w:jc w:val="left"/>
              <w:rPr>
                <w:rFonts w:ascii="宋体" w:hAnsi="宋体"/>
                <w:bCs/>
              </w:rPr>
            </w:pPr>
            <w:r>
              <w:rPr>
                <w:rFonts w:hint="eastAsia" w:ascii="宋体" w:hAnsi="宋体"/>
                <w:sz w:val="20"/>
                <w:szCs w:val="20"/>
              </w:rPr>
              <w:t>熟记康复护理学理论基础、康复功能评定方法及康复护理评定的相关理论知识。</w:t>
            </w:r>
          </w:p>
        </w:tc>
      </w:tr>
      <w:tr w14:paraId="0FC2B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EA1C09E">
            <w:pPr>
              <w:pStyle w:val="17"/>
              <w:rPr>
                <w:bCs/>
              </w:rPr>
            </w:pPr>
          </w:p>
        </w:tc>
        <w:tc>
          <w:tcPr>
            <w:tcW w:w="764" w:type="dxa"/>
            <w:shd w:val="clear" w:color="auto" w:fill="auto"/>
            <w:vAlign w:val="center"/>
          </w:tcPr>
          <w:p w14:paraId="38468D7C">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5729B7C3">
            <w:pPr>
              <w:pStyle w:val="17"/>
              <w:jc w:val="left"/>
              <w:rPr>
                <w:rFonts w:ascii="宋体" w:hAnsi="宋体"/>
                <w:bCs/>
              </w:rPr>
            </w:pPr>
            <w:r>
              <w:rPr>
                <w:rFonts w:hint="eastAsia" w:ascii="宋体" w:hAnsi="宋体"/>
                <w:sz w:val="20"/>
                <w:szCs w:val="20"/>
              </w:rPr>
              <w:t>说出常见疾病的康复护理技术。</w:t>
            </w:r>
          </w:p>
        </w:tc>
      </w:tr>
      <w:tr w14:paraId="2837D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9BA533B">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298B9D2C">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00FBC871">
            <w:pPr>
              <w:pStyle w:val="17"/>
              <w:jc w:val="left"/>
              <w:rPr>
                <w:rFonts w:ascii="宋体" w:hAnsi="宋体"/>
                <w:bCs/>
              </w:rPr>
            </w:pPr>
            <w:r>
              <w:rPr>
                <w:rFonts w:hint="eastAsia" w:ascii="宋体" w:hAnsi="宋体"/>
                <w:sz w:val="20"/>
                <w:szCs w:val="20"/>
              </w:rPr>
              <w:t>具有康复护理基本技术，和具有配合医生或康复治疗师实施常用诊疗技术的能力，如物理治疗、作业治疗、言语治疗。</w:t>
            </w:r>
          </w:p>
        </w:tc>
      </w:tr>
      <w:tr w14:paraId="683FD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510C125">
            <w:pPr>
              <w:pStyle w:val="17"/>
              <w:rPr>
                <w:rFonts w:ascii="宋体" w:hAnsi="宋体"/>
              </w:rPr>
            </w:pPr>
          </w:p>
        </w:tc>
        <w:tc>
          <w:tcPr>
            <w:tcW w:w="764" w:type="dxa"/>
            <w:shd w:val="clear" w:color="auto" w:fill="auto"/>
            <w:vAlign w:val="center"/>
          </w:tcPr>
          <w:p w14:paraId="5029405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B2E71A4">
            <w:pPr>
              <w:pStyle w:val="17"/>
              <w:jc w:val="left"/>
              <w:rPr>
                <w:rFonts w:ascii="宋体" w:hAnsi="宋体"/>
                <w:bCs/>
              </w:rPr>
            </w:pPr>
            <w:r>
              <w:rPr>
                <w:rFonts w:hint="eastAsia" w:ascii="宋体" w:hAnsi="宋体"/>
                <w:sz w:val="20"/>
                <w:szCs w:val="20"/>
              </w:rPr>
              <w:t>具有运用多学科知识进行护理评估，制定护理计划并对护理对象实施康复护理的基本能力。</w:t>
            </w:r>
          </w:p>
        </w:tc>
      </w:tr>
      <w:tr w14:paraId="2076C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3E16C40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6EFA03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33C89B4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0186F4AF">
            <w:pPr>
              <w:pStyle w:val="17"/>
              <w:jc w:val="left"/>
              <w:rPr>
                <w:rFonts w:ascii="宋体" w:hAnsi="宋体"/>
                <w:bCs/>
              </w:rPr>
            </w:pPr>
            <w:r>
              <w:rPr>
                <w:rFonts w:hint="eastAsia" w:ascii="宋体" w:hAnsi="宋体"/>
                <w:sz w:val="20"/>
                <w:szCs w:val="20"/>
              </w:rPr>
              <w:t>培养学生助人为乐、富于爱心、懂得感恩的品质；建立学生具有服务医院、服务社会的意识；树立学生爱岗敬业、热爱专业、锤炼技能的职业精神。</w:t>
            </w:r>
          </w:p>
        </w:tc>
      </w:tr>
    </w:tbl>
    <w:p w14:paraId="4DF3078F">
      <w:pPr>
        <w:pStyle w:val="20"/>
        <w:spacing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1C8C420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ECE0D18">
            <w:pPr>
              <w:pStyle w:val="17"/>
              <w:widowControl w:val="0"/>
              <w:jc w:val="left"/>
              <w:rPr>
                <w:rFonts w:ascii="宋体" w:hAnsi="宋体"/>
                <w:sz w:val="20"/>
                <w:szCs w:val="20"/>
              </w:rPr>
            </w:pPr>
            <w:r>
              <w:rPr>
                <w:rFonts w:hint="eastAsia" w:ascii="宋体" w:hAnsi="宋体"/>
                <w:sz w:val="20"/>
                <w:szCs w:val="20"/>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A3A103C">
            <w:pPr>
              <w:pStyle w:val="17"/>
              <w:widowControl w:val="0"/>
              <w:jc w:val="left"/>
              <w:rPr>
                <w:rFonts w:ascii="宋体" w:hAnsi="宋体"/>
                <w:sz w:val="20"/>
                <w:szCs w:val="20"/>
              </w:rPr>
            </w:pPr>
            <w:r>
              <w:rPr>
                <w:rFonts w:hint="eastAsia" w:ascii="宋体" w:hAnsi="宋体"/>
                <w:sz w:val="20"/>
                <w:szCs w:val="20"/>
              </w:rPr>
              <w:t>⑤培养学生助人为乐、富于爱心、懂得感恩的品质；建立学生具有服务医院、服务社会的意识；树立学生爱岗敬业、热爱专业、锤炼技能的职业精神。M</w:t>
            </w:r>
          </w:p>
        </w:tc>
      </w:tr>
      <w:tr w14:paraId="2B7624E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B5EEEED">
            <w:pPr>
              <w:pStyle w:val="17"/>
              <w:widowControl w:val="0"/>
              <w:jc w:val="left"/>
              <w:rPr>
                <w:rFonts w:ascii="宋体" w:hAnsi="宋体"/>
                <w:sz w:val="20"/>
                <w:szCs w:val="20"/>
              </w:rPr>
            </w:pPr>
            <w:r>
              <w:rPr>
                <w:rFonts w:ascii="宋体" w:hAnsi="宋体"/>
                <w:sz w:val="20"/>
                <w:szCs w:val="20"/>
              </w:rPr>
              <w:t>LO2专业能力：具有人文科学素养，具备从事护理工作或专业的理论知识、实践能力。</w:t>
            </w:r>
          </w:p>
          <w:p w14:paraId="77196C72">
            <w:pPr>
              <w:pStyle w:val="17"/>
              <w:widowControl w:val="0"/>
              <w:jc w:val="left"/>
              <w:rPr>
                <w:rFonts w:ascii="宋体" w:hAnsi="宋体"/>
                <w:sz w:val="20"/>
                <w:szCs w:val="20"/>
              </w:rPr>
            </w:pPr>
            <w:r>
              <w:rPr>
                <w:rFonts w:hint="eastAsia" w:ascii="宋体" w:hAnsi="宋体"/>
                <w:sz w:val="20"/>
                <w:szCs w:val="20"/>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H</w:t>
            </w:r>
          </w:p>
        </w:tc>
      </w:tr>
      <w:tr w14:paraId="20AD009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B3992FD">
            <w:pPr>
              <w:pStyle w:val="17"/>
              <w:widowControl w:val="0"/>
              <w:jc w:val="left"/>
              <w:rPr>
                <w:rFonts w:ascii="宋体" w:hAnsi="宋体"/>
                <w:sz w:val="20"/>
                <w:szCs w:val="20"/>
              </w:rPr>
            </w:pPr>
            <w:r>
              <w:rPr>
                <w:rFonts w:ascii="宋体" w:hAnsi="宋体"/>
                <w:sz w:val="20"/>
                <w:szCs w:val="20"/>
              </w:rPr>
              <w:t>LO4自主学习：能根据环境需要确定自己的学习目标，并主动地通过搜集信息、分析信息、讨论、实践、质疑、创造等方法来实现学习目标。</w:t>
            </w:r>
          </w:p>
          <w:p w14:paraId="49BD2307">
            <w:pPr>
              <w:pStyle w:val="17"/>
              <w:widowControl w:val="0"/>
              <w:jc w:val="left"/>
              <w:rPr>
                <w:rFonts w:ascii="宋体" w:hAnsi="宋体"/>
                <w:sz w:val="20"/>
                <w:szCs w:val="20"/>
              </w:rPr>
            </w:pPr>
            <w:r>
              <w:rPr>
                <w:rFonts w:hint="eastAsia" w:ascii="宋体" w:hAnsi="宋体"/>
                <w:sz w:val="20"/>
                <w:szCs w:val="20"/>
              </w:rPr>
              <w:t>②能搜集、获取达到目标所需要的学习资源，实施学习计划、反思学习计划、持续改进，达到学习目标。L</w:t>
            </w:r>
          </w:p>
        </w:tc>
      </w:tr>
    </w:tbl>
    <w:p w14:paraId="4195C20D">
      <w:pPr>
        <w:pStyle w:val="20"/>
        <w:spacing w:beforeLines="50"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F1A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8AD4CA0">
            <w:pPr>
              <w:pStyle w:val="16"/>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D270D5A">
            <w:pPr>
              <w:pStyle w:val="16"/>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9A1A216">
            <w:pPr>
              <w:pStyle w:val="16"/>
              <w:rPr>
                <w:szCs w:val="16"/>
              </w:rPr>
            </w:pPr>
            <w:r>
              <w:rPr>
                <w:rFonts w:hint="eastAsia"/>
                <w:szCs w:val="16"/>
              </w:rPr>
              <w:t>支撑度</w:t>
            </w:r>
          </w:p>
        </w:tc>
        <w:tc>
          <w:tcPr>
            <w:tcW w:w="4763" w:type="dxa"/>
            <w:tcBorders>
              <w:top w:val="single" w:color="auto" w:sz="12" w:space="0"/>
            </w:tcBorders>
            <w:vAlign w:val="center"/>
          </w:tcPr>
          <w:p w14:paraId="0003A2BC">
            <w:pPr>
              <w:pStyle w:val="16"/>
              <w:rPr>
                <w:szCs w:val="16"/>
              </w:rPr>
            </w:pPr>
            <w:r>
              <w:rPr>
                <w:rFonts w:hint="eastAsia"/>
                <w:szCs w:val="16"/>
              </w:rPr>
              <w:t>课程目标</w:t>
            </w:r>
          </w:p>
        </w:tc>
        <w:tc>
          <w:tcPr>
            <w:tcW w:w="1348" w:type="dxa"/>
            <w:tcBorders>
              <w:top w:val="single" w:color="auto" w:sz="12" w:space="0"/>
              <w:right w:val="single" w:color="auto" w:sz="12" w:space="0"/>
            </w:tcBorders>
            <w:vAlign w:val="center"/>
          </w:tcPr>
          <w:p w14:paraId="4053AC41">
            <w:pPr>
              <w:pStyle w:val="16"/>
              <w:rPr>
                <w:szCs w:val="16"/>
              </w:rPr>
            </w:pPr>
            <w:r>
              <w:rPr>
                <w:rFonts w:hint="eastAsia"/>
                <w:szCs w:val="16"/>
              </w:rPr>
              <w:t>对指标点的贡献度</w:t>
            </w:r>
          </w:p>
        </w:tc>
      </w:tr>
      <w:tr w14:paraId="6DE0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453E11FC">
            <w:pPr>
              <w:pStyle w:val="17"/>
              <w:rPr>
                <w:b/>
              </w:rPr>
            </w:pPr>
            <w:r>
              <w:rPr>
                <w:b/>
              </w:rPr>
              <w:t>L01</w:t>
            </w:r>
          </w:p>
        </w:tc>
        <w:tc>
          <w:tcPr>
            <w:tcW w:w="794" w:type="dxa"/>
            <w:tcBorders>
              <w:left w:val="single" w:color="auto" w:sz="4" w:space="0"/>
            </w:tcBorders>
            <w:vAlign w:val="center"/>
          </w:tcPr>
          <w:p w14:paraId="70BFEAF8">
            <w:pPr>
              <w:pStyle w:val="17"/>
              <w:rPr>
                <w:bCs/>
              </w:rPr>
            </w:pPr>
            <w:r>
              <w:rPr>
                <w:rFonts w:hint="eastAsia"/>
                <w:bCs/>
              </w:rPr>
              <w:t>⑤</w:t>
            </w:r>
          </w:p>
        </w:tc>
        <w:tc>
          <w:tcPr>
            <w:tcW w:w="794" w:type="dxa"/>
            <w:tcBorders>
              <w:right w:val="double" w:color="auto" w:sz="4" w:space="0"/>
            </w:tcBorders>
            <w:shd w:val="clear" w:color="auto" w:fill="auto"/>
            <w:vAlign w:val="center"/>
          </w:tcPr>
          <w:p w14:paraId="15E04CE3">
            <w:pPr>
              <w:pStyle w:val="17"/>
              <w:rPr>
                <w:rFonts w:ascii="宋体" w:hAnsi="宋体"/>
              </w:rPr>
            </w:pPr>
            <w:r>
              <w:rPr>
                <w:rFonts w:hint="eastAsia" w:ascii="宋体" w:hAnsi="宋体"/>
              </w:rPr>
              <w:t>M</w:t>
            </w:r>
          </w:p>
        </w:tc>
        <w:tc>
          <w:tcPr>
            <w:tcW w:w="4763" w:type="dxa"/>
            <w:vAlign w:val="center"/>
          </w:tcPr>
          <w:p w14:paraId="2862489B">
            <w:pPr>
              <w:pStyle w:val="17"/>
              <w:jc w:val="left"/>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培养学生助人为乐、富于爱心、懂得感恩的品质；建立学生具有服务医院、服务社会的意识；树立学生爱岗敬业、热爱专业、锤炼技能的职业精神。</w:t>
            </w:r>
          </w:p>
        </w:tc>
        <w:tc>
          <w:tcPr>
            <w:tcW w:w="1348" w:type="dxa"/>
            <w:tcBorders>
              <w:right w:val="single" w:color="auto" w:sz="12" w:space="0"/>
            </w:tcBorders>
            <w:vAlign w:val="center"/>
          </w:tcPr>
          <w:p w14:paraId="388B181F">
            <w:pPr>
              <w:pStyle w:val="17"/>
              <w:rPr>
                <w:rFonts w:ascii="宋体" w:hAnsi="宋体"/>
                <w:bCs/>
              </w:rPr>
            </w:pPr>
            <w:r>
              <w:rPr>
                <w:rFonts w:ascii="宋体" w:hAnsi="宋体"/>
                <w:bCs/>
              </w:rPr>
              <w:t>100</w:t>
            </w:r>
            <w:r>
              <w:rPr>
                <w:rFonts w:hint="eastAsia" w:ascii="宋体" w:hAnsi="宋体"/>
                <w:bCs/>
              </w:rPr>
              <w:t>%</w:t>
            </w:r>
          </w:p>
        </w:tc>
      </w:tr>
      <w:tr w14:paraId="0692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30202647">
            <w:pPr>
              <w:pStyle w:val="17"/>
              <w:rPr>
                <w:b/>
                <w:bCs/>
              </w:rPr>
            </w:pPr>
            <w:r>
              <w:rPr>
                <w:rFonts w:hint="eastAsia"/>
                <w:b/>
                <w:bCs/>
              </w:rPr>
              <w:t>L</w:t>
            </w:r>
            <w:r>
              <w:rPr>
                <w:b/>
                <w:bCs/>
              </w:rPr>
              <w:t>02</w:t>
            </w:r>
          </w:p>
        </w:tc>
        <w:tc>
          <w:tcPr>
            <w:tcW w:w="794" w:type="dxa"/>
            <w:vMerge w:val="restart"/>
            <w:tcBorders>
              <w:left w:val="single" w:color="auto" w:sz="4" w:space="0"/>
            </w:tcBorders>
            <w:vAlign w:val="center"/>
          </w:tcPr>
          <w:p w14:paraId="5A819279">
            <w:pPr>
              <w:pStyle w:val="17"/>
              <w:rPr>
                <w:rFonts w:cs="Times New Roman"/>
                <w:bCs/>
              </w:rPr>
            </w:pPr>
            <w:r>
              <w:rPr>
                <w:rFonts w:cs="Times New Roman"/>
                <w:bCs/>
              </w:rPr>
              <w:fldChar w:fldCharType="begin"/>
            </w:r>
            <w:r>
              <w:rPr>
                <w:rFonts w:cs="Times New Roman"/>
                <w:bCs/>
              </w:rPr>
              <w:instrText xml:space="preserve"> </w:instrText>
            </w:r>
            <w:r>
              <w:rPr>
                <w:rFonts w:hint="eastAsia" w:cs="Times New Roman"/>
                <w:bCs/>
              </w:rPr>
              <w:instrText xml:space="preserve">= 3 \* GB3</w:instrText>
            </w:r>
            <w:r>
              <w:rPr>
                <w:rFonts w:cs="Times New Roman"/>
                <w:bCs/>
              </w:rPr>
              <w:instrText xml:space="preserve"> </w:instrText>
            </w:r>
            <w:r>
              <w:rPr>
                <w:rFonts w:cs="Times New Roman"/>
                <w:bCs/>
              </w:rPr>
              <w:fldChar w:fldCharType="separate"/>
            </w:r>
            <w:r>
              <w:rPr>
                <w:rFonts w:hint="eastAsia" w:cs="Times New Roman"/>
                <w:bCs/>
              </w:rPr>
              <w:t>③</w:t>
            </w:r>
            <w:r>
              <w:rPr>
                <w:rFonts w:cs="Times New Roman"/>
                <w:bCs/>
              </w:rPr>
              <w:fldChar w:fldCharType="end"/>
            </w:r>
          </w:p>
        </w:tc>
        <w:tc>
          <w:tcPr>
            <w:tcW w:w="794" w:type="dxa"/>
            <w:vMerge w:val="restart"/>
            <w:tcBorders>
              <w:right w:val="double" w:color="auto" w:sz="4" w:space="0"/>
            </w:tcBorders>
            <w:shd w:val="clear" w:color="auto" w:fill="auto"/>
            <w:vAlign w:val="center"/>
          </w:tcPr>
          <w:p w14:paraId="37DE322C">
            <w:pPr>
              <w:pStyle w:val="17"/>
              <w:rPr>
                <w:rFonts w:ascii="宋体" w:hAnsi="宋体"/>
              </w:rPr>
            </w:pPr>
            <w:r>
              <w:rPr>
                <w:rFonts w:hint="eastAsia" w:ascii="宋体" w:hAnsi="宋体"/>
              </w:rPr>
              <w:t>H</w:t>
            </w:r>
          </w:p>
        </w:tc>
        <w:tc>
          <w:tcPr>
            <w:tcW w:w="4763" w:type="dxa"/>
            <w:vAlign w:val="center"/>
          </w:tcPr>
          <w:p w14:paraId="00D4669B">
            <w:r>
              <w:rPr>
                <w:rFonts w:hint="eastAsia"/>
                <w:sz w:val="20"/>
                <w:szCs w:val="20"/>
              </w:rPr>
              <w:t>1</w:t>
            </w:r>
            <w:r>
              <w:rPr>
                <w:sz w:val="20"/>
                <w:szCs w:val="20"/>
              </w:rPr>
              <w:t>.</w:t>
            </w:r>
            <w:r>
              <w:rPr>
                <w:rFonts w:hint="eastAsia"/>
                <w:sz w:val="20"/>
                <w:szCs w:val="20"/>
              </w:rPr>
              <w:t>能够阐述康复护理学理论基础、康复功能评定方法及康复护理评定的相关理论知识和常见疾病的康复护理技术。</w:t>
            </w:r>
          </w:p>
        </w:tc>
        <w:tc>
          <w:tcPr>
            <w:tcW w:w="1348" w:type="dxa"/>
            <w:tcBorders>
              <w:right w:val="single" w:color="auto" w:sz="12" w:space="0"/>
            </w:tcBorders>
            <w:vAlign w:val="center"/>
          </w:tcPr>
          <w:p w14:paraId="6280777C">
            <w:pPr>
              <w:pStyle w:val="17"/>
              <w:rPr>
                <w:rFonts w:ascii="宋体" w:hAnsi="宋体"/>
                <w:bCs/>
              </w:rPr>
            </w:pPr>
            <w:r>
              <w:rPr>
                <w:rFonts w:ascii="宋体" w:hAnsi="宋体"/>
                <w:bCs/>
              </w:rPr>
              <w:t>50</w:t>
            </w:r>
            <w:r>
              <w:rPr>
                <w:rFonts w:hint="eastAsia" w:ascii="宋体" w:hAnsi="宋体"/>
                <w:bCs/>
              </w:rPr>
              <w:t>%</w:t>
            </w:r>
          </w:p>
        </w:tc>
      </w:tr>
      <w:tr w14:paraId="4C74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7E8C5613">
            <w:pPr>
              <w:pStyle w:val="17"/>
            </w:pPr>
          </w:p>
        </w:tc>
        <w:tc>
          <w:tcPr>
            <w:tcW w:w="794" w:type="dxa"/>
            <w:vMerge w:val="continue"/>
            <w:tcBorders>
              <w:left w:val="single" w:color="auto" w:sz="4" w:space="0"/>
            </w:tcBorders>
            <w:vAlign w:val="center"/>
          </w:tcPr>
          <w:p w14:paraId="0D3677F5">
            <w:pPr>
              <w:pStyle w:val="17"/>
              <w:rPr>
                <w:rFonts w:cs="Times New Roman"/>
                <w:bCs/>
              </w:rPr>
            </w:pPr>
          </w:p>
        </w:tc>
        <w:tc>
          <w:tcPr>
            <w:tcW w:w="794" w:type="dxa"/>
            <w:vMerge w:val="continue"/>
            <w:tcBorders>
              <w:right w:val="double" w:color="auto" w:sz="4" w:space="0"/>
            </w:tcBorders>
            <w:shd w:val="clear" w:color="auto" w:fill="auto"/>
            <w:vAlign w:val="center"/>
          </w:tcPr>
          <w:p w14:paraId="2323DA3F">
            <w:pPr>
              <w:pStyle w:val="17"/>
              <w:rPr>
                <w:rFonts w:ascii="宋体" w:hAnsi="宋体"/>
              </w:rPr>
            </w:pPr>
          </w:p>
        </w:tc>
        <w:tc>
          <w:tcPr>
            <w:tcW w:w="4763" w:type="dxa"/>
            <w:vAlign w:val="center"/>
          </w:tcPr>
          <w:p w14:paraId="4BB17804">
            <w:pPr>
              <w:pStyle w:val="17"/>
              <w:jc w:val="left"/>
              <w:rPr>
                <w:rFonts w:ascii="宋体" w:hAnsi="宋体"/>
                <w:bCs/>
              </w:rPr>
            </w:pPr>
            <w:r>
              <w:rPr>
                <w:rFonts w:hint="eastAsia" w:ascii="宋体" w:hAnsi="宋体"/>
                <w:sz w:val="20"/>
                <w:szCs w:val="20"/>
              </w:rPr>
              <w:t>2</w:t>
            </w:r>
            <w:r>
              <w:rPr>
                <w:rFonts w:ascii="宋体" w:hAnsi="宋体"/>
                <w:sz w:val="20"/>
                <w:szCs w:val="20"/>
              </w:rPr>
              <w:t>.</w:t>
            </w:r>
            <w:r>
              <w:rPr>
                <w:rFonts w:hint="eastAsia" w:ascii="宋体" w:hAnsi="宋体"/>
                <w:sz w:val="20"/>
                <w:szCs w:val="20"/>
              </w:rPr>
              <w:t>具有康复护理基本技术，和具有配合医生或康复治疗师实施常用诊疗技术的能力，如物理治疗、作业治疗、言语治疗。</w:t>
            </w:r>
          </w:p>
        </w:tc>
        <w:tc>
          <w:tcPr>
            <w:tcW w:w="1348" w:type="dxa"/>
            <w:tcBorders>
              <w:right w:val="single" w:color="auto" w:sz="12" w:space="0"/>
            </w:tcBorders>
            <w:vAlign w:val="center"/>
          </w:tcPr>
          <w:p w14:paraId="10124123">
            <w:pPr>
              <w:pStyle w:val="17"/>
              <w:rPr>
                <w:rFonts w:ascii="宋体" w:hAnsi="宋体"/>
                <w:bCs/>
              </w:rPr>
            </w:pPr>
            <w:r>
              <w:rPr>
                <w:rFonts w:ascii="宋体" w:hAnsi="宋体"/>
                <w:bCs/>
              </w:rPr>
              <w:t>30</w:t>
            </w:r>
            <w:r>
              <w:rPr>
                <w:rFonts w:hint="eastAsia" w:ascii="宋体" w:hAnsi="宋体"/>
                <w:bCs/>
              </w:rPr>
              <w:t>%</w:t>
            </w:r>
          </w:p>
        </w:tc>
      </w:tr>
      <w:tr w14:paraId="5585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FDD3C9A">
            <w:pPr>
              <w:pStyle w:val="17"/>
            </w:pPr>
          </w:p>
        </w:tc>
        <w:tc>
          <w:tcPr>
            <w:tcW w:w="794" w:type="dxa"/>
            <w:vMerge w:val="continue"/>
            <w:tcBorders>
              <w:left w:val="single" w:color="auto" w:sz="4" w:space="0"/>
            </w:tcBorders>
            <w:vAlign w:val="center"/>
          </w:tcPr>
          <w:p w14:paraId="5404D98C">
            <w:pPr>
              <w:pStyle w:val="17"/>
              <w:rPr>
                <w:rFonts w:cs="Times New Roman"/>
                <w:bCs/>
              </w:rPr>
            </w:pPr>
          </w:p>
        </w:tc>
        <w:tc>
          <w:tcPr>
            <w:tcW w:w="794" w:type="dxa"/>
            <w:vMerge w:val="continue"/>
            <w:tcBorders>
              <w:right w:val="double" w:color="auto" w:sz="4" w:space="0"/>
            </w:tcBorders>
            <w:shd w:val="clear" w:color="auto" w:fill="auto"/>
            <w:vAlign w:val="center"/>
          </w:tcPr>
          <w:p w14:paraId="5C1C8FD6">
            <w:pPr>
              <w:pStyle w:val="17"/>
              <w:rPr>
                <w:rFonts w:ascii="宋体" w:hAnsi="宋体"/>
              </w:rPr>
            </w:pPr>
          </w:p>
        </w:tc>
        <w:tc>
          <w:tcPr>
            <w:tcW w:w="4763" w:type="dxa"/>
            <w:vAlign w:val="center"/>
          </w:tcPr>
          <w:p w14:paraId="197AFBCC">
            <w:pPr>
              <w:pStyle w:val="17"/>
              <w:jc w:val="left"/>
              <w:rPr>
                <w:rFonts w:ascii="宋体" w:hAnsi="宋体"/>
                <w:bCs/>
              </w:rPr>
            </w:pPr>
            <w:r>
              <w:rPr>
                <w:rFonts w:hint="eastAsia" w:ascii="宋体" w:hAnsi="宋体"/>
                <w:sz w:val="20"/>
                <w:szCs w:val="20"/>
              </w:rPr>
              <w:t>3</w:t>
            </w:r>
            <w:r>
              <w:rPr>
                <w:rFonts w:ascii="宋体" w:hAnsi="宋体"/>
                <w:sz w:val="20"/>
                <w:szCs w:val="20"/>
              </w:rPr>
              <w:t>.</w:t>
            </w:r>
            <w:r>
              <w:rPr>
                <w:rFonts w:hint="eastAsia" w:ascii="宋体" w:hAnsi="宋体"/>
                <w:sz w:val="20"/>
                <w:szCs w:val="20"/>
              </w:rPr>
              <w:t>具有运用多学科知识进行护理评估，制定护理计划并对护理对象实施康复护理的基本能力。</w:t>
            </w:r>
          </w:p>
        </w:tc>
        <w:tc>
          <w:tcPr>
            <w:tcW w:w="1348" w:type="dxa"/>
            <w:tcBorders>
              <w:right w:val="single" w:color="auto" w:sz="12" w:space="0"/>
            </w:tcBorders>
            <w:vAlign w:val="center"/>
          </w:tcPr>
          <w:p w14:paraId="5500FDAF">
            <w:pPr>
              <w:pStyle w:val="17"/>
              <w:rPr>
                <w:rFonts w:ascii="宋体" w:hAnsi="宋体"/>
                <w:bCs/>
              </w:rPr>
            </w:pPr>
            <w:r>
              <w:rPr>
                <w:rFonts w:ascii="宋体" w:hAnsi="宋体"/>
                <w:bCs/>
              </w:rPr>
              <w:t>20</w:t>
            </w:r>
            <w:r>
              <w:rPr>
                <w:rFonts w:hint="eastAsia" w:ascii="宋体" w:hAnsi="宋体"/>
                <w:bCs/>
              </w:rPr>
              <w:t>%</w:t>
            </w:r>
          </w:p>
        </w:tc>
      </w:tr>
      <w:tr w14:paraId="200E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5B3B1A52">
            <w:pPr>
              <w:pStyle w:val="17"/>
              <w:rPr>
                <w:b/>
                <w:bCs/>
              </w:rPr>
            </w:pPr>
            <w:r>
              <w:rPr>
                <w:rFonts w:hint="eastAsia"/>
                <w:b/>
                <w:bCs/>
              </w:rPr>
              <w:t>L</w:t>
            </w:r>
            <w:r>
              <w:rPr>
                <w:b/>
                <w:bCs/>
              </w:rPr>
              <w:t>04</w:t>
            </w:r>
          </w:p>
        </w:tc>
        <w:tc>
          <w:tcPr>
            <w:tcW w:w="794" w:type="dxa"/>
            <w:tcBorders>
              <w:left w:val="single" w:color="auto" w:sz="4" w:space="0"/>
            </w:tcBorders>
            <w:vAlign w:val="center"/>
          </w:tcPr>
          <w:p w14:paraId="36419533">
            <w:pPr>
              <w:pStyle w:val="17"/>
              <w:rPr>
                <w:rFonts w:cs="Times New Roman"/>
                <w:bCs/>
              </w:rPr>
            </w:pPr>
            <w:r>
              <w:rPr>
                <w:rFonts w:hint="eastAsia" w:cs="Times New Roman"/>
                <w:bCs/>
              </w:rPr>
              <w:t>②</w:t>
            </w:r>
          </w:p>
        </w:tc>
        <w:tc>
          <w:tcPr>
            <w:tcW w:w="794" w:type="dxa"/>
            <w:tcBorders>
              <w:right w:val="double" w:color="auto" w:sz="4" w:space="0"/>
            </w:tcBorders>
            <w:shd w:val="clear" w:color="auto" w:fill="auto"/>
            <w:vAlign w:val="center"/>
          </w:tcPr>
          <w:p w14:paraId="37383636">
            <w:pPr>
              <w:pStyle w:val="17"/>
              <w:rPr>
                <w:rFonts w:ascii="宋体" w:hAnsi="宋体"/>
              </w:rPr>
            </w:pPr>
            <w:r>
              <w:rPr>
                <w:rFonts w:ascii="宋体" w:hAnsi="宋体"/>
              </w:rPr>
              <w:t>L</w:t>
            </w:r>
          </w:p>
        </w:tc>
        <w:tc>
          <w:tcPr>
            <w:tcW w:w="4763" w:type="dxa"/>
            <w:vAlign w:val="center"/>
          </w:tcPr>
          <w:p w14:paraId="1A4A495A">
            <w:pPr>
              <w:pStyle w:val="17"/>
              <w:jc w:val="left"/>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能搜集、获取达到目标所需要的学习资源，实施学习计划、持续改进，达到学习目标。</w:t>
            </w:r>
          </w:p>
        </w:tc>
        <w:tc>
          <w:tcPr>
            <w:tcW w:w="1348" w:type="dxa"/>
            <w:tcBorders>
              <w:right w:val="single" w:color="auto" w:sz="12" w:space="0"/>
            </w:tcBorders>
            <w:vAlign w:val="center"/>
          </w:tcPr>
          <w:p w14:paraId="2BF2DC3F">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bl>
    <w:p w14:paraId="1D9B47EF">
      <w:pPr>
        <w:pStyle w:val="19"/>
        <w:spacing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ABA32F2">
      <w:pPr>
        <w:pStyle w:val="20"/>
        <w:spacing w:before="81" w:after="163"/>
      </w:pPr>
      <w:r>
        <w:rPr>
          <w:rFonts w:hint="eastAsia"/>
        </w:rPr>
        <w:t>（一）各教学单元预期学习成果与教学内容</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72"/>
      </w:tblGrid>
      <w:tr w14:paraId="2962DC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472" w:type="dxa"/>
          </w:tcPr>
          <w:p w14:paraId="253820B6">
            <w:pPr>
              <w:pStyle w:val="17"/>
              <w:widowControl w:val="0"/>
              <w:ind w:firstLine="480" w:firstLineChars="200"/>
              <w:jc w:val="left"/>
              <w:rPr>
                <w:rFonts w:ascii="黑体" w:hAnsi="宋体" w:eastAsia="黑体"/>
                <w:color w:val="auto"/>
                <w:sz w:val="24"/>
                <w:szCs w:val="24"/>
              </w:rPr>
            </w:pPr>
            <w:bookmarkStart w:id="0" w:name="OLE_LINK6"/>
            <w:bookmarkStart w:id="1" w:name="OLE_LINK5"/>
          </w:p>
          <w:p w14:paraId="3E0D56FC">
            <w:pPr>
              <w:pStyle w:val="17"/>
              <w:widowControl w:val="0"/>
              <w:ind w:firstLine="480" w:firstLineChars="200"/>
              <w:jc w:val="left"/>
              <w:rPr>
                <w:rFonts w:ascii="黑体" w:hAnsi="宋体" w:eastAsia="黑体"/>
                <w:color w:val="auto"/>
                <w:sz w:val="24"/>
                <w:szCs w:val="24"/>
              </w:rPr>
            </w:pPr>
            <w:r>
              <w:rPr>
                <w:rFonts w:hint="eastAsia" w:ascii="黑体" w:hAnsi="宋体" w:eastAsia="黑体"/>
                <w:color w:val="auto"/>
                <w:sz w:val="24"/>
                <w:szCs w:val="24"/>
              </w:rPr>
              <w:t>本课程总学时为32学时，其中教师课堂理论授课学时为24学时；学生课内实践环节学时为8学时；课外练习，查阅文献及作业等时间不计在内。</w:t>
            </w:r>
          </w:p>
          <w:p w14:paraId="2D0F13C2">
            <w:pPr>
              <w:pStyle w:val="17"/>
              <w:widowControl w:val="0"/>
              <w:ind w:firstLine="420" w:firstLineChars="200"/>
              <w:jc w:val="left"/>
              <w:rPr>
                <w:rFonts w:ascii="宋体" w:hAnsi="宋体"/>
                <w:bCs/>
              </w:rPr>
            </w:pPr>
          </w:p>
        </w:tc>
      </w:tr>
      <w:bookmarkEnd w:id="0"/>
      <w:bookmarkEnd w:id="1"/>
    </w:tbl>
    <w:tbl>
      <w:tblPr>
        <w:tblStyle w:val="9"/>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696"/>
        <w:gridCol w:w="2270"/>
        <w:gridCol w:w="2268"/>
        <w:gridCol w:w="1342"/>
        <w:gridCol w:w="1500"/>
      </w:tblGrid>
      <w:tr w14:paraId="73F1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06853E14">
            <w:pPr>
              <w:snapToGrid w:val="0"/>
              <w:spacing w:line="288" w:lineRule="auto"/>
              <w:jc w:val="center"/>
              <w:rPr>
                <w:b/>
                <w:color w:val="000000"/>
                <w:sz w:val="20"/>
                <w:szCs w:val="20"/>
              </w:rPr>
            </w:pPr>
            <w:r>
              <w:rPr>
                <w:rFonts w:hint="eastAsia"/>
                <w:b/>
                <w:color w:val="000000"/>
                <w:sz w:val="20"/>
                <w:szCs w:val="20"/>
              </w:rPr>
              <w:t>序号</w:t>
            </w:r>
          </w:p>
        </w:tc>
        <w:tc>
          <w:tcPr>
            <w:tcW w:w="696" w:type="dxa"/>
            <w:vAlign w:val="center"/>
          </w:tcPr>
          <w:p w14:paraId="0E737F92">
            <w:pPr>
              <w:snapToGrid w:val="0"/>
              <w:spacing w:line="288" w:lineRule="auto"/>
              <w:jc w:val="center"/>
              <w:rPr>
                <w:b/>
                <w:color w:val="000000"/>
                <w:sz w:val="20"/>
                <w:szCs w:val="20"/>
              </w:rPr>
            </w:pPr>
            <w:r>
              <w:rPr>
                <w:rFonts w:hint="eastAsia"/>
                <w:b/>
                <w:color w:val="000000"/>
                <w:sz w:val="20"/>
                <w:szCs w:val="20"/>
              </w:rPr>
              <w:t>单元名称</w:t>
            </w:r>
          </w:p>
        </w:tc>
        <w:tc>
          <w:tcPr>
            <w:tcW w:w="2270" w:type="dxa"/>
            <w:vAlign w:val="center"/>
          </w:tcPr>
          <w:p w14:paraId="3D00B7D6">
            <w:pPr>
              <w:snapToGrid w:val="0"/>
              <w:spacing w:line="288" w:lineRule="auto"/>
              <w:jc w:val="center"/>
              <w:rPr>
                <w:b/>
                <w:color w:val="000000"/>
                <w:sz w:val="20"/>
                <w:szCs w:val="20"/>
              </w:rPr>
            </w:pPr>
            <w:r>
              <w:rPr>
                <w:rFonts w:hint="eastAsia"/>
                <w:b/>
                <w:color w:val="000000"/>
                <w:sz w:val="20"/>
                <w:szCs w:val="20"/>
              </w:rPr>
              <w:t>知识目标</w:t>
            </w:r>
          </w:p>
        </w:tc>
        <w:tc>
          <w:tcPr>
            <w:tcW w:w="2268" w:type="dxa"/>
            <w:vAlign w:val="center"/>
          </w:tcPr>
          <w:p w14:paraId="07C7089B">
            <w:pPr>
              <w:snapToGrid w:val="0"/>
              <w:spacing w:line="288" w:lineRule="auto"/>
              <w:jc w:val="center"/>
              <w:rPr>
                <w:b/>
                <w:color w:val="000000"/>
                <w:sz w:val="20"/>
                <w:szCs w:val="20"/>
              </w:rPr>
            </w:pPr>
            <w:r>
              <w:rPr>
                <w:rFonts w:hint="eastAsia"/>
                <w:b/>
                <w:color w:val="000000"/>
                <w:sz w:val="20"/>
                <w:szCs w:val="20"/>
              </w:rPr>
              <w:t>能力目标</w:t>
            </w:r>
          </w:p>
        </w:tc>
        <w:tc>
          <w:tcPr>
            <w:tcW w:w="1342" w:type="dxa"/>
            <w:vAlign w:val="center"/>
          </w:tcPr>
          <w:p w14:paraId="7C4E91C9">
            <w:pPr>
              <w:snapToGrid w:val="0"/>
              <w:spacing w:line="288" w:lineRule="auto"/>
              <w:jc w:val="center"/>
              <w:rPr>
                <w:b/>
                <w:color w:val="000000"/>
                <w:sz w:val="20"/>
                <w:szCs w:val="20"/>
              </w:rPr>
            </w:pPr>
            <w:r>
              <w:rPr>
                <w:rFonts w:hint="eastAsia"/>
                <w:b/>
                <w:color w:val="000000"/>
                <w:sz w:val="20"/>
                <w:szCs w:val="20"/>
              </w:rPr>
              <w:t>素质目标</w:t>
            </w:r>
          </w:p>
        </w:tc>
        <w:tc>
          <w:tcPr>
            <w:tcW w:w="1500" w:type="dxa"/>
            <w:vAlign w:val="center"/>
          </w:tcPr>
          <w:p w14:paraId="195ED02B">
            <w:pPr>
              <w:snapToGrid w:val="0"/>
              <w:spacing w:line="288" w:lineRule="auto"/>
              <w:jc w:val="center"/>
              <w:rPr>
                <w:b/>
                <w:color w:val="000000"/>
                <w:sz w:val="20"/>
                <w:szCs w:val="20"/>
              </w:rPr>
            </w:pPr>
            <w:r>
              <w:rPr>
                <w:rFonts w:hint="eastAsia"/>
                <w:b/>
                <w:color w:val="000000"/>
                <w:sz w:val="20"/>
                <w:szCs w:val="20"/>
              </w:rPr>
              <w:t>教学重点及难点</w:t>
            </w:r>
          </w:p>
        </w:tc>
      </w:tr>
      <w:tr w14:paraId="55BA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2B963E1">
            <w:pPr>
              <w:snapToGrid w:val="0"/>
              <w:spacing w:line="288" w:lineRule="auto"/>
              <w:jc w:val="center"/>
              <w:rPr>
                <w:color w:val="000000"/>
                <w:sz w:val="20"/>
                <w:szCs w:val="20"/>
              </w:rPr>
            </w:pPr>
            <w:r>
              <w:rPr>
                <w:rFonts w:hint="eastAsia"/>
                <w:color w:val="000000"/>
                <w:sz w:val="20"/>
                <w:szCs w:val="20"/>
              </w:rPr>
              <w:t>1</w:t>
            </w:r>
          </w:p>
        </w:tc>
        <w:tc>
          <w:tcPr>
            <w:tcW w:w="696" w:type="dxa"/>
            <w:vAlign w:val="center"/>
          </w:tcPr>
          <w:p w14:paraId="3D5AC194">
            <w:pPr>
              <w:snapToGrid w:val="0"/>
              <w:spacing w:line="288" w:lineRule="auto"/>
              <w:rPr>
                <w:color w:val="000000"/>
                <w:sz w:val="20"/>
                <w:szCs w:val="20"/>
              </w:rPr>
            </w:pPr>
            <w:r>
              <w:rPr>
                <w:rFonts w:hint="eastAsia"/>
                <w:color w:val="000000"/>
                <w:sz w:val="20"/>
                <w:szCs w:val="20"/>
              </w:rPr>
              <w:t>康复护理概述</w:t>
            </w:r>
          </w:p>
        </w:tc>
        <w:tc>
          <w:tcPr>
            <w:tcW w:w="2270" w:type="dxa"/>
          </w:tcPr>
          <w:p w14:paraId="66C77827">
            <w:pPr>
              <w:rPr>
                <w:color w:val="000000"/>
                <w:sz w:val="20"/>
                <w:szCs w:val="20"/>
              </w:rPr>
            </w:pPr>
            <w:r>
              <w:rPr>
                <w:rFonts w:hint="eastAsia"/>
                <w:color w:val="000000"/>
                <w:sz w:val="20"/>
                <w:szCs w:val="20"/>
              </w:rPr>
              <w:t>1．知道康复、康复医学、康复护理学的基本概念；康复护理工作对象；康复护理与临床护理的联系和区别；康复护理指导思想。</w:t>
            </w:r>
          </w:p>
          <w:p w14:paraId="5B9A3E76">
            <w:pPr>
              <w:rPr>
                <w:color w:val="000000"/>
                <w:sz w:val="20"/>
                <w:szCs w:val="20"/>
              </w:rPr>
            </w:pPr>
          </w:p>
        </w:tc>
        <w:tc>
          <w:tcPr>
            <w:tcW w:w="2268" w:type="dxa"/>
          </w:tcPr>
          <w:p w14:paraId="6757B6E5">
            <w:pPr>
              <w:snapToGrid w:val="0"/>
              <w:spacing w:line="288" w:lineRule="auto"/>
              <w:rPr>
                <w:color w:val="000000"/>
                <w:sz w:val="20"/>
                <w:szCs w:val="20"/>
              </w:rPr>
            </w:pPr>
            <w:r>
              <w:rPr>
                <w:rFonts w:hint="eastAsia"/>
                <w:color w:val="000000"/>
                <w:sz w:val="20"/>
                <w:szCs w:val="20"/>
              </w:rPr>
              <w:t>1.理解康复护理工作方式、康复护理工作流程、康复护理人员工作职责。</w:t>
            </w:r>
          </w:p>
          <w:p w14:paraId="33539795">
            <w:pPr>
              <w:snapToGrid w:val="0"/>
              <w:spacing w:line="288" w:lineRule="auto"/>
              <w:rPr>
                <w:rFonts w:hAnsi="Times New Roman"/>
                <w:b/>
                <w:color w:val="000000"/>
                <w:sz w:val="20"/>
                <w:szCs w:val="20"/>
              </w:rPr>
            </w:pPr>
            <w:r>
              <w:rPr>
                <w:rFonts w:hint="eastAsia"/>
                <w:color w:val="000000"/>
                <w:sz w:val="20"/>
                <w:szCs w:val="20"/>
              </w:rPr>
              <w:t>2.理解康复护理学发展简史、康复护理人员素质要求、康复护理工作领域。</w:t>
            </w:r>
          </w:p>
        </w:tc>
        <w:tc>
          <w:tcPr>
            <w:tcW w:w="1342" w:type="dxa"/>
          </w:tcPr>
          <w:p w14:paraId="319B9D5D">
            <w:pPr>
              <w:snapToGrid w:val="0"/>
              <w:spacing w:line="288" w:lineRule="auto"/>
              <w:rPr>
                <w:color w:val="000000"/>
                <w:sz w:val="20"/>
                <w:szCs w:val="20"/>
              </w:rPr>
            </w:pPr>
            <w:r>
              <w:rPr>
                <w:rFonts w:hint="eastAsia"/>
                <w:color w:val="000000"/>
                <w:sz w:val="20"/>
                <w:szCs w:val="20"/>
              </w:rPr>
              <w:t>了解与康复护理相关的法律法规，在学习和社会实践中遵守职业规范，具备职业道德操守。</w:t>
            </w:r>
          </w:p>
        </w:tc>
        <w:tc>
          <w:tcPr>
            <w:tcW w:w="1500" w:type="dxa"/>
          </w:tcPr>
          <w:p w14:paraId="57746874">
            <w:pPr>
              <w:rPr>
                <w:color w:val="000000"/>
                <w:sz w:val="20"/>
                <w:szCs w:val="20"/>
              </w:rPr>
            </w:pPr>
            <w:r>
              <w:rPr>
                <w:rFonts w:hint="eastAsia"/>
                <w:color w:val="000000"/>
                <w:sz w:val="20"/>
                <w:szCs w:val="20"/>
              </w:rPr>
              <w:t>重点：康复护理学指导思想</w:t>
            </w:r>
          </w:p>
          <w:p w14:paraId="144D4DB5">
            <w:pPr>
              <w:rPr>
                <w:color w:val="000000"/>
                <w:sz w:val="20"/>
                <w:szCs w:val="20"/>
              </w:rPr>
            </w:pPr>
            <w:r>
              <w:rPr>
                <w:rFonts w:hint="eastAsia"/>
                <w:color w:val="000000"/>
                <w:sz w:val="20"/>
                <w:szCs w:val="20"/>
              </w:rPr>
              <w:t>难点：康复护理与临床护理的联系和区别</w:t>
            </w:r>
          </w:p>
        </w:tc>
      </w:tr>
      <w:tr w14:paraId="46F9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9A4734E">
            <w:pPr>
              <w:snapToGrid w:val="0"/>
              <w:spacing w:line="288" w:lineRule="auto"/>
              <w:jc w:val="center"/>
              <w:rPr>
                <w:color w:val="000000"/>
                <w:sz w:val="20"/>
                <w:szCs w:val="20"/>
              </w:rPr>
            </w:pPr>
            <w:r>
              <w:rPr>
                <w:rFonts w:hint="eastAsia"/>
                <w:color w:val="000000"/>
                <w:sz w:val="20"/>
                <w:szCs w:val="20"/>
              </w:rPr>
              <w:t>2</w:t>
            </w:r>
          </w:p>
        </w:tc>
        <w:tc>
          <w:tcPr>
            <w:tcW w:w="696" w:type="dxa"/>
            <w:vAlign w:val="center"/>
          </w:tcPr>
          <w:p w14:paraId="47793820">
            <w:pPr>
              <w:snapToGrid w:val="0"/>
              <w:spacing w:line="288" w:lineRule="auto"/>
              <w:rPr>
                <w:color w:val="000000"/>
                <w:sz w:val="20"/>
                <w:szCs w:val="20"/>
              </w:rPr>
            </w:pPr>
            <w:r>
              <w:rPr>
                <w:rFonts w:hint="eastAsia"/>
                <w:color w:val="000000"/>
                <w:sz w:val="20"/>
                <w:szCs w:val="20"/>
              </w:rPr>
              <w:t>康复护理学理论基础</w:t>
            </w:r>
          </w:p>
        </w:tc>
        <w:tc>
          <w:tcPr>
            <w:tcW w:w="2270" w:type="dxa"/>
          </w:tcPr>
          <w:p w14:paraId="52E9BFA4">
            <w:pPr>
              <w:rPr>
                <w:color w:val="000000"/>
                <w:sz w:val="20"/>
                <w:szCs w:val="20"/>
              </w:rPr>
            </w:pPr>
            <w:r>
              <w:rPr>
                <w:rFonts w:hint="eastAsia"/>
                <w:color w:val="000000"/>
                <w:sz w:val="20"/>
                <w:szCs w:val="20"/>
              </w:rPr>
              <w:t>1.知道运动学的定义和运动的分类；正确概述肌肉的特性和关节的活动度和稳定性；概述神经损伤的实质及损伤后的退化现象；神经学基础，康复护理学的相关理论以及康复护理程序。</w:t>
            </w:r>
          </w:p>
        </w:tc>
        <w:tc>
          <w:tcPr>
            <w:tcW w:w="2268" w:type="dxa"/>
          </w:tcPr>
          <w:p w14:paraId="3F226C3D">
            <w:pPr>
              <w:snapToGrid w:val="0"/>
              <w:spacing w:line="288" w:lineRule="auto"/>
              <w:rPr>
                <w:color w:val="000000"/>
                <w:sz w:val="20"/>
                <w:szCs w:val="20"/>
              </w:rPr>
            </w:pPr>
            <w:r>
              <w:rPr>
                <w:rFonts w:hint="eastAsia"/>
                <w:color w:val="000000"/>
                <w:sz w:val="20"/>
                <w:szCs w:val="20"/>
              </w:rPr>
              <w:t>1.分析比较运动对集体各系统功能的影响</w:t>
            </w:r>
          </w:p>
          <w:p w14:paraId="6B0A86DD">
            <w:pPr>
              <w:snapToGrid w:val="0"/>
              <w:spacing w:line="288" w:lineRule="auto"/>
              <w:rPr>
                <w:color w:val="000000"/>
                <w:sz w:val="20"/>
                <w:szCs w:val="20"/>
              </w:rPr>
            </w:pPr>
            <w:r>
              <w:rPr>
                <w:rFonts w:hint="eastAsia"/>
                <w:color w:val="000000"/>
                <w:sz w:val="20"/>
                <w:szCs w:val="20"/>
              </w:rPr>
              <w:t>2.能分析关节的运动链与杠杆原理，说明其在康复医学中的具体运用</w:t>
            </w:r>
          </w:p>
          <w:p w14:paraId="002FD315">
            <w:pPr>
              <w:snapToGrid w:val="0"/>
              <w:spacing w:line="288" w:lineRule="auto"/>
              <w:rPr>
                <w:color w:val="000000"/>
                <w:sz w:val="20"/>
                <w:szCs w:val="20"/>
              </w:rPr>
            </w:pPr>
            <w:r>
              <w:rPr>
                <w:rFonts w:hint="eastAsia"/>
                <w:color w:val="000000"/>
                <w:sz w:val="20"/>
                <w:szCs w:val="20"/>
              </w:rPr>
              <w:t>3.能根据评估内容制订出适合病人的护理计划</w:t>
            </w:r>
          </w:p>
        </w:tc>
        <w:tc>
          <w:tcPr>
            <w:tcW w:w="1342" w:type="dxa"/>
          </w:tcPr>
          <w:p w14:paraId="43CE08D6">
            <w:pPr>
              <w:rPr>
                <w:sz w:val="20"/>
                <w:szCs w:val="20"/>
              </w:rPr>
            </w:pPr>
            <w:r>
              <w:rPr>
                <w:rFonts w:hint="eastAsia"/>
                <w:color w:val="000000"/>
                <w:sz w:val="20"/>
                <w:szCs w:val="20"/>
              </w:rPr>
              <w:t>了解与康复护理相关的法律法规，在学习和社会实践中遵守职业规范，具备职业道德操守。</w:t>
            </w:r>
          </w:p>
        </w:tc>
        <w:tc>
          <w:tcPr>
            <w:tcW w:w="1500" w:type="dxa"/>
          </w:tcPr>
          <w:p w14:paraId="77587F1C">
            <w:pPr>
              <w:rPr>
                <w:color w:val="000000"/>
                <w:sz w:val="20"/>
                <w:szCs w:val="20"/>
              </w:rPr>
            </w:pPr>
            <w:r>
              <w:rPr>
                <w:rFonts w:hint="eastAsia"/>
                <w:color w:val="000000"/>
                <w:sz w:val="20"/>
                <w:szCs w:val="20"/>
              </w:rPr>
              <w:t>重点：运动学的定义和运动的分类</w:t>
            </w:r>
          </w:p>
          <w:p w14:paraId="7772FEC0">
            <w:pPr>
              <w:rPr>
                <w:color w:val="000000"/>
                <w:sz w:val="20"/>
                <w:szCs w:val="20"/>
              </w:rPr>
            </w:pPr>
            <w:r>
              <w:rPr>
                <w:rFonts w:hint="eastAsia"/>
                <w:color w:val="000000"/>
                <w:sz w:val="20"/>
                <w:szCs w:val="20"/>
              </w:rPr>
              <w:t>难点：康复护理程序</w:t>
            </w:r>
          </w:p>
        </w:tc>
      </w:tr>
      <w:tr w14:paraId="07FA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360" w:type="dxa"/>
            <w:vAlign w:val="center"/>
          </w:tcPr>
          <w:p w14:paraId="03766392">
            <w:pPr>
              <w:snapToGrid w:val="0"/>
              <w:spacing w:line="288" w:lineRule="auto"/>
              <w:jc w:val="center"/>
              <w:rPr>
                <w:color w:val="000000"/>
                <w:sz w:val="20"/>
                <w:szCs w:val="20"/>
              </w:rPr>
            </w:pPr>
            <w:r>
              <w:rPr>
                <w:rFonts w:hint="eastAsia"/>
                <w:color w:val="000000"/>
                <w:sz w:val="20"/>
                <w:szCs w:val="20"/>
              </w:rPr>
              <w:t>3</w:t>
            </w:r>
          </w:p>
        </w:tc>
        <w:tc>
          <w:tcPr>
            <w:tcW w:w="696" w:type="dxa"/>
            <w:vAlign w:val="center"/>
          </w:tcPr>
          <w:p w14:paraId="6F5848F4">
            <w:pPr>
              <w:snapToGrid w:val="0"/>
              <w:spacing w:line="288" w:lineRule="auto"/>
              <w:rPr>
                <w:color w:val="000000"/>
                <w:sz w:val="20"/>
                <w:szCs w:val="20"/>
              </w:rPr>
            </w:pPr>
            <w:r>
              <w:rPr>
                <w:rFonts w:hint="eastAsia"/>
                <w:color w:val="000000"/>
                <w:sz w:val="20"/>
                <w:szCs w:val="20"/>
              </w:rPr>
              <w:t>康复功能评定</w:t>
            </w:r>
          </w:p>
        </w:tc>
        <w:tc>
          <w:tcPr>
            <w:tcW w:w="2270" w:type="dxa"/>
          </w:tcPr>
          <w:p w14:paraId="196F4A3F">
            <w:pPr>
              <w:widowControl w:val="0"/>
              <w:numPr>
                <w:ilvl w:val="0"/>
                <w:numId w:val="1"/>
              </w:numPr>
              <w:jc w:val="both"/>
              <w:rPr>
                <w:color w:val="000000"/>
                <w:sz w:val="20"/>
                <w:szCs w:val="20"/>
              </w:rPr>
            </w:pPr>
            <w:r>
              <w:rPr>
                <w:rFonts w:hint="eastAsia"/>
                <w:color w:val="000000"/>
                <w:sz w:val="20"/>
                <w:szCs w:val="20"/>
              </w:rPr>
              <w:t>知道肌力、肌张力、关节活动范围，平衡和协调的定义；</w:t>
            </w:r>
          </w:p>
          <w:p w14:paraId="0DC59848">
            <w:pPr>
              <w:widowControl w:val="0"/>
              <w:numPr>
                <w:ilvl w:val="0"/>
                <w:numId w:val="1"/>
              </w:numPr>
              <w:jc w:val="both"/>
              <w:rPr>
                <w:color w:val="000000"/>
                <w:sz w:val="20"/>
                <w:szCs w:val="20"/>
              </w:rPr>
            </w:pPr>
            <w:r>
              <w:rPr>
                <w:rFonts w:hint="eastAsia"/>
                <w:color w:val="000000"/>
                <w:sz w:val="20"/>
                <w:szCs w:val="20"/>
              </w:rPr>
              <w:t>知道步行周期、步幅、步长及步速的定义</w:t>
            </w:r>
          </w:p>
          <w:p w14:paraId="1B3D2F64">
            <w:pPr>
              <w:widowControl w:val="0"/>
              <w:numPr>
                <w:ilvl w:val="0"/>
                <w:numId w:val="1"/>
              </w:numPr>
              <w:jc w:val="both"/>
              <w:rPr>
                <w:color w:val="000000"/>
                <w:sz w:val="20"/>
                <w:szCs w:val="20"/>
              </w:rPr>
            </w:pPr>
            <w:r>
              <w:rPr>
                <w:rFonts w:hint="eastAsia"/>
                <w:color w:val="000000"/>
                <w:sz w:val="20"/>
                <w:szCs w:val="20"/>
              </w:rPr>
              <w:t>知道代谢当量、心电运动实验的定义及目的</w:t>
            </w:r>
          </w:p>
          <w:p w14:paraId="76E81B83">
            <w:pPr>
              <w:widowControl w:val="0"/>
              <w:numPr>
                <w:ilvl w:val="0"/>
                <w:numId w:val="1"/>
              </w:numPr>
              <w:jc w:val="both"/>
              <w:rPr>
                <w:color w:val="000000"/>
                <w:sz w:val="20"/>
                <w:szCs w:val="20"/>
              </w:rPr>
            </w:pPr>
            <w:r>
              <w:rPr>
                <w:rFonts w:hint="eastAsia"/>
                <w:color w:val="000000"/>
                <w:sz w:val="20"/>
                <w:szCs w:val="20"/>
              </w:rPr>
              <w:t>失语症及构音障碍的定义；</w:t>
            </w:r>
          </w:p>
          <w:p w14:paraId="0FB7E30E">
            <w:pPr>
              <w:widowControl w:val="0"/>
              <w:numPr>
                <w:ilvl w:val="0"/>
                <w:numId w:val="1"/>
              </w:numPr>
              <w:jc w:val="both"/>
              <w:rPr>
                <w:color w:val="000000"/>
                <w:sz w:val="20"/>
                <w:szCs w:val="20"/>
              </w:rPr>
            </w:pPr>
            <w:r>
              <w:rPr>
                <w:rFonts w:hint="eastAsia"/>
                <w:color w:val="000000"/>
                <w:sz w:val="20"/>
                <w:szCs w:val="20"/>
              </w:rPr>
              <w:t>知道神经肌肉电诊断的应用；</w:t>
            </w:r>
          </w:p>
        </w:tc>
        <w:tc>
          <w:tcPr>
            <w:tcW w:w="2268" w:type="dxa"/>
          </w:tcPr>
          <w:p w14:paraId="750B37C8">
            <w:pPr>
              <w:widowControl w:val="0"/>
              <w:numPr>
                <w:ilvl w:val="0"/>
                <w:numId w:val="2"/>
              </w:numPr>
              <w:snapToGrid w:val="0"/>
              <w:spacing w:line="288" w:lineRule="auto"/>
              <w:rPr>
                <w:color w:val="000000"/>
                <w:sz w:val="20"/>
                <w:szCs w:val="20"/>
              </w:rPr>
            </w:pPr>
            <w:r>
              <w:rPr>
                <w:rFonts w:hint="eastAsia"/>
                <w:color w:val="000000"/>
                <w:sz w:val="20"/>
                <w:szCs w:val="20"/>
              </w:rPr>
              <w:t>理解肌力、肌张力、平衡和协调评定的分类及方法</w:t>
            </w:r>
          </w:p>
          <w:p w14:paraId="4D4A3403">
            <w:pPr>
              <w:widowControl w:val="0"/>
              <w:numPr>
                <w:ilvl w:val="0"/>
                <w:numId w:val="2"/>
              </w:numPr>
              <w:snapToGrid w:val="0"/>
              <w:spacing w:line="288" w:lineRule="auto"/>
              <w:rPr>
                <w:color w:val="000000"/>
                <w:sz w:val="20"/>
                <w:szCs w:val="20"/>
              </w:rPr>
            </w:pPr>
            <w:r>
              <w:rPr>
                <w:rFonts w:hint="eastAsia"/>
                <w:color w:val="000000"/>
                <w:sz w:val="20"/>
                <w:szCs w:val="20"/>
              </w:rPr>
              <w:t>中枢神经及周围神经损伤出现的异常步态</w:t>
            </w:r>
          </w:p>
          <w:p w14:paraId="5C90D254">
            <w:pPr>
              <w:widowControl w:val="0"/>
              <w:numPr>
                <w:ilvl w:val="0"/>
                <w:numId w:val="2"/>
              </w:numPr>
              <w:snapToGrid w:val="0"/>
              <w:spacing w:line="288" w:lineRule="auto"/>
              <w:rPr>
                <w:color w:val="000000"/>
                <w:sz w:val="20"/>
                <w:szCs w:val="20"/>
              </w:rPr>
            </w:pPr>
            <w:r>
              <w:rPr>
                <w:rFonts w:hint="eastAsia"/>
                <w:color w:val="000000"/>
                <w:sz w:val="20"/>
                <w:szCs w:val="20"/>
              </w:rPr>
              <w:t>心功能评定的分类及方法</w:t>
            </w:r>
          </w:p>
          <w:p w14:paraId="2436C767">
            <w:pPr>
              <w:widowControl w:val="0"/>
              <w:numPr>
                <w:ilvl w:val="0"/>
                <w:numId w:val="2"/>
              </w:numPr>
              <w:snapToGrid w:val="0"/>
              <w:spacing w:line="288" w:lineRule="auto"/>
              <w:rPr>
                <w:color w:val="000000"/>
                <w:sz w:val="20"/>
                <w:szCs w:val="20"/>
              </w:rPr>
            </w:pPr>
            <w:r>
              <w:rPr>
                <w:rFonts w:hint="eastAsia"/>
                <w:color w:val="000000"/>
                <w:sz w:val="20"/>
                <w:szCs w:val="20"/>
              </w:rPr>
              <w:t>失语症的评定方法</w:t>
            </w:r>
          </w:p>
        </w:tc>
        <w:tc>
          <w:tcPr>
            <w:tcW w:w="1342" w:type="dxa"/>
          </w:tcPr>
          <w:p w14:paraId="636ACB7E">
            <w:pPr>
              <w:rPr>
                <w:sz w:val="20"/>
                <w:szCs w:val="20"/>
              </w:rPr>
            </w:pPr>
            <w:r>
              <w:rPr>
                <w:rFonts w:hint="eastAsia"/>
                <w:sz w:val="20"/>
                <w:szCs w:val="20"/>
              </w:rPr>
              <w:t>具有主动保护病人安全，关爱病人的能力；具有团队合作意识</w:t>
            </w:r>
          </w:p>
        </w:tc>
        <w:tc>
          <w:tcPr>
            <w:tcW w:w="1500" w:type="dxa"/>
          </w:tcPr>
          <w:p w14:paraId="04C3EA2A">
            <w:pPr>
              <w:rPr>
                <w:color w:val="000000"/>
                <w:sz w:val="20"/>
                <w:szCs w:val="20"/>
              </w:rPr>
            </w:pPr>
            <w:r>
              <w:rPr>
                <w:rFonts w:hint="eastAsia"/>
                <w:color w:val="000000"/>
                <w:sz w:val="20"/>
                <w:szCs w:val="20"/>
              </w:rPr>
              <w:t>重点：运动功能评定的方法及注意事项；失语症的评定</w:t>
            </w:r>
          </w:p>
          <w:p w14:paraId="0B9429EA">
            <w:pPr>
              <w:snapToGrid w:val="0"/>
              <w:spacing w:line="288" w:lineRule="auto"/>
              <w:rPr>
                <w:color w:val="000000"/>
                <w:sz w:val="20"/>
                <w:szCs w:val="20"/>
              </w:rPr>
            </w:pPr>
            <w:r>
              <w:rPr>
                <w:rFonts w:hint="eastAsia"/>
                <w:color w:val="000000"/>
                <w:sz w:val="20"/>
                <w:szCs w:val="20"/>
              </w:rPr>
              <w:t>难点：中枢神经及周围神经损伤出现的异常步态</w:t>
            </w:r>
          </w:p>
          <w:p w14:paraId="619A291A">
            <w:pPr>
              <w:rPr>
                <w:color w:val="000000"/>
                <w:sz w:val="20"/>
                <w:szCs w:val="20"/>
              </w:rPr>
            </w:pPr>
          </w:p>
        </w:tc>
      </w:tr>
      <w:tr w14:paraId="7E5E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1B2E34B">
            <w:pPr>
              <w:snapToGrid w:val="0"/>
              <w:spacing w:line="288" w:lineRule="auto"/>
              <w:jc w:val="center"/>
              <w:rPr>
                <w:color w:val="000000"/>
                <w:sz w:val="20"/>
                <w:szCs w:val="20"/>
              </w:rPr>
            </w:pPr>
            <w:r>
              <w:rPr>
                <w:rFonts w:hint="eastAsia"/>
                <w:color w:val="000000"/>
                <w:sz w:val="20"/>
                <w:szCs w:val="20"/>
              </w:rPr>
              <w:t>4</w:t>
            </w:r>
          </w:p>
        </w:tc>
        <w:tc>
          <w:tcPr>
            <w:tcW w:w="696" w:type="dxa"/>
            <w:vAlign w:val="center"/>
          </w:tcPr>
          <w:p w14:paraId="51020CF2">
            <w:pPr>
              <w:snapToGrid w:val="0"/>
              <w:spacing w:line="288" w:lineRule="auto"/>
              <w:rPr>
                <w:color w:val="000000"/>
                <w:sz w:val="20"/>
                <w:szCs w:val="20"/>
              </w:rPr>
            </w:pPr>
          </w:p>
          <w:p w14:paraId="6F0427A7">
            <w:pPr>
              <w:rPr>
                <w:color w:val="000000"/>
                <w:sz w:val="20"/>
                <w:szCs w:val="20"/>
              </w:rPr>
            </w:pPr>
            <w:r>
              <w:rPr>
                <w:rFonts w:hint="eastAsia"/>
                <w:color w:val="000000"/>
                <w:sz w:val="20"/>
                <w:szCs w:val="20"/>
              </w:rPr>
              <w:t>康复护理评定</w:t>
            </w:r>
          </w:p>
        </w:tc>
        <w:tc>
          <w:tcPr>
            <w:tcW w:w="2270" w:type="dxa"/>
          </w:tcPr>
          <w:p w14:paraId="7C19048D">
            <w:pPr>
              <w:numPr>
                <w:ilvl w:val="0"/>
                <w:numId w:val="3"/>
              </w:numPr>
              <w:jc w:val="both"/>
              <w:rPr>
                <w:color w:val="000000"/>
                <w:sz w:val="20"/>
                <w:szCs w:val="20"/>
              </w:rPr>
            </w:pPr>
            <w:r>
              <w:rPr>
                <w:rFonts w:hint="eastAsia"/>
                <w:color w:val="000000"/>
                <w:sz w:val="20"/>
                <w:szCs w:val="20"/>
              </w:rPr>
              <w:t>知道疼痛评定的定义</w:t>
            </w:r>
          </w:p>
          <w:p w14:paraId="40DD340B">
            <w:pPr>
              <w:numPr>
                <w:ilvl w:val="0"/>
                <w:numId w:val="3"/>
              </w:numPr>
              <w:jc w:val="both"/>
              <w:rPr>
                <w:color w:val="000000"/>
                <w:sz w:val="20"/>
                <w:szCs w:val="20"/>
              </w:rPr>
            </w:pPr>
            <w:r>
              <w:rPr>
                <w:rFonts w:hint="eastAsia"/>
                <w:color w:val="000000"/>
                <w:sz w:val="20"/>
                <w:szCs w:val="20"/>
              </w:rPr>
              <w:t>日常生活活动能力的评定</w:t>
            </w:r>
          </w:p>
        </w:tc>
        <w:tc>
          <w:tcPr>
            <w:tcW w:w="2268" w:type="dxa"/>
          </w:tcPr>
          <w:p w14:paraId="676BFF35">
            <w:pPr>
              <w:rPr>
                <w:color w:val="000000"/>
                <w:sz w:val="20"/>
                <w:szCs w:val="20"/>
              </w:rPr>
            </w:pPr>
            <w:r>
              <w:rPr>
                <w:rFonts w:hint="eastAsia"/>
                <w:color w:val="000000"/>
                <w:sz w:val="20"/>
                <w:szCs w:val="20"/>
              </w:rPr>
              <w:t>1.运用不同的量表评估日常生活活动能力</w:t>
            </w:r>
          </w:p>
        </w:tc>
        <w:tc>
          <w:tcPr>
            <w:tcW w:w="1342" w:type="dxa"/>
          </w:tcPr>
          <w:p w14:paraId="609FC426">
            <w:pPr>
              <w:rPr>
                <w:sz w:val="20"/>
                <w:szCs w:val="20"/>
              </w:rPr>
            </w:pPr>
            <w:r>
              <w:rPr>
                <w:rFonts w:hint="eastAsia"/>
                <w:sz w:val="20"/>
                <w:szCs w:val="20"/>
              </w:rPr>
              <w:t>具有主动保护病人安全，关爱病人的能力；具有团队合作意识</w:t>
            </w:r>
          </w:p>
        </w:tc>
        <w:tc>
          <w:tcPr>
            <w:tcW w:w="1500" w:type="dxa"/>
          </w:tcPr>
          <w:p w14:paraId="2C57C252">
            <w:pPr>
              <w:rPr>
                <w:color w:val="000000"/>
                <w:sz w:val="20"/>
                <w:szCs w:val="20"/>
              </w:rPr>
            </w:pPr>
            <w:r>
              <w:rPr>
                <w:rFonts w:hint="eastAsia"/>
                <w:color w:val="000000"/>
                <w:sz w:val="20"/>
                <w:szCs w:val="20"/>
              </w:rPr>
              <w:t>重点：正确运用量表评估ADL能力</w:t>
            </w:r>
          </w:p>
        </w:tc>
      </w:tr>
      <w:tr w14:paraId="1A7D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05C07467">
            <w:pPr>
              <w:snapToGrid w:val="0"/>
              <w:spacing w:line="288" w:lineRule="auto"/>
              <w:jc w:val="center"/>
              <w:rPr>
                <w:color w:val="000000"/>
                <w:sz w:val="20"/>
                <w:szCs w:val="20"/>
              </w:rPr>
            </w:pPr>
            <w:r>
              <w:rPr>
                <w:rFonts w:hint="eastAsia"/>
                <w:color w:val="000000"/>
                <w:sz w:val="20"/>
                <w:szCs w:val="20"/>
              </w:rPr>
              <w:t>5</w:t>
            </w:r>
          </w:p>
        </w:tc>
        <w:tc>
          <w:tcPr>
            <w:tcW w:w="696" w:type="dxa"/>
            <w:vAlign w:val="center"/>
          </w:tcPr>
          <w:p w14:paraId="01BFA961">
            <w:pPr>
              <w:rPr>
                <w:color w:val="000000"/>
                <w:sz w:val="20"/>
                <w:szCs w:val="20"/>
              </w:rPr>
            </w:pPr>
            <w:r>
              <w:rPr>
                <w:rFonts w:hint="eastAsia"/>
                <w:color w:val="000000"/>
                <w:sz w:val="20"/>
                <w:szCs w:val="20"/>
              </w:rPr>
              <w:t>常用康复治疗技术</w:t>
            </w:r>
          </w:p>
        </w:tc>
        <w:tc>
          <w:tcPr>
            <w:tcW w:w="2270" w:type="dxa"/>
          </w:tcPr>
          <w:p w14:paraId="7B32B589">
            <w:pPr>
              <w:rPr>
                <w:color w:val="000000"/>
                <w:sz w:val="20"/>
                <w:szCs w:val="20"/>
              </w:rPr>
            </w:pPr>
            <w:r>
              <w:rPr>
                <w:rFonts w:hint="eastAsia"/>
                <w:color w:val="000000"/>
                <w:sz w:val="20"/>
                <w:szCs w:val="20"/>
              </w:rPr>
              <w:t>1.知道物理治疗、作业治疗、言语治疗的基本概念</w:t>
            </w:r>
          </w:p>
        </w:tc>
        <w:tc>
          <w:tcPr>
            <w:tcW w:w="2268" w:type="dxa"/>
          </w:tcPr>
          <w:p w14:paraId="0731E12D">
            <w:pPr>
              <w:rPr>
                <w:color w:val="000000"/>
                <w:sz w:val="20"/>
                <w:szCs w:val="20"/>
              </w:rPr>
            </w:pPr>
            <w:r>
              <w:rPr>
                <w:rFonts w:hint="eastAsia"/>
                <w:color w:val="000000"/>
                <w:sz w:val="20"/>
                <w:szCs w:val="20"/>
              </w:rPr>
              <w:t>1．学会康复辅助器具的使用指导：概念、辅助器具配置原则、分类与使用</w:t>
            </w:r>
          </w:p>
        </w:tc>
        <w:tc>
          <w:tcPr>
            <w:tcW w:w="1342" w:type="dxa"/>
          </w:tcPr>
          <w:p w14:paraId="6F6A7608">
            <w:pPr>
              <w:rPr>
                <w:sz w:val="20"/>
                <w:szCs w:val="20"/>
              </w:rPr>
            </w:pPr>
            <w:r>
              <w:rPr>
                <w:rFonts w:hint="eastAsia"/>
                <w:sz w:val="20"/>
                <w:szCs w:val="20"/>
              </w:rPr>
              <w:t>具有主动保护病人安全，关爱病人的能力；具有团队合作意识。</w:t>
            </w:r>
          </w:p>
        </w:tc>
        <w:tc>
          <w:tcPr>
            <w:tcW w:w="1500" w:type="dxa"/>
          </w:tcPr>
          <w:p w14:paraId="1C4171CC">
            <w:pPr>
              <w:rPr>
                <w:color w:val="000000"/>
                <w:sz w:val="20"/>
                <w:szCs w:val="20"/>
              </w:rPr>
            </w:pPr>
            <w:r>
              <w:rPr>
                <w:rFonts w:hint="eastAsia"/>
                <w:color w:val="000000"/>
                <w:sz w:val="20"/>
                <w:szCs w:val="20"/>
              </w:rPr>
              <w:t>难点：康复器具的使用指导</w:t>
            </w:r>
          </w:p>
        </w:tc>
      </w:tr>
      <w:tr w14:paraId="351A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5E7D185">
            <w:pPr>
              <w:rPr>
                <w:color w:val="000000"/>
                <w:sz w:val="20"/>
                <w:szCs w:val="20"/>
              </w:rPr>
            </w:pPr>
            <w:r>
              <w:rPr>
                <w:rFonts w:hint="eastAsia"/>
                <w:color w:val="000000"/>
                <w:sz w:val="20"/>
                <w:szCs w:val="20"/>
              </w:rPr>
              <w:t>6</w:t>
            </w:r>
          </w:p>
        </w:tc>
        <w:tc>
          <w:tcPr>
            <w:tcW w:w="696" w:type="dxa"/>
            <w:vAlign w:val="center"/>
          </w:tcPr>
          <w:p w14:paraId="72F17CB0">
            <w:pPr>
              <w:rPr>
                <w:color w:val="000000"/>
                <w:sz w:val="20"/>
                <w:szCs w:val="20"/>
              </w:rPr>
            </w:pPr>
            <w:r>
              <w:rPr>
                <w:rFonts w:hint="eastAsia"/>
                <w:color w:val="000000"/>
                <w:sz w:val="20"/>
                <w:szCs w:val="20"/>
              </w:rPr>
              <w:t>常用康复护理技术</w:t>
            </w:r>
          </w:p>
        </w:tc>
        <w:tc>
          <w:tcPr>
            <w:tcW w:w="2270" w:type="dxa"/>
          </w:tcPr>
          <w:p w14:paraId="1431A650">
            <w:pPr>
              <w:numPr>
                <w:ilvl w:val="0"/>
                <w:numId w:val="4"/>
              </w:numPr>
              <w:jc w:val="both"/>
              <w:rPr>
                <w:color w:val="000000"/>
                <w:sz w:val="20"/>
                <w:szCs w:val="20"/>
              </w:rPr>
            </w:pPr>
            <w:r>
              <w:rPr>
                <w:rFonts w:hint="eastAsia"/>
                <w:color w:val="000000"/>
                <w:sz w:val="20"/>
                <w:szCs w:val="20"/>
              </w:rPr>
              <w:t>知道体位与转移的概念及其作用</w:t>
            </w:r>
          </w:p>
          <w:p w14:paraId="7CE8ECFE">
            <w:pPr>
              <w:rPr>
                <w:color w:val="000000"/>
                <w:sz w:val="20"/>
                <w:szCs w:val="20"/>
              </w:rPr>
            </w:pPr>
            <w:r>
              <w:rPr>
                <w:rFonts w:hint="eastAsia"/>
                <w:color w:val="000000"/>
                <w:sz w:val="20"/>
                <w:szCs w:val="20"/>
              </w:rPr>
              <w:t>知道康复心理护理：概述、护理原则、实施</w:t>
            </w:r>
          </w:p>
        </w:tc>
        <w:tc>
          <w:tcPr>
            <w:tcW w:w="2268" w:type="dxa"/>
          </w:tcPr>
          <w:p w14:paraId="3F6D8331">
            <w:pPr>
              <w:rPr>
                <w:color w:val="000000"/>
                <w:sz w:val="20"/>
                <w:szCs w:val="20"/>
              </w:rPr>
            </w:pPr>
            <w:r>
              <w:rPr>
                <w:rFonts w:hint="eastAsia"/>
                <w:color w:val="000000"/>
                <w:sz w:val="20"/>
                <w:szCs w:val="20"/>
              </w:rPr>
              <w:t>1.学会正确体位的摆放：概念、基本原则、应用</w:t>
            </w:r>
          </w:p>
          <w:p w14:paraId="370A2A3E">
            <w:pPr>
              <w:rPr>
                <w:color w:val="000000"/>
                <w:sz w:val="20"/>
                <w:szCs w:val="20"/>
              </w:rPr>
            </w:pPr>
            <w:r>
              <w:rPr>
                <w:rFonts w:hint="eastAsia"/>
                <w:color w:val="000000"/>
                <w:sz w:val="20"/>
                <w:szCs w:val="20"/>
              </w:rPr>
              <w:t>2．学会体位转移技术：概念、基本原则、应用</w:t>
            </w:r>
          </w:p>
          <w:p w14:paraId="3A06DFFD">
            <w:pPr>
              <w:rPr>
                <w:color w:val="000000"/>
                <w:sz w:val="20"/>
                <w:szCs w:val="20"/>
              </w:rPr>
            </w:pPr>
            <w:r>
              <w:rPr>
                <w:rFonts w:hint="eastAsia"/>
                <w:color w:val="000000"/>
                <w:sz w:val="20"/>
                <w:szCs w:val="20"/>
              </w:rPr>
              <w:t>3.学会吞咽障碍的康复护理</w:t>
            </w:r>
          </w:p>
        </w:tc>
        <w:tc>
          <w:tcPr>
            <w:tcW w:w="1342" w:type="dxa"/>
          </w:tcPr>
          <w:p w14:paraId="76E26D22">
            <w:pPr>
              <w:rPr>
                <w:sz w:val="20"/>
                <w:szCs w:val="20"/>
              </w:rPr>
            </w:pPr>
            <w:r>
              <w:rPr>
                <w:rFonts w:hint="eastAsia"/>
                <w:sz w:val="20"/>
                <w:szCs w:val="20"/>
              </w:rPr>
              <w:t>具有关心麻醉病人心理和尊重其病人隐私的态度和行为</w:t>
            </w:r>
            <w:r>
              <w:rPr>
                <w:sz w:val="20"/>
                <w:szCs w:val="20"/>
              </w:rPr>
              <w:t xml:space="preserve"> </w:t>
            </w:r>
          </w:p>
        </w:tc>
        <w:tc>
          <w:tcPr>
            <w:tcW w:w="1500" w:type="dxa"/>
          </w:tcPr>
          <w:p w14:paraId="35D9E27C">
            <w:pPr>
              <w:rPr>
                <w:color w:val="000000"/>
                <w:sz w:val="20"/>
                <w:szCs w:val="20"/>
              </w:rPr>
            </w:pPr>
            <w:r>
              <w:rPr>
                <w:rFonts w:hint="eastAsia"/>
                <w:color w:val="000000"/>
                <w:sz w:val="20"/>
                <w:szCs w:val="20"/>
              </w:rPr>
              <w:t>重点：体位摆放技术和体位转移技术</w:t>
            </w:r>
          </w:p>
          <w:p w14:paraId="413EE2F0">
            <w:pPr>
              <w:rPr>
                <w:color w:val="000000"/>
                <w:sz w:val="20"/>
                <w:szCs w:val="20"/>
              </w:rPr>
            </w:pPr>
            <w:r>
              <w:rPr>
                <w:rFonts w:hint="eastAsia"/>
                <w:color w:val="000000"/>
                <w:sz w:val="20"/>
                <w:szCs w:val="20"/>
              </w:rPr>
              <w:t>难点：康复心理护理的实施</w:t>
            </w:r>
          </w:p>
        </w:tc>
      </w:tr>
      <w:tr w14:paraId="23DE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5F9BA3B">
            <w:pPr>
              <w:rPr>
                <w:color w:val="000000"/>
                <w:sz w:val="20"/>
                <w:szCs w:val="20"/>
              </w:rPr>
            </w:pPr>
            <w:r>
              <w:rPr>
                <w:rFonts w:hint="eastAsia"/>
                <w:color w:val="000000"/>
                <w:sz w:val="20"/>
                <w:szCs w:val="20"/>
              </w:rPr>
              <w:t>7</w:t>
            </w:r>
          </w:p>
        </w:tc>
        <w:tc>
          <w:tcPr>
            <w:tcW w:w="696" w:type="dxa"/>
            <w:vAlign w:val="center"/>
          </w:tcPr>
          <w:p w14:paraId="53D44CAB">
            <w:pPr>
              <w:rPr>
                <w:color w:val="000000"/>
                <w:sz w:val="20"/>
                <w:szCs w:val="20"/>
              </w:rPr>
            </w:pPr>
            <w:r>
              <w:rPr>
                <w:rFonts w:hint="eastAsia"/>
                <w:color w:val="000000"/>
                <w:sz w:val="20"/>
                <w:szCs w:val="20"/>
              </w:rPr>
              <w:t>常见神经疾病病人的康复护理</w:t>
            </w:r>
          </w:p>
        </w:tc>
        <w:tc>
          <w:tcPr>
            <w:tcW w:w="2270" w:type="dxa"/>
          </w:tcPr>
          <w:p w14:paraId="664A7709">
            <w:pPr>
              <w:numPr>
                <w:ilvl w:val="0"/>
                <w:numId w:val="5"/>
              </w:numPr>
              <w:jc w:val="both"/>
              <w:rPr>
                <w:color w:val="000000"/>
                <w:sz w:val="20"/>
                <w:szCs w:val="20"/>
              </w:rPr>
            </w:pPr>
            <w:r>
              <w:rPr>
                <w:rFonts w:hint="eastAsia"/>
                <w:color w:val="000000"/>
                <w:sz w:val="20"/>
                <w:szCs w:val="20"/>
              </w:rPr>
              <w:t>知道神经功能障碍的表现</w:t>
            </w:r>
          </w:p>
          <w:p w14:paraId="6288218D">
            <w:pPr>
              <w:rPr>
                <w:color w:val="000000"/>
                <w:sz w:val="20"/>
                <w:szCs w:val="20"/>
              </w:rPr>
            </w:pPr>
            <w:r>
              <w:rPr>
                <w:rFonts w:hint="eastAsia"/>
                <w:color w:val="000000"/>
                <w:sz w:val="20"/>
                <w:szCs w:val="20"/>
              </w:rPr>
              <w:t>2．知道脊髓损伤：康复护理评估、康复护理措施、健康教育</w:t>
            </w:r>
          </w:p>
          <w:p w14:paraId="4EC8C651">
            <w:pPr>
              <w:rPr>
                <w:color w:val="000000"/>
                <w:sz w:val="20"/>
                <w:szCs w:val="20"/>
              </w:rPr>
            </w:pPr>
          </w:p>
        </w:tc>
        <w:tc>
          <w:tcPr>
            <w:tcW w:w="2268" w:type="dxa"/>
          </w:tcPr>
          <w:p w14:paraId="6A59F094">
            <w:pPr>
              <w:rPr>
                <w:color w:val="000000"/>
                <w:sz w:val="20"/>
                <w:szCs w:val="20"/>
              </w:rPr>
            </w:pPr>
            <w:r>
              <w:rPr>
                <w:rFonts w:hint="eastAsia"/>
                <w:color w:val="000000"/>
                <w:sz w:val="20"/>
                <w:szCs w:val="20"/>
              </w:rPr>
              <w:t>1．学会脑卒中患者的康复护理要点。</w:t>
            </w:r>
          </w:p>
          <w:p w14:paraId="39C01323">
            <w:pPr>
              <w:rPr>
                <w:color w:val="000000"/>
                <w:sz w:val="20"/>
                <w:szCs w:val="20"/>
              </w:rPr>
            </w:pPr>
            <w:r>
              <w:rPr>
                <w:rFonts w:hint="eastAsia"/>
                <w:color w:val="000000"/>
                <w:sz w:val="20"/>
                <w:szCs w:val="20"/>
              </w:rPr>
              <w:t>2．学会颅脑损伤患者的康复护理要点；</w:t>
            </w:r>
          </w:p>
        </w:tc>
        <w:tc>
          <w:tcPr>
            <w:tcW w:w="1342" w:type="dxa"/>
          </w:tcPr>
          <w:p w14:paraId="507E32AC">
            <w:pPr>
              <w:rPr>
                <w:sz w:val="20"/>
                <w:szCs w:val="20"/>
              </w:rPr>
            </w:pPr>
            <w:r>
              <w:rPr>
                <w:rFonts w:hint="eastAsia"/>
                <w:sz w:val="20"/>
                <w:szCs w:val="20"/>
              </w:rPr>
              <w:t>具有关心</w:t>
            </w:r>
            <w:r>
              <w:rPr>
                <w:rFonts w:hint="eastAsia"/>
                <w:color w:val="000000"/>
                <w:sz w:val="20"/>
                <w:szCs w:val="20"/>
              </w:rPr>
              <w:t>神经疾病病人</w:t>
            </w:r>
            <w:r>
              <w:rPr>
                <w:rFonts w:hint="eastAsia"/>
                <w:sz w:val="20"/>
                <w:szCs w:val="20"/>
              </w:rPr>
              <w:t>心理和保护患者尊严的态度和行为。</w:t>
            </w:r>
          </w:p>
        </w:tc>
        <w:tc>
          <w:tcPr>
            <w:tcW w:w="1500" w:type="dxa"/>
          </w:tcPr>
          <w:p w14:paraId="1AAC904E">
            <w:pPr>
              <w:rPr>
                <w:color w:val="000000"/>
                <w:sz w:val="20"/>
                <w:szCs w:val="20"/>
              </w:rPr>
            </w:pPr>
            <w:r>
              <w:rPr>
                <w:rFonts w:hint="eastAsia"/>
                <w:color w:val="000000"/>
                <w:sz w:val="20"/>
                <w:szCs w:val="20"/>
              </w:rPr>
              <w:t>重点：脑卒中患者的康复护理要点</w:t>
            </w:r>
          </w:p>
          <w:p w14:paraId="00CC168D">
            <w:pPr>
              <w:rPr>
                <w:color w:val="000000"/>
                <w:sz w:val="20"/>
                <w:szCs w:val="20"/>
              </w:rPr>
            </w:pPr>
            <w:r>
              <w:rPr>
                <w:rFonts w:hint="eastAsia"/>
                <w:color w:val="000000"/>
                <w:sz w:val="20"/>
                <w:szCs w:val="20"/>
              </w:rPr>
              <w:t>难点：颅脑损伤患者的康复护理要点</w:t>
            </w:r>
          </w:p>
        </w:tc>
      </w:tr>
      <w:tr w14:paraId="4387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0649346">
            <w:pPr>
              <w:rPr>
                <w:color w:val="000000"/>
                <w:sz w:val="20"/>
                <w:szCs w:val="20"/>
              </w:rPr>
            </w:pPr>
            <w:r>
              <w:rPr>
                <w:rFonts w:hint="eastAsia"/>
                <w:color w:val="000000"/>
                <w:sz w:val="20"/>
                <w:szCs w:val="20"/>
              </w:rPr>
              <w:t>8</w:t>
            </w:r>
          </w:p>
        </w:tc>
        <w:tc>
          <w:tcPr>
            <w:tcW w:w="696" w:type="dxa"/>
            <w:vAlign w:val="center"/>
          </w:tcPr>
          <w:p w14:paraId="05B7ADC5">
            <w:pPr>
              <w:rPr>
                <w:color w:val="000000"/>
                <w:sz w:val="20"/>
                <w:szCs w:val="20"/>
              </w:rPr>
            </w:pPr>
            <w:r>
              <w:rPr>
                <w:rFonts w:hint="eastAsia"/>
                <w:color w:val="000000"/>
                <w:sz w:val="20"/>
                <w:szCs w:val="20"/>
              </w:rPr>
              <w:t>常见肌肉骨骼疾病病人康复护理</w:t>
            </w:r>
          </w:p>
          <w:p w14:paraId="336A0A2A">
            <w:pPr>
              <w:rPr>
                <w:color w:val="000000"/>
                <w:sz w:val="20"/>
                <w:szCs w:val="20"/>
              </w:rPr>
            </w:pPr>
          </w:p>
        </w:tc>
        <w:tc>
          <w:tcPr>
            <w:tcW w:w="2270" w:type="dxa"/>
          </w:tcPr>
          <w:p w14:paraId="5C1C8E11">
            <w:pPr>
              <w:rPr>
                <w:color w:val="000000"/>
                <w:sz w:val="20"/>
                <w:szCs w:val="20"/>
              </w:rPr>
            </w:pPr>
            <w:r>
              <w:rPr>
                <w:rFonts w:hint="eastAsia"/>
                <w:color w:val="000000"/>
                <w:sz w:val="20"/>
                <w:szCs w:val="20"/>
              </w:rPr>
              <w:t>1．知道颈椎病：康复护理评估、康复护理措施、健康教育</w:t>
            </w:r>
          </w:p>
          <w:p w14:paraId="264E9DF4">
            <w:pPr>
              <w:rPr>
                <w:color w:val="000000"/>
                <w:sz w:val="20"/>
                <w:szCs w:val="20"/>
              </w:rPr>
            </w:pPr>
            <w:r>
              <w:rPr>
                <w:rFonts w:hint="eastAsia"/>
                <w:color w:val="000000"/>
                <w:sz w:val="20"/>
                <w:szCs w:val="20"/>
              </w:rPr>
              <w:t>2．知道常见疾病的康复护理评估。</w:t>
            </w:r>
          </w:p>
          <w:p w14:paraId="5D0504DD">
            <w:pPr>
              <w:rPr>
                <w:color w:val="000000"/>
                <w:sz w:val="20"/>
                <w:szCs w:val="20"/>
              </w:rPr>
            </w:pPr>
            <w:r>
              <w:rPr>
                <w:rFonts w:hint="eastAsia"/>
                <w:color w:val="000000"/>
                <w:sz w:val="20"/>
                <w:szCs w:val="20"/>
              </w:rPr>
              <w:t>．知道腰突症：康复护理评估、康复护理措施、健康教育</w:t>
            </w:r>
          </w:p>
          <w:p w14:paraId="3028257F">
            <w:pPr>
              <w:rPr>
                <w:color w:val="000000"/>
                <w:sz w:val="20"/>
                <w:szCs w:val="20"/>
              </w:rPr>
            </w:pPr>
          </w:p>
        </w:tc>
        <w:tc>
          <w:tcPr>
            <w:tcW w:w="2268" w:type="dxa"/>
          </w:tcPr>
          <w:p w14:paraId="58D5A431">
            <w:pPr>
              <w:rPr>
                <w:color w:val="000000"/>
                <w:sz w:val="20"/>
                <w:szCs w:val="20"/>
              </w:rPr>
            </w:pPr>
            <w:r>
              <w:rPr>
                <w:rFonts w:hint="eastAsia"/>
                <w:color w:val="000000"/>
                <w:sz w:val="20"/>
                <w:szCs w:val="20"/>
              </w:rPr>
              <w:t>1．学会常见疾病的康复护理措施。</w:t>
            </w:r>
          </w:p>
          <w:p w14:paraId="352F071F">
            <w:pPr>
              <w:rPr>
                <w:color w:val="000000"/>
                <w:sz w:val="20"/>
                <w:szCs w:val="20"/>
              </w:rPr>
            </w:pPr>
            <w:r>
              <w:rPr>
                <w:rFonts w:hint="eastAsia"/>
                <w:color w:val="000000"/>
                <w:sz w:val="20"/>
                <w:szCs w:val="20"/>
              </w:rPr>
              <w:t>2．学会常见疾病康复护理过程中的健康教育。</w:t>
            </w:r>
          </w:p>
          <w:p w14:paraId="0D3438C6">
            <w:pPr>
              <w:rPr>
                <w:color w:val="000000"/>
                <w:sz w:val="20"/>
                <w:szCs w:val="20"/>
              </w:rPr>
            </w:pPr>
          </w:p>
        </w:tc>
        <w:tc>
          <w:tcPr>
            <w:tcW w:w="1342" w:type="dxa"/>
          </w:tcPr>
          <w:p w14:paraId="0129311F">
            <w:pPr>
              <w:rPr>
                <w:sz w:val="20"/>
                <w:szCs w:val="20"/>
              </w:rPr>
            </w:pPr>
            <w:r>
              <w:rPr>
                <w:rFonts w:hint="eastAsia"/>
                <w:sz w:val="20"/>
                <w:szCs w:val="20"/>
              </w:rPr>
              <w:t>具有关心肌肉骨骼疾病病人心理和尊重病人隐私的态度和行为</w:t>
            </w:r>
          </w:p>
        </w:tc>
        <w:tc>
          <w:tcPr>
            <w:tcW w:w="1500" w:type="dxa"/>
          </w:tcPr>
          <w:p w14:paraId="1F127C5A">
            <w:pPr>
              <w:rPr>
                <w:color w:val="000000"/>
                <w:sz w:val="20"/>
                <w:szCs w:val="20"/>
              </w:rPr>
            </w:pPr>
            <w:r>
              <w:rPr>
                <w:rFonts w:hint="eastAsia"/>
                <w:color w:val="000000"/>
                <w:sz w:val="20"/>
                <w:szCs w:val="20"/>
              </w:rPr>
              <w:t>重点：颈椎病患者的康复护理指导</w:t>
            </w:r>
          </w:p>
          <w:p w14:paraId="013260C3">
            <w:pPr>
              <w:rPr>
                <w:color w:val="000000"/>
                <w:sz w:val="20"/>
                <w:szCs w:val="20"/>
              </w:rPr>
            </w:pPr>
            <w:r>
              <w:rPr>
                <w:rFonts w:hint="eastAsia"/>
                <w:color w:val="000000"/>
                <w:sz w:val="20"/>
                <w:szCs w:val="20"/>
              </w:rPr>
              <w:t>难点：腰突症患者的康复护理指导</w:t>
            </w:r>
          </w:p>
        </w:tc>
      </w:tr>
      <w:tr w14:paraId="00DC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360" w:type="dxa"/>
            <w:vAlign w:val="center"/>
          </w:tcPr>
          <w:p w14:paraId="20557458">
            <w:pPr>
              <w:rPr>
                <w:color w:val="000000"/>
                <w:sz w:val="20"/>
                <w:szCs w:val="20"/>
              </w:rPr>
            </w:pPr>
            <w:r>
              <w:rPr>
                <w:rFonts w:hint="eastAsia"/>
                <w:color w:val="000000"/>
                <w:sz w:val="20"/>
                <w:szCs w:val="20"/>
              </w:rPr>
              <w:t>9</w:t>
            </w:r>
          </w:p>
        </w:tc>
        <w:tc>
          <w:tcPr>
            <w:tcW w:w="696" w:type="dxa"/>
            <w:vAlign w:val="center"/>
          </w:tcPr>
          <w:p w14:paraId="322A9BDA">
            <w:pPr>
              <w:rPr>
                <w:color w:val="000000"/>
                <w:sz w:val="20"/>
                <w:szCs w:val="20"/>
              </w:rPr>
            </w:pPr>
            <w:r>
              <w:rPr>
                <w:rFonts w:hint="eastAsia"/>
                <w:color w:val="000000"/>
                <w:sz w:val="20"/>
                <w:szCs w:val="20"/>
              </w:rPr>
              <w:t>常见呼吸疾病病人康复护理</w:t>
            </w:r>
          </w:p>
        </w:tc>
        <w:tc>
          <w:tcPr>
            <w:tcW w:w="2270" w:type="dxa"/>
          </w:tcPr>
          <w:p w14:paraId="7A931474">
            <w:pPr>
              <w:rPr>
                <w:color w:val="000000"/>
                <w:sz w:val="20"/>
                <w:szCs w:val="20"/>
              </w:rPr>
            </w:pPr>
            <w:r>
              <w:rPr>
                <w:rFonts w:hint="eastAsia"/>
                <w:color w:val="000000"/>
                <w:sz w:val="20"/>
                <w:szCs w:val="20"/>
              </w:rPr>
              <w:t>1．知道慢性阻塞性肺疾病：康复护理评估、康复护理措施、健康教育</w:t>
            </w:r>
          </w:p>
          <w:p w14:paraId="2F3000E5">
            <w:pPr>
              <w:rPr>
                <w:color w:val="000000"/>
                <w:sz w:val="20"/>
                <w:szCs w:val="20"/>
              </w:rPr>
            </w:pPr>
          </w:p>
        </w:tc>
        <w:tc>
          <w:tcPr>
            <w:tcW w:w="2268" w:type="dxa"/>
          </w:tcPr>
          <w:p w14:paraId="5B8AD909">
            <w:pPr>
              <w:rPr>
                <w:color w:val="000000"/>
                <w:sz w:val="20"/>
                <w:szCs w:val="20"/>
              </w:rPr>
            </w:pPr>
            <w:r>
              <w:rPr>
                <w:rFonts w:hint="eastAsia"/>
                <w:color w:val="000000"/>
                <w:sz w:val="20"/>
                <w:szCs w:val="20"/>
              </w:rPr>
              <w:t>1．学会常见疾病的康复护理措施。</w:t>
            </w:r>
          </w:p>
          <w:p w14:paraId="0053EE80">
            <w:pPr>
              <w:rPr>
                <w:color w:val="000000"/>
                <w:sz w:val="20"/>
                <w:szCs w:val="20"/>
              </w:rPr>
            </w:pPr>
            <w:r>
              <w:rPr>
                <w:rFonts w:hint="eastAsia"/>
                <w:color w:val="000000"/>
                <w:sz w:val="20"/>
                <w:szCs w:val="20"/>
              </w:rPr>
              <w:t>2．学会常见疾病康复护理过程中的健康教育。</w:t>
            </w:r>
          </w:p>
          <w:p w14:paraId="393D9F92">
            <w:pPr>
              <w:rPr>
                <w:color w:val="000000"/>
                <w:sz w:val="20"/>
                <w:szCs w:val="20"/>
              </w:rPr>
            </w:pPr>
            <w:r>
              <w:rPr>
                <w:rFonts w:hint="eastAsia"/>
                <w:color w:val="000000"/>
                <w:sz w:val="20"/>
                <w:szCs w:val="20"/>
              </w:rPr>
              <w:t>3．知道常见疾病的康复护理评估。</w:t>
            </w:r>
          </w:p>
          <w:p w14:paraId="34B4BE6A">
            <w:pPr>
              <w:rPr>
                <w:color w:val="000000"/>
                <w:sz w:val="20"/>
                <w:szCs w:val="20"/>
              </w:rPr>
            </w:pPr>
          </w:p>
        </w:tc>
        <w:tc>
          <w:tcPr>
            <w:tcW w:w="1342" w:type="dxa"/>
          </w:tcPr>
          <w:p w14:paraId="708E59B1">
            <w:pPr>
              <w:rPr>
                <w:sz w:val="20"/>
                <w:szCs w:val="20"/>
              </w:rPr>
            </w:pPr>
            <w:r>
              <w:rPr>
                <w:rFonts w:hint="eastAsia"/>
                <w:sz w:val="20"/>
                <w:szCs w:val="20"/>
              </w:rPr>
              <w:t>具有关心呼吸系统疾病病人心理和尊重病人隐私的态度和行为</w:t>
            </w:r>
          </w:p>
        </w:tc>
        <w:tc>
          <w:tcPr>
            <w:tcW w:w="1500" w:type="dxa"/>
          </w:tcPr>
          <w:p w14:paraId="1654F5FB">
            <w:pPr>
              <w:rPr>
                <w:color w:val="000000"/>
                <w:sz w:val="20"/>
                <w:szCs w:val="20"/>
              </w:rPr>
            </w:pPr>
            <w:r>
              <w:rPr>
                <w:rFonts w:hint="eastAsia"/>
                <w:color w:val="000000"/>
                <w:sz w:val="20"/>
                <w:szCs w:val="20"/>
              </w:rPr>
              <w:t>重点：慢阻肺患者的康复指导</w:t>
            </w:r>
          </w:p>
          <w:p w14:paraId="0A533A3F">
            <w:pPr>
              <w:rPr>
                <w:color w:val="000000"/>
                <w:sz w:val="20"/>
                <w:szCs w:val="20"/>
              </w:rPr>
            </w:pPr>
            <w:r>
              <w:rPr>
                <w:rFonts w:hint="eastAsia"/>
                <w:color w:val="000000"/>
                <w:sz w:val="20"/>
                <w:szCs w:val="20"/>
              </w:rPr>
              <w:t>难点：慢阻肺患者的康复护理</w:t>
            </w:r>
          </w:p>
        </w:tc>
      </w:tr>
      <w:tr w14:paraId="18EA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2D02E6E">
            <w:pPr>
              <w:rPr>
                <w:color w:val="000000"/>
                <w:sz w:val="20"/>
                <w:szCs w:val="20"/>
              </w:rPr>
            </w:pPr>
            <w:r>
              <w:rPr>
                <w:rFonts w:hint="eastAsia"/>
                <w:color w:val="000000"/>
                <w:sz w:val="20"/>
                <w:szCs w:val="20"/>
              </w:rPr>
              <w:t>10</w:t>
            </w:r>
          </w:p>
        </w:tc>
        <w:tc>
          <w:tcPr>
            <w:tcW w:w="696" w:type="dxa"/>
            <w:vAlign w:val="center"/>
          </w:tcPr>
          <w:p w14:paraId="1DD6D45A">
            <w:pPr>
              <w:rPr>
                <w:color w:val="000000"/>
                <w:sz w:val="20"/>
                <w:szCs w:val="20"/>
              </w:rPr>
            </w:pPr>
            <w:r>
              <w:rPr>
                <w:rFonts w:hint="eastAsia"/>
                <w:color w:val="000000"/>
                <w:sz w:val="20"/>
                <w:szCs w:val="20"/>
              </w:rPr>
              <w:t>常见心血管疾病病人康复护理</w:t>
            </w:r>
          </w:p>
        </w:tc>
        <w:tc>
          <w:tcPr>
            <w:tcW w:w="2270" w:type="dxa"/>
          </w:tcPr>
          <w:p w14:paraId="1DA2B369">
            <w:pPr>
              <w:rPr>
                <w:color w:val="000000"/>
                <w:sz w:val="20"/>
                <w:szCs w:val="20"/>
              </w:rPr>
            </w:pPr>
            <w:r>
              <w:rPr>
                <w:rFonts w:hint="eastAsia"/>
                <w:color w:val="000000"/>
                <w:sz w:val="20"/>
                <w:szCs w:val="20"/>
              </w:rPr>
              <w:t>1．知道冠心病：康复护理评估、康复护理措施、健康教育</w:t>
            </w:r>
          </w:p>
          <w:p w14:paraId="4B274B96">
            <w:pPr>
              <w:rPr>
                <w:color w:val="000000"/>
                <w:sz w:val="20"/>
                <w:szCs w:val="20"/>
              </w:rPr>
            </w:pPr>
          </w:p>
        </w:tc>
        <w:tc>
          <w:tcPr>
            <w:tcW w:w="2268" w:type="dxa"/>
          </w:tcPr>
          <w:p w14:paraId="702C559A">
            <w:pPr>
              <w:rPr>
                <w:color w:val="000000"/>
                <w:sz w:val="20"/>
                <w:szCs w:val="20"/>
              </w:rPr>
            </w:pPr>
            <w:r>
              <w:rPr>
                <w:rFonts w:hint="eastAsia"/>
                <w:color w:val="000000"/>
                <w:sz w:val="20"/>
                <w:szCs w:val="20"/>
              </w:rPr>
              <w:t>1．学会常见疾病的康复护理措施。</w:t>
            </w:r>
          </w:p>
          <w:p w14:paraId="79721F62">
            <w:pPr>
              <w:rPr>
                <w:color w:val="000000"/>
                <w:sz w:val="20"/>
                <w:szCs w:val="20"/>
              </w:rPr>
            </w:pPr>
            <w:r>
              <w:rPr>
                <w:rFonts w:hint="eastAsia"/>
                <w:color w:val="000000"/>
                <w:sz w:val="20"/>
                <w:szCs w:val="20"/>
              </w:rPr>
              <w:t>2．学会常见疾病康复护理过程中的健康教育。</w:t>
            </w:r>
          </w:p>
          <w:p w14:paraId="39050C34">
            <w:pPr>
              <w:rPr>
                <w:color w:val="000000"/>
                <w:sz w:val="20"/>
                <w:szCs w:val="20"/>
              </w:rPr>
            </w:pPr>
            <w:r>
              <w:rPr>
                <w:rFonts w:hint="eastAsia"/>
                <w:color w:val="000000"/>
                <w:sz w:val="20"/>
                <w:szCs w:val="20"/>
              </w:rPr>
              <w:t>3．知道常见疾病的康复护理评估。</w:t>
            </w:r>
          </w:p>
          <w:p w14:paraId="2E5BC4E1">
            <w:pPr>
              <w:rPr>
                <w:color w:val="000000"/>
                <w:sz w:val="20"/>
                <w:szCs w:val="20"/>
              </w:rPr>
            </w:pPr>
          </w:p>
        </w:tc>
        <w:tc>
          <w:tcPr>
            <w:tcW w:w="1342" w:type="dxa"/>
          </w:tcPr>
          <w:p w14:paraId="4FC212B3">
            <w:pPr>
              <w:rPr>
                <w:sz w:val="20"/>
                <w:szCs w:val="20"/>
              </w:rPr>
            </w:pPr>
            <w:r>
              <w:rPr>
                <w:rFonts w:hint="eastAsia"/>
                <w:sz w:val="20"/>
                <w:szCs w:val="20"/>
              </w:rPr>
              <w:t>具有关心心血管疾病病人心理和尊重病人隐私的态度和行为</w:t>
            </w:r>
          </w:p>
        </w:tc>
        <w:tc>
          <w:tcPr>
            <w:tcW w:w="1500" w:type="dxa"/>
          </w:tcPr>
          <w:p w14:paraId="02847F8D">
            <w:pPr>
              <w:rPr>
                <w:color w:val="000000"/>
                <w:sz w:val="20"/>
                <w:szCs w:val="20"/>
              </w:rPr>
            </w:pPr>
            <w:r>
              <w:rPr>
                <w:rFonts w:hint="eastAsia"/>
                <w:color w:val="000000"/>
                <w:sz w:val="20"/>
                <w:szCs w:val="20"/>
              </w:rPr>
              <w:t>重点：冠心病患者的康复指导</w:t>
            </w:r>
          </w:p>
          <w:p w14:paraId="76620C0B">
            <w:pPr>
              <w:rPr>
                <w:color w:val="000000"/>
                <w:sz w:val="20"/>
                <w:szCs w:val="20"/>
              </w:rPr>
            </w:pPr>
            <w:r>
              <w:rPr>
                <w:rFonts w:hint="eastAsia"/>
                <w:color w:val="000000"/>
                <w:sz w:val="20"/>
                <w:szCs w:val="20"/>
              </w:rPr>
              <w:t>难点：冠心病患者的康复护理</w:t>
            </w:r>
          </w:p>
        </w:tc>
      </w:tr>
      <w:tr w14:paraId="0521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44F3C37">
            <w:pPr>
              <w:rPr>
                <w:color w:val="000000"/>
                <w:sz w:val="20"/>
                <w:szCs w:val="20"/>
              </w:rPr>
            </w:pPr>
            <w:r>
              <w:rPr>
                <w:rFonts w:hint="eastAsia"/>
                <w:color w:val="000000"/>
                <w:sz w:val="20"/>
                <w:szCs w:val="20"/>
              </w:rPr>
              <w:t>11</w:t>
            </w:r>
          </w:p>
        </w:tc>
        <w:tc>
          <w:tcPr>
            <w:tcW w:w="696" w:type="dxa"/>
            <w:vAlign w:val="center"/>
          </w:tcPr>
          <w:p w14:paraId="35B07089">
            <w:pPr>
              <w:rPr>
                <w:color w:val="000000"/>
                <w:sz w:val="20"/>
                <w:szCs w:val="20"/>
              </w:rPr>
            </w:pPr>
            <w:r>
              <w:rPr>
                <w:rFonts w:hint="eastAsia"/>
                <w:color w:val="000000"/>
                <w:sz w:val="20"/>
                <w:szCs w:val="20"/>
              </w:rPr>
              <w:t>常见内分泌与代谢疾病病人康复护理</w:t>
            </w:r>
          </w:p>
        </w:tc>
        <w:tc>
          <w:tcPr>
            <w:tcW w:w="2270" w:type="dxa"/>
          </w:tcPr>
          <w:p w14:paraId="170EB76E">
            <w:pPr>
              <w:rPr>
                <w:color w:val="000000"/>
                <w:sz w:val="20"/>
                <w:szCs w:val="20"/>
              </w:rPr>
            </w:pPr>
          </w:p>
          <w:p w14:paraId="6159B76C">
            <w:pPr>
              <w:rPr>
                <w:rFonts w:cs="Arial"/>
                <w:szCs w:val="21"/>
              </w:rPr>
            </w:pPr>
            <w:r>
              <w:rPr>
                <w:rFonts w:hint="eastAsia" w:cs="Arial"/>
                <w:sz w:val="18"/>
                <w:szCs w:val="18"/>
              </w:rPr>
              <w:t xml:space="preserve"> </w:t>
            </w:r>
          </w:p>
          <w:p w14:paraId="5F8C431B">
            <w:pPr>
              <w:rPr>
                <w:color w:val="000000"/>
                <w:sz w:val="20"/>
                <w:szCs w:val="20"/>
              </w:rPr>
            </w:pPr>
            <w:r>
              <w:rPr>
                <w:rFonts w:hint="eastAsia"/>
                <w:color w:val="000000"/>
                <w:sz w:val="20"/>
                <w:szCs w:val="20"/>
              </w:rPr>
              <w:t>1．知道糖尿病：康复护理评估、康复护理措施、健康教育</w:t>
            </w:r>
          </w:p>
          <w:p w14:paraId="260FEDF5">
            <w:pPr>
              <w:rPr>
                <w:color w:val="000000"/>
                <w:sz w:val="20"/>
                <w:szCs w:val="20"/>
              </w:rPr>
            </w:pPr>
          </w:p>
        </w:tc>
        <w:tc>
          <w:tcPr>
            <w:tcW w:w="2268" w:type="dxa"/>
          </w:tcPr>
          <w:p w14:paraId="74BE9061">
            <w:pPr>
              <w:rPr>
                <w:color w:val="000000"/>
                <w:sz w:val="20"/>
                <w:szCs w:val="20"/>
              </w:rPr>
            </w:pPr>
            <w:r>
              <w:rPr>
                <w:rFonts w:hint="eastAsia"/>
                <w:color w:val="000000"/>
                <w:sz w:val="20"/>
                <w:szCs w:val="20"/>
              </w:rPr>
              <w:t>1．学会常见疾病的康复护理措施。</w:t>
            </w:r>
          </w:p>
          <w:p w14:paraId="0DC3CA2A">
            <w:pPr>
              <w:rPr>
                <w:color w:val="000000"/>
                <w:sz w:val="20"/>
                <w:szCs w:val="20"/>
              </w:rPr>
            </w:pPr>
            <w:r>
              <w:rPr>
                <w:rFonts w:hint="eastAsia"/>
                <w:color w:val="000000"/>
                <w:sz w:val="20"/>
                <w:szCs w:val="20"/>
              </w:rPr>
              <w:t>2．学会常见疾病康复护理过程中的健康教育。</w:t>
            </w:r>
          </w:p>
          <w:p w14:paraId="5BF53F9C">
            <w:pPr>
              <w:rPr>
                <w:color w:val="000000"/>
                <w:sz w:val="20"/>
                <w:szCs w:val="20"/>
              </w:rPr>
            </w:pPr>
          </w:p>
        </w:tc>
        <w:tc>
          <w:tcPr>
            <w:tcW w:w="1342" w:type="dxa"/>
          </w:tcPr>
          <w:p w14:paraId="73D33CC0">
            <w:pPr>
              <w:rPr>
                <w:sz w:val="20"/>
                <w:szCs w:val="20"/>
              </w:rPr>
            </w:pPr>
            <w:r>
              <w:rPr>
                <w:rFonts w:hint="eastAsia"/>
                <w:sz w:val="20"/>
                <w:szCs w:val="20"/>
              </w:rPr>
              <w:t>具有关心内科慢性疾病病人心理和尊重病人隐私的态度和行为</w:t>
            </w:r>
          </w:p>
        </w:tc>
        <w:tc>
          <w:tcPr>
            <w:tcW w:w="1500" w:type="dxa"/>
          </w:tcPr>
          <w:p w14:paraId="79C2B702">
            <w:pPr>
              <w:rPr>
                <w:color w:val="000000"/>
                <w:sz w:val="20"/>
                <w:szCs w:val="20"/>
              </w:rPr>
            </w:pPr>
            <w:r>
              <w:rPr>
                <w:rFonts w:hint="eastAsia"/>
                <w:color w:val="000000"/>
                <w:sz w:val="20"/>
                <w:szCs w:val="20"/>
              </w:rPr>
              <w:t>重点：糖尿病患者的康复指导</w:t>
            </w:r>
          </w:p>
          <w:p w14:paraId="296AA269">
            <w:pPr>
              <w:rPr>
                <w:color w:val="000000"/>
                <w:sz w:val="20"/>
                <w:szCs w:val="20"/>
              </w:rPr>
            </w:pPr>
            <w:r>
              <w:rPr>
                <w:rFonts w:hint="eastAsia"/>
                <w:color w:val="000000"/>
                <w:sz w:val="20"/>
                <w:szCs w:val="20"/>
              </w:rPr>
              <w:t>难点：糖尿病患者的康复护理</w:t>
            </w:r>
          </w:p>
        </w:tc>
      </w:tr>
      <w:tr w14:paraId="150B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CF0FF23">
            <w:pPr>
              <w:rPr>
                <w:color w:val="000000"/>
                <w:sz w:val="20"/>
                <w:szCs w:val="20"/>
              </w:rPr>
            </w:pPr>
            <w:r>
              <w:rPr>
                <w:rFonts w:hint="eastAsia"/>
                <w:color w:val="000000"/>
                <w:sz w:val="20"/>
                <w:szCs w:val="20"/>
              </w:rPr>
              <w:t>12</w:t>
            </w:r>
          </w:p>
        </w:tc>
        <w:tc>
          <w:tcPr>
            <w:tcW w:w="696" w:type="dxa"/>
            <w:vAlign w:val="center"/>
          </w:tcPr>
          <w:p w14:paraId="1D36ECD5">
            <w:pPr>
              <w:rPr>
                <w:color w:val="000000"/>
                <w:sz w:val="20"/>
                <w:szCs w:val="20"/>
              </w:rPr>
            </w:pPr>
            <w:r>
              <w:rPr>
                <w:color w:val="000000"/>
                <w:sz w:val="20"/>
                <w:szCs w:val="20"/>
              </w:rPr>
              <w:t>癌症术后病人康复护理</w:t>
            </w:r>
          </w:p>
        </w:tc>
        <w:tc>
          <w:tcPr>
            <w:tcW w:w="2270" w:type="dxa"/>
          </w:tcPr>
          <w:p w14:paraId="13ACA314">
            <w:pPr>
              <w:rPr>
                <w:color w:val="000000"/>
                <w:sz w:val="20"/>
                <w:szCs w:val="20"/>
              </w:rPr>
            </w:pPr>
            <w:r>
              <w:rPr>
                <w:rFonts w:hint="eastAsia"/>
                <w:color w:val="000000"/>
                <w:sz w:val="20"/>
                <w:szCs w:val="20"/>
              </w:rPr>
              <w:t>1．知道喉癌：康复护理评估、康复护理措施、健康教育</w:t>
            </w:r>
          </w:p>
          <w:p w14:paraId="66C7992F">
            <w:pPr>
              <w:rPr>
                <w:color w:val="000000"/>
                <w:sz w:val="20"/>
                <w:szCs w:val="20"/>
              </w:rPr>
            </w:pPr>
          </w:p>
        </w:tc>
        <w:tc>
          <w:tcPr>
            <w:tcW w:w="2268" w:type="dxa"/>
          </w:tcPr>
          <w:p w14:paraId="23FB3E04">
            <w:pPr>
              <w:rPr>
                <w:color w:val="000000"/>
                <w:sz w:val="20"/>
                <w:szCs w:val="20"/>
              </w:rPr>
            </w:pPr>
            <w:r>
              <w:rPr>
                <w:rFonts w:hint="eastAsia"/>
                <w:color w:val="000000"/>
                <w:sz w:val="20"/>
                <w:szCs w:val="20"/>
              </w:rPr>
              <w:t>1．学会常见疾病的康复护理措施。</w:t>
            </w:r>
          </w:p>
          <w:p w14:paraId="33BD1870">
            <w:pPr>
              <w:rPr>
                <w:color w:val="000000"/>
                <w:sz w:val="20"/>
                <w:szCs w:val="20"/>
              </w:rPr>
            </w:pPr>
            <w:r>
              <w:rPr>
                <w:rFonts w:hint="eastAsia"/>
                <w:color w:val="000000"/>
                <w:sz w:val="20"/>
                <w:szCs w:val="20"/>
              </w:rPr>
              <w:t>2．学会常见疾病康复护理过程中的健康教育。</w:t>
            </w:r>
          </w:p>
          <w:p w14:paraId="333A6BCB">
            <w:pPr>
              <w:rPr>
                <w:color w:val="000000"/>
                <w:sz w:val="20"/>
                <w:szCs w:val="20"/>
              </w:rPr>
            </w:pPr>
          </w:p>
        </w:tc>
        <w:tc>
          <w:tcPr>
            <w:tcW w:w="1342" w:type="dxa"/>
          </w:tcPr>
          <w:p w14:paraId="5A8E82DA">
            <w:pPr>
              <w:rPr>
                <w:sz w:val="20"/>
                <w:szCs w:val="20"/>
              </w:rPr>
            </w:pPr>
            <w:r>
              <w:rPr>
                <w:rFonts w:hint="eastAsia"/>
                <w:sz w:val="20"/>
                <w:szCs w:val="20"/>
              </w:rPr>
              <w:t>具有关心癌症病人心理和积极帮助病人康复的态度和行为</w:t>
            </w:r>
          </w:p>
        </w:tc>
        <w:tc>
          <w:tcPr>
            <w:tcW w:w="1500" w:type="dxa"/>
          </w:tcPr>
          <w:p w14:paraId="233DF53D">
            <w:pPr>
              <w:rPr>
                <w:color w:val="000000"/>
                <w:sz w:val="20"/>
                <w:szCs w:val="20"/>
              </w:rPr>
            </w:pPr>
            <w:r>
              <w:rPr>
                <w:rFonts w:hint="eastAsia"/>
                <w:color w:val="000000"/>
                <w:sz w:val="20"/>
                <w:szCs w:val="20"/>
              </w:rPr>
              <w:t>重点：癌症患者的康复指导</w:t>
            </w:r>
          </w:p>
          <w:p w14:paraId="07AED888">
            <w:pPr>
              <w:rPr>
                <w:color w:val="000000"/>
                <w:sz w:val="20"/>
                <w:szCs w:val="20"/>
              </w:rPr>
            </w:pPr>
            <w:r>
              <w:rPr>
                <w:rFonts w:hint="eastAsia"/>
                <w:color w:val="000000"/>
                <w:sz w:val="20"/>
                <w:szCs w:val="20"/>
              </w:rPr>
              <w:t>难点：癌症患者的康复护理</w:t>
            </w:r>
          </w:p>
        </w:tc>
      </w:tr>
      <w:tr w14:paraId="78BC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FF255E1">
            <w:pPr>
              <w:rPr>
                <w:color w:val="000000"/>
                <w:sz w:val="20"/>
                <w:szCs w:val="20"/>
              </w:rPr>
            </w:pPr>
            <w:r>
              <w:rPr>
                <w:rFonts w:hint="eastAsia"/>
                <w:color w:val="000000"/>
                <w:sz w:val="20"/>
                <w:szCs w:val="20"/>
              </w:rPr>
              <w:t>13</w:t>
            </w:r>
          </w:p>
        </w:tc>
        <w:tc>
          <w:tcPr>
            <w:tcW w:w="696" w:type="dxa"/>
            <w:vAlign w:val="center"/>
          </w:tcPr>
          <w:p w14:paraId="0FAAF9E8">
            <w:pPr>
              <w:rPr>
                <w:color w:val="000000"/>
                <w:sz w:val="20"/>
                <w:szCs w:val="20"/>
              </w:rPr>
            </w:pPr>
            <w:r>
              <w:rPr>
                <w:rFonts w:hint="eastAsia"/>
                <w:color w:val="000000"/>
                <w:sz w:val="20"/>
                <w:szCs w:val="20"/>
              </w:rPr>
              <w:t>老年病病人康复护理</w:t>
            </w:r>
          </w:p>
        </w:tc>
        <w:tc>
          <w:tcPr>
            <w:tcW w:w="2270" w:type="dxa"/>
          </w:tcPr>
          <w:p w14:paraId="236CD844">
            <w:pPr>
              <w:rPr>
                <w:color w:val="000000"/>
                <w:sz w:val="20"/>
                <w:szCs w:val="20"/>
              </w:rPr>
            </w:pPr>
            <w:r>
              <w:rPr>
                <w:rFonts w:hint="eastAsia"/>
                <w:color w:val="000000"/>
                <w:sz w:val="20"/>
                <w:szCs w:val="20"/>
              </w:rPr>
              <w:t>1．知道老年病人：康复护理评估、康复护理措施、健康教育</w:t>
            </w:r>
          </w:p>
          <w:p w14:paraId="5231BC84">
            <w:pPr>
              <w:rPr>
                <w:color w:val="000000"/>
                <w:sz w:val="20"/>
                <w:szCs w:val="20"/>
              </w:rPr>
            </w:pPr>
          </w:p>
        </w:tc>
        <w:tc>
          <w:tcPr>
            <w:tcW w:w="2268" w:type="dxa"/>
          </w:tcPr>
          <w:p w14:paraId="07A7B45E">
            <w:pPr>
              <w:rPr>
                <w:color w:val="000000"/>
                <w:sz w:val="20"/>
                <w:szCs w:val="20"/>
              </w:rPr>
            </w:pPr>
            <w:r>
              <w:rPr>
                <w:rFonts w:hint="eastAsia"/>
                <w:color w:val="000000"/>
                <w:sz w:val="20"/>
                <w:szCs w:val="20"/>
              </w:rPr>
              <w:t>1．学会常见疾病的康复护理措施。</w:t>
            </w:r>
          </w:p>
          <w:p w14:paraId="44F99111">
            <w:pPr>
              <w:rPr>
                <w:color w:val="000000"/>
                <w:sz w:val="20"/>
                <w:szCs w:val="20"/>
              </w:rPr>
            </w:pPr>
            <w:r>
              <w:rPr>
                <w:rFonts w:hint="eastAsia"/>
                <w:color w:val="000000"/>
                <w:sz w:val="20"/>
                <w:szCs w:val="20"/>
              </w:rPr>
              <w:t>2．学会常见疾病康复护理过程中的健康教育。</w:t>
            </w:r>
          </w:p>
          <w:p w14:paraId="118C6136">
            <w:pPr>
              <w:rPr>
                <w:color w:val="000000"/>
                <w:sz w:val="20"/>
                <w:szCs w:val="20"/>
              </w:rPr>
            </w:pPr>
          </w:p>
        </w:tc>
        <w:tc>
          <w:tcPr>
            <w:tcW w:w="1342" w:type="dxa"/>
          </w:tcPr>
          <w:p w14:paraId="18D07CA8">
            <w:pPr>
              <w:rPr>
                <w:sz w:val="20"/>
                <w:szCs w:val="20"/>
              </w:rPr>
            </w:pPr>
            <w:r>
              <w:rPr>
                <w:rFonts w:hint="eastAsia"/>
                <w:sz w:val="20"/>
                <w:szCs w:val="20"/>
              </w:rPr>
              <w:t>具有正确护理老年病病人和主动学习钻研新业务的态度和行为</w:t>
            </w:r>
          </w:p>
        </w:tc>
        <w:tc>
          <w:tcPr>
            <w:tcW w:w="1500" w:type="dxa"/>
          </w:tcPr>
          <w:p w14:paraId="2FF9DF7E">
            <w:pPr>
              <w:rPr>
                <w:color w:val="000000"/>
                <w:sz w:val="20"/>
                <w:szCs w:val="20"/>
              </w:rPr>
            </w:pPr>
            <w:r>
              <w:rPr>
                <w:rFonts w:hint="eastAsia"/>
                <w:color w:val="000000"/>
                <w:sz w:val="20"/>
                <w:szCs w:val="20"/>
              </w:rPr>
              <w:t>重点：老年病人的康复指导</w:t>
            </w:r>
          </w:p>
          <w:p w14:paraId="363C7983">
            <w:pPr>
              <w:rPr>
                <w:color w:val="000000"/>
                <w:sz w:val="20"/>
                <w:szCs w:val="20"/>
              </w:rPr>
            </w:pPr>
            <w:r>
              <w:rPr>
                <w:rFonts w:hint="eastAsia"/>
                <w:color w:val="000000"/>
                <w:sz w:val="20"/>
                <w:szCs w:val="20"/>
              </w:rPr>
              <w:t>难点：老年病人的康复护理</w:t>
            </w:r>
          </w:p>
        </w:tc>
      </w:tr>
    </w:tbl>
    <w:p w14:paraId="38C7E0AC">
      <w:pPr>
        <w:pStyle w:val="20"/>
        <w:spacing w:before="81" w:after="163"/>
      </w:pPr>
      <w:r>
        <w:rPr>
          <w:rFonts w:hint="eastAsia"/>
        </w:rPr>
        <w:t>（二）教学单元对课程目标的支撑关系</w:t>
      </w:r>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100"/>
        <w:gridCol w:w="1100"/>
        <w:gridCol w:w="1100"/>
      </w:tblGrid>
      <w:tr w14:paraId="2B58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2CA750FE">
            <w:pPr>
              <w:pStyle w:val="16"/>
              <w:ind w:firstLine="489"/>
              <w:jc w:val="right"/>
              <w:rPr>
                <w:szCs w:val="16"/>
              </w:rPr>
            </w:pPr>
            <w:r>
              <w:rPr>
                <w:rFonts w:hint="eastAsia"/>
                <w:szCs w:val="16"/>
              </w:rPr>
              <w:t>课程目标</w:t>
            </w:r>
          </w:p>
          <w:p w14:paraId="1C0B1A77">
            <w:pPr>
              <w:pStyle w:val="16"/>
              <w:ind w:right="210"/>
              <w:jc w:val="left"/>
              <w:rPr>
                <w:szCs w:val="16"/>
              </w:rPr>
            </w:pPr>
          </w:p>
          <w:p w14:paraId="5CAF3FDD">
            <w:pPr>
              <w:pStyle w:val="16"/>
              <w:ind w:right="210"/>
              <w:jc w:val="left"/>
              <w:rPr>
                <w:szCs w:val="16"/>
              </w:rPr>
            </w:pPr>
            <w:r>
              <w:rPr>
                <w:rFonts w:hint="eastAsia"/>
                <w:szCs w:val="16"/>
              </w:rPr>
              <w:t>教学单元</w:t>
            </w:r>
          </w:p>
        </w:tc>
        <w:tc>
          <w:tcPr>
            <w:tcW w:w="1100" w:type="dxa"/>
            <w:tcBorders>
              <w:top w:val="single" w:color="auto" w:sz="12" w:space="0"/>
            </w:tcBorders>
            <w:vAlign w:val="center"/>
          </w:tcPr>
          <w:p w14:paraId="5936833E">
            <w:pPr>
              <w:pStyle w:val="16"/>
              <w:rPr>
                <w:szCs w:val="16"/>
              </w:rPr>
            </w:pPr>
            <w:r>
              <w:rPr>
                <w:rFonts w:hint="eastAsia"/>
                <w:szCs w:val="16"/>
              </w:rPr>
              <w:t>L</w:t>
            </w:r>
            <w:r>
              <w:rPr>
                <w:szCs w:val="16"/>
              </w:rPr>
              <w:t>01</w:t>
            </w:r>
          </w:p>
        </w:tc>
        <w:tc>
          <w:tcPr>
            <w:tcW w:w="1100" w:type="dxa"/>
            <w:tcBorders>
              <w:top w:val="single" w:color="auto" w:sz="12" w:space="0"/>
            </w:tcBorders>
            <w:vAlign w:val="center"/>
          </w:tcPr>
          <w:p w14:paraId="295F9DD7">
            <w:pPr>
              <w:pStyle w:val="16"/>
              <w:rPr>
                <w:szCs w:val="16"/>
              </w:rPr>
            </w:pPr>
            <w:r>
              <w:rPr>
                <w:szCs w:val="16"/>
              </w:rPr>
              <w:t>L</w:t>
            </w:r>
            <w:r>
              <w:rPr>
                <w:rFonts w:hint="eastAsia"/>
                <w:szCs w:val="16"/>
              </w:rPr>
              <w:t>0</w:t>
            </w:r>
            <w:r>
              <w:rPr>
                <w:szCs w:val="16"/>
              </w:rPr>
              <w:t>2</w:t>
            </w:r>
          </w:p>
        </w:tc>
        <w:tc>
          <w:tcPr>
            <w:tcW w:w="1100" w:type="dxa"/>
            <w:tcBorders>
              <w:top w:val="single" w:color="auto" w:sz="12" w:space="0"/>
            </w:tcBorders>
            <w:vAlign w:val="center"/>
          </w:tcPr>
          <w:p w14:paraId="42C39435">
            <w:pPr>
              <w:pStyle w:val="16"/>
              <w:rPr>
                <w:szCs w:val="16"/>
              </w:rPr>
            </w:pPr>
            <w:r>
              <w:rPr>
                <w:szCs w:val="16"/>
              </w:rPr>
              <w:t>L</w:t>
            </w:r>
            <w:r>
              <w:rPr>
                <w:rFonts w:hint="eastAsia"/>
                <w:szCs w:val="16"/>
              </w:rPr>
              <w:t>04</w:t>
            </w:r>
          </w:p>
        </w:tc>
        <w:tc>
          <w:tcPr>
            <w:tcW w:w="1100" w:type="dxa"/>
            <w:tcBorders>
              <w:top w:val="single" w:color="auto" w:sz="12" w:space="0"/>
            </w:tcBorders>
          </w:tcPr>
          <w:p w14:paraId="26840F47">
            <w:pPr>
              <w:pStyle w:val="16"/>
              <w:rPr>
                <w:szCs w:val="16"/>
              </w:rPr>
            </w:pPr>
          </w:p>
        </w:tc>
        <w:tc>
          <w:tcPr>
            <w:tcW w:w="1100" w:type="dxa"/>
            <w:tcBorders>
              <w:top w:val="single" w:color="auto" w:sz="12" w:space="0"/>
            </w:tcBorders>
          </w:tcPr>
          <w:p w14:paraId="3F91F7F0">
            <w:pPr>
              <w:pStyle w:val="16"/>
              <w:rPr>
                <w:szCs w:val="16"/>
              </w:rPr>
            </w:pPr>
          </w:p>
        </w:tc>
        <w:tc>
          <w:tcPr>
            <w:tcW w:w="1100" w:type="dxa"/>
            <w:tcBorders>
              <w:top w:val="single" w:color="auto" w:sz="12" w:space="0"/>
              <w:right w:val="single" w:color="auto" w:sz="12" w:space="0"/>
            </w:tcBorders>
            <w:vAlign w:val="center"/>
          </w:tcPr>
          <w:p w14:paraId="17D363FA">
            <w:pPr>
              <w:pStyle w:val="16"/>
              <w:rPr>
                <w:szCs w:val="16"/>
              </w:rPr>
            </w:pPr>
          </w:p>
        </w:tc>
      </w:tr>
      <w:tr w14:paraId="3DBA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8DCBA66">
            <w:pPr>
              <w:pStyle w:val="17"/>
            </w:pPr>
            <w:r>
              <w:rPr>
                <w:rFonts w:hint="eastAsia"/>
                <w:sz w:val="20"/>
                <w:szCs w:val="20"/>
              </w:rPr>
              <w:t>第一章</w:t>
            </w:r>
            <w:r>
              <w:rPr>
                <w:rFonts w:hint="eastAsia" w:ascii="宋体" w:hAnsi="宋体"/>
                <w:sz w:val="20"/>
                <w:szCs w:val="20"/>
              </w:rPr>
              <w:t>康复护理概述</w:t>
            </w:r>
          </w:p>
        </w:tc>
        <w:tc>
          <w:tcPr>
            <w:tcW w:w="1100" w:type="dxa"/>
            <w:vAlign w:val="center"/>
          </w:tcPr>
          <w:p w14:paraId="55B5B4D9">
            <w:pPr>
              <w:pStyle w:val="17"/>
            </w:pPr>
            <w:r>
              <w:rPr>
                <w:rFonts w:hint="eastAsia"/>
              </w:rPr>
              <w:t>√</w:t>
            </w:r>
          </w:p>
        </w:tc>
        <w:tc>
          <w:tcPr>
            <w:tcW w:w="1100" w:type="dxa"/>
            <w:vAlign w:val="center"/>
          </w:tcPr>
          <w:p w14:paraId="597C1C6F">
            <w:pPr>
              <w:pStyle w:val="17"/>
            </w:pPr>
          </w:p>
        </w:tc>
        <w:tc>
          <w:tcPr>
            <w:tcW w:w="1100" w:type="dxa"/>
            <w:vAlign w:val="center"/>
          </w:tcPr>
          <w:p w14:paraId="407FA8E1">
            <w:pPr>
              <w:pStyle w:val="17"/>
            </w:pPr>
          </w:p>
        </w:tc>
        <w:tc>
          <w:tcPr>
            <w:tcW w:w="1100" w:type="dxa"/>
          </w:tcPr>
          <w:p w14:paraId="3E44EEFD">
            <w:pPr>
              <w:pStyle w:val="17"/>
            </w:pPr>
          </w:p>
        </w:tc>
        <w:tc>
          <w:tcPr>
            <w:tcW w:w="1100" w:type="dxa"/>
          </w:tcPr>
          <w:p w14:paraId="4C844AF6">
            <w:pPr>
              <w:pStyle w:val="17"/>
            </w:pPr>
          </w:p>
        </w:tc>
        <w:tc>
          <w:tcPr>
            <w:tcW w:w="1100" w:type="dxa"/>
            <w:tcBorders>
              <w:right w:val="single" w:color="auto" w:sz="12" w:space="0"/>
            </w:tcBorders>
            <w:vAlign w:val="center"/>
          </w:tcPr>
          <w:p w14:paraId="42D60565">
            <w:pPr>
              <w:pStyle w:val="17"/>
            </w:pPr>
          </w:p>
        </w:tc>
      </w:tr>
      <w:tr w14:paraId="0DEB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3A64FD1">
            <w:pPr>
              <w:pStyle w:val="17"/>
            </w:pPr>
            <w:r>
              <w:rPr>
                <w:rFonts w:hint="eastAsia" w:ascii="宋体" w:hAnsi="宋体"/>
                <w:sz w:val="20"/>
                <w:szCs w:val="20"/>
              </w:rPr>
              <w:t>第二章康复护理学理论基础</w:t>
            </w:r>
          </w:p>
        </w:tc>
        <w:tc>
          <w:tcPr>
            <w:tcW w:w="1100" w:type="dxa"/>
            <w:vAlign w:val="center"/>
          </w:tcPr>
          <w:p w14:paraId="335F396A">
            <w:pPr>
              <w:pStyle w:val="17"/>
            </w:pPr>
            <w:r>
              <w:rPr>
                <w:rFonts w:hint="eastAsia"/>
              </w:rPr>
              <w:t>√</w:t>
            </w:r>
          </w:p>
        </w:tc>
        <w:tc>
          <w:tcPr>
            <w:tcW w:w="1100" w:type="dxa"/>
            <w:vAlign w:val="center"/>
          </w:tcPr>
          <w:p w14:paraId="1BE9914B">
            <w:pPr>
              <w:pStyle w:val="17"/>
            </w:pPr>
            <w:r>
              <w:rPr>
                <w:rFonts w:hint="eastAsia"/>
              </w:rPr>
              <w:t>√</w:t>
            </w:r>
          </w:p>
        </w:tc>
        <w:tc>
          <w:tcPr>
            <w:tcW w:w="1100" w:type="dxa"/>
            <w:vAlign w:val="center"/>
          </w:tcPr>
          <w:p w14:paraId="2BD80E6E">
            <w:pPr>
              <w:pStyle w:val="17"/>
            </w:pPr>
          </w:p>
        </w:tc>
        <w:tc>
          <w:tcPr>
            <w:tcW w:w="1100" w:type="dxa"/>
          </w:tcPr>
          <w:p w14:paraId="0136893B">
            <w:pPr>
              <w:pStyle w:val="17"/>
            </w:pPr>
          </w:p>
        </w:tc>
        <w:tc>
          <w:tcPr>
            <w:tcW w:w="1100" w:type="dxa"/>
          </w:tcPr>
          <w:p w14:paraId="21B06574">
            <w:pPr>
              <w:pStyle w:val="17"/>
            </w:pPr>
          </w:p>
        </w:tc>
        <w:tc>
          <w:tcPr>
            <w:tcW w:w="1100" w:type="dxa"/>
            <w:tcBorders>
              <w:right w:val="single" w:color="auto" w:sz="12" w:space="0"/>
            </w:tcBorders>
            <w:vAlign w:val="center"/>
          </w:tcPr>
          <w:p w14:paraId="29BAE6C7">
            <w:pPr>
              <w:pStyle w:val="17"/>
            </w:pPr>
          </w:p>
        </w:tc>
      </w:tr>
      <w:tr w14:paraId="004D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CA4345A">
            <w:pPr>
              <w:pStyle w:val="17"/>
              <w:rPr>
                <w:rFonts w:ascii="宋体" w:hAnsi="宋体"/>
                <w:sz w:val="20"/>
                <w:szCs w:val="20"/>
              </w:rPr>
            </w:pPr>
            <w:r>
              <w:rPr>
                <w:rFonts w:hint="eastAsia" w:ascii="宋体" w:hAnsi="宋体"/>
                <w:sz w:val="20"/>
                <w:szCs w:val="20"/>
              </w:rPr>
              <w:t>第三章康复功能评定</w:t>
            </w:r>
          </w:p>
        </w:tc>
        <w:tc>
          <w:tcPr>
            <w:tcW w:w="1100" w:type="dxa"/>
            <w:vAlign w:val="center"/>
          </w:tcPr>
          <w:p w14:paraId="31B72861">
            <w:pPr>
              <w:pStyle w:val="17"/>
            </w:pPr>
            <w:r>
              <w:rPr>
                <w:rFonts w:hint="eastAsia"/>
              </w:rPr>
              <w:t>√</w:t>
            </w:r>
          </w:p>
        </w:tc>
        <w:tc>
          <w:tcPr>
            <w:tcW w:w="1100" w:type="dxa"/>
            <w:vAlign w:val="center"/>
          </w:tcPr>
          <w:p w14:paraId="35D0DC71">
            <w:pPr>
              <w:pStyle w:val="17"/>
            </w:pPr>
            <w:r>
              <w:rPr>
                <w:rFonts w:hint="eastAsia"/>
              </w:rPr>
              <w:t>√</w:t>
            </w:r>
          </w:p>
        </w:tc>
        <w:tc>
          <w:tcPr>
            <w:tcW w:w="1100" w:type="dxa"/>
            <w:vAlign w:val="center"/>
          </w:tcPr>
          <w:p w14:paraId="574BA8D6">
            <w:pPr>
              <w:pStyle w:val="17"/>
            </w:pPr>
          </w:p>
        </w:tc>
        <w:tc>
          <w:tcPr>
            <w:tcW w:w="1100" w:type="dxa"/>
          </w:tcPr>
          <w:p w14:paraId="6166AA08">
            <w:pPr>
              <w:pStyle w:val="17"/>
            </w:pPr>
          </w:p>
        </w:tc>
        <w:tc>
          <w:tcPr>
            <w:tcW w:w="1100" w:type="dxa"/>
          </w:tcPr>
          <w:p w14:paraId="0AEBD937">
            <w:pPr>
              <w:pStyle w:val="17"/>
            </w:pPr>
          </w:p>
        </w:tc>
        <w:tc>
          <w:tcPr>
            <w:tcW w:w="1100" w:type="dxa"/>
            <w:tcBorders>
              <w:right w:val="single" w:color="auto" w:sz="12" w:space="0"/>
            </w:tcBorders>
            <w:vAlign w:val="center"/>
          </w:tcPr>
          <w:p w14:paraId="483A06B2">
            <w:pPr>
              <w:pStyle w:val="17"/>
            </w:pPr>
          </w:p>
        </w:tc>
      </w:tr>
      <w:tr w14:paraId="294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39FE9A3">
            <w:pPr>
              <w:rPr>
                <w:sz w:val="20"/>
                <w:szCs w:val="20"/>
              </w:rPr>
            </w:pPr>
            <w:r>
              <w:rPr>
                <w:rFonts w:hint="eastAsia"/>
                <w:sz w:val="20"/>
                <w:szCs w:val="20"/>
              </w:rPr>
              <w:t>第四章</w:t>
            </w:r>
            <w:r>
              <w:rPr>
                <w:rFonts w:hint="eastAsia"/>
                <w:color w:val="000000"/>
                <w:sz w:val="20"/>
                <w:szCs w:val="20"/>
              </w:rPr>
              <w:t>康复护理评定</w:t>
            </w:r>
          </w:p>
        </w:tc>
        <w:tc>
          <w:tcPr>
            <w:tcW w:w="1100" w:type="dxa"/>
            <w:vAlign w:val="center"/>
          </w:tcPr>
          <w:p w14:paraId="2732081A">
            <w:pPr>
              <w:pStyle w:val="17"/>
            </w:pPr>
            <w:r>
              <w:rPr>
                <w:rFonts w:hint="eastAsia"/>
              </w:rPr>
              <w:t>√</w:t>
            </w:r>
          </w:p>
        </w:tc>
        <w:tc>
          <w:tcPr>
            <w:tcW w:w="1100" w:type="dxa"/>
            <w:vAlign w:val="center"/>
          </w:tcPr>
          <w:p w14:paraId="46FF5A89">
            <w:pPr>
              <w:pStyle w:val="17"/>
            </w:pPr>
            <w:r>
              <w:rPr>
                <w:rFonts w:hint="eastAsia"/>
              </w:rPr>
              <w:t>√</w:t>
            </w:r>
          </w:p>
        </w:tc>
        <w:tc>
          <w:tcPr>
            <w:tcW w:w="1100" w:type="dxa"/>
            <w:vAlign w:val="center"/>
          </w:tcPr>
          <w:p w14:paraId="6076F291">
            <w:pPr>
              <w:pStyle w:val="17"/>
            </w:pPr>
          </w:p>
        </w:tc>
        <w:tc>
          <w:tcPr>
            <w:tcW w:w="1100" w:type="dxa"/>
          </w:tcPr>
          <w:p w14:paraId="49FD2C49">
            <w:pPr>
              <w:pStyle w:val="17"/>
            </w:pPr>
          </w:p>
        </w:tc>
        <w:tc>
          <w:tcPr>
            <w:tcW w:w="1100" w:type="dxa"/>
          </w:tcPr>
          <w:p w14:paraId="0D4A46C3">
            <w:pPr>
              <w:pStyle w:val="17"/>
            </w:pPr>
          </w:p>
        </w:tc>
        <w:tc>
          <w:tcPr>
            <w:tcW w:w="1100" w:type="dxa"/>
            <w:tcBorders>
              <w:right w:val="single" w:color="auto" w:sz="12" w:space="0"/>
            </w:tcBorders>
            <w:vAlign w:val="center"/>
          </w:tcPr>
          <w:p w14:paraId="62D34F0C">
            <w:pPr>
              <w:pStyle w:val="17"/>
            </w:pPr>
          </w:p>
        </w:tc>
      </w:tr>
      <w:tr w14:paraId="3E65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CB40E44">
            <w:pPr>
              <w:rPr>
                <w:sz w:val="20"/>
                <w:szCs w:val="20"/>
              </w:rPr>
            </w:pPr>
            <w:r>
              <w:rPr>
                <w:rFonts w:hint="eastAsia"/>
                <w:sz w:val="20"/>
                <w:szCs w:val="20"/>
              </w:rPr>
              <w:t>第五章</w:t>
            </w:r>
            <w:r>
              <w:rPr>
                <w:rFonts w:hint="eastAsia"/>
                <w:color w:val="000000"/>
                <w:sz w:val="20"/>
                <w:szCs w:val="20"/>
              </w:rPr>
              <w:t>常用康复治疗技术</w:t>
            </w:r>
          </w:p>
        </w:tc>
        <w:tc>
          <w:tcPr>
            <w:tcW w:w="1100" w:type="dxa"/>
            <w:vAlign w:val="center"/>
          </w:tcPr>
          <w:p w14:paraId="2A64F8EF">
            <w:pPr>
              <w:pStyle w:val="17"/>
            </w:pPr>
          </w:p>
        </w:tc>
        <w:tc>
          <w:tcPr>
            <w:tcW w:w="1100" w:type="dxa"/>
            <w:vAlign w:val="center"/>
          </w:tcPr>
          <w:p w14:paraId="01244A1E">
            <w:pPr>
              <w:pStyle w:val="17"/>
            </w:pPr>
            <w:r>
              <w:rPr>
                <w:rFonts w:hint="eastAsia"/>
              </w:rPr>
              <w:t>√</w:t>
            </w:r>
          </w:p>
        </w:tc>
        <w:tc>
          <w:tcPr>
            <w:tcW w:w="1100" w:type="dxa"/>
            <w:vAlign w:val="center"/>
          </w:tcPr>
          <w:p w14:paraId="3641B621">
            <w:pPr>
              <w:pStyle w:val="17"/>
            </w:pPr>
            <w:r>
              <w:rPr>
                <w:rFonts w:hint="eastAsia"/>
              </w:rPr>
              <w:t>√</w:t>
            </w:r>
          </w:p>
        </w:tc>
        <w:tc>
          <w:tcPr>
            <w:tcW w:w="1100" w:type="dxa"/>
          </w:tcPr>
          <w:p w14:paraId="4274C2D8">
            <w:pPr>
              <w:pStyle w:val="17"/>
            </w:pPr>
          </w:p>
        </w:tc>
        <w:tc>
          <w:tcPr>
            <w:tcW w:w="1100" w:type="dxa"/>
          </w:tcPr>
          <w:p w14:paraId="065F514E">
            <w:pPr>
              <w:pStyle w:val="17"/>
            </w:pPr>
          </w:p>
        </w:tc>
        <w:tc>
          <w:tcPr>
            <w:tcW w:w="1100" w:type="dxa"/>
            <w:tcBorders>
              <w:right w:val="single" w:color="auto" w:sz="12" w:space="0"/>
            </w:tcBorders>
            <w:vAlign w:val="center"/>
          </w:tcPr>
          <w:p w14:paraId="558A2C8A">
            <w:pPr>
              <w:pStyle w:val="17"/>
            </w:pPr>
          </w:p>
        </w:tc>
      </w:tr>
      <w:tr w14:paraId="0287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1212281">
            <w:pPr>
              <w:rPr>
                <w:sz w:val="20"/>
                <w:szCs w:val="20"/>
              </w:rPr>
            </w:pPr>
            <w:r>
              <w:rPr>
                <w:rFonts w:hint="eastAsia"/>
                <w:sz w:val="20"/>
                <w:szCs w:val="20"/>
              </w:rPr>
              <w:t>第六章</w:t>
            </w:r>
            <w:r>
              <w:rPr>
                <w:rFonts w:hint="eastAsia"/>
                <w:color w:val="000000"/>
                <w:sz w:val="20"/>
                <w:szCs w:val="20"/>
              </w:rPr>
              <w:t>常用康复护理技术</w:t>
            </w:r>
          </w:p>
        </w:tc>
        <w:tc>
          <w:tcPr>
            <w:tcW w:w="1100" w:type="dxa"/>
            <w:vAlign w:val="center"/>
          </w:tcPr>
          <w:p w14:paraId="062E5088">
            <w:pPr>
              <w:pStyle w:val="17"/>
            </w:pPr>
          </w:p>
        </w:tc>
        <w:tc>
          <w:tcPr>
            <w:tcW w:w="1100" w:type="dxa"/>
            <w:vAlign w:val="center"/>
          </w:tcPr>
          <w:p w14:paraId="40BE6B46">
            <w:pPr>
              <w:pStyle w:val="17"/>
            </w:pPr>
            <w:r>
              <w:rPr>
                <w:rFonts w:hint="eastAsia"/>
              </w:rPr>
              <w:t>√</w:t>
            </w:r>
          </w:p>
        </w:tc>
        <w:tc>
          <w:tcPr>
            <w:tcW w:w="1100" w:type="dxa"/>
            <w:vAlign w:val="center"/>
          </w:tcPr>
          <w:p w14:paraId="539C1AD5">
            <w:pPr>
              <w:pStyle w:val="17"/>
            </w:pPr>
            <w:r>
              <w:rPr>
                <w:rFonts w:hint="eastAsia"/>
              </w:rPr>
              <w:t>√</w:t>
            </w:r>
          </w:p>
        </w:tc>
        <w:tc>
          <w:tcPr>
            <w:tcW w:w="1100" w:type="dxa"/>
          </w:tcPr>
          <w:p w14:paraId="1A77D7B9">
            <w:pPr>
              <w:pStyle w:val="17"/>
            </w:pPr>
          </w:p>
        </w:tc>
        <w:tc>
          <w:tcPr>
            <w:tcW w:w="1100" w:type="dxa"/>
          </w:tcPr>
          <w:p w14:paraId="46B46316">
            <w:pPr>
              <w:pStyle w:val="17"/>
            </w:pPr>
          </w:p>
        </w:tc>
        <w:tc>
          <w:tcPr>
            <w:tcW w:w="1100" w:type="dxa"/>
            <w:tcBorders>
              <w:right w:val="single" w:color="auto" w:sz="12" w:space="0"/>
            </w:tcBorders>
            <w:vAlign w:val="center"/>
          </w:tcPr>
          <w:p w14:paraId="0E28B15B">
            <w:pPr>
              <w:pStyle w:val="17"/>
            </w:pPr>
          </w:p>
        </w:tc>
      </w:tr>
      <w:tr w14:paraId="52EE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AEA62A3">
            <w:pPr>
              <w:rPr>
                <w:sz w:val="20"/>
                <w:szCs w:val="20"/>
              </w:rPr>
            </w:pPr>
            <w:r>
              <w:rPr>
                <w:rFonts w:hint="eastAsia"/>
                <w:sz w:val="20"/>
                <w:szCs w:val="20"/>
              </w:rPr>
              <w:t>第七章</w:t>
            </w:r>
            <w:r>
              <w:rPr>
                <w:rFonts w:hint="eastAsia"/>
                <w:color w:val="000000"/>
                <w:sz w:val="20"/>
                <w:szCs w:val="20"/>
              </w:rPr>
              <w:t>常见神经疾病病人的康复护理</w:t>
            </w:r>
          </w:p>
        </w:tc>
        <w:tc>
          <w:tcPr>
            <w:tcW w:w="1100" w:type="dxa"/>
            <w:vAlign w:val="center"/>
          </w:tcPr>
          <w:p w14:paraId="612C98B1">
            <w:pPr>
              <w:pStyle w:val="17"/>
            </w:pPr>
            <w:r>
              <w:rPr>
                <w:rFonts w:hint="eastAsia"/>
              </w:rPr>
              <w:t>√</w:t>
            </w:r>
          </w:p>
        </w:tc>
        <w:tc>
          <w:tcPr>
            <w:tcW w:w="1100" w:type="dxa"/>
            <w:vAlign w:val="center"/>
          </w:tcPr>
          <w:p w14:paraId="1F98469F">
            <w:pPr>
              <w:pStyle w:val="17"/>
            </w:pPr>
            <w:r>
              <w:rPr>
                <w:rFonts w:hint="eastAsia"/>
              </w:rPr>
              <w:t>√</w:t>
            </w:r>
          </w:p>
        </w:tc>
        <w:tc>
          <w:tcPr>
            <w:tcW w:w="1100" w:type="dxa"/>
            <w:vAlign w:val="center"/>
          </w:tcPr>
          <w:p w14:paraId="5F19228A">
            <w:pPr>
              <w:pStyle w:val="17"/>
            </w:pPr>
            <w:r>
              <w:rPr>
                <w:rFonts w:hint="eastAsia"/>
              </w:rPr>
              <w:t>√</w:t>
            </w:r>
          </w:p>
        </w:tc>
        <w:tc>
          <w:tcPr>
            <w:tcW w:w="1100" w:type="dxa"/>
          </w:tcPr>
          <w:p w14:paraId="2F1B672B">
            <w:pPr>
              <w:pStyle w:val="17"/>
            </w:pPr>
          </w:p>
        </w:tc>
        <w:tc>
          <w:tcPr>
            <w:tcW w:w="1100" w:type="dxa"/>
          </w:tcPr>
          <w:p w14:paraId="2979EC4C">
            <w:pPr>
              <w:pStyle w:val="17"/>
            </w:pPr>
          </w:p>
        </w:tc>
        <w:tc>
          <w:tcPr>
            <w:tcW w:w="1100" w:type="dxa"/>
            <w:tcBorders>
              <w:right w:val="single" w:color="auto" w:sz="12" w:space="0"/>
            </w:tcBorders>
            <w:vAlign w:val="center"/>
          </w:tcPr>
          <w:p w14:paraId="34D2C168">
            <w:pPr>
              <w:pStyle w:val="17"/>
            </w:pPr>
          </w:p>
        </w:tc>
      </w:tr>
      <w:tr w14:paraId="53B8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746158E3">
            <w:pPr>
              <w:rPr>
                <w:color w:val="000000"/>
                <w:sz w:val="20"/>
                <w:szCs w:val="20"/>
              </w:rPr>
            </w:pPr>
            <w:r>
              <w:rPr>
                <w:rFonts w:hint="eastAsia"/>
                <w:sz w:val="20"/>
                <w:szCs w:val="20"/>
              </w:rPr>
              <w:t>第八章</w:t>
            </w:r>
            <w:r>
              <w:rPr>
                <w:rFonts w:hint="eastAsia"/>
                <w:color w:val="000000"/>
                <w:sz w:val="20"/>
                <w:szCs w:val="20"/>
              </w:rPr>
              <w:t>常见肌肉骨骼疾病病人康复护理</w:t>
            </w:r>
          </w:p>
        </w:tc>
        <w:tc>
          <w:tcPr>
            <w:tcW w:w="1100" w:type="dxa"/>
            <w:vAlign w:val="center"/>
          </w:tcPr>
          <w:p w14:paraId="4636E7BD">
            <w:pPr>
              <w:pStyle w:val="17"/>
            </w:pPr>
            <w:r>
              <w:rPr>
                <w:rFonts w:hint="eastAsia"/>
              </w:rPr>
              <w:t>√</w:t>
            </w:r>
          </w:p>
        </w:tc>
        <w:tc>
          <w:tcPr>
            <w:tcW w:w="1100" w:type="dxa"/>
            <w:vAlign w:val="center"/>
          </w:tcPr>
          <w:p w14:paraId="6F5E34FB">
            <w:pPr>
              <w:pStyle w:val="17"/>
            </w:pPr>
            <w:r>
              <w:rPr>
                <w:rFonts w:hint="eastAsia"/>
              </w:rPr>
              <w:t>√</w:t>
            </w:r>
          </w:p>
        </w:tc>
        <w:tc>
          <w:tcPr>
            <w:tcW w:w="1100" w:type="dxa"/>
            <w:vAlign w:val="center"/>
          </w:tcPr>
          <w:p w14:paraId="301FD57F">
            <w:pPr>
              <w:pStyle w:val="17"/>
            </w:pPr>
            <w:r>
              <w:rPr>
                <w:rFonts w:hint="eastAsia"/>
              </w:rPr>
              <w:t>√</w:t>
            </w:r>
          </w:p>
        </w:tc>
        <w:tc>
          <w:tcPr>
            <w:tcW w:w="1100" w:type="dxa"/>
          </w:tcPr>
          <w:p w14:paraId="23612088">
            <w:pPr>
              <w:pStyle w:val="17"/>
            </w:pPr>
          </w:p>
        </w:tc>
        <w:tc>
          <w:tcPr>
            <w:tcW w:w="1100" w:type="dxa"/>
          </w:tcPr>
          <w:p w14:paraId="404D4B85">
            <w:pPr>
              <w:pStyle w:val="17"/>
            </w:pPr>
          </w:p>
        </w:tc>
        <w:tc>
          <w:tcPr>
            <w:tcW w:w="1100" w:type="dxa"/>
            <w:tcBorders>
              <w:right w:val="single" w:color="auto" w:sz="12" w:space="0"/>
            </w:tcBorders>
            <w:vAlign w:val="center"/>
          </w:tcPr>
          <w:p w14:paraId="3B30FAF5">
            <w:pPr>
              <w:pStyle w:val="17"/>
            </w:pPr>
          </w:p>
        </w:tc>
      </w:tr>
      <w:tr w14:paraId="21A3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180F292">
            <w:pPr>
              <w:rPr>
                <w:sz w:val="20"/>
                <w:szCs w:val="20"/>
              </w:rPr>
            </w:pPr>
            <w:r>
              <w:rPr>
                <w:rFonts w:hint="eastAsia"/>
                <w:sz w:val="20"/>
                <w:szCs w:val="20"/>
              </w:rPr>
              <w:t>第九章</w:t>
            </w:r>
            <w:r>
              <w:rPr>
                <w:rFonts w:hint="eastAsia"/>
                <w:color w:val="000000"/>
                <w:sz w:val="20"/>
                <w:szCs w:val="20"/>
              </w:rPr>
              <w:t>常见呼吸疾病病人康复护理</w:t>
            </w:r>
          </w:p>
        </w:tc>
        <w:tc>
          <w:tcPr>
            <w:tcW w:w="1100" w:type="dxa"/>
            <w:vAlign w:val="center"/>
          </w:tcPr>
          <w:p w14:paraId="7ABCE100">
            <w:pPr>
              <w:pStyle w:val="17"/>
            </w:pPr>
            <w:r>
              <w:rPr>
                <w:rFonts w:hint="eastAsia"/>
              </w:rPr>
              <w:t>√</w:t>
            </w:r>
          </w:p>
        </w:tc>
        <w:tc>
          <w:tcPr>
            <w:tcW w:w="1100" w:type="dxa"/>
            <w:vAlign w:val="center"/>
          </w:tcPr>
          <w:p w14:paraId="34091675">
            <w:pPr>
              <w:pStyle w:val="17"/>
            </w:pPr>
            <w:r>
              <w:rPr>
                <w:rFonts w:hint="eastAsia"/>
              </w:rPr>
              <w:t>√</w:t>
            </w:r>
          </w:p>
        </w:tc>
        <w:tc>
          <w:tcPr>
            <w:tcW w:w="1100" w:type="dxa"/>
            <w:vAlign w:val="center"/>
          </w:tcPr>
          <w:p w14:paraId="2F116645">
            <w:pPr>
              <w:pStyle w:val="17"/>
            </w:pPr>
            <w:r>
              <w:rPr>
                <w:rFonts w:hint="eastAsia"/>
              </w:rPr>
              <w:t>√</w:t>
            </w:r>
          </w:p>
        </w:tc>
        <w:tc>
          <w:tcPr>
            <w:tcW w:w="1100" w:type="dxa"/>
          </w:tcPr>
          <w:p w14:paraId="3F666251">
            <w:pPr>
              <w:pStyle w:val="17"/>
            </w:pPr>
          </w:p>
        </w:tc>
        <w:tc>
          <w:tcPr>
            <w:tcW w:w="1100" w:type="dxa"/>
          </w:tcPr>
          <w:p w14:paraId="02843704">
            <w:pPr>
              <w:pStyle w:val="17"/>
            </w:pPr>
          </w:p>
        </w:tc>
        <w:tc>
          <w:tcPr>
            <w:tcW w:w="1100" w:type="dxa"/>
            <w:tcBorders>
              <w:right w:val="single" w:color="auto" w:sz="12" w:space="0"/>
            </w:tcBorders>
            <w:vAlign w:val="center"/>
          </w:tcPr>
          <w:p w14:paraId="0FDBFBDD">
            <w:pPr>
              <w:pStyle w:val="17"/>
            </w:pPr>
          </w:p>
        </w:tc>
      </w:tr>
      <w:tr w14:paraId="29E6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214BA7F">
            <w:pPr>
              <w:rPr>
                <w:sz w:val="20"/>
                <w:szCs w:val="20"/>
              </w:rPr>
            </w:pPr>
            <w:r>
              <w:rPr>
                <w:rFonts w:hint="eastAsia"/>
                <w:sz w:val="20"/>
                <w:szCs w:val="20"/>
              </w:rPr>
              <w:t>第十章</w:t>
            </w:r>
            <w:r>
              <w:rPr>
                <w:rFonts w:hint="eastAsia"/>
                <w:color w:val="000000"/>
                <w:sz w:val="20"/>
                <w:szCs w:val="20"/>
              </w:rPr>
              <w:t>常见心血管疾病病人康复护理</w:t>
            </w:r>
          </w:p>
        </w:tc>
        <w:tc>
          <w:tcPr>
            <w:tcW w:w="1100" w:type="dxa"/>
            <w:vAlign w:val="center"/>
          </w:tcPr>
          <w:p w14:paraId="3F4129D1">
            <w:pPr>
              <w:pStyle w:val="17"/>
            </w:pPr>
            <w:r>
              <w:rPr>
                <w:rFonts w:hint="eastAsia"/>
              </w:rPr>
              <w:t>√</w:t>
            </w:r>
          </w:p>
        </w:tc>
        <w:tc>
          <w:tcPr>
            <w:tcW w:w="1100" w:type="dxa"/>
            <w:vAlign w:val="center"/>
          </w:tcPr>
          <w:p w14:paraId="45928DDB">
            <w:pPr>
              <w:pStyle w:val="17"/>
            </w:pPr>
            <w:r>
              <w:rPr>
                <w:rFonts w:hint="eastAsia"/>
              </w:rPr>
              <w:t>√</w:t>
            </w:r>
          </w:p>
        </w:tc>
        <w:tc>
          <w:tcPr>
            <w:tcW w:w="1100" w:type="dxa"/>
            <w:vAlign w:val="center"/>
          </w:tcPr>
          <w:p w14:paraId="067CA45C">
            <w:pPr>
              <w:pStyle w:val="17"/>
            </w:pPr>
            <w:r>
              <w:rPr>
                <w:rFonts w:hint="eastAsia"/>
              </w:rPr>
              <w:t>√</w:t>
            </w:r>
          </w:p>
        </w:tc>
        <w:tc>
          <w:tcPr>
            <w:tcW w:w="1100" w:type="dxa"/>
          </w:tcPr>
          <w:p w14:paraId="5B234829">
            <w:pPr>
              <w:pStyle w:val="17"/>
            </w:pPr>
          </w:p>
        </w:tc>
        <w:tc>
          <w:tcPr>
            <w:tcW w:w="1100" w:type="dxa"/>
          </w:tcPr>
          <w:p w14:paraId="1776D984">
            <w:pPr>
              <w:pStyle w:val="17"/>
            </w:pPr>
          </w:p>
        </w:tc>
        <w:tc>
          <w:tcPr>
            <w:tcW w:w="1100" w:type="dxa"/>
            <w:tcBorders>
              <w:right w:val="single" w:color="auto" w:sz="12" w:space="0"/>
            </w:tcBorders>
            <w:vAlign w:val="center"/>
          </w:tcPr>
          <w:p w14:paraId="29621CA6">
            <w:pPr>
              <w:pStyle w:val="17"/>
            </w:pPr>
          </w:p>
        </w:tc>
      </w:tr>
      <w:tr w14:paraId="23DB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C81C1CD">
            <w:pPr>
              <w:rPr>
                <w:sz w:val="20"/>
                <w:szCs w:val="20"/>
              </w:rPr>
            </w:pPr>
            <w:r>
              <w:rPr>
                <w:rFonts w:hint="eastAsia"/>
                <w:sz w:val="20"/>
                <w:szCs w:val="20"/>
              </w:rPr>
              <w:t>第十一章</w:t>
            </w:r>
            <w:r>
              <w:rPr>
                <w:rFonts w:hint="eastAsia"/>
                <w:color w:val="000000"/>
                <w:sz w:val="20"/>
                <w:szCs w:val="20"/>
              </w:rPr>
              <w:t>常见内分泌与代谢疾病病人康复护理</w:t>
            </w:r>
          </w:p>
        </w:tc>
        <w:tc>
          <w:tcPr>
            <w:tcW w:w="1100" w:type="dxa"/>
            <w:vAlign w:val="center"/>
          </w:tcPr>
          <w:p w14:paraId="44F8F8DD">
            <w:pPr>
              <w:pStyle w:val="17"/>
            </w:pPr>
            <w:r>
              <w:rPr>
                <w:rFonts w:hint="eastAsia"/>
              </w:rPr>
              <w:t>√</w:t>
            </w:r>
          </w:p>
        </w:tc>
        <w:tc>
          <w:tcPr>
            <w:tcW w:w="1100" w:type="dxa"/>
            <w:vAlign w:val="center"/>
          </w:tcPr>
          <w:p w14:paraId="67239BAB">
            <w:pPr>
              <w:pStyle w:val="17"/>
            </w:pPr>
            <w:r>
              <w:rPr>
                <w:rFonts w:hint="eastAsia"/>
              </w:rPr>
              <w:t>√</w:t>
            </w:r>
          </w:p>
        </w:tc>
        <w:tc>
          <w:tcPr>
            <w:tcW w:w="1100" w:type="dxa"/>
            <w:vAlign w:val="center"/>
          </w:tcPr>
          <w:p w14:paraId="01C65166">
            <w:pPr>
              <w:pStyle w:val="17"/>
            </w:pPr>
            <w:r>
              <w:rPr>
                <w:rFonts w:hint="eastAsia"/>
              </w:rPr>
              <w:t>√</w:t>
            </w:r>
          </w:p>
        </w:tc>
        <w:tc>
          <w:tcPr>
            <w:tcW w:w="1100" w:type="dxa"/>
          </w:tcPr>
          <w:p w14:paraId="331F196C">
            <w:pPr>
              <w:pStyle w:val="17"/>
            </w:pPr>
          </w:p>
        </w:tc>
        <w:tc>
          <w:tcPr>
            <w:tcW w:w="1100" w:type="dxa"/>
          </w:tcPr>
          <w:p w14:paraId="085B0D5A">
            <w:pPr>
              <w:pStyle w:val="17"/>
            </w:pPr>
          </w:p>
        </w:tc>
        <w:tc>
          <w:tcPr>
            <w:tcW w:w="1100" w:type="dxa"/>
            <w:tcBorders>
              <w:right w:val="single" w:color="auto" w:sz="12" w:space="0"/>
            </w:tcBorders>
            <w:vAlign w:val="center"/>
          </w:tcPr>
          <w:p w14:paraId="3841E16D">
            <w:pPr>
              <w:pStyle w:val="17"/>
            </w:pPr>
          </w:p>
        </w:tc>
      </w:tr>
      <w:tr w14:paraId="6529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68747A7">
            <w:pPr>
              <w:pStyle w:val="17"/>
              <w:rPr>
                <w:rFonts w:ascii="宋体" w:hAnsi="宋体"/>
                <w:sz w:val="20"/>
                <w:szCs w:val="20"/>
              </w:rPr>
            </w:pPr>
            <w:r>
              <w:rPr>
                <w:rFonts w:hint="eastAsia" w:ascii="宋体" w:hAnsi="宋体"/>
                <w:sz w:val="20"/>
                <w:szCs w:val="20"/>
              </w:rPr>
              <w:t>第十二章</w:t>
            </w:r>
            <w:r>
              <w:rPr>
                <w:rFonts w:ascii="宋体" w:hAnsi="宋体"/>
                <w:sz w:val="20"/>
                <w:szCs w:val="20"/>
              </w:rPr>
              <w:t>癌症术后病人康复护理</w:t>
            </w:r>
          </w:p>
        </w:tc>
        <w:tc>
          <w:tcPr>
            <w:tcW w:w="1100" w:type="dxa"/>
            <w:vAlign w:val="center"/>
          </w:tcPr>
          <w:p w14:paraId="3E090E54">
            <w:pPr>
              <w:pStyle w:val="17"/>
            </w:pPr>
            <w:r>
              <w:rPr>
                <w:rFonts w:hint="eastAsia"/>
              </w:rPr>
              <w:t>√</w:t>
            </w:r>
          </w:p>
        </w:tc>
        <w:tc>
          <w:tcPr>
            <w:tcW w:w="1100" w:type="dxa"/>
            <w:vAlign w:val="center"/>
          </w:tcPr>
          <w:p w14:paraId="00163264">
            <w:pPr>
              <w:pStyle w:val="17"/>
            </w:pPr>
            <w:r>
              <w:rPr>
                <w:rFonts w:hint="eastAsia"/>
              </w:rPr>
              <w:t>√</w:t>
            </w:r>
          </w:p>
        </w:tc>
        <w:tc>
          <w:tcPr>
            <w:tcW w:w="1100" w:type="dxa"/>
            <w:vAlign w:val="center"/>
          </w:tcPr>
          <w:p w14:paraId="5B1607F0">
            <w:pPr>
              <w:pStyle w:val="17"/>
            </w:pPr>
            <w:r>
              <w:rPr>
                <w:rFonts w:hint="eastAsia"/>
              </w:rPr>
              <w:t>√</w:t>
            </w:r>
          </w:p>
        </w:tc>
        <w:tc>
          <w:tcPr>
            <w:tcW w:w="1100" w:type="dxa"/>
          </w:tcPr>
          <w:p w14:paraId="5411A2EC">
            <w:pPr>
              <w:pStyle w:val="17"/>
            </w:pPr>
          </w:p>
        </w:tc>
        <w:tc>
          <w:tcPr>
            <w:tcW w:w="1100" w:type="dxa"/>
          </w:tcPr>
          <w:p w14:paraId="4C01C6DD">
            <w:pPr>
              <w:pStyle w:val="17"/>
            </w:pPr>
          </w:p>
        </w:tc>
        <w:tc>
          <w:tcPr>
            <w:tcW w:w="1100" w:type="dxa"/>
            <w:tcBorders>
              <w:right w:val="single" w:color="auto" w:sz="12" w:space="0"/>
            </w:tcBorders>
            <w:vAlign w:val="center"/>
          </w:tcPr>
          <w:p w14:paraId="08EFC60E">
            <w:pPr>
              <w:pStyle w:val="17"/>
            </w:pPr>
          </w:p>
        </w:tc>
      </w:tr>
      <w:tr w14:paraId="2F4B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7B84DDA">
            <w:pPr>
              <w:rPr>
                <w:sz w:val="20"/>
                <w:szCs w:val="20"/>
              </w:rPr>
            </w:pPr>
            <w:r>
              <w:rPr>
                <w:rFonts w:hint="eastAsia"/>
                <w:sz w:val="20"/>
                <w:szCs w:val="20"/>
              </w:rPr>
              <w:t>第十三章</w:t>
            </w:r>
            <w:r>
              <w:rPr>
                <w:rFonts w:hint="eastAsia"/>
                <w:color w:val="000000"/>
                <w:sz w:val="20"/>
                <w:szCs w:val="20"/>
              </w:rPr>
              <w:t>老年病病人康复护理</w:t>
            </w:r>
          </w:p>
        </w:tc>
        <w:tc>
          <w:tcPr>
            <w:tcW w:w="1100" w:type="dxa"/>
            <w:vAlign w:val="center"/>
          </w:tcPr>
          <w:p w14:paraId="377162A6">
            <w:pPr>
              <w:pStyle w:val="17"/>
            </w:pPr>
            <w:r>
              <w:rPr>
                <w:rFonts w:hint="eastAsia"/>
              </w:rPr>
              <w:t>√</w:t>
            </w:r>
          </w:p>
        </w:tc>
        <w:tc>
          <w:tcPr>
            <w:tcW w:w="1100" w:type="dxa"/>
            <w:vAlign w:val="center"/>
          </w:tcPr>
          <w:p w14:paraId="466DF9BF">
            <w:pPr>
              <w:pStyle w:val="17"/>
            </w:pPr>
            <w:r>
              <w:rPr>
                <w:rFonts w:hint="eastAsia"/>
              </w:rPr>
              <w:t>√</w:t>
            </w:r>
          </w:p>
        </w:tc>
        <w:tc>
          <w:tcPr>
            <w:tcW w:w="1100" w:type="dxa"/>
            <w:vAlign w:val="center"/>
          </w:tcPr>
          <w:p w14:paraId="7D4EAFB3">
            <w:pPr>
              <w:pStyle w:val="17"/>
            </w:pPr>
            <w:r>
              <w:rPr>
                <w:rFonts w:hint="eastAsia"/>
              </w:rPr>
              <w:t>√</w:t>
            </w:r>
          </w:p>
        </w:tc>
        <w:tc>
          <w:tcPr>
            <w:tcW w:w="1100" w:type="dxa"/>
          </w:tcPr>
          <w:p w14:paraId="7D440F25">
            <w:pPr>
              <w:pStyle w:val="17"/>
            </w:pPr>
          </w:p>
        </w:tc>
        <w:tc>
          <w:tcPr>
            <w:tcW w:w="1100" w:type="dxa"/>
          </w:tcPr>
          <w:p w14:paraId="2A24934E">
            <w:pPr>
              <w:pStyle w:val="17"/>
            </w:pPr>
          </w:p>
        </w:tc>
        <w:tc>
          <w:tcPr>
            <w:tcW w:w="1100" w:type="dxa"/>
            <w:tcBorders>
              <w:right w:val="single" w:color="auto" w:sz="12" w:space="0"/>
            </w:tcBorders>
            <w:vAlign w:val="center"/>
          </w:tcPr>
          <w:p w14:paraId="2FAE6860">
            <w:pPr>
              <w:pStyle w:val="17"/>
            </w:pPr>
          </w:p>
        </w:tc>
      </w:tr>
    </w:tbl>
    <w:p w14:paraId="6492CFEF">
      <w:pPr>
        <w:pStyle w:val="20"/>
        <w:spacing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69A8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70C6E325">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0DE732A5">
            <w:pPr>
              <w:pStyle w:val="16"/>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71C4AAAA">
            <w:pPr>
              <w:pStyle w:val="16"/>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7CA6D7DB">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5E1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63F1FF62">
            <w:pPr>
              <w:widowControl w:val="0"/>
              <w:snapToGrid w:val="0"/>
              <w:jc w:val="center"/>
              <w:rPr>
                <w:rFonts w:ascii="黑体" w:hAnsi="黑体" w:eastAsia="黑体"/>
                <w:bCs/>
                <w:sz w:val="21"/>
                <w:szCs w:val="21"/>
              </w:rPr>
            </w:pPr>
          </w:p>
        </w:tc>
        <w:tc>
          <w:tcPr>
            <w:tcW w:w="2755" w:type="dxa"/>
            <w:vMerge w:val="continue"/>
          </w:tcPr>
          <w:p w14:paraId="18904394">
            <w:pPr>
              <w:widowControl w:val="0"/>
              <w:snapToGrid w:val="0"/>
              <w:jc w:val="center"/>
              <w:rPr>
                <w:rFonts w:ascii="黑体" w:hAnsi="黑体" w:eastAsia="黑体"/>
                <w:bCs/>
                <w:sz w:val="21"/>
                <w:szCs w:val="21"/>
              </w:rPr>
            </w:pPr>
          </w:p>
        </w:tc>
        <w:tc>
          <w:tcPr>
            <w:tcW w:w="1738" w:type="dxa"/>
            <w:vMerge w:val="continue"/>
          </w:tcPr>
          <w:p w14:paraId="4871C124">
            <w:pPr>
              <w:widowControl w:val="0"/>
              <w:snapToGrid w:val="0"/>
              <w:jc w:val="center"/>
              <w:rPr>
                <w:rFonts w:ascii="黑体" w:hAnsi="黑体" w:eastAsia="黑体"/>
                <w:bCs/>
                <w:sz w:val="21"/>
                <w:szCs w:val="21"/>
              </w:rPr>
            </w:pPr>
          </w:p>
        </w:tc>
        <w:tc>
          <w:tcPr>
            <w:tcW w:w="725" w:type="dxa"/>
            <w:vAlign w:val="center"/>
          </w:tcPr>
          <w:p w14:paraId="3FCA259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6BBADFD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BA104B2">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386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BDB0EAA">
            <w:pPr>
              <w:widowControl w:val="0"/>
              <w:snapToGrid w:val="0"/>
              <w:jc w:val="center"/>
              <w:rPr>
                <w:sz w:val="20"/>
                <w:szCs w:val="20"/>
              </w:rPr>
            </w:pPr>
            <w:r>
              <w:rPr>
                <w:rFonts w:hint="eastAsia"/>
                <w:sz w:val="20"/>
                <w:szCs w:val="20"/>
              </w:rPr>
              <w:t>第一章</w:t>
            </w:r>
          </w:p>
        </w:tc>
        <w:tc>
          <w:tcPr>
            <w:tcW w:w="2755" w:type="dxa"/>
            <w:vAlign w:val="center"/>
          </w:tcPr>
          <w:p w14:paraId="701F2240">
            <w:pPr>
              <w:widowControl w:val="0"/>
              <w:snapToGrid w:val="0"/>
              <w:jc w:val="center"/>
              <w:rPr>
                <w:sz w:val="20"/>
                <w:szCs w:val="20"/>
              </w:rPr>
            </w:pPr>
            <w:r>
              <w:rPr>
                <w:rFonts w:hint="eastAsia"/>
                <w:sz w:val="20"/>
                <w:szCs w:val="20"/>
              </w:rPr>
              <w:t>讲述法；问题导向学习</w:t>
            </w:r>
          </w:p>
        </w:tc>
        <w:tc>
          <w:tcPr>
            <w:tcW w:w="1738" w:type="dxa"/>
            <w:vAlign w:val="center"/>
          </w:tcPr>
          <w:p w14:paraId="0004649B">
            <w:pPr>
              <w:widowControl w:val="0"/>
              <w:snapToGrid w:val="0"/>
              <w:jc w:val="center"/>
              <w:rPr>
                <w:sz w:val="20"/>
                <w:szCs w:val="20"/>
              </w:rPr>
            </w:pPr>
            <w:r>
              <w:rPr>
                <w:rFonts w:hint="eastAsia"/>
                <w:color w:val="000000"/>
                <w:sz w:val="20"/>
                <w:szCs w:val="20"/>
              </w:rPr>
              <w:t>纸笔测试</w:t>
            </w:r>
          </w:p>
        </w:tc>
        <w:tc>
          <w:tcPr>
            <w:tcW w:w="725" w:type="dxa"/>
            <w:vAlign w:val="center"/>
          </w:tcPr>
          <w:p w14:paraId="432CB631">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14:paraId="2C61425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AF4EE2C">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2F88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1BE0D40">
            <w:pPr>
              <w:widowControl w:val="0"/>
              <w:snapToGrid w:val="0"/>
              <w:jc w:val="center"/>
              <w:rPr>
                <w:sz w:val="20"/>
                <w:szCs w:val="20"/>
              </w:rPr>
            </w:pPr>
            <w:r>
              <w:rPr>
                <w:rFonts w:hint="eastAsia"/>
                <w:sz w:val="20"/>
                <w:szCs w:val="20"/>
              </w:rPr>
              <w:t>第二章</w:t>
            </w:r>
          </w:p>
        </w:tc>
        <w:tc>
          <w:tcPr>
            <w:tcW w:w="2755" w:type="dxa"/>
            <w:vAlign w:val="center"/>
          </w:tcPr>
          <w:p w14:paraId="402865F5">
            <w:pPr>
              <w:widowControl w:val="0"/>
              <w:snapToGrid w:val="0"/>
              <w:jc w:val="center"/>
              <w:rPr>
                <w:sz w:val="20"/>
                <w:szCs w:val="20"/>
              </w:rPr>
            </w:pPr>
            <w:r>
              <w:rPr>
                <w:rFonts w:hint="eastAsia"/>
                <w:sz w:val="20"/>
                <w:szCs w:val="20"/>
              </w:rPr>
              <w:t>讲述法、讨论法、问题导向学习</w:t>
            </w:r>
          </w:p>
        </w:tc>
        <w:tc>
          <w:tcPr>
            <w:tcW w:w="1738" w:type="dxa"/>
            <w:vAlign w:val="center"/>
          </w:tcPr>
          <w:p w14:paraId="0BF85810">
            <w:pPr>
              <w:widowControl w:val="0"/>
              <w:snapToGrid w:val="0"/>
              <w:jc w:val="center"/>
              <w:rPr>
                <w:sz w:val="20"/>
                <w:szCs w:val="20"/>
              </w:rPr>
            </w:pPr>
            <w:r>
              <w:rPr>
                <w:rFonts w:hint="eastAsia"/>
                <w:color w:val="000000"/>
                <w:sz w:val="20"/>
                <w:szCs w:val="20"/>
              </w:rPr>
              <w:t>纸笔测试</w:t>
            </w:r>
          </w:p>
        </w:tc>
        <w:tc>
          <w:tcPr>
            <w:tcW w:w="725" w:type="dxa"/>
            <w:vAlign w:val="center"/>
          </w:tcPr>
          <w:p w14:paraId="4C6ED2E5">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14:paraId="5FBC78F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ACA6CF5">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4572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44E02E1">
            <w:pPr>
              <w:widowControl w:val="0"/>
              <w:snapToGrid w:val="0"/>
              <w:jc w:val="center"/>
              <w:rPr>
                <w:sz w:val="20"/>
                <w:szCs w:val="20"/>
              </w:rPr>
            </w:pPr>
            <w:r>
              <w:rPr>
                <w:rFonts w:hint="eastAsia"/>
                <w:sz w:val="20"/>
                <w:szCs w:val="20"/>
              </w:rPr>
              <w:t>第三章</w:t>
            </w:r>
          </w:p>
        </w:tc>
        <w:tc>
          <w:tcPr>
            <w:tcW w:w="2755" w:type="dxa"/>
            <w:vAlign w:val="center"/>
          </w:tcPr>
          <w:p w14:paraId="585FEB68">
            <w:pPr>
              <w:widowControl w:val="0"/>
              <w:snapToGrid w:val="0"/>
              <w:jc w:val="center"/>
              <w:rPr>
                <w:sz w:val="20"/>
                <w:szCs w:val="20"/>
              </w:rPr>
            </w:pPr>
            <w:r>
              <w:rPr>
                <w:rFonts w:hint="eastAsia"/>
                <w:sz w:val="20"/>
                <w:szCs w:val="20"/>
              </w:rPr>
              <w:t>讲述法、讨论法、问题导向学习、示范教学法、练习教学法</w:t>
            </w:r>
          </w:p>
        </w:tc>
        <w:tc>
          <w:tcPr>
            <w:tcW w:w="1738" w:type="dxa"/>
            <w:vAlign w:val="center"/>
          </w:tcPr>
          <w:p w14:paraId="1BC67C35">
            <w:pPr>
              <w:widowControl w:val="0"/>
              <w:snapToGrid w:val="0"/>
              <w:jc w:val="center"/>
              <w:rPr>
                <w:color w:val="000000"/>
                <w:sz w:val="20"/>
                <w:szCs w:val="20"/>
              </w:rPr>
            </w:pPr>
            <w:r>
              <w:rPr>
                <w:rFonts w:hint="eastAsia"/>
                <w:color w:val="000000"/>
                <w:sz w:val="20"/>
                <w:szCs w:val="20"/>
              </w:rPr>
              <w:t>纸笔测试</w:t>
            </w:r>
          </w:p>
          <w:p w14:paraId="3447E1C4">
            <w:pPr>
              <w:widowControl w:val="0"/>
              <w:snapToGrid w:val="0"/>
              <w:jc w:val="center"/>
              <w:rPr>
                <w:sz w:val="20"/>
                <w:szCs w:val="20"/>
              </w:rPr>
            </w:pPr>
            <w:r>
              <w:rPr>
                <w:rFonts w:hint="eastAsia"/>
                <w:sz w:val="20"/>
                <w:szCs w:val="20"/>
              </w:rPr>
              <w:t>实验报告</w:t>
            </w:r>
          </w:p>
        </w:tc>
        <w:tc>
          <w:tcPr>
            <w:tcW w:w="725" w:type="dxa"/>
            <w:vAlign w:val="center"/>
          </w:tcPr>
          <w:p w14:paraId="6E314CC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1B268B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0D7792E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C9D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B0A17D2">
            <w:pPr>
              <w:widowControl w:val="0"/>
              <w:snapToGrid w:val="0"/>
              <w:jc w:val="center"/>
              <w:rPr>
                <w:sz w:val="20"/>
                <w:szCs w:val="20"/>
              </w:rPr>
            </w:pPr>
            <w:r>
              <w:rPr>
                <w:rFonts w:hint="eastAsia"/>
                <w:sz w:val="20"/>
                <w:szCs w:val="20"/>
              </w:rPr>
              <w:t>第四章</w:t>
            </w:r>
          </w:p>
        </w:tc>
        <w:tc>
          <w:tcPr>
            <w:tcW w:w="2755" w:type="dxa"/>
            <w:vAlign w:val="center"/>
          </w:tcPr>
          <w:p w14:paraId="219E2AA4">
            <w:pPr>
              <w:widowControl w:val="0"/>
              <w:snapToGrid w:val="0"/>
              <w:jc w:val="center"/>
              <w:rPr>
                <w:sz w:val="20"/>
                <w:szCs w:val="20"/>
              </w:rPr>
            </w:pPr>
            <w:r>
              <w:rPr>
                <w:rFonts w:hint="eastAsia"/>
                <w:sz w:val="20"/>
                <w:szCs w:val="20"/>
              </w:rPr>
              <w:t>讲述法、问题导向学习、示范教学法、练习教学法</w:t>
            </w:r>
          </w:p>
        </w:tc>
        <w:tc>
          <w:tcPr>
            <w:tcW w:w="1738" w:type="dxa"/>
            <w:vAlign w:val="center"/>
          </w:tcPr>
          <w:p w14:paraId="71BBE699">
            <w:pPr>
              <w:widowControl w:val="0"/>
              <w:snapToGrid w:val="0"/>
              <w:jc w:val="center"/>
              <w:rPr>
                <w:color w:val="000000"/>
                <w:sz w:val="20"/>
                <w:szCs w:val="20"/>
              </w:rPr>
            </w:pPr>
            <w:r>
              <w:rPr>
                <w:rFonts w:hint="eastAsia"/>
                <w:color w:val="000000"/>
                <w:sz w:val="20"/>
                <w:szCs w:val="20"/>
              </w:rPr>
              <w:t>纸笔测试</w:t>
            </w:r>
          </w:p>
          <w:p w14:paraId="5D0BD81E">
            <w:pPr>
              <w:widowControl w:val="0"/>
              <w:snapToGrid w:val="0"/>
              <w:jc w:val="center"/>
              <w:rPr>
                <w:sz w:val="20"/>
                <w:szCs w:val="20"/>
              </w:rPr>
            </w:pPr>
            <w:r>
              <w:rPr>
                <w:rFonts w:hint="eastAsia"/>
                <w:sz w:val="20"/>
                <w:szCs w:val="20"/>
              </w:rPr>
              <w:t>实验报告</w:t>
            </w:r>
          </w:p>
        </w:tc>
        <w:tc>
          <w:tcPr>
            <w:tcW w:w="725" w:type="dxa"/>
            <w:vAlign w:val="center"/>
          </w:tcPr>
          <w:p w14:paraId="2C61AB0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F95BA9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4927650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264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B34AAE2">
            <w:pPr>
              <w:widowControl w:val="0"/>
              <w:snapToGrid w:val="0"/>
              <w:jc w:val="center"/>
              <w:rPr>
                <w:sz w:val="20"/>
                <w:szCs w:val="20"/>
              </w:rPr>
            </w:pPr>
            <w:r>
              <w:rPr>
                <w:rFonts w:hint="eastAsia"/>
                <w:sz w:val="20"/>
                <w:szCs w:val="20"/>
              </w:rPr>
              <w:t>第五章</w:t>
            </w:r>
          </w:p>
        </w:tc>
        <w:tc>
          <w:tcPr>
            <w:tcW w:w="2755" w:type="dxa"/>
            <w:vAlign w:val="center"/>
          </w:tcPr>
          <w:p w14:paraId="6E9F4C1B">
            <w:pPr>
              <w:widowControl w:val="0"/>
              <w:snapToGrid w:val="0"/>
              <w:jc w:val="center"/>
              <w:rPr>
                <w:sz w:val="20"/>
                <w:szCs w:val="20"/>
              </w:rPr>
            </w:pPr>
            <w:r>
              <w:rPr>
                <w:rFonts w:hint="eastAsia"/>
                <w:sz w:val="20"/>
                <w:szCs w:val="20"/>
              </w:rPr>
              <w:t>述法、讨论法、问题导向学习</w:t>
            </w:r>
          </w:p>
        </w:tc>
        <w:tc>
          <w:tcPr>
            <w:tcW w:w="1738" w:type="dxa"/>
            <w:vAlign w:val="center"/>
          </w:tcPr>
          <w:p w14:paraId="7F785BF4">
            <w:pPr>
              <w:widowControl w:val="0"/>
              <w:snapToGrid w:val="0"/>
              <w:jc w:val="center"/>
              <w:rPr>
                <w:color w:val="000000"/>
                <w:sz w:val="20"/>
                <w:szCs w:val="20"/>
              </w:rPr>
            </w:pPr>
            <w:r>
              <w:rPr>
                <w:rFonts w:hint="eastAsia"/>
                <w:color w:val="000000"/>
                <w:sz w:val="20"/>
                <w:szCs w:val="20"/>
              </w:rPr>
              <w:t>纸笔测试</w:t>
            </w:r>
            <w:r>
              <w:rPr>
                <w:rFonts w:hint="eastAsia"/>
                <w:sz w:val="20"/>
                <w:szCs w:val="20"/>
              </w:rPr>
              <w:t xml:space="preserve"> </w:t>
            </w:r>
          </w:p>
        </w:tc>
        <w:tc>
          <w:tcPr>
            <w:tcW w:w="725" w:type="dxa"/>
            <w:vAlign w:val="center"/>
          </w:tcPr>
          <w:p w14:paraId="7F35EAF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785324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7FAF43B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790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E6264FC">
            <w:pPr>
              <w:widowControl w:val="0"/>
              <w:snapToGrid w:val="0"/>
              <w:jc w:val="center"/>
              <w:rPr>
                <w:sz w:val="20"/>
                <w:szCs w:val="20"/>
              </w:rPr>
            </w:pPr>
            <w:r>
              <w:rPr>
                <w:rFonts w:hint="eastAsia"/>
                <w:sz w:val="20"/>
                <w:szCs w:val="20"/>
              </w:rPr>
              <w:t>第六章</w:t>
            </w:r>
          </w:p>
        </w:tc>
        <w:tc>
          <w:tcPr>
            <w:tcW w:w="2755" w:type="dxa"/>
            <w:vAlign w:val="center"/>
          </w:tcPr>
          <w:p w14:paraId="6D2C4C59">
            <w:pPr>
              <w:widowControl w:val="0"/>
              <w:snapToGrid w:val="0"/>
              <w:jc w:val="center"/>
              <w:rPr>
                <w:sz w:val="20"/>
                <w:szCs w:val="20"/>
              </w:rPr>
            </w:pPr>
            <w:r>
              <w:rPr>
                <w:rFonts w:hint="eastAsia"/>
                <w:sz w:val="20"/>
                <w:szCs w:val="20"/>
              </w:rPr>
              <w:t>讲述法、讨论法、问题导向学习、示范教学法、练习教学法</w:t>
            </w:r>
          </w:p>
        </w:tc>
        <w:tc>
          <w:tcPr>
            <w:tcW w:w="1738" w:type="dxa"/>
            <w:vAlign w:val="center"/>
          </w:tcPr>
          <w:p w14:paraId="0FBDAAFF">
            <w:pPr>
              <w:widowControl w:val="0"/>
              <w:snapToGrid w:val="0"/>
              <w:jc w:val="center"/>
              <w:rPr>
                <w:color w:val="000000"/>
                <w:sz w:val="20"/>
                <w:szCs w:val="20"/>
              </w:rPr>
            </w:pPr>
            <w:r>
              <w:rPr>
                <w:rFonts w:hint="eastAsia"/>
                <w:color w:val="000000"/>
                <w:sz w:val="20"/>
                <w:szCs w:val="20"/>
              </w:rPr>
              <w:t>纸笔测试</w:t>
            </w:r>
          </w:p>
          <w:p w14:paraId="7C7FC1C0">
            <w:pPr>
              <w:widowControl w:val="0"/>
              <w:snapToGrid w:val="0"/>
              <w:jc w:val="center"/>
              <w:rPr>
                <w:sz w:val="20"/>
                <w:szCs w:val="20"/>
              </w:rPr>
            </w:pPr>
            <w:r>
              <w:rPr>
                <w:rFonts w:hint="eastAsia"/>
                <w:sz w:val="20"/>
                <w:szCs w:val="20"/>
              </w:rPr>
              <w:t>实验报告</w:t>
            </w:r>
          </w:p>
        </w:tc>
        <w:tc>
          <w:tcPr>
            <w:tcW w:w="725" w:type="dxa"/>
            <w:vAlign w:val="center"/>
          </w:tcPr>
          <w:p w14:paraId="2D8B711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2EE5E4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1EFAD489">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76F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790081D">
            <w:pPr>
              <w:widowControl w:val="0"/>
              <w:snapToGrid w:val="0"/>
              <w:jc w:val="center"/>
              <w:rPr>
                <w:sz w:val="20"/>
                <w:szCs w:val="20"/>
              </w:rPr>
            </w:pPr>
            <w:r>
              <w:rPr>
                <w:rFonts w:hint="eastAsia"/>
                <w:sz w:val="20"/>
                <w:szCs w:val="20"/>
              </w:rPr>
              <w:t>第七章</w:t>
            </w:r>
          </w:p>
        </w:tc>
        <w:tc>
          <w:tcPr>
            <w:tcW w:w="2755" w:type="dxa"/>
            <w:vAlign w:val="center"/>
          </w:tcPr>
          <w:p w14:paraId="494E7F16">
            <w:pPr>
              <w:widowControl w:val="0"/>
              <w:snapToGrid w:val="0"/>
              <w:jc w:val="center"/>
              <w:rPr>
                <w:sz w:val="20"/>
                <w:szCs w:val="20"/>
              </w:rPr>
            </w:pPr>
            <w:r>
              <w:rPr>
                <w:rFonts w:hint="eastAsia"/>
                <w:sz w:val="20"/>
                <w:szCs w:val="20"/>
              </w:rPr>
              <w:t>讲述法、示范教学法、练习教学法、问题导向学习、实作学习</w:t>
            </w:r>
          </w:p>
        </w:tc>
        <w:tc>
          <w:tcPr>
            <w:tcW w:w="1738" w:type="dxa"/>
            <w:vAlign w:val="center"/>
          </w:tcPr>
          <w:p w14:paraId="7F131F8B">
            <w:pPr>
              <w:widowControl w:val="0"/>
              <w:snapToGrid w:val="0"/>
              <w:jc w:val="center"/>
              <w:rPr>
                <w:sz w:val="20"/>
                <w:szCs w:val="20"/>
              </w:rPr>
            </w:pPr>
            <w:r>
              <w:rPr>
                <w:rFonts w:hint="eastAsia"/>
                <w:sz w:val="20"/>
                <w:szCs w:val="20"/>
              </w:rPr>
              <w:t>纸笔测试</w:t>
            </w:r>
          </w:p>
          <w:p w14:paraId="0706E782">
            <w:pPr>
              <w:widowControl w:val="0"/>
              <w:snapToGrid w:val="0"/>
              <w:jc w:val="center"/>
              <w:rPr>
                <w:sz w:val="20"/>
                <w:szCs w:val="20"/>
              </w:rPr>
            </w:pPr>
            <w:r>
              <w:rPr>
                <w:rFonts w:hint="eastAsia"/>
                <w:sz w:val="20"/>
                <w:szCs w:val="20"/>
              </w:rPr>
              <w:t>实验报告</w:t>
            </w:r>
          </w:p>
        </w:tc>
        <w:tc>
          <w:tcPr>
            <w:tcW w:w="725" w:type="dxa"/>
            <w:vAlign w:val="center"/>
          </w:tcPr>
          <w:p w14:paraId="3A6EADD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BE1E4D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2AA26316">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187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A97B8A6">
            <w:pPr>
              <w:widowControl w:val="0"/>
              <w:snapToGrid w:val="0"/>
              <w:jc w:val="center"/>
              <w:rPr>
                <w:sz w:val="20"/>
                <w:szCs w:val="20"/>
              </w:rPr>
            </w:pPr>
            <w:r>
              <w:rPr>
                <w:rFonts w:hint="eastAsia"/>
                <w:sz w:val="20"/>
                <w:szCs w:val="20"/>
              </w:rPr>
              <w:t>第八章</w:t>
            </w:r>
          </w:p>
        </w:tc>
        <w:tc>
          <w:tcPr>
            <w:tcW w:w="2755" w:type="dxa"/>
            <w:vAlign w:val="center"/>
          </w:tcPr>
          <w:p w14:paraId="1027CCA1">
            <w:pPr>
              <w:widowControl w:val="0"/>
              <w:snapToGrid w:val="0"/>
              <w:jc w:val="center"/>
              <w:rPr>
                <w:sz w:val="20"/>
                <w:szCs w:val="20"/>
              </w:rPr>
            </w:pPr>
            <w:r>
              <w:rPr>
                <w:rFonts w:hint="eastAsia"/>
                <w:sz w:val="20"/>
                <w:szCs w:val="20"/>
              </w:rPr>
              <w:t>讲述法、讨论法；问题导向学习</w:t>
            </w:r>
          </w:p>
        </w:tc>
        <w:tc>
          <w:tcPr>
            <w:tcW w:w="1738" w:type="dxa"/>
            <w:vAlign w:val="center"/>
          </w:tcPr>
          <w:p w14:paraId="33C131A0">
            <w:pPr>
              <w:widowControl w:val="0"/>
              <w:snapToGrid w:val="0"/>
              <w:jc w:val="center"/>
              <w:rPr>
                <w:sz w:val="20"/>
                <w:szCs w:val="20"/>
              </w:rPr>
            </w:pPr>
            <w:r>
              <w:rPr>
                <w:rFonts w:hint="eastAsia"/>
                <w:color w:val="000000"/>
                <w:sz w:val="20"/>
                <w:szCs w:val="20"/>
              </w:rPr>
              <w:t>纸笔测试</w:t>
            </w:r>
          </w:p>
        </w:tc>
        <w:tc>
          <w:tcPr>
            <w:tcW w:w="725" w:type="dxa"/>
            <w:vAlign w:val="center"/>
          </w:tcPr>
          <w:p w14:paraId="7AD62F9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4BF947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3DDDBF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EF9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2F60AF8">
            <w:pPr>
              <w:widowControl w:val="0"/>
              <w:snapToGrid w:val="0"/>
              <w:jc w:val="center"/>
              <w:rPr>
                <w:sz w:val="20"/>
                <w:szCs w:val="20"/>
              </w:rPr>
            </w:pPr>
            <w:r>
              <w:rPr>
                <w:rFonts w:hint="eastAsia"/>
                <w:sz w:val="20"/>
                <w:szCs w:val="20"/>
              </w:rPr>
              <w:t>第九章</w:t>
            </w:r>
          </w:p>
        </w:tc>
        <w:tc>
          <w:tcPr>
            <w:tcW w:w="2755" w:type="dxa"/>
            <w:vAlign w:val="center"/>
          </w:tcPr>
          <w:p w14:paraId="701D91A5">
            <w:pPr>
              <w:widowControl w:val="0"/>
              <w:snapToGrid w:val="0"/>
              <w:jc w:val="center"/>
              <w:rPr>
                <w:sz w:val="20"/>
                <w:szCs w:val="20"/>
              </w:rPr>
            </w:pPr>
            <w:r>
              <w:rPr>
                <w:rFonts w:hint="eastAsia"/>
                <w:sz w:val="20"/>
                <w:szCs w:val="20"/>
              </w:rPr>
              <w:t>情景法、讨论教学法；问题导向学习、合作学习</w:t>
            </w:r>
          </w:p>
        </w:tc>
        <w:tc>
          <w:tcPr>
            <w:tcW w:w="1738" w:type="dxa"/>
            <w:vAlign w:val="center"/>
          </w:tcPr>
          <w:p w14:paraId="6F19D0C4">
            <w:pPr>
              <w:widowControl w:val="0"/>
              <w:snapToGrid w:val="0"/>
              <w:jc w:val="center"/>
              <w:rPr>
                <w:sz w:val="20"/>
                <w:szCs w:val="20"/>
              </w:rPr>
            </w:pPr>
            <w:r>
              <w:rPr>
                <w:rFonts w:hint="eastAsia"/>
                <w:sz w:val="20"/>
                <w:szCs w:val="20"/>
              </w:rPr>
              <w:t>纸笔测试</w:t>
            </w:r>
          </w:p>
          <w:p w14:paraId="071DA9EC">
            <w:pPr>
              <w:widowControl w:val="0"/>
              <w:snapToGrid w:val="0"/>
              <w:jc w:val="center"/>
              <w:rPr>
                <w:sz w:val="20"/>
                <w:szCs w:val="20"/>
              </w:rPr>
            </w:pPr>
          </w:p>
        </w:tc>
        <w:tc>
          <w:tcPr>
            <w:tcW w:w="725" w:type="dxa"/>
            <w:vAlign w:val="center"/>
          </w:tcPr>
          <w:p w14:paraId="14D6079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6AAF54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2D39C2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46C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3F90FD9">
            <w:pPr>
              <w:widowControl w:val="0"/>
              <w:snapToGrid w:val="0"/>
              <w:jc w:val="center"/>
              <w:rPr>
                <w:sz w:val="20"/>
                <w:szCs w:val="20"/>
              </w:rPr>
            </w:pPr>
            <w:r>
              <w:rPr>
                <w:rFonts w:hint="eastAsia"/>
                <w:sz w:val="20"/>
                <w:szCs w:val="20"/>
              </w:rPr>
              <w:t>第十章</w:t>
            </w:r>
          </w:p>
        </w:tc>
        <w:tc>
          <w:tcPr>
            <w:tcW w:w="2755" w:type="dxa"/>
            <w:vAlign w:val="center"/>
          </w:tcPr>
          <w:p w14:paraId="4DEFB0CA">
            <w:pPr>
              <w:widowControl w:val="0"/>
              <w:snapToGrid w:val="0"/>
              <w:jc w:val="center"/>
              <w:rPr>
                <w:sz w:val="20"/>
                <w:szCs w:val="20"/>
              </w:rPr>
            </w:pPr>
            <w:r>
              <w:rPr>
                <w:rFonts w:hint="eastAsia"/>
                <w:sz w:val="20"/>
                <w:szCs w:val="20"/>
              </w:rPr>
              <w:t>讲述法、讨论法；问题导向学习</w:t>
            </w:r>
          </w:p>
        </w:tc>
        <w:tc>
          <w:tcPr>
            <w:tcW w:w="1738" w:type="dxa"/>
            <w:vAlign w:val="center"/>
          </w:tcPr>
          <w:p w14:paraId="20D71B0A">
            <w:pPr>
              <w:widowControl w:val="0"/>
              <w:snapToGrid w:val="0"/>
              <w:jc w:val="center"/>
              <w:rPr>
                <w:sz w:val="20"/>
                <w:szCs w:val="20"/>
              </w:rPr>
            </w:pPr>
            <w:r>
              <w:rPr>
                <w:rFonts w:hint="eastAsia"/>
                <w:color w:val="000000"/>
                <w:sz w:val="20"/>
                <w:szCs w:val="20"/>
              </w:rPr>
              <w:t>纸笔测试</w:t>
            </w:r>
          </w:p>
        </w:tc>
        <w:tc>
          <w:tcPr>
            <w:tcW w:w="725" w:type="dxa"/>
            <w:vAlign w:val="center"/>
          </w:tcPr>
          <w:p w14:paraId="3DD78C9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69EDB4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4C438D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5F8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BE7B8BD">
            <w:pPr>
              <w:widowControl w:val="0"/>
              <w:snapToGrid w:val="0"/>
              <w:jc w:val="center"/>
              <w:rPr>
                <w:sz w:val="20"/>
                <w:szCs w:val="20"/>
              </w:rPr>
            </w:pPr>
            <w:r>
              <w:rPr>
                <w:rFonts w:hint="eastAsia"/>
                <w:sz w:val="20"/>
                <w:szCs w:val="20"/>
              </w:rPr>
              <w:t>第十一章</w:t>
            </w:r>
          </w:p>
        </w:tc>
        <w:tc>
          <w:tcPr>
            <w:tcW w:w="2755" w:type="dxa"/>
            <w:vAlign w:val="center"/>
          </w:tcPr>
          <w:p w14:paraId="08780DFC">
            <w:pPr>
              <w:widowControl w:val="0"/>
              <w:snapToGrid w:val="0"/>
              <w:jc w:val="center"/>
              <w:rPr>
                <w:sz w:val="20"/>
                <w:szCs w:val="20"/>
              </w:rPr>
            </w:pPr>
            <w:r>
              <w:rPr>
                <w:rFonts w:hint="eastAsia"/>
                <w:sz w:val="20"/>
                <w:szCs w:val="20"/>
              </w:rPr>
              <w:t>讲述法讨论法；；问题导向学习</w:t>
            </w:r>
          </w:p>
        </w:tc>
        <w:tc>
          <w:tcPr>
            <w:tcW w:w="1738" w:type="dxa"/>
            <w:vAlign w:val="center"/>
          </w:tcPr>
          <w:p w14:paraId="6E1A1CE4">
            <w:pPr>
              <w:widowControl w:val="0"/>
              <w:snapToGrid w:val="0"/>
              <w:jc w:val="center"/>
              <w:rPr>
                <w:sz w:val="20"/>
                <w:szCs w:val="20"/>
              </w:rPr>
            </w:pPr>
            <w:r>
              <w:rPr>
                <w:rFonts w:hint="eastAsia"/>
                <w:color w:val="000000"/>
                <w:sz w:val="20"/>
                <w:szCs w:val="20"/>
              </w:rPr>
              <w:t>纸笔测试</w:t>
            </w:r>
          </w:p>
        </w:tc>
        <w:tc>
          <w:tcPr>
            <w:tcW w:w="725" w:type="dxa"/>
            <w:vAlign w:val="center"/>
          </w:tcPr>
          <w:p w14:paraId="67875BD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3EFDC9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53DC19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AA3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5FB3B34">
            <w:pPr>
              <w:widowControl w:val="0"/>
              <w:snapToGrid w:val="0"/>
              <w:jc w:val="center"/>
              <w:rPr>
                <w:sz w:val="20"/>
                <w:szCs w:val="20"/>
              </w:rPr>
            </w:pPr>
            <w:r>
              <w:rPr>
                <w:rFonts w:hint="eastAsia"/>
                <w:sz w:val="20"/>
                <w:szCs w:val="20"/>
              </w:rPr>
              <w:t>第十二章</w:t>
            </w:r>
          </w:p>
        </w:tc>
        <w:tc>
          <w:tcPr>
            <w:tcW w:w="2755" w:type="dxa"/>
            <w:vAlign w:val="center"/>
          </w:tcPr>
          <w:p w14:paraId="251E12FB">
            <w:pPr>
              <w:widowControl w:val="0"/>
              <w:snapToGrid w:val="0"/>
              <w:jc w:val="center"/>
              <w:rPr>
                <w:sz w:val="20"/>
                <w:szCs w:val="20"/>
              </w:rPr>
            </w:pPr>
            <w:r>
              <w:rPr>
                <w:rFonts w:hint="eastAsia"/>
                <w:sz w:val="20"/>
                <w:szCs w:val="20"/>
              </w:rPr>
              <w:t>讲述教学法、多媒体教学法；问题导向学习、实作学习</w:t>
            </w:r>
          </w:p>
        </w:tc>
        <w:tc>
          <w:tcPr>
            <w:tcW w:w="1738" w:type="dxa"/>
            <w:vAlign w:val="center"/>
          </w:tcPr>
          <w:p w14:paraId="4C50D100">
            <w:pPr>
              <w:widowControl w:val="0"/>
              <w:snapToGrid w:val="0"/>
              <w:jc w:val="center"/>
              <w:rPr>
                <w:sz w:val="20"/>
                <w:szCs w:val="20"/>
              </w:rPr>
            </w:pPr>
            <w:r>
              <w:rPr>
                <w:rFonts w:hint="eastAsia"/>
                <w:color w:val="000000"/>
                <w:sz w:val="20"/>
                <w:szCs w:val="20"/>
              </w:rPr>
              <w:t>纸笔测试</w:t>
            </w:r>
          </w:p>
        </w:tc>
        <w:tc>
          <w:tcPr>
            <w:tcW w:w="725" w:type="dxa"/>
            <w:vAlign w:val="center"/>
          </w:tcPr>
          <w:p w14:paraId="468D2F5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E619F8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D91590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6DC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D6A2408">
            <w:pPr>
              <w:widowControl w:val="0"/>
              <w:snapToGrid w:val="0"/>
              <w:jc w:val="center"/>
              <w:rPr>
                <w:sz w:val="20"/>
                <w:szCs w:val="20"/>
              </w:rPr>
            </w:pPr>
            <w:r>
              <w:rPr>
                <w:rFonts w:hint="eastAsia"/>
                <w:sz w:val="20"/>
                <w:szCs w:val="20"/>
              </w:rPr>
              <w:t>第十三章</w:t>
            </w:r>
          </w:p>
        </w:tc>
        <w:tc>
          <w:tcPr>
            <w:tcW w:w="2755" w:type="dxa"/>
            <w:vAlign w:val="center"/>
          </w:tcPr>
          <w:p w14:paraId="5910FC14">
            <w:pPr>
              <w:widowControl w:val="0"/>
              <w:snapToGrid w:val="0"/>
              <w:jc w:val="center"/>
              <w:rPr>
                <w:sz w:val="20"/>
                <w:szCs w:val="20"/>
              </w:rPr>
            </w:pPr>
            <w:r>
              <w:rPr>
                <w:rFonts w:hint="eastAsia"/>
                <w:sz w:val="20"/>
                <w:szCs w:val="20"/>
              </w:rPr>
              <w:t>讲述法、讨论法；问题导向学习</w:t>
            </w:r>
          </w:p>
        </w:tc>
        <w:tc>
          <w:tcPr>
            <w:tcW w:w="1738" w:type="dxa"/>
            <w:vAlign w:val="center"/>
          </w:tcPr>
          <w:p w14:paraId="7116761E">
            <w:pPr>
              <w:widowControl w:val="0"/>
              <w:snapToGrid w:val="0"/>
              <w:jc w:val="center"/>
              <w:rPr>
                <w:sz w:val="20"/>
                <w:szCs w:val="20"/>
              </w:rPr>
            </w:pPr>
            <w:r>
              <w:rPr>
                <w:rFonts w:hint="eastAsia"/>
                <w:color w:val="000000"/>
                <w:sz w:val="20"/>
                <w:szCs w:val="20"/>
              </w:rPr>
              <w:t>纸笔测试</w:t>
            </w:r>
          </w:p>
        </w:tc>
        <w:tc>
          <w:tcPr>
            <w:tcW w:w="725" w:type="dxa"/>
            <w:vAlign w:val="center"/>
          </w:tcPr>
          <w:p w14:paraId="37D2788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0EE10E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6297DA5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B6F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6719F837">
            <w:pPr>
              <w:pStyle w:val="16"/>
              <w:widowControl w:val="0"/>
            </w:pPr>
            <w:r>
              <w:rPr>
                <w:rFonts w:hint="eastAsia"/>
              </w:rPr>
              <w:t>合计</w:t>
            </w:r>
          </w:p>
        </w:tc>
        <w:tc>
          <w:tcPr>
            <w:tcW w:w="725" w:type="dxa"/>
            <w:tcBorders>
              <w:bottom w:val="single" w:color="auto" w:sz="12" w:space="0"/>
            </w:tcBorders>
            <w:vAlign w:val="center"/>
          </w:tcPr>
          <w:p w14:paraId="6AF863D7">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69" w:type="dxa"/>
            <w:tcBorders>
              <w:bottom w:val="single" w:color="auto" w:sz="12" w:space="0"/>
            </w:tcBorders>
            <w:vAlign w:val="center"/>
          </w:tcPr>
          <w:p w14:paraId="68C83407">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17" w:type="dxa"/>
            <w:tcBorders>
              <w:bottom w:val="single" w:color="auto" w:sz="12" w:space="0"/>
              <w:right w:val="single" w:color="auto" w:sz="12" w:space="0"/>
            </w:tcBorders>
            <w:vAlign w:val="center"/>
          </w:tcPr>
          <w:p w14:paraId="05A145AD">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4561E1AA">
      <w:pPr>
        <w:pStyle w:val="20"/>
        <w:spacing w:beforeLines="100"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14:paraId="7F4E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14:paraId="04CE7A3A">
            <w:pPr>
              <w:pStyle w:val="16"/>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04EB2A35">
            <w:pPr>
              <w:pStyle w:val="16"/>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6F71E4BF">
            <w:pPr>
              <w:pStyle w:val="16"/>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63B777A1">
            <w:pPr>
              <w:pStyle w:val="16"/>
              <w:rPr>
                <w:szCs w:val="16"/>
              </w:rPr>
            </w:pPr>
            <w:r>
              <w:rPr>
                <w:rFonts w:hint="eastAsia"/>
                <w:szCs w:val="16"/>
              </w:rPr>
              <w:t>实验</w:t>
            </w:r>
          </w:p>
          <w:p w14:paraId="61264B03">
            <w:pPr>
              <w:pStyle w:val="16"/>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3D09B41B">
            <w:pPr>
              <w:pStyle w:val="16"/>
              <w:rPr>
                <w:szCs w:val="16"/>
              </w:rPr>
            </w:pPr>
            <w:r>
              <w:rPr>
                <w:rFonts w:hint="eastAsia"/>
                <w:szCs w:val="16"/>
              </w:rPr>
              <w:t>实验</w:t>
            </w:r>
          </w:p>
          <w:p w14:paraId="6CD8B290">
            <w:pPr>
              <w:pStyle w:val="16"/>
              <w:rPr>
                <w:szCs w:val="16"/>
              </w:rPr>
            </w:pPr>
            <w:r>
              <w:rPr>
                <w:rFonts w:hint="eastAsia"/>
                <w:szCs w:val="16"/>
              </w:rPr>
              <w:t>类型</w:t>
            </w:r>
          </w:p>
        </w:tc>
      </w:tr>
      <w:tr w14:paraId="7431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063CC7D1">
            <w:pPr>
              <w:pStyle w:val="17"/>
            </w:pPr>
            <w:r>
              <w:rPr>
                <w:rFonts w:hint="eastAsia"/>
              </w:rPr>
              <w:t>1</w:t>
            </w:r>
          </w:p>
        </w:tc>
        <w:tc>
          <w:tcPr>
            <w:tcW w:w="1882" w:type="dxa"/>
            <w:vAlign w:val="center"/>
          </w:tcPr>
          <w:p w14:paraId="58D20607">
            <w:pPr>
              <w:pStyle w:val="17"/>
            </w:pPr>
            <w:r>
              <w:rPr>
                <w:rFonts w:hint="eastAsia" w:ascii="宋体" w:hAnsi="宋体" w:cs="Arial"/>
              </w:rPr>
              <w:t>徒手肌力评定</w:t>
            </w:r>
          </w:p>
        </w:tc>
        <w:tc>
          <w:tcPr>
            <w:tcW w:w="4061" w:type="dxa"/>
            <w:vAlign w:val="center"/>
          </w:tcPr>
          <w:p w14:paraId="6CD7DE67">
            <w:pPr>
              <w:pStyle w:val="17"/>
              <w:jc w:val="left"/>
            </w:pPr>
            <w:r>
              <w:rPr>
                <w:rFonts w:hint="eastAsia" w:ascii="宋体" w:hAnsi="宋体" w:cs="Arial"/>
              </w:rPr>
              <w:t>徒手肌力评定</w:t>
            </w:r>
          </w:p>
        </w:tc>
        <w:tc>
          <w:tcPr>
            <w:tcW w:w="862" w:type="dxa"/>
            <w:vAlign w:val="center"/>
          </w:tcPr>
          <w:p w14:paraId="26F9EB0C">
            <w:pPr>
              <w:pStyle w:val="17"/>
            </w:pPr>
            <w:r>
              <w:rPr>
                <w:rFonts w:hint="eastAsia" w:ascii="宋体" w:hAnsi="宋体"/>
                <w:bCs/>
                <w:sz w:val="20"/>
              </w:rPr>
              <w:t>2</w:t>
            </w:r>
          </w:p>
        </w:tc>
        <w:tc>
          <w:tcPr>
            <w:tcW w:w="950" w:type="dxa"/>
            <w:vAlign w:val="center"/>
          </w:tcPr>
          <w:p w14:paraId="2D682BBA">
            <w:pPr>
              <w:pStyle w:val="17"/>
            </w:pPr>
            <w:r>
              <w:rPr>
                <w:rFonts w:hint="eastAsia"/>
              </w:rPr>
              <w:t>④</w:t>
            </w:r>
          </w:p>
        </w:tc>
      </w:tr>
      <w:tr w14:paraId="3F66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02916932">
            <w:pPr>
              <w:pStyle w:val="17"/>
            </w:pPr>
            <w:r>
              <w:rPr>
                <w:rFonts w:hint="eastAsia"/>
              </w:rPr>
              <w:t>2</w:t>
            </w:r>
          </w:p>
        </w:tc>
        <w:tc>
          <w:tcPr>
            <w:tcW w:w="1882" w:type="dxa"/>
            <w:vAlign w:val="center"/>
          </w:tcPr>
          <w:p w14:paraId="04441A15">
            <w:pPr>
              <w:pStyle w:val="17"/>
            </w:pPr>
            <w:r>
              <w:rPr>
                <w:rFonts w:hint="eastAsia" w:ascii="宋体" w:hAnsi="宋体" w:cs="Arial"/>
              </w:rPr>
              <w:t>关节活动度（ROM）的测量</w:t>
            </w:r>
          </w:p>
        </w:tc>
        <w:tc>
          <w:tcPr>
            <w:tcW w:w="4061" w:type="dxa"/>
            <w:vAlign w:val="center"/>
          </w:tcPr>
          <w:p w14:paraId="611D35B4">
            <w:pPr>
              <w:pStyle w:val="4"/>
              <w:spacing w:line="288" w:lineRule="auto"/>
              <w:ind w:firstLine="0"/>
              <w:rPr>
                <w:rFonts w:ascii="宋体"/>
                <w:bCs/>
                <w:sz w:val="20"/>
              </w:rPr>
            </w:pPr>
            <w:r>
              <w:rPr>
                <w:rFonts w:hint="eastAsia" w:ascii="宋体" w:hAnsi="宋体" w:cs="Arial"/>
                <w:kern w:val="0"/>
                <w:szCs w:val="21"/>
              </w:rPr>
              <w:t>关节活动度（ROM）的测量</w:t>
            </w:r>
          </w:p>
        </w:tc>
        <w:tc>
          <w:tcPr>
            <w:tcW w:w="862" w:type="dxa"/>
            <w:vAlign w:val="center"/>
          </w:tcPr>
          <w:p w14:paraId="29226BBC">
            <w:pPr>
              <w:pStyle w:val="17"/>
            </w:pPr>
            <w:r>
              <w:rPr>
                <w:rFonts w:hint="eastAsia" w:ascii="宋体" w:hAnsi="宋体"/>
                <w:bCs/>
                <w:sz w:val="20"/>
              </w:rPr>
              <w:t>2</w:t>
            </w:r>
          </w:p>
        </w:tc>
        <w:tc>
          <w:tcPr>
            <w:tcW w:w="950" w:type="dxa"/>
            <w:vAlign w:val="center"/>
          </w:tcPr>
          <w:p w14:paraId="47EC0AA9">
            <w:pPr>
              <w:pStyle w:val="17"/>
            </w:pPr>
            <w:r>
              <w:rPr>
                <w:rFonts w:hint="eastAsia"/>
              </w:rPr>
              <w:t>④</w:t>
            </w:r>
          </w:p>
        </w:tc>
      </w:tr>
      <w:tr w14:paraId="4FF8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141EB242">
            <w:pPr>
              <w:pStyle w:val="17"/>
            </w:pPr>
            <w:r>
              <w:rPr>
                <w:rFonts w:hint="eastAsia"/>
              </w:rPr>
              <w:t>3</w:t>
            </w:r>
          </w:p>
        </w:tc>
        <w:tc>
          <w:tcPr>
            <w:tcW w:w="1882" w:type="dxa"/>
            <w:vAlign w:val="center"/>
          </w:tcPr>
          <w:p w14:paraId="01EDDE27">
            <w:pPr>
              <w:pStyle w:val="17"/>
            </w:pPr>
            <w:r>
              <w:rPr>
                <w:rFonts w:hint="eastAsia" w:ascii="宋体" w:hAnsi="宋体" w:cs="Arial"/>
              </w:rPr>
              <w:t>体位转换、转移</w:t>
            </w:r>
          </w:p>
        </w:tc>
        <w:tc>
          <w:tcPr>
            <w:tcW w:w="4061" w:type="dxa"/>
            <w:vAlign w:val="center"/>
          </w:tcPr>
          <w:p w14:paraId="3DF98DBD">
            <w:pPr>
              <w:pStyle w:val="17"/>
              <w:jc w:val="left"/>
            </w:pPr>
            <w:r>
              <w:rPr>
                <w:rFonts w:hint="eastAsia" w:ascii="宋体" w:hAnsi="宋体" w:cs="Arial"/>
              </w:rPr>
              <w:t>体位转换、转移</w:t>
            </w:r>
          </w:p>
        </w:tc>
        <w:tc>
          <w:tcPr>
            <w:tcW w:w="862" w:type="dxa"/>
            <w:vAlign w:val="center"/>
          </w:tcPr>
          <w:p w14:paraId="736365D9">
            <w:pPr>
              <w:pStyle w:val="17"/>
            </w:pPr>
            <w:r>
              <w:rPr>
                <w:rFonts w:ascii="宋体" w:hAnsi="宋体"/>
                <w:bCs/>
                <w:sz w:val="20"/>
              </w:rPr>
              <w:t>2</w:t>
            </w:r>
          </w:p>
        </w:tc>
        <w:tc>
          <w:tcPr>
            <w:tcW w:w="950" w:type="dxa"/>
            <w:vAlign w:val="center"/>
          </w:tcPr>
          <w:p w14:paraId="3F31F7FB">
            <w:pPr>
              <w:pStyle w:val="17"/>
            </w:pPr>
            <w:r>
              <w:rPr>
                <w:rFonts w:hint="eastAsia"/>
              </w:rPr>
              <w:t>④</w:t>
            </w:r>
          </w:p>
        </w:tc>
      </w:tr>
      <w:tr w14:paraId="3062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12963756">
            <w:pPr>
              <w:pStyle w:val="17"/>
            </w:pPr>
            <w:r>
              <w:rPr>
                <w:rFonts w:hint="eastAsia"/>
              </w:rPr>
              <w:t>4</w:t>
            </w:r>
          </w:p>
        </w:tc>
        <w:tc>
          <w:tcPr>
            <w:tcW w:w="1882" w:type="dxa"/>
            <w:vAlign w:val="center"/>
          </w:tcPr>
          <w:p w14:paraId="37FFA1A9">
            <w:pPr>
              <w:pStyle w:val="17"/>
            </w:pPr>
            <w:r>
              <w:rPr>
                <w:rFonts w:hint="eastAsia" w:ascii="宋体" w:hAnsi="宋体" w:cs="Arial"/>
              </w:rPr>
              <w:t>偏瘫病人的穿衣训练</w:t>
            </w:r>
          </w:p>
        </w:tc>
        <w:tc>
          <w:tcPr>
            <w:tcW w:w="4061" w:type="dxa"/>
            <w:vAlign w:val="center"/>
          </w:tcPr>
          <w:p w14:paraId="3DA77167">
            <w:pPr>
              <w:pStyle w:val="4"/>
              <w:spacing w:line="288" w:lineRule="auto"/>
              <w:ind w:firstLine="0"/>
              <w:rPr>
                <w:rFonts w:ascii="宋体"/>
                <w:bCs/>
                <w:sz w:val="20"/>
              </w:rPr>
            </w:pPr>
            <w:r>
              <w:rPr>
                <w:rFonts w:hint="eastAsia" w:ascii="宋体" w:hAnsi="宋体" w:cs="Arial"/>
                <w:kern w:val="0"/>
                <w:szCs w:val="21"/>
              </w:rPr>
              <w:t>偏瘫病人的穿衣训练</w:t>
            </w:r>
          </w:p>
        </w:tc>
        <w:tc>
          <w:tcPr>
            <w:tcW w:w="862" w:type="dxa"/>
            <w:vAlign w:val="center"/>
          </w:tcPr>
          <w:p w14:paraId="42FFDB58">
            <w:pPr>
              <w:pStyle w:val="17"/>
            </w:pPr>
            <w:r>
              <w:rPr>
                <w:rFonts w:hint="eastAsia" w:ascii="宋体" w:hAnsi="宋体"/>
                <w:bCs/>
                <w:sz w:val="20"/>
              </w:rPr>
              <w:t>2</w:t>
            </w:r>
          </w:p>
        </w:tc>
        <w:tc>
          <w:tcPr>
            <w:tcW w:w="950" w:type="dxa"/>
            <w:vAlign w:val="center"/>
          </w:tcPr>
          <w:p w14:paraId="6FF9FE32">
            <w:pPr>
              <w:pStyle w:val="17"/>
            </w:pPr>
            <w:r>
              <w:rPr>
                <w:rFonts w:hint="eastAsia"/>
              </w:rPr>
              <w:t>④</w:t>
            </w:r>
          </w:p>
        </w:tc>
      </w:tr>
      <w:tr w14:paraId="683B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14:paraId="18BA5C41">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6F0BB61">
      <w:pPr>
        <w:pStyle w:val="19"/>
        <w:spacing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9956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386574D">
            <w:pPr>
              <w:pStyle w:val="17"/>
              <w:widowControl w:val="0"/>
              <w:jc w:val="left"/>
            </w:pPr>
            <w: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C825FE3">
            <w:pPr>
              <w:pStyle w:val="17"/>
              <w:widowControl w:val="0"/>
              <w:jc w:val="left"/>
            </w:pPr>
            <w:r>
              <w:rPr>
                <w:rFonts w:hint="eastAsia"/>
              </w:rPr>
              <w:t>培养学生助人为乐、富于爱心、懂得感恩的品质；建立学生具有服务医院、服务社会的意识；树立学生爱岗敬业、热爱专业、锤炼技能的职业精神。</w:t>
            </w:r>
          </w:p>
          <w:p w14:paraId="360EFF2C">
            <w:pPr>
              <w:pStyle w:val="17"/>
              <w:widowControl w:val="0"/>
              <w:jc w:val="left"/>
            </w:pPr>
            <w:r>
              <w:rPr>
                <w:rFonts w:hint="eastAsia"/>
              </w:rPr>
              <w:t>⑤教学设计：“课程思政”引导方式要坚持灌输与渗透相结合、显性教育与隐性教育相结合的原则。灌输与渗透相结合就是坚持春风化雨的方式，通过不同的选择，从被动、自发的学习转向主动、自觉的学习，主动将之付诸实践。通过隐性渗透、寓道德教育于课程之中，通过润物细无声、滴水穿石的方式，实现显性教育与隐性教育的有机结合。</w:t>
            </w:r>
          </w:p>
          <w:p w14:paraId="499A6B9C">
            <w:pPr>
              <w:pStyle w:val="17"/>
              <w:widowControl w:val="0"/>
              <w:jc w:val="left"/>
            </w:pPr>
            <w:r>
              <w:rPr>
                <w:rFonts w:hint="eastAsia"/>
              </w:rPr>
              <w:t>考核方式：</w:t>
            </w:r>
            <w:r>
              <w:t>1. 考勤、学习态度</w:t>
            </w:r>
            <w:r>
              <w:rPr>
                <w:rFonts w:hint="eastAsia"/>
              </w:rPr>
              <w:t>；</w:t>
            </w:r>
            <w:r>
              <w:t>2. 课堂表现；</w:t>
            </w:r>
            <w:r>
              <w:rPr>
                <w:rFonts w:hint="eastAsia"/>
              </w:rPr>
              <w:t>3.思政素养评分</w:t>
            </w:r>
          </w:p>
        </w:tc>
      </w:tr>
    </w:tbl>
    <w:p w14:paraId="7CBCC930">
      <w:pPr>
        <w:pStyle w:val="19"/>
        <w:spacing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FD2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6DDD93FF">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FFE105A">
            <w:pPr>
              <w:pStyle w:val="19"/>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DBF880F">
            <w:pPr>
              <w:pStyle w:val="19"/>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46A26FF9">
            <w:pPr>
              <w:pStyle w:val="19"/>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57F5B9A">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1038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4F9A48B3">
            <w:pPr>
              <w:widowControl w:val="0"/>
              <w:snapToGrid w:val="0"/>
              <w:jc w:val="center"/>
              <w:rPr>
                <w:rFonts w:ascii="黑体" w:hAnsi="黑体" w:eastAsia="黑体"/>
                <w:bCs/>
                <w:sz w:val="21"/>
                <w:szCs w:val="21"/>
              </w:rPr>
            </w:pPr>
          </w:p>
        </w:tc>
        <w:tc>
          <w:tcPr>
            <w:tcW w:w="709" w:type="dxa"/>
            <w:vMerge w:val="continue"/>
          </w:tcPr>
          <w:p w14:paraId="7FE301E1">
            <w:pPr>
              <w:pStyle w:val="19"/>
              <w:widowControl w:val="0"/>
              <w:jc w:val="both"/>
              <w:rPr>
                <w:rFonts w:ascii="黑体" w:hAnsi="黑体"/>
                <w:bCs/>
                <w:sz w:val="21"/>
                <w:szCs w:val="21"/>
              </w:rPr>
            </w:pPr>
          </w:p>
        </w:tc>
        <w:tc>
          <w:tcPr>
            <w:tcW w:w="2353" w:type="dxa"/>
            <w:vMerge w:val="continue"/>
            <w:tcBorders>
              <w:right w:val="double" w:color="auto" w:sz="4" w:space="0"/>
            </w:tcBorders>
          </w:tcPr>
          <w:p w14:paraId="55A2A901">
            <w:pPr>
              <w:pStyle w:val="19"/>
              <w:widowControl w:val="0"/>
              <w:jc w:val="both"/>
              <w:rPr>
                <w:rFonts w:ascii="黑体" w:hAnsi="黑体"/>
                <w:bCs/>
                <w:sz w:val="21"/>
                <w:szCs w:val="21"/>
              </w:rPr>
            </w:pPr>
          </w:p>
        </w:tc>
        <w:tc>
          <w:tcPr>
            <w:tcW w:w="612" w:type="dxa"/>
            <w:tcBorders>
              <w:left w:val="double" w:color="auto" w:sz="4" w:space="0"/>
            </w:tcBorders>
            <w:vAlign w:val="center"/>
          </w:tcPr>
          <w:p w14:paraId="6FB03F6E">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55462968">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55C95F98">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773CE498">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714FE433">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shd w:val="clear" w:color="auto" w:fill="FFFFFF" w:themeFill="background1"/>
            <w:vAlign w:val="center"/>
          </w:tcPr>
          <w:p w14:paraId="5476457B">
            <w:pPr>
              <w:pStyle w:val="19"/>
              <w:widowControl w:val="0"/>
              <w:spacing w:line="240" w:lineRule="auto"/>
              <w:jc w:val="center"/>
              <w:rPr>
                <w:rFonts w:ascii="黑体" w:hAnsi="黑体"/>
                <w:bCs/>
                <w:sz w:val="21"/>
                <w:szCs w:val="21"/>
              </w:rPr>
            </w:pPr>
          </w:p>
        </w:tc>
        <w:tc>
          <w:tcPr>
            <w:tcW w:w="706" w:type="dxa"/>
            <w:vMerge w:val="continue"/>
            <w:tcBorders>
              <w:right w:val="single" w:color="auto" w:sz="12" w:space="0"/>
            </w:tcBorders>
          </w:tcPr>
          <w:p w14:paraId="33319133">
            <w:pPr>
              <w:pStyle w:val="19"/>
              <w:widowControl w:val="0"/>
              <w:spacing w:line="240" w:lineRule="auto"/>
              <w:jc w:val="center"/>
              <w:rPr>
                <w:rFonts w:ascii="黑体" w:hAnsi="黑体"/>
                <w:bCs/>
                <w:sz w:val="21"/>
                <w:szCs w:val="21"/>
              </w:rPr>
            </w:pPr>
          </w:p>
        </w:tc>
      </w:tr>
      <w:tr w14:paraId="576F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CAF6FB1">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5E61464D">
            <w:pPr>
              <w:pStyle w:val="17"/>
              <w:widowControl w:val="0"/>
            </w:pPr>
            <w:r>
              <w:rPr>
                <w:rFonts w:hint="eastAsia"/>
                <w:lang w:val="en-US" w:eastAsia="zh-CN"/>
              </w:rPr>
              <w:t>4</w:t>
            </w:r>
            <w:r>
              <w:t>0</w:t>
            </w:r>
            <w:r>
              <w:rPr>
                <w:rFonts w:hint="eastAsia"/>
              </w:rPr>
              <w:t>%</w:t>
            </w:r>
          </w:p>
        </w:tc>
        <w:tc>
          <w:tcPr>
            <w:tcW w:w="2353" w:type="dxa"/>
            <w:tcBorders>
              <w:right w:val="double" w:color="auto" w:sz="4" w:space="0"/>
            </w:tcBorders>
            <w:vAlign w:val="center"/>
          </w:tcPr>
          <w:p w14:paraId="1731E86A">
            <w:pPr>
              <w:pStyle w:val="17"/>
              <w:widowControl w:val="0"/>
            </w:pPr>
            <w:r>
              <w:rPr>
                <w:rFonts w:hint="eastAsia"/>
              </w:rPr>
              <w:t>期终闭卷考试</w:t>
            </w:r>
          </w:p>
        </w:tc>
        <w:tc>
          <w:tcPr>
            <w:tcW w:w="612" w:type="dxa"/>
            <w:tcBorders>
              <w:left w:val="double" w:color="auto" w:sz="4" w:space="0"/>
            </w:tcBorders>
            <w:vAlign w:val="center"/>
          </w:tcPr>
          <w:p w14:paraId="407D6E91">
            <w:pPr>
              <w:pStyle w:val="17"/>
              <w:widowControl w:val="0"/>
            </w:pPr>
            <w:r>
              <w:t>20</w:t>
            </w:r>
          </w:p>
        </w:tc>
        <w:tc>
          <w:tcPr>
            <w:tcW w:w="612" w:type="dxa"/>
            <w:vAlign w:val="center"/>
          </w:tcPr>
          <w:p w14:paraId="4AB9E1E9">
            <w:pPr>
              <w:pStyle w:val="17"/>
              <w:widowControl w:val="0"/>
            </w:pPr>
            <w:r>
              <w:t>30</w:t>
            </w:r>
          </w:p>
        </w:tc>
        <w:tc>
          <w:tcPr>
            <w:tcW w:w="612" w:type="dxa"/>
            <w:vAlign w:val="center"/>
          </w:tcPr>
          <w:p w14:paraId="1C626981">
            <w:pPr>
              <w:pStyle w:val="17"/>
              <w:widowControl w:val="0"/>
            </w:pPr>
            <w:r>
              <w:rPr>
                <w:rFonts w:hint="eastAsia"/>
              </w:rPr>
              <w:t>2</w:t>
            </w:r>
            <w:r>
              <w:t>0</w:t>
            </w:r>
          </w:p>
        </w:tc>
        <w:tc>
          <w:tcPr>
            <w:tcW w:w="612" w:type="dxa"/>
            <w:vAlign w:val="center"/>
          </w:tcPr>
          <w:p w14:paraId="3ADE25A1">
            <w:pPr>
              <w:pStyle w:val="17"/>
              <w:widowControl w:val="0"/>
            </w:pPr>
            <w:r>
              <w:rPr>
                <w:rFonts w:hint="eastAsia"/>
              </w:rPr>
              <w:t>1</w:t>
            </w:r>
            <w:r>
              <w:t>0</w:t>
            </w:r>
          </w:p>
        </w:tc>
        <w:tc>
          <w:tcPr>
            <w:tcW w:w="612" w:type="dxa"/>
            <w:vAlign w:val="center"/>
          </w:tcPr>
          <w:p w14:paraId="41476BFA">
            <w:pPr>
              <w:pStyle w:val="17"/>
              <w:widowControl w:val="0"/>
            </w:pPr>
            <w:r>
              <w:rPr>
                <w:rFonts w:hint="eastAsia"/>
              </w:rPr>
              <w:t>2</w:t>
            </w:r>
            <w:r>
              <w:t>0</w:t>
            </w:r>
          </w:p>
        </w:tc>
        <w:tc>
          <w:tcPr>
            <w:tcW w:w="612" w:type="dxa"/>
            <w:shd w:val="clear" w:color="auto" w:fill="FFFFFF" w:themeFill="background1"/>
            <w:vAlign w:val="center"/>
          </w:tcPr>
          <w:p w14:paraId="5AB5C461">
            <w:pPr>
              <w:pStyle w:val="17"/>
              <w:widowControl w:val="0"/>
            </w:pPr>
          </w:p>
        </w:tc>
        <w:tc>
          <w:tcPr>
            <w:tcW w:w="706" w:type="dxa"/>
            <w:tcBorders>
              <w:right w:val="single" w:color="auto" w:sz="12" w:space="0"/>
            </w:tcBorders>
            <w:vAlign w:val="center"/>
          </w:tcPr>
          <w:p w14:paraId="7FC54A7E">
            <w:pPr>
              <w:pStyle w:val="17"/>
              <w:widowControl w:val="0"/>
            </w:pPr>
            <w:r>
              <w:rPr>
                <w:rFonts w:hint="eastAsia"/>
              </w:rPr>
              <w:t>1</w:t>
            </w:r>
            <w:r>
              <w:t>00</w:t>
            </w:r>
          </w:p>
        </w:tc>
      </w:tr>
      <w:tr w14:paraId="3C61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996B89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75023908">
            <w:pPr>
              <w:pStyle w:val="17"/>
              <w:widowControl w:val="0"/>
            </w:pPr>
            <w:r>
              <w:rPr>
                <w:rFonts w:hint="eastAsia"/>
              </w:rPr>
              <w:t>2</w:t>
            </w:r>
            <w:r>
              <w:t>0</w:t>
            </w:r>
            <w:r>
              <w:rPr>
                <w:rFonts w:hint="eastAsia"/>
              </w:rPr>
              <w:t>%</w:t>
            </w:r>
          </w:p>
        </w:tc>
        <w:tc>
          <w:tcPr>
            <w:tcW w:w="2353" w:type="dxa"/>
            <w:tcBorders>
              <w:right w:val="double" w:color="auto" w:sz="4" w:space="0"/>
            </w:tcBorders>
            <w:vAlign w:val="center"/>
          </w:tcPr>
          <w:p w14:paraId="1DCED069">
            <w:pPr>
              <w:pStyle w:val="17"/>
              <w:widowControl w:val="0"/>
            </w:pPr>
            <w:r>
              <w:rPr>
                <w:rFonts w:hint="eastAsia" w:ascii="宋体" w:hAnsi="宋体" w:eastAsia="宋体"/>
                <w:bCs/>
                <w:color w:val="000000"/>
                <w:szCs w:val="20"/>
                <w:lang w:val="en-US" w:eastAsia="zh-CN"/>
              </w:rPr>
              <w:t>平时表现及课后作业</w:t>
            </w:r>
          </w:p>
        </w:tc>
        <w:tc>
          <w:tcPr>
            <w:tcW w:w="612" w:type="dxa"/>
            <w:tcBorders>
              <w:left w:val="double" w:color="auto" w:sz="4" w:space="0"/>
            </w:tcBorders>
            <w:vAlign w:val="center"/>
          </w:tcPr>
          <w:p w14:paraId="28453035">
            <w:pPr>
              <w:pStyle w:val="17"/>
              <w:widowControl w:val="0"/>
            </w:pPr>
            <w:r>
              <w:t>20</w:t>
            </w:r>
          </w:p>
        </w:tc>
        <w:tc>
          <w:tcPr>
            <w:tcW w:w="612" w:type="dxa"/>
            <w:vAlign w:val="center"/>
          </w:tcPr>
          <w:p w14:paraId="4924186D">
            <w:pPr>
              <w:pStyle w:val="17"/>
              <w:widowControl w:val="0"/>
            </w:pPr>
            <w:r>
              <w:t>60</w:t>
            </w:r>
          </w:p>
        </w:tc>
        <w:tc>
          <w:tcPr>
            <w:tcW w:w="612" w:type="dxa"/>
            <w:vAlign w:val="center"/>
          </w:tcPr>
          <w:p w14:paraId="4220DED2">
            <w:pPr>
              <w:pStyle w:val="17"/>
              <w:widowControl w:val="0"/>
            </w:pPr>
            <w:r>
              <w:rPr>
                <w:rFonts w:hint="eastAsia"/>
              </w:rPr>
              <w:t>2</w:t>
            </w:r>
            <w:r>
              <w:t>0</w:t>
            </w:r>
          </w:p>
        </w:tc>
        <w:tc>
          <w:tcPr>
            <w:tcW w:w="612" w:type="dxa"/>
            <w:vAlign w:val="center"/>
          </w:tcPr>
          <w:p w14:paraId="0D57ACCA">
            <w:pPr>
              <w:pStyle w:val="17"/>
              <w:widowControl w:val="0"/>
            </w:pPr>
          </w:p>
        </w:tc>
        <w:tc>
          <w:tcPr>
            <w:tcW w:w="612" w:type="dxa"/>
            <w:vAlign w:val="center"/>
          </w:tcPr>
          <w:p w14:paraId="5536C59F">
            <w:pPr>
              <w:pStyle w:val="17"/>
              <w:widowControl w:val="0"/>
            </w:pPr>
            <w:r>
              <w:rPr>
                <w:rFonts w:hint="eastAsia"/>
              </w:rPr>
              <w:t>10</w:t>
            </w:r>
          </w:p>
        </w:tc>
        <w:tc>
          <w:tcPr>
            <w:tcW w:w="612" w:type="dxa"/>
            <w:shd w:val="clear" w:color="auto" w:fill="FFFFFF" w:themeFill="background1"/>
            <w:vAlign w:val="center"/>
          </w:tcPr>
          <w:p w14:paraId="174F4E1A">
            <w:pPr>
              <w:pStyle w:val="17"/>
              <w:widowControl w:val="0"/>
            </w:pPr>
          </w:p>
        </w:tc>
        <w:tc>
          <w:tcPr>
            <w:tcW w:w="706" w:type="dxa"/>
            <w:tcBorders>
              <w:right w:val="single" w:color="auto" w:sz="12" w:space="0"/>
            </w:tcBorders>
            <w:vAlign w:val="center"/>
          </w:tcPr>
          <w:p w14:paraId="575B375C">
            <w:pPr>
              <w:pStyle w:val="17"/>
              <w:widowControl w:val="0"/>
            </w:pPr>
            <w:r>
              <w:rPr>
                <w:rFonts w:hint="eastAsia"/>
              </w:rPr>
              <w:t>1</w:t>
            </w:r>
            <w:r>
              <w:t>00</w:t>
            </w:r>
          </w:p>
        </w:tc>
      </w:tr>
      <w:tr w14:paraId="3C4D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B9EAA8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1E58B654">
            <w:pPr>
              <w:pStyle w:val="17"/>
              <w:widowControl w:val="0"/>
            </w:pPr>
            <w:r>
              <w:rPr>
                <w:rFonts w:hint="eastAsia"/>
                <w:lang w:val="en-US" w:eastAsia="zh-CN"/>
              </w:rPr>
              <w:t>2</w:t>
            </w:r>
            <w:r>
              <w:t>0</w:t>
            </w:r>
            <w:r>
              <w:rPr>
                <w:rFonts w:hint="eastAsia"/>
              </w:rPr>
              <w:t>%</w:t>
            </w:r>
          </w:p>
        </w:tc>
        <w:tc>
          <w:tcPr>
            <w:tcW w:w="2353" w:type="dxa"/>
            <w:tcBorders>
              <w:right w:val="double" w:color="auto" w:sz="4" w:space="0"/>
            </w:tcBorders>
            <w:vAlign w:val="center"/>
          </w:tcPr>
          <w:p w14:paraId="7E6FF569">
            <w:pPr>
              <w:pStyle w:val="17"/>
              <w:widowControl w:val="0"/>
            </w:pPr>
            <w:r>
              <w:rPr>
                <w:rFonts w:hint="eastAsia"/>
              </w:rPr>
              <w:t>实验报告</w:t>
            </w:r>
          </w:p>
        </w:tc>
        <w:tc>
          <w:tcPr>
            <w:tcW w:w="612" w:type="dxa"/>
            <w:tcBorders>
              <w:left w:val="double" w:color="auto" w:sz="4" w:space="0"/>
            </w:tcBorders>
            <w:vAlign w:val="center"/>
          </w:tcPr>
          <w:p w14:paraId="5F887639">
            <w:pPr>
              <w:pStyle w:val="17"/>
              <w:widowControl w:val="0"/>
            </w:pPr>
          </w:p>
        </w:tc>
        <w:tc>
          <w:tcPr>
            <w:tcW w:w="612" w:type="dxa"/>
            <w:vAlign w:val="center"/>
          </w:tcPr>
          <w:p w14:paraId="7A560237">
            <w:pPr>
              <w:pStyle w:val="17"/>
              <w:widowControl w:val="0"/>
            </w:pPr>
            <w:r>
              <w:t>70</w:t>
            </w:r>
          </w:p>
        </w:tc>
        <w:tc>
          <w:tcPr>
            <w:tcW w:w="612" w:type="dxa"/>
            <w:vAlign w:val="center"/>
          </w:tcPr>
          <w:p w14:paraId="4977D787">
            <w:pPr>
              <w:pStyle w:val="17"/>
              <w:widowControl w:val="0"/>
            </w:pPr>
            <w:r>
              <w:rPr>
                <w:rFonts w:hint="eastAsia"/>
              </w:rPr>
              <w:t>3</w:t>
            </w:r>
            <w:r>
              <w:t>0</w:t>
            </w:r>
          </w:p>
        </w:tc>
        <w:tc>
          <w:tcPr>
            <w:tcW w:w="612" w:type="dxa"/>
            <w:vAlign w:val="center"/>
          </w:tcPr>
          <w:p w14:paraId="551C05A2">
            <w:pPr>
              <w:pStyle w:val="17"/>
              <w:widowControl w:val="0"/>
            </w:pPr>
          </w:p>
        </w:tc>
        <w:tc>
          <w:tcPr>
            <w:tcW w:w="612" w:type="dxa"/>
            <w:vAlign w:val="center"/>
          </w:tcPr>
          <w:p w14:paraId="2518A45A">
            <w:pPr>
              <w:pStyle w:val="17"/>
              <w:widowControl w:val="0"/>
            </w:pPr>
          </w:p>
        </w:tc>
        <w:tc>
          <w:tcPr>
            <w:tcW w:w="612" w:type="dxa"/>
            <w:shd w:val="clear" w:color="auto" w:fill="FFFFFF" w:themeFill="background1"/>
            <w:vAlign w:val="center"/>
          </w:tcPr>
          <w:p w14:paraId="7245BCC4">
            <w:pPr>
              <w:pStyle w:val="17"/>
              <w:widowControl w:val="0"/>
            </w:pPr>
          </w:p>
        </w:tc>
        <w:tc>
          <w:tcPr>
            <w:tcW w:w="706" w:type="dxa"/>
            <w:tcBorders>
              <w:right w:val="single" w:color="auto" w:sz="12" w:space="0"/>
            </w:tcBorders>
            <w:vAlign w:val="center"/>
          </w:tcPr>
          <w:p w14:paraId="3A580239">
            <w:pPr>
              <w:pStyle w:val="17"/>
              <w:widowControl w:val="0"/>
            </w:pPr>
            <w:r>
              <w:rPr>
                <w:rFonts w:hint="eastAsia"/>
              </w:rPr>
              <w:t>1</w:t>
            </w:r>
            <w:r>
              <w:t>00</w:t>
            </w:r>
          </w:p>
        </w:tc>
      </w:tr>
      <w:tr w14:paraId="765C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7210841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14:paraId="350B7166">
            <w:pPr>
              <w:pStyle w:val="17"/>
              <w:widowControl w:val="0"/>
            </w:pPr>
            <w:r>
              <w:rPr>
                <w:rFonts w:hint="eastAsia"/>
                <w:lang w:val="en-US" w:eastAsia="zh-CN"/>
              </w:rPr>
              <w:t>2</w:t>
            </w:r>
            <w:r>
              <w:t>0%</w:t>
            </w:r>
          </w:p>
        </w:tc>
        <w:tc>
          <w:tcPr>
            <w:tcW w:w="2353" w:type="dxa"/>
            <w:tcBorders>
              <w:bottom w:val="single" w:color="auto" w:sz="12" w:space="0"/>
              <w:right w:val="double" w:color="auto" w:sz="4" w:space="0"/>
            </w:tcBorders>
            <w:vAlign w:val="center"/>
          </w:tcPr>
          <w:p w14:paraId="7C088F3E">
            <w:pPr>
              <w:pStyle w:val="17"/>
              <w:widowControl w:val="0"/>
            </w:pPr>
            <w:r>
              <w:rPr>
                <w:rFonts w:hint="eastAsia"/>
              </w:rPr>
              <w:t>实训考核</w:t>
            </w:r>
          </w:p>
        </w:tc>
        <w:tc>
          <w:tcPr>
            <w:tcW w:w="612" w:type="dxa"/>
            <w:tcBorders>
              <w:left w:val="double" w:color="auto" w:sz="4" w:space="0"/>
              <w:bottom w:val="single" w:color="auto" w:sz="12" w:space="0"/>
            </w:tcBorders>
            <w:vAlign w:val="center"/>
          </w:tcPr>
          <w:p w14:paraId="519B72E6">
            <w:pPr>
              <w:pStyle w:val="17"/>
              <w:widowControl w:val="0"/>
            </w:pPr>
          </w:p>
        </w:tc>
        <w:tc>
          <w:tcPr>
            <w:tcW w:w="612" w:type="dxa"/>
            <w:tcBorders>
              <w:bottom w:val="single" w:color="auto" w:sz="12" w:space="0"/>
            </w:tcBorders>
            <w:vAlign w:val="center"/>
          </w:tcPr>
          <w:p w14:paraId="64F0A619">
            <w:pPr>
              <w:pStyle w:val="17"/>
              <w:widowControl w:val="0"/>
            </w:pPr>
          </w:p>
        </w:tc>
        <w:tc>
          <w:tcPr>
            <w:tcW w:w="612" w:type="dxa"/>
            <w:tcBorders>
              <w:bottom w:val="single" w:color="auto" w:sz="12" w:space="0"/>
            </w:tcBorders>
            <w:vAlign w:val="center"/>
          </w:tcPr>
          <w:p w14:paraId="0EAC11AF">
            <w:pPr>
              <w:pStyle w:val="17"/>
              <w:widowControl w:val="0"/>
            </w:pPr>
            <w:r>
              <w:t>30</w:t>
            </w:r>
          </w:p>
        </w:tc>
        <w:tc>
          <w:tcPr>
            <w:tcW w:w="612" w:type="dxa"/>
            <w:tcBorders>
              <w:bottom w:val="single" w:color="auto" w:sz="12" w:space="0"/>
            </w:tcBorders>
            <w:vAlign w:val="center"/>
          </w:tcPr>
          <w:p w14:paraId="276D8EB2">
            <w:pPr>
              <w:pStyle w:val="17"/>
              <w:widowControl w:val="0"/>
            </w:pPr>
            <w:r>
              <w:t>50</w:t>
            </w:r>
          </w:p>
        </w:tc>
        <w:tc>
          <w:tcPr>
            <w:tcW w:w="612" w:type="dxa"/>
            <w:tcBorders>
              <w:bottom w:val="single" w:color="auto" w:sz="12" w:space="0"/>
            </w:tcBorders>
            <w:vAlign w:val="center"/>
          </w:tcPr>
          <w:p w14:paraId="066EB025">
            <w:pPr>
              <w:pStyle w:val="17"/>
              <w:widowControl w:val="0"/>
            </w:pPr>
            <w:r>
              <w:t>20</w:t>
            </w:r>
          </w:p>
        </w:tc>
        <w:tc>
          <w:tcPr>
            <w:tcW w:w="612" w:type="dxa"/>
            <w:tcBorders>
              <w:bottom w:val="single" w:color="auto" w:sz="12" w:space="0"/>
            </w:tcBorders>
            <w:shd w:val="clear" w:color="auto" w:fill="FFFFFF" w:themeFill="background1"/>
            <w:vAlign w:val="center"/>
          </w:tcPr>
          <w:p w14:paraId="6B449DB1">
            <w:pPr>
              <w:widowControl w:val="0"/>
              <w:jc w:val="both"/>
            </w:pPr>
          </w:p>
        </w:tc>
        <w:tc>
          <w:tcPr>
            <w:tcW w:w="706" w:type="dxa"/>
            <w:tcBorders>
              <w:bottom w:val="single" w:color="auto" w:sz="12" w:space="0"/>
              <w:right w:val="single" w:color="auto" w:sz="12" w:space="0"/>
            </w:tcBorders>
            <w:vAlign w:val="center"/>
          </w:tcPr>
          <w:p w14:paraId="5FABB963">
            <w:pPr>
              <w:pStyle w:val="17"/>
              <w:widowControl w:val="0"/>
            </w:pPr>
            <w:r>
              <w:rPr>
                <w:rFonts w:hint="eastAsia"/>
              </w:rPr>
              <w:t>1</w:t>
            </w:r>
            <w:r>
              <w:t>00</w:t>
            </w:r>
          </w:p>
        </w:tc>
      </w:tr>
    </w:tbl>
    <w:p w14:paraId="2017A2B7">
      <w:pPr>
        <w:pStyle w:val="20"/>
        <w:spacing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37B7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39BEDC65">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74A5FB5D">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4589DC5">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14561807">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42A6F917">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61A2FDE5">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531A80A4">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3A5C6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53BC2416">
            <w:pPr>
              <w:widowControl w:val="0"/>
              <w:snapToGrid w:val="0"/>
              <w:jc w:val="center"/>
              <w:rPr>
                <w:rFonts w:ascii="黑体" w:hAnsi="黑体" w:eastAsia="黑体"/>
                <w:bCs/>
                <w:sz w:val="21"/>
                <w:szCs w:val="21"/>
              </w:rPr>
            </w:pPr>
          </w:p>
        </w:tc>
        <w:tc>
          <w:tcPr>
            <w:tcW w:w="648" w:type="dxa"/>
            <w:vMerge w:val="continue"/>
          </w:tcPr>
          <w:p w14:paraId="1FC5DBEA">
            <w:pPr>
              <w:pStyle w:val="19"/>
              <w:widowControl w:val="0"/>
              <w:jc w:val="both"/>
              <w:rPr>
                <w:rFonts w:ascii="黑体" w:hAnsi="黑体"/>
                <w:bCs/>
                <w:sz w:val="21"/>
                <w:szCs w:val="21"/>
              </w:rPr>
            </w:pPr>
          </w:p>
        </w:tc>
        <w:tc>
          <w:tcPr>
            <w:tcW w:w="1403" w:type="dxa"/>
            <w:vMerge w:val="continue"/>
          </w:tcPr>
          <w:p w14:paraId="1EF23C1A">
            <w:pPr>
              <w:pStyle w:val="19"/>
              <w:widowControl w:val="0"/>
              <w:jc w:val="both"/>
              <w:rPr>
                <w:rFonts w:ascii="黑体" w:hAnsi="黑体"/>
                <w:bCs/>
                <w:sz w:val="21"/>
                <w:szCs w:val="21"/>
              </w:rPr>
            </w:pPr>
          </w:p>
        </w:tc>
        <w:tc>
          <w:tcPr>
            <w:tcW w:w="1403" w:type="dxa"/>
            <w:vAlign w:val="center"/>
          </w:tcPr>
          <w:p w14:paraId="0202CEFE">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0AF53424">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33E5633F">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35CF52AA">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7BD7E6C9">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7F0DF69">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59148A2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1C2DA26">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46214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CE2FB7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6F7CBD9D">
            <w:pPr>
              <w:widowControl w:val="0"/>
              <w:snapToGrid w:val="0"/>
              <w:jc w:val="center"/>
              <w:rPr>
                <w:rFonts w:ascii="Arial" w:hAnsi="Arial" w:eastAsia="黑体" w:cs="Arial"/>
                <w:bCs/>
                <w:sz w:val="21"/>
                <w:szCs w:val="21"/>
              </w:rPr>
            </w:pPr>
          </w:p>
        </w:tc>
        <w:tc>
          <w:tcPr>
            <w:tcW w:w="1403" w:type="dxa"/>
          </w:tcPr>
          <w:p w14:paraId="613E7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041D78CD">
            <w:pPr>
              <w:pStyle w:val="17"/>
              <w:widowControl w:val="0"/>
              <w:jc w:val="both"/>
            </w:pPr>
          </w:p>
        </w:tc>
        <w:tc>
          <w:tcPr>
            <w:tcW w:w="1403" w:type="dxa"/>
          </w:tcPr>
          <w:p w14:paraId="7198AE14">
            <w:pPr>
              <w:pStyle w:val="17"/>
              <w:widowControl w:val="0"/>
              <w:jc w:val="both"/>
            </w:pPr>
          </w:p>
        </w:tc>
        <w:tc>
          <w:tcPr>
            <w:tcW w:w="1403" w:type="dxa"/>
          </w:tcPr>
          <w:p w14:paraId="69B15DB8">
            <w:pPr>
              <w:pStyle w:val="17"/>
              <w:widowControl w:val="0"/>
              <w:jc w:val="both"/>
            </w:pPr>
          </w:p>
        </w:tc>
        <w:tc>
          <w:tcPr>
            <w:tcW w:w="1403" w:type="dxa"/>
          </w:tcPr>
          <w:p w14:paraId="06DEDDBF">
            <w:pPr>
              <w:pStyle w:val="8"/>
              <w:widowControl/>
              <w:shd w:val="clear" w:color="auto" w:fill="FFFFFF"/>
              <w:jc w:val="both"/>
            </w:pPr>
          </w:p>
        </w:tc>
      </w:tr>
      <w:tr w14:paraId="28FED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4AB20036">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27446BDD">
            <w:pPr>
              <w:widowControl w:val="0"/>
              <w:snapToGrid w:val="0"/>
              <w:jc w:val="center"/>
              <w:rPr>
                <w:rFonts w:ascii="Arial" w:hAnsi="Arial" w:eastAsia="黑体" w:cs="Arial"/>
                <w:bCs/>
                <w:sz w:val="21"/>
                <w:szCs w:val="21"/>
              </w:rPr>
            </w:pPr>
          </w:p>
        </w:tc>
        <w:tc>
          <w:tcPr>
            <w:tcW w:w="1403" w:type="dxa"/>
            <w:vAlign w:val="center"/>
          </w:tcPr>
          <w:p w14:paraId="1D6A3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7C52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0050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A6091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AA42C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513F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85A32F6">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3F5B4450">
            <w:pPr>
              <w:widowControl w:val="0"/>
              <w:snapToGrid w:val="0"/>
              <w:jc w:val="center"/>
              <w:rPr>
                <w:rFonts w:ascii="Arial" w:hAnsi="Arial" w:eastAsia="黑体" w:cs="Arial"/>
                <w:bCs/>
                <w:sz w:val="21"/>
                <w:szCs w:val="21"/>
              </w:rPr>
            </w:pPr>
          </w:p>
        </w:tc>
        <w:tc>
          <w:tcPr>
            <w:tcW w:w="1403" w:type="dxa"/>
            <w:vAlign w:val="center"/>
          </w:tcPr>
          <w:p w14:paraId="5F4D2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1A42B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D8F66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50600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E976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45C9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1FBE94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762A336C">
            <w:pPr>
              <w:widowControl w:val="0"/>
              <w:snapToGrid w:val="0"/>
              <w:jc w:val="center"/>
              <w:rPr>
                <w:rFonts w:ascii="Arial" w:hAnsi="Arial" w:eastAsia="黑体" w:cs="Arial"/>
                <w:bCs/>
                <w:sz w:val="21"/>
                <w:szCs w:val="21"/>
              </w:rPr>
            </w:pPr>
          </w:p>
        </w:tc>
        <w:tc>
          <w:tcPr>
            <w:tcW w:w="1403" w:type="dxa"/>
            <w:vAlign w:val="center"/>
          </w:tcPr>
          <w:p w14:paraId="25C3BA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034C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53E10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97C9D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AB9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D607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10FB43C">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0C7ED69B">
            <w:pPr>
              <w:widowControl w:val="0"/>
              <w:snapToGrid w:val="0"/>
              <w:jc w:val="center"/>
              <w:rPr>
                <w:rFonts w:ascii="Arial" w:hAnsi="Arial" w:eastAsia="黑体" w:cs="Arial"/>
                <w:bCs/>
                <w:sz w:val="21"/>
                <w:szCs w:val="21"/>
              </w:rPr>
            </w:pPr>
          </w:p>
        </w:tc>
        <w:tc>
          <w:tcPr>
            <w:tcW w:w="1403" w:type="dxa"/>
            <w:vAlign w:val="center"/>
          </w:tcPr>
          <w:p w14:paraId="2059F3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DE4E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AA32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1838B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0794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AFE3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4405B36">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38FBDDCC">
            <w:pPr>
              <w:widowControl w:val="0"/>
              <w:snapToGrid w:val="0"/>
              <w:jc w:val="center"/>
              <w:rPr>
                <w:rFonts w:ascii="Arial" w:hAnsi="Arial" w:eastAsia="黑体" w:cs="Arial"/>
                <w:bCs/>
                <w:sz w:val="21"/>
                <w:szCs w:val="21"/>
              </w:rPr>
            </w:pPr>
          </w:p>
        </w:tc>
        <w:tc>
          <w:tcPr>
            <w:tcW w:w="1403" w:type="dxa"/>
            <w:vAlign w:val="center"/>
          </w:tcPr>
          <w:p w14:paraId="45D1B1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F8F28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330CD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993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66D08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5F21832D">
      <w:pPr>
        <w:pStyle w:val="19"/>
        <w:spacing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1A5039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E288CE7">
            <w:pPr>
              <w:pStyle w:val="17"/>
              <w:widowControl w:val="0"/>
              <w:jc w:val="left"/>
              <w:rPr>
                <w:rFonts w:ascii="仿宋" w:hAnsi="仿宋" w:eastAsia="仿宋" w:cs="仿宋"/>
              </w:rPr>
            </w:pPr>
          </w:p>
          <w:p w14:paraId="107A124D">
            <w:pPr>
              <w:pStyle w:val="17"/>
              <w:widowControl w:val="0"/>
              <w:jc w:val="left"/>
              <w:rPr>
                <w:rFonts w:ascii="宋体" w:hAnsi="宋体"/>
                <w:bCs/>
              </w:rPr>
            </w:pPr>
          </w:p>
          <w:p w14:paraId="77C9F0CE">
            <w:pPr>
              <w:pStyle w:val="17"/>
              <w:widowControl w:val="0"/>
              <w:jc w:val="left"/>
              <w:rPr>
                <w:rFonts w:ascii="黑体"/>
              </w:rPr>
            </w:pPr>
          </w:p>
        </w:tc>
      </w:tr>
    </w:tbl>
    <w:p w14:paraId="067F1B5F">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AAF3">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1270" b="889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DEC91E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7hkpnUAAAACQEA&#10;AA8AAAAAAAAAAQAgAAAAIgAAAGRycy9kb3ducmV2LnhtbFBLAQIUABQAAAAIAIdO4kBFNI9OVwIA&#10;AJ0EAAAOAAAAAAAAAAEAIAAAACMBAABkcnMvZTJvRG9jLnhtbFBLBQYAAAAABgAGAFkBAADsBQAA&#10;AAA=&#10;">
              <v:fill on="t" focussize="0,0"/>
              <v:stroke on="f" weight="0.5pt"/>
              <v:imagedata o:title=""/>
              <o:lock v:ext="edit" aspectratio="f"/>
              <v:textbox>
                <w:txbxContent>
                  <w:p w14:paraId="4DEC91E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64354"/>
    <w:multiLevelType w:val="singleLevel"/>
    <w:tmpl w:val="B6964354"/>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000002"/>
    <w:multiLevelType w:val="singleLevel"/>
    <w:tmpl w:val="00000002"/>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53208E"/>
    <w:multiLevelType w:val="singleLevel"/>
    <w:tmpl w:val="0053208E"/>
    <w:lvl w:ilvl="0" w:tentative="0">
      <w:start w:val="1"/>
      <w:numFmt w:val="decimal"/>
      <w:lvlText w:val="%1."/>
      <w:lvlJc w:val="left"/>
      <w:pPr>
        <w:tabs>
          <w:tab w:val="left" w:pos="312"/>
        </w:tabs>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ZTdhZWMxOTE3MWNjMzk4MzAyNWEyNjY2MjU1Y2IifQ=="/>
  </w:docVars>
  <w:rsids>
    <w:rsidRoot w:val="00B7651F"/>
    <w:rsid w:val="000203E0"/>
    <w:rsid w:val="000210E0"/>
    <w:rsid w:val="00033082"/>
    <w:rsid w:val="00044088"/>
    <w:rsid w:val="00053590"/>
    <w:rsid w:val="0006001D"/>
    <w:rsid w:val="00066041"/>
    <w:rsid w:val="000662F5"/>
    <w:rsid w:val="00073868"/>
    <w:rsid w:val="00076794"/>
    <w:rsid w:val="0008122A"/>
    <w:rsid w:val="00081A31"/>
    <w:rsid w:val="00087488"/>
    <w:rsid w:val="0009050A"/>
    <w:rsid w:val="0009721F"/>
    <w:rsid w:val="000A4E73"/>
    <w:rsid w:val="000B1BD2"/>
    <w:rsid w:val="000C0F0D"/>
    <w:rsid w:val="000C13BC"/>
    <w:rsid w:val="000D1A86"/>
    <w:rsid w:val="000D28E5"/>
    <w:rsid w:val="000D34D7"/>
    <w:rsid w:val="00100633"/>
    <w:rsid w:val="001072BC"/>
    <w:rsid w:val="00114BD6"/>
    <w:rsid w:val="0012396B"/>
    <w:rsid w:val="00130F6D"/>
    <w:rsid w:val="00133554"/>
    <w:rsid w:val="00144082"/>
    <w:rsid w:val="0016381F"/>
    <w:rsid w:val="00163A48"/>
    <w:rsid w:val="00164E36"/>
    <w:rsid w:val="001678A2"/>
    <w:rsid w:val="00172095"/>
    <w:rsid w:val="00183AA1"/>
    <w:rsid w:val="0018767C"/>
    <w:rsid w:val="001A135C"/>
    <w:rsid w:val="001B0D49"/>
    <w:rsid w:val="001B546F"/>
    <w:rsid w:val="001C0F80"/>
    <w:rsid w:val="001C15A2"/>
    <w:rsid w:val="001C16FC"/>
    <w:rsid w:val="001C2DC2"/>
    <w:rsid w:val="001C2E3E"/>
    <w:rsid w:val="001C388D"/>
    <w:rsid w:val="001E0494"/>
    <w:rsid w:val="001E1D2D"/>
    <w:rsid w:val="001E5A17"/>
    <w:rsid w:val="001F284E"/>
    <w:rsid w:val="001F332E"/>
    <w:rsid w:val="001F7681"/>
    <w:rsid w:val="0020688A"/>
    <w:rsid w:val="00217861"/>
    <w:rsid w:val="002204E4"/>
    <w:rsid w:val="002211BF"/>
    <w:rsid w:val="00233F15"/>
    <w:rsid w:val="002420F1"/>
    <w:rsid w:val="00245CC1"/>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A4649"/>
    <w:rsid w:val="002A7227"/>
    <w:rsid w:val="002B0773"/>
    <w:rsid w:val="002B0C48"/>
    <w:rsid w:val="002B13CA"/>
    <w:rsid w:val="002B3650"/>
    <w:rsid w:val="002B7322"/>
    <w:rsid w:val="002C58B6"/>
    <w:rsid w:val="002D0E86"/>
    <w:rsid w:val="002D6899"/>
    <w:rsid w:val="002D7C47"/>
    <w:rsid w:val="002E33CE"/>
    <w:rsid w:val="002E3721"/>
    <w:rsid w:val="002E6F95"/>
    <w:rsid w:val="002E764D"/>
    <w:rsid w:val="002F3157"/>
    <w:rsid w:val="002F6BD5"/>
    <w:rsid w:val="003025FD"/>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26EF"/>
    <w:rsid w:val="003E67AE"/>
    <w:rsid w:val="003E7D72"/>
    <w:rsid w:val="003F3923"/>
    <w:rsid w:val="003F43F6"/>
    <w:rsid w:val="003F5BEE"/>
    <w:rsid w:val="003F7CF7"/>
    <w:rsid w:val="004019DB"/>
    <w:rsid w:val="00402B67"/>
    <w:rsid w:val="00403C91"/>
    <w:rsid w:val="0040433E"/>
    <w:rsid w:val="00404974"/>
    <w:rsid w:val="0040726A"/>
    <w:rsid w:val="004100B0"/>
    <w:rsid w:val="00411478"/>
    <w:rsid w:val="0041267F"/>
    <w:rsid w:val="00417636"/>
    <w:rsid w:val="00424BA5"/>
    <w:rsid w:val="00425431"/>
    <w:rsid w:val="00431829"/>
    <w:rsid w:val="00437B60"/>
    <w:rsid w:val="004405E6"/>
    <w:rsid w:val="00443C84"/>
    <w:rsid w:val="00443C89"/>
    <w:rsid w:val="004540AA"/>
    <w:rsid w:val="00456BD8"/>
    <w:rsid w:val="00456DC8"/>
    <w:rsid w:val="0046549D"/>
    <w:rsid w:val="00471668"/>
    <w:rsid w:val="004743C8"/>
    <w:rsid w:val="00481F98"/>
    <w:rsid w:val="004852BF"/>
    <w:rsid w:val="00487A46"/>
    <w:rsid w:val="00493504"/>
    <w:rsid w:val="00494579"/>
    <w:rsid w:val="00497334"/>
    <w:rsid w:val="004A4645"/>
    <w:rsid w:val="004A6F3A"/>
    <w:rsid w:val="004B00F0"/>
    <w:rsid w:val="004B29AC"/>
    <w:rsid w:val="004B408D"/>
    <w:rsid w:val="004B40E2"/>
    <w:rsid w:val="004B5EC0"/>
    <w:rsid w:val="004B6F68"/>
    <w:rsid w:val="004B73F7"/>
    <w:rsid w:val="004C7073"/>
    <w:rsid w:val="004D03FB"/>
    <w:rsid w:val="004D28C9"/>
    <w:rsid w:val="004D4FB3"/>
    <w:rsid w:val="004D6A9A"/>
    <w:rsid w:val="004D75A6"/>
    <w:rsid w:val="004E3456"/>
    <w:rsid w:val="004F3DF0"/>
    <w:rsid w:val="00504DF9"/>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A1FB0"/>
    <w:rsid w:val="005B1150"/>
    <w:rsid w:val="005B1FFC"/>
    <w:rsid w:val="005B2B6D"/>
    <w:rsid w:val="005B4B4E"/>
    <w:rsid w:val="005C3A76"/>
    <w:rsid w:val="005D391F"/>
    <w:rsid w:val="005D5B6F"/>
    <w:rsid w:val="005E38A5"/>
    <w:rsid w:val="005F5185"/>
    <w:rsid w:val="0062115C"/>
    <w:rsid w:val="0062265B"/>
    <w:rsid w:val="00624B5C"/>
    <w:rsid w:val="00624FE1"/>
    <w:rsid w:val="0062577D"/>
    <w:rsid w:val="00630BE7"/>
    <w:rsid w:val="0063249D"/>
    <w:rsid w:val="006331EE"/>
    <w:rsid w:val="006355E6"/>
    <w:rsid w:val="006361EB"/>
    <w:rsid w:val="00637E00"/>
    <w:rsid w:val="0064038A"/>
    <w:rsid w:val="0065167D"/>
    <w:rsid w:val="00652D13"/>
    <w:rsid w:val="0066595A"/>
    <w:rsid w:val="00666206"/>
    <w:rsid w:val="00672788"/>
    <w:rsid w:val="00676183"/>
    <w:rsid w:val="0068060F"/>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6F38CD"/>
    <w:rsid w:val="007011CA"/>
    <w:rsid w:val="007056DE"/>
    <w:rsid w:val="00706121"/>
    <w:rsid w:val="00710B6B"/>
    <w:rsid w:val="00712A2C"/>
    <w:rsid w:val="00712E84"/>
    <w:rsid w:val="00714914"/>
    <w:rsid w:val="007208D6"/>
    <w:rsid w:val="007252BA"/>
    <w:rsid w:val="00726786"/>
    <w:rsid w:val="00732152"/>
    <w:rsid w:val="007428DF"/>
    <w:rsid w:val="00742BD1"/>
    <w:rsid w:val="00742E7A"/>
    <w:rsid w:val="0074424F"/>
    <w:rsid w:val="00755DB7"/>
    <w:rsid w:val="00764FD9"/>
    <w:rsid w:val="007740B2"/>
    <w:rsid w:val="00774C1F"/>
    <w:rsid w:val="0078194F"/>
    <w:rsid w:val="007934A4"/>
    <w:rsid w:val="007A0AC9"/>
    <w:rsid w:val="007A1B70"/>
    <w:rsid w:val="007A57F6"/>
    <w:rsid w:val="007B4FFB"/>
    <w:rsid w:val="007C0BCE"/>
    <w:rsid w:val="007C1D1B"/>
    <w:rsid w:val="007C3566"/>
    <w:rsid w:val="007C4238"/>
    <w:rsid w:val="007C794A"/>
    <w:rsid w:val="007D5326"/>
    <w:rsid w:val="007D5A33"/>
    <w:rsid w:val="007E4F3A"/>
    <w:rsid w:val="007E4F5A"/>
    <w:rsid w:val="007E620F"/>
    <w:rsid w:val="007E663C"/>
    <w:rsid w:val="007E7795"/>
    <w:rsid w:val="0080066B"/>
    <w:rsid w:val="00800843"/>
    <w:rsid w:val="00803578"/>
    <w:rsid w:val="00810588"/>
    <w:rsid w:val="00815B8D"/>
    <w:rsid w:val="00815B8E"/>
    <w:rsid w:val="00816D99"/>
    <w:rsid w:val="0082324C"/>
    <w:rsid w:val="00823D71"/>
    <w:rsid w:val="008245AF"/>
    <w:rsid w:val="008256B9"/>
    <w:rsid w:val="0083705D"/>
    <w:rsid w:val="0084242F"/>
    <w:rsid w:val="00845795"/>
    <w:rsid w:val="00847437"/>
    <w:rsid w:val="00851060"/>
    <w:rsid w:val="00857FA5"/>
    <w:rsid w:val="00882E15"/>
    <w:rsid w:val="00883C73"/>
    <w:rsid w:val="008901A2"/>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1DBB"/>
    <w:rsid w:val="009147D6"/>
    <w:rsid w:val="00914D98"/>
    <w:rsid w:val="00925F8C"/>
    <w:rsid w:val="00927324"/>
    <w:rsid w:val="00932E8B"/>
    <w:rsid w:val="00932ED7"/>
    <w:rsid w:val="00933990"/>
    <w:rsid w:val="00941B89"/>
    <w:rsid w:val="00941DEA"/>
    <w:rsid w:val="009656CC"/>
    <w:rsid w:val="00970E8C"/>
    <w:rsid w:val="00971671"/>
    <w:rsid w:val="00977738"/>
    <w:rsid w:val="00981A37"/>
    <w:rsid w:val="009830B2"/>
    <w:rsid w:val="00984507"/>
    <w:rsid w:val="0099063E"/>
    <w:rsid w:val="00992356"/>
    <w:rsid w:val="00992674"/>
    <w:rsid w:val="00994793"/>
    <w:rsid w:val="00996AE3"/>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31BBE"/>
    <w:rsid w:val="00A31D34"/>
    <w:rsid w:val="00A333EF"/>
    <w:rsid w:val="00A33F85"/>
    <w:rsid w:val="00A40645"/>
    <w:rsid w:val="00A44FF0"/>
    <w:rsid w:val="00A55108"/>
    <w:rsid w:val="00A6016C"/>
    <w:rsid w:val="00A769B1"/>
    <w:rsid w:val="00A77DA3"/>
    <w:rsid w:val="00A77E34"/>
    <w:rsid w:val="00A837D5"/>
    <w:rsid w:val="00A83E04"/>
    <w:rsid w:val="00A91091"/>
    <w:rsid w:val="00A93EE3"/>
    <w:rsid w:val="00A94BA9"/>
    <w:rsid w:val="00A9535A"/>
    <w:rsid w:val="00AA4970"/>
    <w:rsid w:val="00AA536D"/>
    <w:rsid w:val="00AB22C0"/>
    <w:rsid w:val="00AB28FC"/>
    <w:rsid w:val="00AB49E4"/>
    <w:rsid w:val="00AC1479"/>
    <w:rsid w:val="00AC2AAC"/>
    <w:rsid w:val="00AC40F1"/>
    <w:rsid w:val="00AC4C45"/>
    <w:rsid w:val="00AD1085"/>
    <w:rsid w:val="00AD3DB7"/>
    <w:rsid w:val="00AD5B40"/>
    <w:rsid w:val="00AD69FB"/>
    <w:rsid w:val="00AF289F"/>
    <w:rsid w:val="00AF30B9"/>
    <w:rsid w:val="00AF43DF"/>
    <w:rsid w:val="00AF67A4"/>
    <w:rsid w:val="00AF7510"/>
    <w:rsid w:val="00B063B5"/>
    <w:rsid w:val="00B12D31"/>
    <w:rsid w:val="00B15F6E"/>
    <w:rsid w:val="00B21411"/>
    <w:rsid w:val="00B21BEE"/>
    <w:rsid w:val="00B23284"/>
    <w:rsid w:val="00B37D43"/>
    <w:rsid w:val="00B46F21"/>
    <w:rsid w:val="00B505F4"/>
    <w:rsid w:val="00B511A5"/>
    <w:rsid w:val="00B51CDE"/>
    <w:rsid w:val="00B56541"/>
    <w:rsid w:val="00B605ED"/>
    <w:rsid w:val="00B71F97"/>
    <w:rsid w:val="00B72538"/>
    <w:rsid w:val="00B736A7"/>
    <w:rsid w:val="00B7651F"/>
    <w:rsid w:val="00B919FA"/>
    <w:rsid w:val="00B94A16"/>
    <w:rsid w:val="00BA55AD"/>
    <w:rsid w:val="00BA6044"/>
    <w:rsid w:val="00BB13D9"/>
    <w:rsid w:val="00BB1A93"/>
    <w:rsid w:val="00BB2B75"/>
    <w:rsid w:val="00BC14BF"/>
    <w:rsid w:val="00BC2625"/>
    <w:rsid w:val="00BC3200"/>
    <w:rsid w:val="00BC338A"/>
    <w:rsid w:val="00BD7AB0"/>
    <w:rsid w:val="00BF3C20"/>
    <w:rsid w:val="00C011BC"/>
    <w:rsid w:val="00C02423"/>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3656"/>
    <w:rsid w:val="00C66AB7"/>
    <w:rsid w:val="00C673D1"/>
    <w:rsid w:val="00C746CB"/>
    <w:rsid w:val="00C77BBF"/>
    <w:rsid w:val="00C77D64"/>
    <w:rsid w:val="00C81564"/>
    <w:rsid w:val="00C9080C"/>
    <w:rsid w:val="00C94429"/>
    <w:rsid w:val="00C95ACC"/>
    <w:rsid w:val="00CA18FD"/>
    <w:rsid w:val="00CA27E5"/>
    <w:rsid w:val="00CA4897"/>
    <w:rsid w:val="00CA6928"/>
    <w:rsid w:val="00CB3D3F"/>
    <w:rsid w:val="00CB5A1A"/>
    <w:rsid w:val="00CC59E6"/>
    <w:rsid w:val="00CD1888"/>
    <w:rsid w:val="00CD5BDD"/>
    <w:rsid w:val="00CE0D56"/>
    <w:rsid w:val="00CE0E70"/>
    <w:rsid w:val="00CF096B"/>
    <w:rsid w:val="00CF10F7"/>
    <w:rsid w:val="00CF5EE3"/>
    <w:rsid w:val="00CF691F"/>
    <w:rsid w:val="00D00D99"/>
    <w:rsid w:val="00D013A4"/>
    <w:rsid w:val="00D026DC"/>
    <w:rsid w:val="00D03E88"/>
    <w:rsid w:val="00D15595"/>
    <w:rsid w:val="00D343A8"/>
    <w:rsid w:val="00D37832"/>
    <w:rsid w:val="00D44860"/>
    <w:rsid w:val="00D47689"/>
    <w:rsid w:val="00D50656"/>
    <w:rsid w:val="00D50C42"/>
    <w:rsid w:val="00D535AF"/>
    <w:rsid w:val="00D57CF5"/>
    <w:rsid w:val="00D612BC"/>
    <w:rsid w:val="00D62F98"/>
    <w:rsid w:val="00D66FD6"/>
    <w:rsid w:val="00D8285B"/>
    <w:rsid w:val="00D862EB"/>
    <w:rsid w:val="00D86619"/>
    <w:rsid w:val="00D93E7C"/>
    <w:rsid w:val="00DB2BE6"/>
    <w:rsid w:val="00DB76B3"/>
    <w:rsid w:val="00DD1052"/>
    <w:rsid w:val="00DD167C"/>
    <w:rsid w:val="00DD3C7B"/>
    <w:rsid w:val="00DD5966"/>
    <w:rsid w:val="00DE2B21"/>
    <w:rsid w:val="00DE48DE"/>
    <w:rsid w:val="00DF25F2"/>
    <w:rsid w:val="00DF3B32"/>
    <w:rsid w:val="00DF4166"/>
    <w:rsid w:val="00DF6484"/>
    <w:rsid w:val="00E000F4"/>
    <w:rsid w:val="00E01231"/>
    <w:rsid w:val="00E04279"/>
    <w:rsid w:val="00E11393"/>
    <w:rsid w:val="00E125D9"/>
    <w:rsid w:val="00E16D30"/>
    <w:rsid w:val="00E20DE0"/>
    <w:rsid w:val="00E31E69"/>
    <w:rsid w:val="00E33169"/>
    <w:rsid w:val="00E34A7B"/>
    <w:rsid w:val="00E3751F"/>
    <w:rsid w:val="00E37785"/>
    <w:rsid w:val="00E40973"/>
    <w:rsid w:val="00E4430C"/>
    <w:rsid w:val="00E545FF"/>
    <w:rsid w:val="00E6080E"/>
    <w:rsid w:val="00E64168"/>
    <w:rsid w:val="00E655B3"/>
    <w:rsid w:val="00E7081D"/>
    <w:rsid w:val="00E70904"/>
    <w:rsid w:val="00E71319"/>
    <w:rsid w:val="00E75171"/>
    <w:rsid w:val="00E804B0"/>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E1C85"/>
    <w:rsid w:val="00EE41E3"/>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35AA0"/>
    <w:rsid w:val="00F43C49"/>
    <w:rsid w:val="00F454B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9240719"/>
    <w:rsid w:val="22987C80"/>
    <w:rsid w:val="24192CCC"/>
    <w:rsid w:val="39A66CD4"/>
    <w:rsid w:val="3CD52CE1"/>
    <w:rsid w:val="410F2E6A"/>
    <w:rsid w:val="4430136C"/>
    <w:rsid w:val="47CE5141"/>
    <w:rsid w:val="4AB0382B"/>
    <w:rsid w:val="569868B5"/>
    <w:rsid w:val="611F6817"/>
    <w:rsid w:val="66CA1754"/>
    <w:rsid w:val="6C8A6951"/>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widowControl w:val="0"/>
    </w:pPr>
    <w:rPr>
      <w:rFonts w:ascii="Times New Roman" w:hAnsi="Times New Roman" w:cs="Times New Roman"/>
      <w:kern w:val="2"/>
      <w:sz w:val="21"/>
    </w:rPr>
  </w:style>
  <w:style w:type="paragraph" w:styleId="4">
    <w:name w:val="Body Text Indent"/>
    <w:basedOn w:val="1"/>
    <w:link w:val="26"/>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semiHidden/>
    <w:uiPriority w:val="0"/>
    <w:rPr>
      <w:rFonts w:asciiTheme="minorHAnsi" w:hAnsiTheme="minorHAnsi" w:eastAsiaTheme="minorEastAsia" w:cstheme="minorBidi"/>
      <w:sz w:val="2"/>
      <w:szCs w:val="20"/>
    </w:rPr>
  </w:style>
  <w:style w:type="paragraph" w:styleId="6">
    <w:name w:val="footer"/>
    <w:basedOn w:val="1"/>
    <w:link w:val="15"/>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uiPriority w:val="0"/>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Emphasis"/>
    <w:qFormat/>
    <w:uiPriority w:val="0"/>
    <w:rPr>
      <w:color w:val="C60A00"/>
    </w:rPr>
  </w:style>
  <w:style w:type="character" w:customStyle="1" w:styleId="14">
    <w:name w:val="页眉 Char1"/>
    <w:basedOn w:val="11"/>
    <w:link w:val="7"/>
    <w:semiHidden/>
    <w:qFormat/>
    <w:uiPriority w:val="99"/>
    <w:rPr>
      <w:sz w:val="18"/>
      <w:szCs w:val="18"/>
    </w:rPr>
  </w:style>
  <w:style w:type="character" w:customStyle="1" w:styleId="15">
    <w:name w:val="页脚 Char1"/>
    <w:basedOn w:val="11"/>
    <w:link w:val="6"/>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8"/>
    <w:qFormat/>
    <w:uiPriority w:val="0"/>
    <w:pPr>
      <w:spacing w:beforeLines="25" w:beforeAutospacing="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Char"/>
    <w:basedOn w:val="11"/>
    <w:link w:val="2"/>
    <w:qFormat/>
    <w:uiPriority w:val="9"/>
    <w:rPr>
      <w:rFonts w:ascii="Calibri" w:hAnsi="Calibri" w:eastAsia="宋体" w:cs="Times New Roman"/>
      <w:b/>
      <w:bCs/>
      <w:kern w:val="44"/>
      <w:sz w:val="44"/>
      <w:szCs w:val="44"/>
    </w:rPr>
  </w:style>
  <w:style w:type="character" w:customStyle="1" w:styleId="23">
    <w:name w:val="批注文字 Char"/>
    <w:basedOn w:val="11"/>
    <w:link w:val="3"/>
    <w:qFormat/>
    <w:uiPriority w:val="99"/>
    <w:rPr>
      <w:rFonts w:ascii="Times New Roman" w:hAnsi="Times New Roman" w:eastAsia="宋体" w:cs="Times New Roman"/>
      <w:kern w:val="2"/>
      <w:sz w:val="21"/>
      <w:szCs w:val="24"/>
    </w:rPr>
  </w:style>
  <w:style w:type="character" w:customStyle="1" w:styleId="24">
    <w:name w:val="editor-text-node"/>
    <w:basedOn w:val="11"/>
    <w:qFormat/>
    <w:uiPriority w:val="0"/>
  </w:style>
  <w:style w:type="character" w:styleId="25">
    <w:name w:val="Placeholder Text"/>
    <w:basedOn w:val="11"/>
    <w:unhideWhenUsed/>
    <w:qFormat/>
    <w:uiPriority w:val="99"/>
    <w:rPr>
      <w:color w:val="808080"/>
    </w:rPr>
  </w:style>
  <w:style w:type="character" w:customStyle="1" w:styleId="26">
    <w:name w:val="正文文本缩进 Char1"/>
    <w:link w:val="4"/>
    <w:qFormat/>
    <w:locked/>
    <w:uiPriority w:val="0"/>
    <w:rPr>
      <w:rFonts w:ascii="Calibri" w:hAnsi="Calibri" w:eastAsia="宋体" w:cs="Times New Roman"/>
      <w:kern w:val="2"/>
      <w:sz w:val="21"/>
    </w:rPr>
  </w:style>
  <w:style w:type="character" w:customStyle="1" w:styleId="27">
    <w:name w:val="正文文本缩进 字符"/>
    <w:basedOn w:val="11"/>
    <w:semiHidden/>
    <w:qFormat/>
    <w:uiPriority w:val="0"/>
    <w:rPr>
      <w:rFonts w:ascii="宋体" w:hAnsi="宋体" w:eastAsia="宋体" w:cs="宋体"/>
      <w:sz w:val="24"/>
      <w:szCs w:val="24"/>
    </w:rPr>
  </w:style>
  <w:style w:type="character" w:customStyle="1" w:styleId="28">
    <w:name w:val="页眉 Char"/>
    <w:qFormat/>
    <w:locked/>
    <w:uiPriority w:val="0"/>
    <w:rPr>
      <w:sz w:val="18"/>
    </w:rPr>
  </w:style>
  <w:style w:type="character" w:customStyle="1" w:styleId="29">
    <w:name w:val="页脚 Char"/>
    <w:qFormat/>
    <w:locked/>
    <w:uiPriority w:val="0"/>
    <w:rPr>
      <w:sz w:val="18"/>
    </w:rPr>
  </w:style>
  <w:style w:type="character" w:customStyle="1" w:styleId="30">
    <w:name w:val="正文文本缩进 Char"/>
    <w:qFormat/>
    <w:locked/>
    <w:uiPriority w:val="0"/>
    <w:rPr>
      <w:kern w:val="2"/>
      <w:sz w:val="21"/>
    </w:rPr>
  </w:style>
  <w:style w:type="character" w:customStyle="1" w:styleId="31">
    <w:name w:val="批注框文本 Char"/>
    <w:link w:val="5"/>
    <w:semiHidden/>
    <w:qFormat/>
    <w:locked/>
    <w:uiPriority w:val="0"/>
    <w:rPr>
      <w:sz w:val="2"/>
    </w:rPr>
  </w:style>
  <w:style w:type="paragraph" w:customStyle="1" w:styleId="32">
    <w:name w:val="样式1"/>
    <w:basedOn w:val="1"/>
    <w:qFormat/>
    <w:uiPriority w:val="0"/>
    <w:rPr>
      <w:rFonts w:ascii="Times New Roman" w:hAnsi="Times New Roman" w:cs="Times New Roman"/>
      <w:sz w:val="20"/>
      <w:szCs w:val="20"/>
    </w:rPr>
  </w:style>
  <w:style w:type="character" w:customStyle="1" w:styleId="33">
    <w:name w:val="批注框文本 字符"/>
    <w:basedOn w:val="11"/>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FDC7D-7C2C-4E60-B3DE-68AFC0750F17}">
  <ds:schemaRefs/>
</ds:datastoreItem>
</file>

<file path=docProps/app.xml><?xml version="1.0" encoding="utf-8"?>
<Properties xmlns="http://schemas.openxmlformats.org/officeDocument/2006/extended-properties" xmlns:vt="http://schemas.openxmlformats.org/officeDocument/2006/docPropsVTypes">
  <Template>Normal</Template>
  <Pages>9</Pages>
  <Words>5614</Words>
  <Characters>5850</Characters>
  <Lines>46</Lines>
  <Paragraphs>13</Paragraphs>
  <TotalTime>0</TotalTime>
  <ScaleCrop>false</ScaleCrop>
  <LinksUpToDate>false</LinksUpToDate>
  <CharactersWithSpaces>5875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郭永洪</cp:lastModifiedBy>
  <cp:lastPrinted>2023-11-21T00:52:00Z</cp:lastPrinted>
  <dcterms:modified xsi:type="dcterms:W3CDTF">2024-09-04T09:26:59Z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BA3D324FB7824A0F93328DF290A2D451_12</vt:lpwstr>
  </property>
</Properties>
</file>