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CC0F4">
      <w:pPr>
        <w:jc w:val="center"/>
        <w:rPr>
          <w:rFonts w:hint="eastAsia" w:ascii="黑体" w:hAnsi="黑体" w:eastAsia="黑体"/>
          <w:bCs/>
          <w:sz w:val="32"/>
          <w:szCs w:val="32"/>
        </w:rPr>
      </w:pPr>
      <w:r>
        <w:rPr>
          <w:rFonts w:hint="eastAsia" w:ascii="黑体" w:hAnsi="黑体" w:eastAsia="黑体"/>
          <w:bCs/>
          <w:sz w:val="32"/>
          <w:szCs w:val="32"/>
        </w:rPr>
        <w:t>本科课程教学大纲（理论课）</w:t>
      </w:r>
    </w:p>
    <w:p w14:paraId="11A34156">
      <w:pPr>
        <w:pStyle w:val="16"/>
        <w:spacing w:before="326" w:beforeLines="100" w:line="360" w:lineRule="auto"/>
        <w:rPr>
          <w:rFonts w:hint="eastAsia"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1107"/>
      </w:tblGrid>
      <w:tr w14:paraId="5CD9B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3F0E3AE9">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906" w:type="dxa"/>
            <w:gridSpan w:val="6"/>
            <w:tcBorders>
              <w:top w:val="single" w:color="auto" w:sz="12" w:space="0"/>
              <w:right w:val="single" w:color="auto" w:sz="12" w:space="0"/>
            </w:tcBorders>
            <w:vAlign w:val="center"/>
          </w:tcPr>
          <w:p w14:paraId="1FF6DF1A">
            <w:pPr>
              <w:widowControl w:val="0"/>
              <w:jc w:val="left"/>
              <w:rPr>
                <w:rFonts w:hint="eastAsia"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（中文）医疗器械导论</w:t>
            </w:r>
          </w:p>
        </w:tc>
      </w:tr>
      <w:tr w14:paraId="30E60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272211A9">
            <w:pPr>
              <w:widowControl w:val="0"/>
              <w:jc w:val="center"/>
              <w:rPr>
                <w:rFonts w:hint="eastAsia" w:ascii="黑体" w:hAnsi="黑体" w:eastAsia="黑体"/>
                <w:color w:val="000000" w:themeColor="text1"/>
                <w:sz w:val="21"/>
                <w:szCs w:val="18"/>
                <w14:textFill>
                  <w14:solidFill>
                    <w14:schemeClr w14:val="tx1"/>
                  </w14:solidFill>
                </w14:textFill>
              </w:rPr>
            </w:pPr>
          </w:p>
        </w:tc>
        <w:tc>
          <w:tcPr>
            <w:tcW w:w="6906" w:type="dxa"/>
            <w:gridSpan w:val="6"/>
            <w:tcBorders>
              <w:right w:val="single" w:color="auto" w:sz="12" w:space="0"/>
            </w:tcBorders>
            <w:vAlign w:val="center"/>
          </w:tcPr>
          <w:p w14:paraId="610C5357">
            <w:pPr>
              <w:widowControl w:val="0"/>
              <w:jc w:val="left"/>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（英文）Introduction to Medical Devices</w:t>
            </w:r>
          </w:p>
        </w:tc>
      </w:tr>
      <w:tr w14:paraId="250F8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49BA40C">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61F10C1E">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2170107</w:t>
            </w:r>
          </w:p>
        </w:tc>
        <w:tc>
          <w:tcPr>
            <w:tcW w:w="2126" w:type="dxa"/>
            <w:gridSpan w:val="2"/>
            <w:vAlign w:val="center"/>
          </w:tcPr>
          <w:p w14:paraId="776AB7BB">
            <w:pPr>
              <w:widowControl w:val="0"/>
              <w:jc w:val="center"/>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520" w:type="dxa"/>
            <w:gridSpan w:val="3"/>
            <w:tcBorders>
              <w:right w:val="single" w:color="auto" w:sz="12" w:space="0"/>
            </w:tcBorders>
            <w:vAlign w:val="center"/>
          </w:tcPr>
          <w:p w14:paraId="54178328">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14:paraId="5E258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02FB324">
            <w:pPr>
              <w:widowControl w:val="0"/>
              <w:jc w:val="center"/>
              <w:rPr>
                <w:rFonts w:hint="eastAsia"/>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20F8628B">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32</w:t>
            </w:r>
          </w:p>
        </w:tc>
        <w:tc>
          <w:tcPr>
            <w:tcW w:w="1272" w:type="dxa"/>
            <w:vAlign w:val="center"/>
          </w:tcPr>
          <w:p w14:paraId="73E928A3">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52C8F39E">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w:t>
            </w:r>
          </w:p>
        </w:tc>
        <w:tc>
          <w:tcPr>
            <w:tcW w:w="1413" w:type="dxa"/>
            <w:gridSpan w:val="2"/>
            <w:vAlign w:val="center"/>
          </w:tcPr>
          <w:p w14:paraId="0236DEBA">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1107" w:type="dxa"/>
            <w:tcBorders>
              <w:right w:val="single" w:color="auto" w:sz="12" w:space="0"/>
            </w:tcBorders>
            <w:vAlign w:val="center"/>
          </w:tcPr>
          <w:p w14:paraId="0E0B2F62">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w:t>
            </w:r>
          </w:p>
        </w:tc>
      </w:tr>
      <w:tr w14:paraId="577A6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03AEE67">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4FD8C6F9">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健康管理学院</w:t>
            </w:r>
          </w:p>
        </w:tc>
        <w:tc>
          <w:tcPr>
            <w:tcW w:w="2126" w:type="dxa"/>
            <w:gridSpan w:val="2"/>
            <w:vAlign w:val="center"/>
          </w:tcPr>
          <w:p w14:paraId="4A562B54">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520" w:type="dxa"/>
            <w:gridSpan w:val="3"/>
            <w:tcBorders>
              <w:right w:val="single" w:color="auto" w:sz="12" w:space="0"/>
            </w:tcBorders>
            <w:vAlign w:val="center"/>
          </w:tcPr>
          <w:p w14:paraId="66C90C6E">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养老服务管理一年级；</w:t>
            </w:r>
          </w:p>
          <w:p w14:paraId="49EECCC6">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护理学三年级；</w:t>
            </w:r>
          </w:p>
          <w:p w14:paraId="6932A896">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健康服务与管理一年级</w:t>
            </w:r>
          </w:p>
        </w:tc>
      </w:tr>
      <w:tr w14:paraId="5CEE3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E06A59A">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300BCEE7">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专业选修课</w:t>
            </w:r>
          </w:p>
        </w:tc>
        <w:tc>
          <w:tcPr>
            <w:tcW w:w="2126" w:type="dxa"/>
            <w:gridSpan w:val="2"/>
            <w:vAlign w:val="center"/>
          </w:tcPr>
          <w:p w14:paraId="500D321C">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520" w:type="dxa"/>
            <w:gridSpan w:val="3"/>
            <w:tcBorders>
              <w:right w:val="single" w:color="auto" w:sz="12" w:space="0"/>
            </w:tcBorders>
            <w:vAlign w:val="center"/>
          </w:tcPr>
          <w:p w14:paraId="25482CDF">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14:paraId="688F2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915B592">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10E368ED">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《医疗器械技术前沿》，李斌，张锦主编，ISBN9787117245135</w:t>
            </w:r>
          </w:p>
        </w:tc>
        <w:tc>
          <w:tcPr>
            <w:tcW w:w="1413" w:type="dxa"/>
            <w:gridSpan w:val="2"/>
            <w:vAlign w:val="center"/>
          </w:tcPr>
          <w:p w14:paraId="7F3CF920">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612E4732">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1107" w:type="dxa"/>
            <w:tcBorders>
              <w:right w:val="single" w:color="auto" w:sz="12" w:space="0"/>
            </w:tcBorders>
            <w:vAlign w:val="center"/>
          </w:tcPr>
          <w:p w14:paraId="476E2BB2">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3AD5E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69" w:hRule="atLeast"/>
        </w:trPr>
        <w:tc>
          <w:tcPr>
            <w:tcW w:w="1691" w:type="dxa"/>
            <w:tcBorders>
              <w:left w:val="single" w:color="auto" w:sz="12" w:space="0"/>
            </w:tcBorders>
            <w:shd w:val="clear" w:color="auto" w:fill="auto"/>
            <w:vAlign w:val="center"/>
          </w:tcPr>
          <w:p w14:paraId="55CCC0FA">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906" w:type="dxa"/>
            <w:gridSpan w:val="6"/>
            <w:tcBorders>
              <w:right w:val="single" w:color="auto" w:sz="12" w:space="0"/>
            </w:tcBorders>
            <w:vAlign w:val="center"/>
          </w:tcPr>
          <w:p w14:paraId="2B140A24">
            <w:pPr>
              <w:pStyle w:val="14"/>
              <w:widowControl w:val="0"/>
              <w:jc w:val="both"/>
            </w:pPr>
            <w:r>
              <w:rPr>
                <w:rFonts w:hint="eastAsia"/>
              </w:rPr>
              <w:t>无</w:t>
            </w:r>
          </w:p>
        </w:tc>
      </w:tr>
      <w:tr w14:paraId="1C48C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341" w:hRule="atLeast"/>
        </w:trPr>
        <w:tc>
          <w:tcPr>
            <w:tcW w:w="1691" w:type="dxa"/>
            <w:tcBorders>
              <w:left w:val="single" w:color="auto" w:sz="12" w:space="0"/>
            </w:tcBorders>
            <w:shd w:val="clear" w:color="auto" w:fill="auto"/>
            <w:vAlign w:val="center"/>
          </w:tcPr>
          <w:p w14:paraId="3A0B6A14">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906" w:type="dxa"/>
            <w:gridSpan w:val="6"/>
            <w:tcBorders>
              <w:right w:val="single" w:color="auto" w:sz="12" w:space="0"/>
            </w:tcBorders>
          </w:tcPr>
          <w:p w14:paraId="62F15542">
            <w:pPr>
              <w:pStyle w:val="14"/>
              <w:widowControl w:val="0"/>
              <w:ind w:firstLine="420" w:firstLineChars="200"/>
              <w:jc w:val="both"/>
            </w:pPr>
            <w:r>
              <w:rPr>
                <w:rFonts w:hint="eastAsia"/>
              </w:rPr>
              <w:t>《医疗器械导论》是养老</w:t>
            </w:r>
            <w:r>
              <w:rPr>
                <w:rFonts w:hint="eastAsia"/>
                <w:color w:val="000000" w:themeColor="text1"/>
                <w14:textFill>
                  <w14:solidFill>
                    <w14:schemeClr w14:val="tx1"/>
                  </w14:solidFill>
                </w14:textFill>
              </w:rPr>
              <w:t>服务管理、护理学及健康服务与管理</w:t>
            </w:r>
            <w:r>
              <w:rPr>
                <w:rFonts w:hint="eastAsia"/>
              </w:rPr>
              <w:t>专业的一门专业选修课程。医疗器械行业是关系到人类生命健康的新兴行业，涉及医药、机械、电子、信息等多个行业；其产品聚集和融入了大量现代科学技术的新成果，是数学、物理、生物、化学、材料、机械、信息等多学科交叉、知识密集、资金密集的高新技术产品。</w:t>
            </w:r>
          </w:p>
          <w:p w14:paraId="5F60B691">
            <w:pPr>
              <w:pStyle w:val="14"/>
              <w:widowControl w:val="0"/>
              <w:ind w:firstLine="420" w:firstLineChars="200"/>
              <w:jc w:val="both"/>
            </w:pPr>
            <w:r>
              <w:rPr>
                <w:rFonts w:hint="eastAsia"/>
              </w:rPr>
              <w:t>本课程以培养学生岗位能力为着眼点，使学生具备医疗健康行业从业人员所必需的实践技能和相关的基础知识，包括医疗器械定义、发展、监督管理和基本要求；医疗器械典型设备的基本结构与工作原理、使用与安全、临床应用与发展；血液净化、人工智能、体外循环、医用机器人、一体化手术室、高压氧舱等医疗器械；医疗器械监管法规等内容。</w:t>
            </w:r>
          </w:p>
        </w:tc>
      </w:tr>
      <w:tr w14:paraId="6DE6B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14:paraId="2E11AB50">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906" w:type="dxa"/>
            <w:gridSpan w:val="6"/>
            <w:tcBorders>
              <w:bottom w:val="double" w:color="auto" w:sz="4" w:space="0"/>
              <w:right w:val="single" w:color="auto" w:sz="12" w:space="0"/>
            </w:tcBorders>
          </w:tcPr>
          <w:p w14:paraId="76E5EDF5">
            <w:pPr>
              <w:pStyle w:val="14"/>
              <w:widowControl w:val="0"/>
              <w:jc w:val="both"/>
            </w:pPr>
            <w:r>
              <w:rPr>
                <w:rFonts w:hint="eastAsia"/>
              </w:rPr>
              <w:t xml:space="preserve">  《医疗器械导论》课程旨在激发对医疗科技的兴趣，要求学生具备基础学科知识、文献检索能力，并通过翻转课堂模式增强主动学习与讨论能力。课程强调创新与实践，鼓励学生提出新颖想法，参与创新项目，全面培养其专业素养、创新思维和实践能力，为未来在医疗器械领域的发展奠定坚实基础。</w:t>
            </w:r>
          </w:p>
        </w:tc>
      </w:tr>
      <w:tr w14:paraId="01D13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06" w:hRule="atLeast"/>
        </w:trPr>
        <w:tc>
          <w:tcPr>
            <w:tcW w:w="1691" w:type="dxa"/>
            <w:tcBorders>
              <w:top w:val="double" w:color="auto" w:sz="4" w:space="0"/>
              <w:left w:val="single" w:color="auto" w:sz="12" w:space="0"/>
            </w:tcBorders>
            <w:shd w:val="clear" w:color="auto" w:fill="auto"/>
            <w:vAlign w:val="center"/>
          </w:tcPr>
          <w:p w14:paraId="481F51D6">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74934BB1">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424815" cy="288925"/>
                  <wp:effectExtent l="0" t="0" r="13335" b="15875"/>
                  <wp:docPr id="1" name="图片 1" descr="622c8ada1f7db7b20e06e8e13ff5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22c8ada1f7db7b20e06e8e13ff5dcc"/>
                          <pic:cNvPicPr>
                            <a:picLocks noChangeAspect="1"/>
                          </pic:cNvPicPr>
                        </pic:nvPicPr>
                        <pic:blipFill>
                          <a:blip r:embed="rId5"/>
                          <a:stretch>
                            <a:fillRect/>
                          </a:stretch>
                        </pic:blipFill>
                        <pic:spPr>
                          <a:xfrm>
                            <a:off x="0" y="0"/>
                            <a:ext cx="424815" cy="288925"/>
                          </a:xfrm>
                          <a:prstGeom prst="rect">
                            <a:avLst/>
                          </a:prstGeom>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51CBB40B">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949" w:type="dxa"/>
            <w:gridSpan w:val="2"/>
            <w:tcBorders>
              <w:top w:val="double" w:color="auto" w:sz="4" w:space="0"/>
              <w:right w:val="single" w:color="auto" w:sz="12" w:space="0"/>
            </w:tcBorders>
            <w:vAlign w:val="center"/>
          </w:tcPr>
          <w:p w14:paraId="0EC6F5D2">
            <w:pPr>
              <w:widowControl w:val="0"/>
              <w:jc w:val="center"/>
              <w:rPr>
                <w:rFonts w:ascii="Times New Roman" w:hAnsi="Times New Roman"/>
                <w:color w:val="000000"/>
                <w:sz w:val="21"/>
                <w:szCs w:val="21"/>
              </w:rPr>
            </w:pPr>
            <w:r>
              <w:rPr>
                <w:rFonts w:hint="eastAsia" w:ascii="Times New Roman" w:hAnsi="Times New Roman"/>
                <w:color w:val="000000"/>
                <w:sz w:val="21"/>
                <w:szCs w:val="21"/>
              </w:rPr>
              <w:t>202</w:t>
            </w:r>
            <w:r>
              <w:rPr>
                <w:rFonts w:hint="eastAsia" w:ascii="Times New Roman" w:hAnsi="Times New Roman"/>
                <w:color w:val="000000"/>
                <w:sz w:val="21"/>
                <w:szCs w:val="21"/>
                <w:lang w:val="en-US" w:eastAsia="zh-CN"/>
              </w:rPr>
              <w:t>5</w:t>
            </w:r>
            <w:r>
              <w:rPr>
                <w:rFonts w:hint="eastAsia" w:ascii="Times New Roman" w:hAnsi="Times New Roman"/>
                <w:color w:val="000000"/>
                <w:sz w:val="21"/>
                <w:szCs w:val="21"/>
              </w:rPr>
              <w:t>.08</w:t>
            </w:r>
          </w:p>
        </w:tc>
      </w:tr>
      <w:tr w14:paraId="3E760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52DFB3A8">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6AFC0F72">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647700" cy="309880"/>
                  <wp:effectExtent l="0" t="0" r="0" b="13970"/>
                  <wp:docPr id="4" name="图片 4" descr="e5e75e1e911e1860bc87ca1a802ed0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5e75e1e911e1860bc87ca1a802ed0a6"/>
                          <pic:cNvPicPr>
                            <a:picLocks noChangeAspect="1"/>
                          </pic:cNvPicPr>
                        </pic:nvPicPr>
                        <pic:blipFill>
                          <a:blip r:embed="rId6"/>
                          <a:stretch>
                            <a:fillRect/>
                          </a:stretch>
                        </pic:blipFill>
                        <pic:spPr>
                          <a:xfrm>
                            <a:off x="0" y="0"/>
                            <a:ext cx="647700" cy="309880"/>
                          </a:xfrm>
                          <a:prstGeom prst="rect">
                            <a:avLst/>
                          </a:prstGeom>
                        </pic:spPr>
                      </pic:pic>
                    </a:graphicData>
                  </a:graphic>
                </wp:inline>
              </w:drawing>
            </w:r>
            <w:r>
              <w:rPr>
                <w:rFonts w:hint="eastAsia"/>
                <w:sz w:val="21"/>
                <w:szCs w:val="21"/>
              </w:rPr>
              <w:drawing>
                <wp:inline distT="0" distB="0" distL="114300" distR="114300">
                  <wp:extent cx="478790" cy="213360"/>
                  <wp:effectExtent l="0" t="0" r="16510" b="15240"/>
                  <wp:docPr id="3" name="图片 3" descr="3cf70cce5e32691c7d7a64e2d90a3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cf70cce5e32691c7d7a64e2d90a3078"/>
                          <pic:cNvPicPr>
                            <a:picLocks noChangeAspect="1"/>
                          </pic:cNvPicPr>
                        </pic:nvPicPr>
                        <pic:blipFill>
                          <a:blip r:embed="rId7"/>
                          <a:stretch>
                            <a:fillRect/>
                          </a:stretch>
                        </pic:blipFill>
                        <pic:spPr>
                          <a:xfrm>
                            <a:off x="0" y="0"/>
                            <a:ext cx="478790" cy="213360"/>
                          </a:xfrm>
                          <a:prstGeom prst="rect">
                            <a:avLst/>
                          </a:prstGeom>
                        </pic:spPr>
                      </pic:pic>
                    </a:graphicData>
                  </a:graphic>
                </wp:inline>
              </w:drawing>
            </w:r>
            <w:r>
              <w:rPr>
                <w:rFonts w:hint="eastAsia"/>
                <w:sz w:val="21"/>
                <w:szCs w:val="21"/>
              </w:rPr>
              <w:t>（签名）</w:t>
            </w:r>
          </w:p>
        </w:tc>
        <w:tc>
          <w:tcPr>
            <w:tcW w:w="1425" w:type="dxa"/>
            <w:gridSpan w:val="2"/>
            <w:vAlign w:val="center"/>
          </w:tcPr>
          <w:p w14:paraId="62E969F8">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949" w:type="dxa"/>
            <w:gridSpan w:val="2"/>
            <w:tcBorders>
              <w:right w:val="single" w:color="auto" w:sz="12" w:space="0"/>
            </w:tcBorders>
            <w:vAlign w:val="center"/>
          </w:tcPr>
          <w:p w14:paraId="2F933C1E">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2025.9</w:t>
            </w:r>
          </w:p>
        </w:tc>
      </w:tr>
      <w:tr w14:paraId="2F623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51530789">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7954F42C">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424815" cy="288925"/>
                  <wp:effectExtent l="0" t="0" r="13335" b="15875"/>
                  <wp:docPr id="2" name="图片 2" descr="622c8ada1f7db7b20e06e8e13ff5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22c8ada1f7db7b20e06e8e13ff5dcc"/>
                          <pic:cNvPicPr>
                            <a:picLocks noChangeAspect="1"/>
                          </pic:cNvPicPr>
                        </pic:nvPicPr>
                        <pic:blipFill>
                          <a:blip r:embed="rId5"/>
                          <a:stretch>
                            <a:fillRect/>
                          </a:stretch>
                        </pic:blipFill>
                        <pic:spPr>
                          <a:xfrm>
                            <a:off x="0" y="0"/>
                            <a:ext cx="424815" cy="288925"/>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4B284148">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949" w:type="dxa"/>
            <w:gridSpan w:val="2"/>
            <w:tcBorders>
              <w:bottom w:val="single" w:color="auto" w:sz="12" w:space="0"/>
              <w:right w:val="single" w:color="auto" w:sz="12" w:space="0"/>
            </w:tcBorders>
            <w:vAlign w:val="center"/>
          </w:tcPr>
          <w:p w14:paraId="625D4663">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2025.9</w:t>
            </w:r>
          </w:p>
        </w:tc>
      </w:tr>
    </w:tbl>
    <w:p w14:paraId="6717A037">
      <w:pPr>
        <w:spacing w:line="100" w:lineRule="exact"/>
        <w:rPr>
          <w:rFonts w:ascii="Arial" w:hAnsi="Arial" w:eastAsia="黑体"/>
        </w:rPr>
      </w:pPr>
      <w:r>
        <w:br w:type="page"/>
      </w:r>
    </w:p>
    <w:p w14:paraId="106A472F">
      <w:pPr>
        <w:pStyle w:val="16"/>
        <w:spacing w:before="326" w:beforeLines="100" w:line="360" w:lineRule="auto"/>
        <w:rPr>
          <w:rFonts w:hint="eastAsia" w:ascii="黑体" w:hAnsi="宋体"/>
        </w:rPr>
      </w:pPr>
      <w:r>
        <w:rPr>
          <w:rFonts w:hint="eastAsia" w:ascii="黑体" w:hAnsi="宋体"/>
        </w:rPr>
        <w:t>二、课程目标与毕业要求</w:t>
      </w:r>
    </w:p>
    <w:p w14:paraId="58398A73">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69"/>
        <w:gridCol w:w="806"/>
        <w:gridCol w:w="6623"/>
      </w:tblGrid>
      <w:tr w14:paraId="4D4F6E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67" w:type="dxa"/>
            <w:vAlign w:val="center"/>
          </w:tcPr>
          <w:p w14:paraId="32813658">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类型</w:t>
            </w:r>
          </w:p>
        </w:tc>
        <w:tc>
          <w:tcPr>
            <w:tcW w:w="802" w:type="dxa"/>
            <w:shd w:val="clear" w:color="auto" w:fill="auto"/>
            <w:vAlign w:val="center"/>
          </w:tcPr>
          <w:p w14:paraId="220E9C45">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序号</w:t>
            </w:r>
          </w:p>
        </w:tc>
        <w:tc>
          <w:tcPr>
            <w:tcW w:w="6629" w:type="dxa"/>
            <w:vAlign w:val="center"/>
          </w:tcPr>
          <w:p w14:paraId="258DD5CA">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内容</w:t>
            </w:r>
          </w:p>
        </w:tc>
      </w:tr>
      <w:tr w14:paraId="7FABE3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67" w:type="dxa"/>
            <w:vAlign w:val="center"/>
          </w:tcPr>
          <w:p w14:paraId="7B44FB6A">
            <w:pPr>
              <w:snapToGrid w:val="0"/>
              <w:jc w:val="center"/>
              <w:rPr>
                <w:rFonts w:hint="eastAsia"/>
              </w:rPr>
            </w:pPr>
            <w:r>
              <w:rPr>
                <w:rFonts w:hint="eastAsia" w:ascii="黑体" w:hAnsi="黑体" w:eastAsia="黑体"/>
                <w:bCs/>
                <w:color w:val="000000"/>
                <w:sz w:val="21"/>
                <w:szCs w:val="18"/>
              </w:rPr>
              <w:t>知识目标</w:t>
            </w:r>
          </w:p>
        </w:tc>
        <w:tc>
          <w:tcPr>
            <w:tcW w:w="802" w:type="dxa"/>
            <w:shd w:val="clear" w:color="auto" w:fill="auto"/>
            <w:vAlign w:val="center"/>
          </w:tcPr>
          <w:p w14:paraId="206E08DF">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629" w:type="dxa"/>
            <w:vAlign w:val="center"/>
          </w:tcPr>
          <w:p w14:paraId="38571420">
            <w:pPr>
              <w:pStyle w:val="14"/>
              <w:jc w:val="left"/>
              <w:rPr>
                <w:rFonts w:hint="eastAsia" w:ascii="宋体" w:hAnsi="宋体"/>
                <w:bCs/>
              </w:rPr>
            </w:pPr>
            <w:r>
              <w:rPr>
                <w:rFonts w:hint="eastAsia" w:ascii="宋体" w:hAnsi="宋体"/>
                <w:bCs/>
              </w:rPr>
              <w:t>掌握医疗器械基本原理与分类，了解最新发展动态。</w:t>
            </w:r>
          </w:p>
        </w:tc>
      </w:tr>
      <w:tr w14:paraId="7BA0CB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67" w:type="dxa"/>
            <w:vAlign w:val="center"/>
          </w:tcPr>
          <w:p w14:paraId="00453620">
            <w:pPr>
              <w:snapToGrid w:val="0"/>
              <w:jc w:val="center"/>
              <w:rPr>
                <w:rFonts w:hint="eastAsia"/>
              </w:rPr>
            </w:pPr>
            <w:r>
              <w:rPr>
                <w:rFonts w:hint="eastAsia" w:ascii="黑体" w:hAnsi="黑体" w:eastAsia="黑体"/>
                <w:bCs/>
                <w:color w:val="000000"/>
                <w:sz w:val="21"/>
                <w:szCs w:val="18"/>
              </w:rPr>
              <w:t>技能目标</w:t>
            </w:r>
          </w:p>
        </w:tc>
        <w:tc>
          <w:tcPr>
            <w:tcW w:w="802" w:type="dxa"/>
            <w:shd w:val="clear" w:color="auto" w:fill="auto"/>
            <w:vAlign w:val="center"/>
          </w:tcPr>
          <w:p w14:paraId="7A3A0904">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2</w:t>
            </w:r>
          </w:p>
        </w:tc>
        <w:tc>
          <w:tcPr>
            <w:tcW w:w="6629" w:type="dxa"/>
            <w:vAlign w:val="center"/>
          </w:tcPr>
          <w:p w14:paraId="1F78E2C8">
            <w:pPr>
              <w:pStyle w:val="14"/>
              <w:jc w:val="left"/>
              <w:rPr>
                <w:rFonts w:hint="eastAsia" w:ascii="宋体" w:hAnsi="宋体"/>
                <w:bCs/>
              </w:rPr>
            </w:pPr>
            <w:r>
              <w:rPr>
                <w:rFonts w:hint="eastAsia" w:ascii="宋体" w:hAnsi="宋体"/>
                <w:bCs/>
              </w:rPr>
              <w:t>能够识别并初步分析常见医疗器械的工作原理与适用范围。</w:t>
            </w:r>
          </w:p>
        </w:tc>
      </w:tr>
      <w:tr w14:paraId="3EF8BD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67" w:type="dxa"/>
            <w:vMerge w:val="restart"/>
            <w:vAlign w:val="center"/>
          </w:tcPr>
          <w:p w14:paraId="62BE0DEF">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30297B0B">
            <w:pPr>
              <w:snapToGrid w:val="0"/>
              <w:jc w:val="center"/>
              <w:rPr>
                <w:rFonts w:hint="eastAsia"/>
              </w:rP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802" w:type="dxa"/>
            <w:shd w:val="clear" w:color="auto" w:fill="auto"/>
            <w:vAlign w:val="center"/>
          </w:tcPr>
          <w:p w14:paraId="42621A15">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3</w:t>
            </w:r>
          </w:p>
        </w:tc>
        <w:tc>
          <w:tcPr>
            <w:tcW w:w="6629" w:type="dxa"/>
            <w:vAlign w:val="center"/>
          </w:tcPr>
          <w:p w14:paraId="488F5D3D">
            <w:pPr>
              <w:pStyle w:val="14"/>
              <w:jc w:val="left"/>
              <w:rPr>
                <w:rFonts w:hint="eastAsia" w:ascii="宋体" w:hAnsi="宋体"/>
                <w:bCs/>
              </w:rPr>
            </w:pPr>
            <w:r>
              <w:rPr>
                <w:rFonts w:hint="eastAsia" w:ascii="宋体" w:hAnsi="宋体"/>
                <w:bCs/>
              </w:rPr>
              <w:t>能够爱岗敬业，热爱医疗器械专业，勤学多练以锤炼专业技能，同时熟悉并遵守行业法律法规，展现出高度的职业道德操守。</w:t>
            </w:r>
          </w:p>
        </w:tc>
      </w:tr>
      <w:tr w14:paraId="1D3190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67" w:type="dxa"/>
            <w:vMerge w:val="continue"/>
            <w:vAlign w:val="center"/>
          </w:tcPr>
          <w:p w14:paraId="677E8D9D">
            <w:pPr>
              <w:pStyle w:val="14"/>
              <w:rPr>
                <w:rFonts w:hint="eastAsia" w:ascii="宋体" w:hAnsi="宋体"/>
              </w:rPr>
            </w:pPr>
          </w:p>
        </w:tc>
        <w:tc>
          <w:tcPr>
            <w:tcW w:w="802" w:type="dxa"/>
            <w:shd w:val="clear" w:color="auto" w:fill="auto"/>
            <w:vAlign w:val="center"/>
          </w:tcPr>
          <w:p w14:paraId="7D0B9C32">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629" w:type="dxa"/>
            <w:vAlign w:val="center"/>
          </w:tcPr>
          <w:p w14:paraId="4174140A">
            <w:pPr>
              <w:pStyle w:val="14"/>
              <w:jc w:val="left"/>
              <w:rPr>
                <w:rFonts w:hint="eastAsia" w:ascii="宋体" w:hAnsi="宋体"/>
                <w:bCs/>
              </w:rPr>
            </w:pPr>
            <w:r>
              <w:rPr>
                <w:rFonts w:hint="eastAsia" w:ascii="宋体" w:hAnsi="宋体"/>
                <w:bCs/>
              </w:rPr>
              <w:t>树立以人民健康为中心的理念，培养在集体活动中主动担当、密切合作的能力，以及自我与团队管理的素养。</w:t>
            </w:r>
          </w:p>
        </w:tc>
      </w:tr>
    </w:tbl>
    <w:p w14:paraId="117ED322">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2E7F2B47">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391" w:hRule="atLeast"/>
        </w:trPr>
        <w:tc>
          <w:tcPr>
            <w:tcW w:w="8296" w:type="dxa"/>
          </w:tcPr>
          <w:p w14:paraId="49768CE7">
            <w:pPr>
              <w:pStyle w:val="14"/>
              <w:widowControl w:val="0"/>
              <w:jc w:val="left"/>
              <w:rPr>
                <w:rFonts w:hint="eastAsia" w:ascii="宋体" w:hAnsi="宋体"/>
                <w:sz w:val="20"/>
                <w:szCs w:val="20"/>
              </w:rPr>
            </w:pPr>
            <w:r>
              <w:rPr>
                <w:rFonts w:hint="eastAsia" w:ascii="宋体" w:hAnsi="宋体"/>
                <w:sz w:val="20"/>
                <w:szCs w:val="20"/>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640853AE">
            <w:pPr>
              <w:pStyle w:val="14"/>
              <w:widowControl w:val="0"/>
              <w:jc w:val="left"/>
              <w:rPr>
                <w:rFonts w:hint="eastAsia" w:ascii="宋体" w:hAnsi="宋体"/>
                <w:bCs/>
              </w:rPr>
            </w:pPr>
            <w:r>
              <w:rPr>
                <w:rFonts w:hint="eastAsia" w:ascii="宋体" w:hAnsi="宋体"/>
                <w:sz w:val="20"/>
                <w:szCs w:val="20"/>
              </w:rPr>
              <w:t>⑤爱岗敬业，热爱所学专业，勤学多练，锤炼技能。熟悉本专业相关的法律法规，在实习实践中自觉遵守职业规范，具备职业道德操守。</w:t>
            </w:r>
          </w:p>
        </w:tc>
      </w:tr>
      <w:tr w14:paraId="2772E6B7">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5FAC204D">
            <w:pPr>
              <w:pStyle w:val="14"/>
              <w:widowControl w:val="0"/>
              <w:jc w:val="left"/>
              <w:rPr>
                <w:rFonts w:hint="eastAsia" w:ascii="宋体" w:hAnsi="宋体"/>
                <w:bCs/>
              </w:rPr>
            </w:pPr>
            <w:r>
              <w:rPr>
                <w:rFonts w:hint="eastAsia" w:ascii="宋体" w:hAnsi="宋体"/>
                <w:bCs/>
              </w:rPr>
              <w:t>L06协同创新：同群体保持良好的合作关系，做集体中的积极成员，善于自我管理和团队管理，善于从多个维度思考问题，利用自己的知识与实践来提出新设想。</w:t>
            </w:r>
          </w:p>
          <w:p w14:paraId="69601E2F">
            <w:pPr>
              <w:pStyle w:val="14"/>
              <w:widowControl w:val="0"/>
              <w:jc w:val="left"/>
              <w:rPr>
                <w:rFonts w:hint="eastAsia" w:ascii="宋体" w:hAnsi="宋体"/>
                <w:bCs/>
              </w:rPr>
            </w:pPr>
            <w:r>
              <w:rPr>
                <w:rFonts w:hint="eastAsia" w:ascii="宋体" w:hAnsi="宋体"/>
                <w:bCs/>
              </w:rPr>
              <w:t>①在集体活动中能主动担任自己的角色，与其他成员密切合作，善于自我管理和团队管理，共同完成任务。</w:t>
            </w:r>
          </w:p>
        </w:tc>
      </w:tr>
    </w:tbl>
    <w:p w14:paraId="7E09B4B2">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99"/>
        <w:gridCol w:w="817"/>
        <w:gridCol w:w="817"/>
        <w:gridCol w:w="4880"/>
        <w:gridCol w:w="1385"/>
      </w:tblGrid>
      <w:tr w14:paraId="39B0A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97" w:type="dxa"/>
            <w:tcBorders>
              <w:top w:val="single" w:color="auto" w:sz="12" w:space="0"/>
              <w:left w:val="single" w:color="auto" w:sz="12" w:space="0"/>
              <w:right w:val="single" w:color="auto" w:sz="4" w:space="0"/>
            </w:tcBorders>
            <w:shd w:val="clear" w:color="auto" w:fill="auto"/>
            <w:vAlign w:val="center"/>
          </w:tcPr>
          <w:p w14:paraId="55661609">
            <w:pPr>
              <w:pStyle w:val="13"/>
              <w:rPr>
                <w:szCs w:val="16"/>
              </w:rPr>
            </w:pPr>
            <w:r>
              <w:rPr>
                <w:rFonts w:hint="eastAsia" w:ascii="黑体" w:hAnsi="黑体"/>
                <w:szCs w:val="18"/>
              </w:rPr>
              <w:t>毕业要求</w:t>
            </w:r>
          </w:p>
        </w:tc>
        <w:tc>
          <w:tcPr>
            <w:tcW w:w="814" w:type="dxa"/>
            <w:tcBorders>
              <w:top w:val="single" w:color="auto" w:sz="12" w:space="0"/>
              <w:left w:val="single" w:color="auto" w:sz="4" w:space="0"/>
            </w:tcBorders>
            <w:vAlign w:val="center"/>
          </w:tcPr>
          <w:p w14:paraId="48683D66">
            <w:pPr>
              <w:pStyle w:val="13"/>
              <w:rPr>
                <w:szCs w:val="16"/>
              </w:rPr>
            </w:pPr>
            <w:r>
              <w:rPr>
                <w:rFonts w:hint="eastAsia"/>
                <w:szCs w:val="16"/>
              </w:rPr>
              <w:t>指标点</w:t>
            </w:r>
          </w:p>
        </w:tc>
        <w:tc>
          <w:tcPr>
            <w:tcW w:w="814" w:type="dxa"/>
            <w:tcBorders>
              <w:top w:val="single" w:color="auto" w:sz="12" w:space="0"/>
              <w:right w:val="double" w:color="auto" w:sz="4" w:space="0"/>
            </w:tcBorders>
            <w:shd w:val="clear" w:color="auto" w:fill="auto"/>
            <w:vAlign w:val="center"/>
          </w:tcPr>
          <w:p w14:paraId="62083BA2">
            <w:pPr>
              <w:pStyle w:val="13"/>
              <w:rPr>
                <w:szCs w:val="16"/>
              </w:rPr>
            </w:pPr>
            <w:r>
              <w:rPr>
                <w:rFonts w:hint="eastAsia"/>
                <w:szCs w:val="16"/>
              </w:rPr>
              <w:t>支撑度</w:t>
            </w:r>
          </w:p>
        </w:tc>
        <w:tc>
          <w:tcPr>
            <w:tcW w:w="4889" w:type="dxa"/>
            <w:tcBorders>
              <w:top w:val="single" w:color="auto" w:sz="12" w:space="0"/>
            </w:tcBorders>
            <w:vAlign w:val="center"/>
          </w:tcPr>
          <w:p w14:paraId="70E49DED">
            <w:pPr>
              <w:pStyle w:val="13"/>
              <w:rPr>
                <w:szCs w:val="16"/>
              </w:rPr>
            </w:pPr>
            <w:r>
              <w:rPr>
                <w:rFonts w:hint="eastAsia"/>
                <w:szCs w:val="16"/>
              </w:rPr>
              <w:t>课程目标</w:t>
            </w:r>
          </w:p>
        </w:tc>
        <w:tc>
          <w:tcPr>
            <w:tcW w:w="1384" w:type="dxa"/>
            <w:tcBorders>
              <w:top w:val="single" w:color="auto" w:sz="12" w:space="0"/>
              <w:right w:val="single" w:color="auto" w:sz="12" w:space="0"/>
            </w:tcBorders>
            <w:vAlign w:val="center"/>
          </w:tcPr>
          <w:p w14:paraId="0D8B7267">
            <w:pPr>
              <w:pStyle w:val="13"/>
              <w:rPr>
                <w:szCs w:val="16"/>
              </w:rPr>
            </w:pPr>
            <w:r>
              <w:rPr>
                <w:rFonts w:hint="eastAsia"/>
                <w:szCs w:val="16"/>
              </w:rPr>
              <w:t>对指标点的贡献度</w:t>
            </w:r>
          </w:p>
        </w:tc>
      </w:tr>
      <w:tr w14:paraId="3F820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97" w:type="dxa"/>
            <w:vMerge w:val="restart"/>
            <w:tcBorders>
              <w:left w:val="single" w:color="auto" w:sz="12" w:space="0"/>
              <w:right w:val="single" w:color="auto" w:sz="4" w:space="0"/>
            </w:tcBorders>
            <w:shd w:val="clear" w:color="auto" w:fill="auto"/>
            <w:vAlign w:val="center"/>
          </w:tcPr>
          <w:p w14:paraId="486CD895">
            <w:pPr>
              <w:pStyle w:val="14"/>
            </w:pPr>
            <w:r>
              <w:rPr>
                <w:b/>
              </w:rPr>
              <w:t>L01</w:t>
            </w:r>
          </w:p>
        </w:tc>
        <w:tc>
          <w:tcPr>
            <w:tcW w:w="814" w:type="dxa"/>
            <w:vMerge w:val="restart"/>
            <w:tcBorders>
              <w:left w:val="single" w:color="auto" w:sz="4" w:space="0"/>
            </w:tcBorders>
            <w:vAlign w:val="center"/>
          </w:tcPr>
          <w:p w14:paraId="12BDAD50">
            <w:pPr>
              <w:pStyle w:val="14"/>
              <w:rPr>
                <w:rFonts w:cs="Times New Roman"/>
                <w:bCs/>
              </w:rPr>
            </w:pPr>
            <w:r>
              <w:rPr>
                <w:rFonts w:hint="eastAsia" w:ascii="宋体" w:hAnsi="宋体"/>
                <w:sz w:val="20"/>
                <w:szCs w:val="20"/>
              </w:rPr>
              <w:t>⑤</w:t>
            </w:r>
          </w:p>
        </w:tc>
        <w:tc>
          <w:tcPr>
            <w:tcW w:w="814" w:type="dxa"/>
            <w:vMerge w:val="restart"/>
            <w:tcBorders>
              <w:right w:val="double" w:color="auto" w:sz="4" w:space="0"/>
            </w:tcBorders>
            <w:shd w:val="clear" w:color="auto" w:fill="auto"/>
            <w:vAlign w:val="center"/>
          </w:tcPr>
          <w:p w14:paraId="11AEA018">
            <w:pPr>
              <w:pStyle w:val="14"/>
              <w:rPr>
                <w:rFonts w:hint="eastAsia" w:ascii="宋体" w:hAnsi="宋体"/>
              </w:rPr>
            </w:pPr>
            <w:r>
              <w:rPr>
                <w:rFonts w:hint="eastAsia" w:ascii="宋体" w:hAnsi="宋体"/>
              </w:rPr>
              <w:t>M</w:t>
            </w:r>
          </w:p>
        </w:tc>
        <w:tc>
          <w:tcPr>
            <w:tcW w:w="4889" w:type="dxa"/>
            <w:vAlign w:val="center"/>
          </w:tcPr>
          <w:p w14:paraId="73407DE0">
            <w:pPr>
              <w:pStyle w:val="14"/>
              <w:jc w:val="left"/>
              <w:rPr>
                <w:rFonts w:hint="eastAsia" w:ascii="宋体" w:hAnsi="宋体"/>
                <w:bCs/>
              </w:rPr>
            </w:pPr>
            <w:r>
              <w:rPr>
                <w:rFonts w:hint="eastAsia" w:ascii="宋体" w:hAnsi="宋体"/>
                <w:bCs/>
              </w:rPr>
              <w:t>1.掌握医疗器械基本原理与分类，了解最新发展动态。</w:t>
            </w:r>
          </w:p>
        </w:tc>
        <w:tc>
          <w:tcPr>
            <w:tcW w:w="1384" w:type="dxa"/>
            <w:tcBorders>
              <w:right w:val="single" w:color="auto" w:sz="12" w:space="0"/>
            </w:tcBorders>
            <w:vAlign w:val="center"/>
          </w:tcPr>
          <w:p w14:paraId="0C29ED52">
            <w:pPr>
              <w:pStyle w:val="14"/>
              <w:rPr>
                <w:rFonts w:hint="eastAsia" w:ascii="宋体" w:hAnsi="宋体"/>
                <w:bCs/>
              </w:rPr>
            </w:pPr>
            <w:r>
              <w:rPr>
                <w:rFonts w:hint="eastAsia" w:ascii="宋体" w:hAnsi="宋体"/>
                <w:bCs/>
              </w:rPr>
              <w:t>30%</w:t>
            </w:r>
          </w:p>
        </w:tc>
      </w:tr>
      <w:tr w14:paraId="4D9B1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97" w:type="dxa"/>
            <w:vMerge w:val="continue"/>
            <w:tcBorders>
              <w:left w:val="single" w:color="auto" w:sz="12" w:space="0"/>
              <w:right w:val="single" w:color="auto" w:sz="4" w:space="0"/>
            </w:tcBorders>
            <w:shd w:val="clear" w:color="auto" w:fill="auto"/>
            <w:vAlign w:val="center"/>
          </w:tcPr>
          <w:p w14:paraId="7A8C182B">
            <w:pPr>
              <w:pStyle w:val="14"/>
              <w:rPr>
                <w:b/>
              </w:rPr>
            </w:pPr>
          </w:p>
        </w:tc>
        <w:tc>
          <w:tcPr>
            <w:tcW w:w="814" w:type="dxa"/>
            <w:vMerge w:val="continue"/>
            <w:tcBorders>
              <w:left w:val="single" w:color="auto" w:sz="4" w:space="0"/>
            </w:tcBorders>
            <w:vAlign w:val="center"/>
          </w:tcPr>
          <w:p w14:paraId="6B882061">
            <w:pPr>
              <w:pStyle w:val="14"/>
              <w:rPr>
                <w:rFonts w:hint="eastAsia" w:ascii="宋体" w:hAnsi="宋体"/>
                <w:sz w:val="20"/>
                <w:szCs w:val="20"/>
              </w:rPr>
            </w:pPr>
          </w:p>
        </w:tc>
        <w:tc>
          <w:tcPr>
            <w:tcW w:w="814" w:type="dxa"/>
            <w:vMerge w:val="continue"/>
            <w:tcBorders>
              <w:right w:val="double" w:color="auto" w:sz="4" w:space="0"/>
            </w:tcBorders>
            <w:shd w:val="clear" w:color="auto" w:fill="auto"/>
            <w:vAlign w:val="center"/>
          </w:tcPr>
          <w:p w14:paraId="604F25B1">
            <w:pPr>
              <w:pStyle w:val="14"/>
              <w:rPr>
                <w:rFonts w:hint="eastAsia" w:ascii="宋体" w:hAnsi="宋体"/>
              </w:rPr>
            </w:pPr>
          </w:p>
        </w:tc>
        <w:tc>
          <w:tcPr>
            <w:tcW w:w="4889" w:type="dxa"/>
            <w:vAlign w:val="center"/>
          </w:tcPr>
          <w:p w14:paraId="5765EC43">
            <w:pPr>
              <w:pStyle w:val="14"/>
              <w:jc w:val="left"/>
              <w:rPr>
                <w:rFonts w:hint="eastAsia" w:ascii="宋体" w:hAnsi="宋体"/>
                <w:bCs/>
              </w:rPr>
            </w:pPr>
            <w:r>
              <w:rPr>
                <w:rFonts w:hint="eastAsia" w:ascii="宋体" w:hAnsi="宋体"/>
                <w:bCs/>
              </w:rPr>
              <w:t>2.能够识别并初步分析常见医疗器械的工作原理与适用范围。</w:t>
            </w:r>
          </w:p>
        </w:tc>
        <w:tc>
          <w:tcPr>
            <w:tcW w:w="1384" w:type="dxa"/>
            <w:tcBorders>
              <w:right w:val="single" w:color="auto" w:sz="12" w:space="0"/>
            </w:tcBorders>
            <w:vAlign w:val="center"/>
          </w:tcPr>
          <w:p w14:paraId="7C25B4EE">
            <w:pPr>
              <w:pStyle w:val="14"/>
              <w:rPr>
                <w:rFonts w:hint="eastAsia" w:ascii="宋体" w:hAnsi="宋体"/>
                <w:bCs/>
              </w:rPr>
            </w:pPr>
            <w:r>
              <w:rPr>
                <w:rFonts w:hint="eastAsia" w:ascii="宋体" w:hAnsi="宋体"/>
                <w:bCs/>
              </w:rPr>
              <w:t>30%</w:t>
            </w:r>
          </w:p>
        </w:tc>
      </w:tr>
      <w:tr w14:paraId="1AD0E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97" w:type="dxa"/>
            <w:vMerge w:val="continue"/>
            <w:tcBorders>
              <w:left w:val="single" w:color="auto" w:sz="12" w:space="0"/>
              <w:right w:val="single" w:color="auto" w:sz="4" w:space="0"/>
            </w:tcBorders>
            <w:shd w:val="clear" w:color="auto" w:fill="auto"/>
            <w:vAlign w:val="center"/>
          </w:tcPr>
          <w:p w14:paraId="5123DAC7">
            <w:pPr>
              <w:pStyle w:val="14"/>
              <w:rPr>
                <w:b/>
              </w:rPr>
            </w:pPr>
          </w:p>
        </w:tc>
        <w:tc>
          <w:tcPr>
            <w:tcW w:w="814" w:type="dxa"/>
            <w:vMerge w:val="continue"/>
            <w:tcBorders>
              <w:left w:val="single" w:color="auto" w:sz="4" w:space="0"/>
            </w:tcBorders>
            <w:vAlign w:val="center"/>
          </w:tcPr>
          <w:p w14:paraId="678CF489">
            <w:pPr>
              <w:pStyle w:val="14"/>
              <w:rPr>
                <w:bCs/>
              </w:rPr>
            </w:pPr>
          </w:p>
        </w:tc>
        <w:tc>
          <w:tcPr>
            <w:tcW w:w="814" w:type="dxa"/>
            <w:vMerge w:val="continue"/>
            <w:tcBorders>
              <w:right w:val="double" w:color="auto" w:sz="4" w:space="0"/>
            </w:tcBorders>
            <w:shd w:val="clear" w:color="auto" w:fill="auto"/>
            <w:vAlign w:val="center"/>
          </w:tcPr>
          <w:p w14:paraId="258E095B">
            <w:pPr>
              <w:pStyle w:val="14"/>
              <w:rPr>
                <w:rFonts w:hint="eastAsia" w:ascii="宋体" w:hAnsi="宋体"/>
              </w:rPr>
            </w:pPr>
          </w:p>
        </w:tc>
        <w:tc>
          <w:tcPr>
            <w:tcW w:w="4889" w:type="dxa"/>
            <w:vAlign w:val="center"/>
          </w:tcPr>
          <w:p w14:paraId="5509BCE0">
            <w:pPr>
              <w:pStyle w:val="14"/>
              <w:jc w:val="left"/>
              <w:rPr>
                <w:rFonts w:hint="eastAsia" w:ascii="宋体" w:hAnsi="宋体"/>
                <w:bCs/>
              </w:rPr>
            </w:pPr>
            <w:r>
              <w:rPr>
                <w:rFonts w:hint="eastAsia" w:ascii="宋体" w:hAnsi="宋体"/>
                <w:bCs/>
              </w:rPr>
              <w:t>3.能够爱岗敬业，热爱医疗器械专业，勤学多练以锤炼专业技能，同时熟悉并遵守行业法律法规，展现出高度的职业道德操守。</w:t>
            </w:r>
          </w:p>
        </w:tc>
        <w:tc>
          <w:tcPr>
            <w:tcW w:w="1384" w:type="dxa"/>
            <w:tcBorders>
              <w:right w:val="single" w:color="auto" w:sz="12" w:space="0"/>
            </w:tcBorders>
            <w:vAlign w:val="center"/>
          </w:tcPr>
          <w:p w14:paraId="719FCEE3">
            <w:pPr>
              <w:pStyle w:val="14"/>
              <w:rPr>
                <w:rFonts w:hint="eastAsia" w:ascii="宋体" w:hAnsi="宋体"/>
                <w:bCs/>
              </w:rPr>
            </w:pPr>
            <w:r>
              <w:rPr>
                <w:rFonts w:hint="eastAsia" w:ascii="宋体" w:hAnsi="宋体"/>
                <w:bCs/>
              </w:rPr>
              <w:t>40%</w:t>
            </w:r>
          </w:p>
        </w:tc>
      </w:tr>
      <w:tr w14:paraId="06809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97" w:type="dxa"/>
            <w:vMerge w:val="restart"/>
            <w:tcBorders>
              <w:left w:val="single" w:color="auto" w:sz="12" w:space="0"/>
              <w:right w:val="single" w:color="auto" w:sz="4" w:space="0"/>
            </w:tcBorders>
            <w:shd w:val="clear" w:color="auto" w:fill="auto"/>
            <w:vAlign w:val="center"/>
          </w:tcPr>
          <w:p w14:paraId="5A72B7A8">
            <w:pPr>
              <w:pStyle w:val="14"/>
            </w:pPr>
            <w:r>
              <w:rPr>
                <w:rFonts w:hint="eastAsia" w:ascii="宋体" w:hAnsi="宋体"/>
                <w:bCs/>
              </w:rPr>
              <w:t>L06</w:t>
            </w:r>
          </w:p>
        </w:tc>
        <w:tc>
          <w:tcPr>
            <w:tcW w:w="814" w:type="dxa"/>
            <w:vMerge w:val="restart"/>
            <w:tcBorders>
              <w:left w:val="single" w:color="auto" w:sz="4" w:space="0"/>
            </w:tcBorders>
            <w:vAlign w:val="center"/>
          </w:tcPr>
          <w:p w14:paraId="7DFC877D">
            <w:pPr>
              <w:pStyle w:val="14"/>
              <w:rPr>
                <w:rFonts w:cs="Times New Roman"/>
                <w:bCs/>
              </w:rPr>
            </w:pPr>
            <w:r>
              <w:rPr>
                <w:rFonts w:hint="eastAsia" w:ascii="宋体" w:hAnsi="宋体"/>
                <w:bCs/>
              </w:rPr>
              <w:t>①</w:t>
            </w:r>
          </w:p>
        </w:tc>
        <w:tc>
          <w:tcPr>
            <w:tcW w:w="814" w:type="dxa"/>
            <w:vMerge w:val="restart"/>
            <w:tcBorders>
              <w:right w:val="double" w:color="auto" w:sz="4" w:space="0"/>
            </w:tcBorders>
            <w:shd w:val="clear" w:color="auto" w:fill="auto"/>
            <w:vAlign w:val="center"/>
          </w:tcPr>
          <w:p w14:paraId="5BE6AFFC">
            <w:pPr>
              <w:pStyle w:val="14"/>
              <w:rPr>
                <w:rFonts w:hint="eastAsia" w:ascii="宋体" w:hAnsi="宋体"/>
              </w:rPr>
            </w:pPr>
            <w:r>
              <w:rPr>
                <w:rFonts w:hint="eastAsia" w:ascii="宋体" w:hAnsi="宋体"/>
              </w:rPr>
              <w:t>H</w:t>
            </w:r>
          </w:p>
        </w:tc>
        <w:tc>
          <w:tcPr>
            <w:tcW w:w="4889" w:type="dxa"/>
            <w:vAlign w:val="center"/>
          </w:tcPr>
          <w:p w14:paraId="3BFA2DD7">
            <w:pPr>
              <w:pStyle w:val="14"/>
              <w:jc w:val="left"/>
              <w:rPr>
                <w:rFonts w:hint="eastAsia" w:ascii="宋体" w:hAnsi="宋体"/>
                <w:bCs/>
              </w:rPr>
            </w:pPr>
            <w:r>
              <w:rPr>
                <w:rFonts w:hint="eastAsia" w:ascii="宋体" w:hAnsi="宋体"/>
                <w:bCs/>
              </w:rPr>
              <w:t>3.能够爱岗敬业，热爱医疗器械专业，勤学多练以锤炼专业技能，同时熟悉并遵守行业法律法规，展现出高度的职业道德操守。</w:t>
            </w:r>
          </w:p>
        </w:tc>
        <w:tc>
          <w:tcPr>
            <w:tcW w:w="1384" w:type="dxa"/>
            <w:tcBorders>
              <w:right w:val="single" w:color="auto" w:sz="12" w:space="0"/>
            </w:tcBorders>
            <w:vAlign w:val="center"/>
          </w:tcPr>
          <w:p w14:paraId="07BD5C0A">
            <w:pPr>
              <w:pStyle w:val="14"/>
              <w:rPr>
                <w:rFonts w:hint="eastAsia" w:ascii="宋体" w:hAnsi="宋体"/>
                <w:bCs/>
              </w:rPr>
            </w:pPr>
            <w:r>
              <w:rPr>
                <w:rFonts w:hint="eastAsia" w:ascii="宋体" w:hAnsi="宋体"/>
                <w:bCs/>
              </w:rPr>
              <w:t>50%</w:t>
            </w:r>
          </w:p>
        </w:tc>
      </w:tr>
      <w:tr w14:paraId="524B3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97" w:type="dxa"/>
            <w:vMerge w:val="continue"/>
            <w:tcBorders>
              <w:left w:val="single" w:color="auto" w:sz="12" w:space="0"/>
              <w:right w:val="single" w:color="auto" w:sz="4" w:space="0"/>
            </w:tcBorders>
            <w:shd w:val="clear" w:color="auto" w:fill="auto"/>
            <w:vAlign w:val="center"/>
          </w:tcPr>
          <w:p w14:paraId="0D53DEA5">
            <w:pPr>
              <w:pStyle w:val="14"/>
            </w:pPr>
          </w:p>
        </w:tc>
        <w:tc>
          <w:tcPr>
            <w:tcW w:w="814" w:type="dxa"/>
            <w:vMerge w:val="continue"/>
            <w:tcBorders>
              <w:left w:val="single" w:color="auto" w:sz="4" w:space="0"/>
            </w:tcBorders>
            <w:vAlign w:val="center"/>
          </w:tcPr>
          <w:p w14:paraId="659109F9">
            <w:pPr>
              <w:pStyle w:val="14"/>
              <w:rPr>
                <w:rFonts w:cs="Times New Roman"/>
                <w:bCs/>
              </w:rPr>
            </w:pPr>
          </w:p>
        </w:tc>
        <w:tc>
          <w:tcPr>
            <w:tcW w:w="814" w:type="dxa"/>
            <w:vMerge w:val="continue"/>
            <w:tcBorders>
              <w:right w:val="double" w:color="auto" w:sz="4" w:space="0"/>
            </w:tcBorders>
            <w:shd w:val="clear" w:color="auto" w:fill="auto"/>
            <w:vAlign w:val="center"/>
          </w:tcPr>
          <w:p w14:paraId="083891D7">
            <w:pPr>
              <w:pStyle w:val="14"/>
              <w:rPr>
                <w:rFonts w:hint="eastAsia" w:ascii="宋体" w:hAnsi="宋体"/>
              </w:rPr>
            </w:pPr>
          </w:p>
        </w:tc>
        <w:tc>
          <w:tcPr>
            <w:tcW w:w="4889" w:type="dxa"/>
            <w:vAlign w:val="center"/>
          </w:tcPr>
          <w:p w14:paraId="7D3FACA9">
            <w:pPr>
              <w:pStyle w:val="14"/>
              <w:jc w:val="left"/>
              <w:rPr>
                <w:rFonts w:hint="eastAsia" w:ascii="宋体" w:hAnsi="宋体"/>
                <w:bCs/>
              </w:rPr>
            </w:pPr>
            <w:r>
              <w:rPr>
                <w:rFonts w:hint="eastAsia" w:ascii="宋体" w:hAnsi="宋体"/>
                <w:bCs/>
              </w:rPr>
              <w:t>4.树立以人民健康为中心的理念，培养在集体活动中主动担当、密切合作的能力，以及自我与团队管理的素养。</w:t>
            </w:r>
          </w:p>
        </w:tc>
        <w:tc>
          <w:tcPr>
            <w:tcW w:w="1384" w:type="dxa"/>
            <w:tcBorders>
              <w:right w:val="single" w:color="auto" w:sz="12" w:space="0"/>
            </w:tcBorders>
            <w:vAlign w:val="center"/>
          </w:tcPr>
          <w:p w14:paraId="0ECFBB25">
            <w:pPr>
              <w:pStyle w:val="14"/>
              <w:rPr>
                <w:rFonts w:hint="eastAsia" w:ascii="宋体" w:hAnsi="宋体"/>
                <w:bCs/>
              </w:rPr>
            </w:pPr>
            <w:r>
              <w:rPr>
                <w:rFonts w:hint="eastAsia" w:ascii="宋体" w:hAnsi="宋体"/>
                <w:bCs/>
              </w:rPr>
              <w:t>50%</w:t>
            </w:r>
          </w:p>
        </w:tc>
      </w:tr>
    </w:tbl>
    <w:p w14:paraId="2A585498">
      <w:pPr>
        <w:pStyle w:val="16"/>
        <w:spacing w:before="326" w:beforeLines="100" w:line="360" w:lineRule="auto"/>
        <w:rPr>
          <w:rFonts w:hint="eastAsia" w:ascii="黑体" w:hAnsi="宋体"/>
        </w:rPr>
      </w:pPr>
      <w:r>
        <w:rPr>
          <w:rFonts w:hint="eastAsia" w:ascii="黑体" w:hAnsi="宋体"/>
        </w:rPr>
        <w:t>三、</w:t>
      </w:r>
      <w:r>
        <w:rPr>
          <w:rFonts w:ascii="黑体" w:hAnsi="宋体"/>
        </w:rPr>
        <w:t>课程内容</w:t>
      </w:r>
      <w:r>
        <w:rPr>
          <w:rFonts w:hint="eastAsia" w:ascii="黑体" w:hAnsi="宋体"/>
        </w:rPr>
        <w:t>与教学设计</w:t>
      </w:r>
    </w:p>
    <w:p w14:paraId="19B21E04">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601"/>
      </w:tblGrid>
      <w:tr w14:paraId="5453FA4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601" w:type="dxa"/>
            <w:shd w:val="clear" w:color="auto" w:fill="auto"/>
          </w:tcPr>
          <w:p w14:paraId="61364E47">
            <w:pPr>
              <w:pStyle w:val="14"/>
              <w:widowControl w:val="0"/>
              <w:jc w:val="left"/>
              <w:rPr>
                <w:rFonts w:hint="eastAsia" w:ascii="宋体" w:hAnsi="宋体"/>
                <w:bCs/>
              </w:rPr>
            </w:pPr>
            <w:bookmarkStart w:id="0" w:name="OLE_LINK6"/>
            <w:bookmarkStart w:id="1" w:name="OLE_LINK5"/>
            <w:r>
              <w:rPr>
                <w:rFonts w:hint="eastAsia" w:ascii="宋体" w:hAnsi="宋体"/>
                <w:bCs/>
              </w:rPr>
              <w:t xml:space="preserve">第一单元 </w:t>
            </w:r>
            <w:r>
              <w:rPr>
                <w:rFonts w:ascii="宋体" w:hAnsi="宋体"/>
                <w:bCs/>
              </w:rPr>
              <w:t>绪论</w:t>
            </w:r>
            <w:r>
              <w:rPr>
                <w:rFonts w:ascii="宋体" w:hAnsi="宋体"/>
                <w:bCs/>
              </w:rPr>
              <w:tab/>
            </w:r>
          </w:p>
          <w:p w14:paraId="7B65D6ED">
            <w:pPr>
              <w:pStyle w:val="14"/>
              <w:widowControl w:val="0"/>
              <w:jc w:val="left"/>
              <w:rPr>
                <w:rFonts w:hint="eastAsia" w:ascii="宋体" w:hAnsi="宋体"/>
                <w:bCs/>
              </w:rPr>
            </w:pPr>
            <w:r>
              <w:rPr>
                <w:rFonts w:hint="eastAsia" w:ascii="宋体" w:hAnsi="宋体"/>
                <w:bCs/>
              </w:rPr>
              <w:t>知识点：医疗器械定义与分类、发展历程、重要性及未来趋势。</w:t>
            </w:r>
          </w:p>
          <w:p w14:paraId="0CF339D6">
            <w:pPr>
              <w:pStyle w:val="14"/>
              <w:widowControl w:val="0"/>
              <w:jc w:val="left"/>
              <w:rPr>
                <w:rFonts w:hint="eastAsia" w:ascii="宋体" w:hAnsi="宋体"/>
                <w:bCs/>
              </w:rPr>
            </w:pPr>
            <w:r>
              <w:rPr>
                <w:rFonts w:hint="eastAsia" w:ascii="宋体" w:hAnsi="宋体"/>
                <w:bCs/>
              </w:rPr>
              <w:t>能力要求：能够概述医疗器械的基本概念和分类，理解其在医疗体系中的作用。</w:t>
            </w:r>
          </w:p>
          <w:p w14:paraId="69FE8468">
            <w:pPr>
              <w:pStyle w:val="14"/>
              <w:widowControl w:val="0"/>
              <w:jc w:val="left"/>
              <w:rPr>
                <w:rFonts w:hint="eastAsia" w:ascii="宋体" w:hAnsi="宋体"/>
                <w:bCs/>
              </w:rPr>
            </w:pPr>
            <w:r>
              <w:rPr>
                <w:rFonts w:hint="eastAsia" w:ascii="宋体" w:hAnsi="宋体"/>
                <w:bCs/>
              </w:rPr>
              <w:t>教学重难点：</w:t>
            </w:r>
          </w:p>
          <w:p w14:paraId="642A766D">
            <w:pPr>
              <w:pStyle w:val="14"/>
              <w:widowControl w:val="0"/>
              <w:jc w:val="left"/>
              <w:rPr>
                <w:rFonts w:hint="eastAsia" w:ascii="宋体" w:hAnsi="宋体"/>
                <w:bCs/>
              </w:rPr>
            </w:pPr>
            <w:r>
              <w:rPr>
                <w:rFonts w:hint="eastAsia" w:ascii="宋体" w:hAnsi="宋体"/>
                <w:bCs/>
              </w:rPr>
              <w:t>重点：医疗器械的分类与重要性。</w:t>
            </w:r>
          </w:p>
          <w:p w14:paraId="4C0E1BF9">
            <w:pPr>
              <w:pStyle w:val="14"/>
              <w:widowControl w:val="0"/>
              <w:jc w:val="left"/>
              <w:rPr>
                <w:rFonts w:hint="eastAsia" w:ascii="宋体" w:hAnsi="宋体"/>
                <w:bCs/>
              </w:rPr>
            </w:pPr>
            <w:r>
              <w:rPr>
                <w:rFonts w:hint="eastAsia" w:ascii="宋体" w:hAnsi="宋体"/>
                <w:bCs/>
              </w:rPr>
              <w:t>难点：理解医疗器械技术发展的前沿趋势及其对医疗行业的影响。</w:t>
            </w:r>
          </w:p>
        </w:tc>
      </w:tr>
      <w:tr w14:paraId="508DDCA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601" w:type="dxa"/>
            <w:shd w:val="clear" w:color="auto" w:fill="auto"/>
          </w:tcPr>
          <w:p w14:paraId="34B5089A">
            <w:pPr>
              <w:pStyle w:val="14"/>
              <w:widowControl w:val="0"/>
              <w:jc w:val="left"/>
              <w:rPr>
                <w:rFonts w:hint="eastAsia" w:ascii="宋体" w:hAnsi="宋体"/>
                <w:bCs/>
              </w:rPr>
            </w:pPr>
            <w:r>
              <w:rPr>
                <w:rFonts w:hint="eastAsia" w:ascii="宋体" w:hAnsi="宋体"/>
                <w:bCs/>
              </w:rPr>
              <w:t>第二单元 一体化手术室</w:t>
            </w:r>
          </w:p>
          <w:p w14:paraId="2017C620">
            <w:pPr>
              <w:pStyle w:val="14"/>
              <w:widowControl w:val="0"/>
              <w:jc w:val="left"/>
              <w:rPr>
                <w:rFonts w:hint="eastAsia" w:ascii="宋体" w:hAnsi="宋体"/>
                <w:bCs/>
              </w:rPr>
            </w:pPr>
            <w:r>
              <w:rPr>
                <w:rFonts w:ascii="宋体" w:hAnsi="宋体"/>
                <w:bCs/>
              </w:rPr>
              <w:t>知识点：一体化手术室概念、布局、系统集成与优势。</w:t>
            </w:r>
          </w:p>
          <w:p w14:paraId="4B188CB8">
            <w:pPr>
              <w:pStyle w:val="14"/>
              <w:widowControl w:val="0"/>
              <w:jc w:val="left"/>
              <w:rPr>
                <w:rFonts w:hint="eastAsia" w:ascii="宋体" w:hAnsi="宋体"/>
                <w:bCs/>
              </w:rPr>
            </w:pPr>
            <w:r>
              <w:rPr>
                <w:rFonts w:ascii="宋体" w:hAnsi="宋体"/>
                <w:bCs/>
              </w:rPr>
              <w:t>能力要求：理解一体化手术室在提高手术效率中的作用。</w:t>
            </w:r>
          </w:p>
          <w:p w14:paraId="07DB598C">
            <w:pPr>
              <w:pStyle w:val="14"/>
              <w:widowControl w:val="0"/>
              <w:jc w:val="left"/>
              <w:rPr>
                <w:rFonts w:hint="eastAsia" w:ascii="宋体" w:hAnsi="宋体"/>
                <w:bCs/>
              </w:rPr>
            </w:pPr>
            <w:r>
              <w:rPr>
                <w:rFonts w:ascii="宋体" w:hAnsi="宋体"/>
                <w:bCs/>
              </w:rPr>
              <w:t>教学重难点：</w:t>
            </w:r>
          </w:p>
          <w:p w14:paraId="0506F627">
            <w:pPr>
              <w:pStyle w:val="14"/>
              <w:widowControl w:val="0"/>
              <w:jc w:val="left"/>
              <w:rPr>
                <w:rFonts w:hint="eastAsia" w:ascii="宋体" w:hAnsi="宋体"/>
                <w:bCs/>
              </w:rPr>
            </w:pPr>
            <w:r>
              <w:rPr>
                <w:rFonts w:ascii="宋体" w:hAnsi="宋体"/>
                <w:bCs/>
              </w:rPr>
              <w:t>重点：一体化手术室的集成系统与功能优势。</w:t>
            </w:r>
          </w:p>
          <w:p w14:paraId="771DE2AC">
            <w:pPr>
              <w:pStyle w:val="14"/>
              <w:widowControl w:val="0"/>
              <w:jc w:val="left"/>
              <w:rPr>
                <w:rFonts w:hint="eastAsia" w:ascii="宋体" w:hAnsi="宋体"/>
                <w:bCs/>
              </w:rPr>
            </w:pPr>
            <w:r>
              <w:rPr>
                <w:rFonts w:ascii="宋体" w:hAnsi="宋体"/>
                <w:bCs/>
              </w:rPr>
              <w:t>难点：手术室信息化管理与数据整合的复杂性。</w:t>
            </w:r>
          </w:p>
        </w:tc>
      </w:tr>
      <w:bookmarkEnd w:id="0"/>
      <w:bookmarkEnd w:id="1"/>
      <w:tr w14:paraId="483D05E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601" w:type="dxa"/>
            <w:shd w:val="clear" w:color="auto" w:fill="auto"/>
          </w:tcPr>
          <w:p w14:paraId="6D5658AA">
            <w:pPr>
              <w:pStyle w:val="14"/>
              <w:widowControl w:val="0"/>
              <w:jc w:val="left"/>
              <w:rPr>
                <w:rFonts w:hint="eastAsia" w:ascii="宋体" w:hAnsi="宋体"/>
                <w:bCs/>
              </w:rPr>
            </w:pPr>
            <w:r>
              <w:rPr>
                <w:rFonts w:hint="eastAsia" w:ascii="宋体" w:hAnsi="宋体"/>
                <w:bCs/>
              </w:rPr>
              <w:t>第三单元 血液净化设备</w:t>
            </w:r>
            <w:r>
              <w:rPr>
                <w:rFonts w:ascii="宋体" w:hAnsi="宋体"/>
                <w:bCs/>
              </w:rPr>
              <w:tab/>
            </w:r>
          </w:p>
          <w:p w14:paraId="249470D7">
            <w:pPr>
              <w:pStyle w:val="14"/>
              <w:widowControl w:val="0"/>
              <w:jc w:val="left"/>
              <w:rPr>
                <w:rFonts w:hint="eastAsia" w:ascii="宋体" w:hAnsi="宋体"/>
                <w:bCs/>
              </w:rPr>
            </w:pPr>
            <w:r>
              <w:rPr>
                <w:rFonts w:hint="eastAsia" w:ascii="宋体" w:hAnsi="宋体"/>
                <w:bCs/>
              </w:rPr>
              <w:t>知识点：血液透析原理、设备构成、操作流程及临床应用。</w:t>
            </w:r>
          </w:p>
          <w:p w14:paraId="6DB99DFA">
            <w:pPr>
              <w:pStyle w:val="14"/>
              <w:widowControl w:val="0"/>
              <w:jc w:val="left"/>
              <w:rPr>
                <w:rFonts w:hint="eastAsia" w:ascii="宋体" w:hAnsi="宋体"/>
                <w:bCs/>
              </w:rPr>
            </w:pPr>
            <w:r>
              <w:rPr>
                <w:rFonts w:hint="eastAsia" w:ascii="宋体" w:hAnsi="宋体"/>
                <w:bCs/>
              </w:rPr>
              <w:t>能力要求：掌握血液透析技术的基本原理，了解设备操作与维护。</w:t>
            </w:r>
          </w:p>
          <w:p w14:paraId="04EE70AB">
            <w:pPr>
              <w:pStyle w:val="14"/>
              <w:widowControl w:val="0"/>
              <w:jc w:val="left"/>
              <w:rPr>
                <w:rFonts w:hint="eastAsia" w:ascii="宋体" w:hAnsi="宋体"/>
                <w:bCs/>
              </w:rPr>
            </w:pPr>
            <w:r>
              <w:rPr>
                <w:rFonts w:hint="eastAsia" w:ascii="宋体" w:hAnsi="宋体"/>
                <w:bCs/>
              </w:rPr>
              <w:t>教学重难点：</w:t>
            </w:r>
          </w:p>
          <w:p w14:paraId="4A64F283">
            <w:pPr>
              <w:pStyle w:val="14"/>
              <w:widowControl w:val="0"/>
              <w:jc w:val="left"/>
              <w:rPr>
                <w:rFonts w:hint="eastAsia" w:ascii="宋体" w:hAnsi="宋体"/>
                <w:bCs/>
              </w:rPr>
            </w:pPr>
            <w:r>
              <w:rPr>
                <w:rFonts w:hint="eastAsia" w:ascii="宋体" w:hAnsi="宋体"/>
                <w:bCs/>
              </w:rPr>
              <w:t>重点：血液透析技术的核心原理与设备组成。</w:t>
            </w:r>
          </w:p>
          <w:p w14:paraId="1DB873BE">
            <w:pPr>
              <w:pStyle w:val="14"/>
              <w:widowControl w:val="0"/>
              <w:jc w:val="left"/>
              <w:rPr>
                <w:rFonts w:hint="eastAsia" w:ascii="宋体" w:hAnsi="宋体"/>
                <w:bCs/>
              </w:rPr>
            </w:pPr>
            <w:r>
              <w:rPr>
                <w:rFonts w:hint="eastAsia" w:ascii="宋体" w:hAnsi="宋体"/>
                <w:bCs/>
              </w:rPr>
              <w:t>难点：复杂血液透析流程的理解及临床案例分析。</w:t>
            </w:r>
          </w:p>
        </w:tc>
      </w:tr>
      <w:tr w14:paraId="7724D1F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601" w:type="dxa"/>
            <w:shd w:val="clear" w:color="auto" w:fill="auto"/>
          </w:tcPr>
          <w:p w14:paraId="6819675B">
            <w:pPr>
              <w:pStyle w:val="14"/>
              <w:widowControl w:val="0"/>
              <w:jc w:val="left"/>
              <w:rPr>
                <w:rFonts w:hint="eastAsia" w:ascii="宋体" w:hAnsi="宋体"/>
                <w:bCs/>
              </w:rPr>
            </w:pPr>
            <w:r>
              <w:rPr>
                <w:rFonts w:hint="eastAsia" w:ascii="宋体" w:hAnsi="宋体"/>
                <w:bCs/>
              </w:rPr>
              <w:t>第四单元 体外循环设备</w:t>
            </w:r>
          </w:p>
          <w:p w14:paraId="319EFD7A">
            <w:pPr>
              <w:pStyle w:val="14"/>
              <w:widowControl w:val="0"/>
              <w:jc w:val="left"/>
              <w:rPr>
                <w:rFonts w:hint="eastAsia" w:ascii="宋体" w:hAnsi="宋体"/>
                <w:bCs/>
              </w:rPr>
            </w:pPr>
            <w:r>
              <w:rPr>
                <w:rFonts w:hint="eastAsia" w:ascii="宋体" w:hAnsi="宋体"/>
                <w:bCs/>
              </w:rPr>
              <w:t>知识点：体外循环的概念、设备（如人工心肺机）、应用及监测。</w:t>
            </w:r>
          </w:p>
          <w:p w14:paraId="3B6F0EFB">
            <w:pPr>
              <w:pStyle w:val="14"/>
              <w:widowControl w:val="0"/>
              <w:jc w:val="left"/>
              <w:rPr>
                <w:rFonts w:hint="eastAsia" w:ascii="宋体" w:hAnsi="宋体"/>
                <w:bCs/>
              </w:rPr>
            </w:pPr>
            <w:r>
              <w:rPr>
                <w:rFonts w:hint="eastAsia" w:ascii="宋体" w:hAnsi="宋体"/>
                <w:bCs/>
              </w:rPr>
              <w:t>能力要求：理解体外循环在手术中的应用，掌握基本监测参数。</w:t>
            </w:r>
          </w:p>
          <w:p w14:paraId="2E9E8EF9">
            <w:pPr>
              <w:pStyle w:val="14"/>
              <w:widowControl w:val="0"/>
              <w:jc w:val="left"/>
              <w:rPr>
                <w:rFonts w:hint="eastAsia" w:ascii="宋体" w:hAnsi="宋体"/>
                <w:bCs/>
              </w:rPr>
            </w:pPr>
            <w:r>
              <w:rPr>
                <w:rFonts w:hint="eastAsia" w:ascii="宋体" w:hAnsi="宋体"/>
                <w:bCs/>
              </w:rPr>
              <w:t>教学重难点：</w:t>
            </w:r>
          </w:p>
          <w:p w14:paraId="13DFAD7E">
            <w:pPr>
              <w:pStyle w:val="14"/>
              <w:widowControl w:val="0"/>
              <w:jc w:val="left"/>
              <w:rPr>
                <w:rFonts w:hint="eastAsia" w:ascii="宋体" w:hAnsi="宋体"/>
                <w:bCs/>
              </w:rPr>
            </w:pPr>
            <w:r>
              <w:rPr>
                <w:rFonts w:hint="eastAsia" w:ascii="宋体" w:hAnsi="宋体"/>
                <w:bCs/>
              </w:rPr>
              <w:t>重点：体外循环设备的工作原理与应用场景。</w:t>
            </w:r>
          </w:p>
          <w:p w14:paraId="070F75BF">
            <w:pPr>
              <w:pStyle w:val="14"/>
              <w:widowControl w:val="0"/>
              <w:jc w:val="left"/>
              <w:rPr>
                <w:rFonts w:hint="eastAsia" w:ascii="宋体" w:hAnsi="宋体"/>
                <w:bCs/>
              </w:rPr>
            </w:pPr>
            <w:r>
              <w:rPr>
                <w:rFonts w:hint="eastAsia" w:ascii="宋体" w:hAnsi="宋体"/>
                <w:bCs/>
              </w:rPr>
              <w:t>难点：体外循环过程中生命体征的监测与调控。</w:t>
            </w:r>
          </w:p>
        </w:tc>
      </w:tr>
      <w:tr w14:paraId="44B5215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601" w:type="dxa"/>
            <w:shd w:val="clear" w:color="auto" w:fill="auto"/>
          </w:tcPr>
          <w:p w14:paraId="5A98BA30">
            <w:pPr>
              <w:pStyle w:val="14"/>
              <w:widowControl w:val="0"/>
              <w:jc w:val="left"/>
              <w:rPr>
                <w:rFonts w:hint="eastAsia" w:ascii="宋体" w:hAnsi="宋体"/>
                <w:bCs/>
              </w:rPr>
            </w:pPr>
            <w:r>
              <w:rPr>
                <w:rFonts w:hint="eastAsia" w:ascii="宋体" w:hAnsi="宋体"/>
                <w:bCs/>
              </w:rPr>
              <w:t>第五单元 呼吸机</w:t>
            </w:r>
            <w:r>
              <w:rPr>
                <w:rFonts w:ascii="宋体" w:hAnsi="宋体"/>
                <w:bCs/>
              </w:rPr>
              <w:tab/>
            </w:r>
          </w:p>
          <w:p w14:paraId="302BB734">
            <w:pPr>
              <w:pStyle w:val="14"/>
              <w:widowControl w:val="0"/>
              <w:jc w:val="left"/>
              <w:rPr>
                <w:rFonts w:hint="eastAsia" w:ascii="宋体" w:hAnsi="宋体"/>
                <w:bCs/>
              </w:rPr>
            </w:pPr>
            <w:r>
              <w:rPr>
                <w:rFonts w:hint="eastAsia" w:ascii="宋体" w:hAnsi="宋体"/>
                <w:bCs/>
              </w:rPr>
              <w:t>知识点：呼吸机类型、工作原理、参数设置与临床应用。</w:t>
            </w:r>
          </w:p>
          <w:p w14:paraId="182011B9">
            <w:pPr>
              <w:pStyle w:val="14"/>
              <w:widowControl w:val="0"/>
              <w:jc w:val="left"/>
              <w:rPr>
                <w:rFonts w:hint="eastAsia" w:ascii="宋体" w:hAnsi="宋体"/>
                <w:bCs/>
              </w:rPr>
            </w:pPr>
            <w:r>
              <w:rPr>
                <w:rFonts w:hint="eastAsia" w:ascii="宋体" w:hAnsi="宋体"/>
                <w:bCs/>
              </w:rPr>
              <w:t>能力要求：能够根据不同的呼吸状况调整呼吸机参数。</w:t>
            </w:r>
          </w:p>
          <w:p w14:paraId="215492CB">
            <w:pPr>
              <w:pStyle w:val="14"/>
              <w:widowControl w:val="0"/>
              <w:jc w:val="left"/>
              <w:rPr>
                <w:rFonts w:hint="eastAsia" w:ascii="宋体" w:hAnsi="宋体"/>
                <w:bCs/>
              </w:rPr>
            </w:pPr>
            <w:r>
              <w:rPr>
                <w:rFonts w:hint="eastAsia" w:ascii="宋体" w:hAnsi="宋体"/>
                <w:bCs/>
              </w:rPr>
              <w:t>教学重难点：</w:t>
            </w:r>
          </w:p>
          <w:p w14:paraId="44902C25">
            <w:pPr>
              <w:pStyle w:val="14"/>
              <w:widowControl w:val="0"/>
              <w:jc w:val="left"/>
              <w:rPr>
                <w:rFonts w:hint="eastAsia" w:ascii="宋体" w:hAnsi="宋体"/>
                <w:bCs/>
              </w:rPr>
            </w:pPr>
            <w:r>
              <w:rPr>
                <w:rFonts w:hint="eastAsia" w:ascii="宋体" w:hAnsi="宋体"/>
                <w:bCs/>
              </w:rPr>
              <w:t>重点：呼吸机的工作原理与参数设置。</w:t>
            </w:r>
          </w:p>
          <w:p w14:paraId="69FA5C55">
            <w:pPr>
              <w:pStyle w:val="14"/>
              <w:widowControl w:val="0"/>
              <w:jc w:val="left"/>
              <w:rPr>
                <w:rFonts w:hint="eastAsia" w:ascii="宋体" w:hAnsi="宋体"/>
                <w:bCs/>
              </w:rPr>
            </w:pPr>
            <w:r>
              <w:rPr>
                <w:rFonts w:hint="eastAsia" w:ascii="宋体" w:hAnsi="宋体"/>
                <w:bCs/>
              </w:rPr>
              <w:t>难点：呼吸机在复杂呼吸治疗中的应用策略。</w:t>
            </w:r>
          </w:p>
        </w:tc>
      </w:tr>
      <w:tr w14:paraId="25ED22C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601" w:type="dxa"/>
            <w:shd w:val="clear" w:color="auto" w:fill="auto"/>
          </w:tcPr>
          <w:p w14:paraId="73CDC99E">
            <w:pPr>
              <w:pStyle w:val="14"/>
              <w:widowControl w:val="0"/>
              <w:jc w:val="left"/>
              <w:rPr>
                <w:rFonts w:hint="eastAsia" w:ascii="宋体" w:hAnsi="宋体"/>
                <w:bCs/>
              </w:rPr>
            </w:pPr>
            <w:r>
              <w:rPr>
                <w:rFonts w:hint="eastAsia" w:ascii="宋体" w:hAnsi="宋体"/>
                <w:bCs/>
              </w:rPr>
              <w:t>第六单元 麻醉机</w:t>
            </w:r>
          </w:p>
          <w:p w14:paraId="38BCB4A0">
            <w:pPr>
              <w:pStyle w:val="14"/>
              <w:widowControl w:val="0"/>
              <w:jc w:val="left"/>
              <w:rPr>
                <w:rFonts w:hint="eastAsia" w:ascii="宋体" w:hAnsi="宋体"/>
                <w:bCs/>
              </w:rPr>
            </w:pPr>
            <w:r>
              <w:rPr>
                <w:rFonts w:ascii="宋体" w:hAnsi="宋体"/>
                <w:bCs/>
              </w:rPr>
              <w:t>知识点：麻醉机组成、气体控制系统、监测指标及安全管理。</w:t>
            </w:r>
          </w:p>
          <w:p w14:paraId="3A6A2C47">
            <w:pPr>
              <w:pStyle w:val="14"/>
              <w:widowControl w:val="0"/>
              <w:jc w:val="left"/>
              <w:rPr>
                <w:rFonts w:hint="eastAsia" w:ascii="宋体" w:hAnsi="宋体"/>
                <w:bCs/>
              </w:rPr>
            </w:pPr>
            <w:r>
              <w:rPr>
                <w:rFonts w:ascii="宋体" w:hAnsi="宋体"/>
                <w:bCs/>
              </w:rPr>
              <w:t>能力要求：掌握麻醉机的安全操作流程与紧急处理。</w:t>
            </w:r>
          </w:p>
          <w:p w14:paraId="16316494">
            <w:pPr>
              <w:pStyle w:val="14"/>
              <w:widowControl w:val="0"/>
              <w:jc w:val="left"/>
              <w:rPr>
                <w:rFonts w:hint="eastAsia" w:ascii="宋体" w:hAnsi="宋体"/>
                <w:bCs/>
              </w:rPr>
            </w:pPr>
            <w:r>
              <w:rPr>
                <w:rFonts w:ascii="宋体" w:hAnsi="宋体"/>
                <w:bCs/>
              </w:rPr>
              <w:t>教学重难点：</w:t>
            </w:r>
          </w:p>
          <w:p w14:paraId="7FEC51DC">
            <w:pPr>
              <w:pStyle w:val="14"/>
              <w:widowControl w:val="0"/>
              <w:jc w:val="left"/>
              <w:rPr>
                <w:rFonts w:hint="eastAsia" w:ascii="宋体" w:hAnsi="宋体"/>
                <w:bCs/>
              </w:rPr>
            </w:pPr>
            <w:r>
              <w:rPr>
                <w:rFonts w:ascii="宋体" w:hAnsi="宋体"/>
                <w:bCs/>
              </w:rPr>
              <w:t>重点：麻醉机的气体控制与监测功能。</w:t>
            </w:r>
          </w:p>
          <w:p w14:paraId="280D6BCB">
            <w:pPr>
              <w:pStyle w:val="14"/>
              <w:widowControl w:val="0"/>
              <w:jc w:val="left"/>
              <w:rPr>
                <w:rFonts w:hint="eastAsia" w:ascii="宋体" w:hAnsi="宋体"/>
                <w:bCs/>
              </w:rPr>
            </w:pPr>
            <w:r>
              <w:rPr>
                <w:rFonts w:ascii="宋体" w:hAnsi="宋体"/>
                <w:bCs/>
              </w:rPr>
              <w:t>难点：麻醉过程中突发情况的应对与处理。</w:t>
            </w:r>
          </w:p>
        </w:tc>
      </w:tr>
      <w:tr w14:paraId="6C36418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601" w:type="dxa"/>
            <w:shd w:val="clear" w:color="auto" w:fill="auto"/>
          </w:tcPr>
          <w:p w14:paraId="155C6345">
            <w:pPr>
              <w:pStyle w:val="14"/>
              <w:widowControl w:val="0"/>
              <w:jc w:val="left"/>
              <w:rPr>
                <w:rFonts w:hint="eastAsia" w:ascii="宋体" w:hAnsi="宋体"/>
                <w:bCs/>
              </w:rPr>
            </w:pPr>
            <w:r>
              <w:rPr>
                <w:rFonts w:hint="eastAsia" w:ascii="宋体" w:hAnsi="宋体"/>
                <w:bCs/>
              </w:rPr>
              <w:t>第七单元 医用床类</w:t>
            </w:r>
          </w:p>
          <w:p w14:paraId="14591746">
            <w:pPr>
              <w:pStyle w:val="14"/>
              <w:widowControl w:val="0"/>
              <w:jc w:val="left"/>
              <w:rPr>
                <w:rFonts w:hint="eastAsia" w:ascii="宋体" w:hAnsi="宋体"/>
                <w:bCs/>
              </w:rPr>
            </w:pPr>
            <w:r>
              <w:rPr>
                <w:rFonts w:ascii="宋体" w:hAnsi="宋体"/>
                <w:bCs/>
              </w:rPr>
              <w:t>知识点：医用床的分类、功能特点、使用与维护。</w:t>
            </w:r>
          </w:p>
          <w:p w14:paraId="38DE9DAA">
            <w:pPr>
              <w:pStyle w:val="14"/>
              <w:widowControl w:val="0"/>
              <w:jc w:val="left"/>
              <w:rPr>
                <w:rFonts w:hint="eastAsia" w:ascii="宋体" w:hAnsi="宋体"/>
                <w:bCs/>
              </w:rPr>
            </w:pPr>
            <w:r>
              <w:rPr>
                <w:rFonts w:ascii="宋体" w:hAnsi="宋体"/>
                <w:bCs/>
              </w:rPr>
              <w:t>能力要求：了解不同医用床的设计目的，掌握正确使用与维护方法。</w:t>
            </w:r>
          </w:p>
          <w:p w14:paraId="4F53564D">
            <w:pPr>
              <w:pStyle w:val="14"/>
              <w:widowControl w:val="0"/>
              <w:jc w:val="left"/>
              <w:rPr>
                <w:rFonts w:hint="eastAsia" w:ascii="宋体" w:hAnsi="宋体"/>
                <w:bCs/>
              </w:rPr>
            </w:pPr>
            <w:r>
              <w:rPr>
                <w:rFonts w:ascii="宋体" w:hAnsi="宋体"/>
                <w:bCs/>
              </w:rPr>
              <w:t>教学重难点：</w:t>
            </w:r>
          </w:p>
          <w:p w14:paraId="4B22B61E">
            <w:pPr>
              <w:pStyle w:val="14"/>
              <w:widowControl w:val="0"/>
              <w:jc w:val="left"/>
              <w:rPr>
                <w:rFonts w:hint="eastAsia" w:ascii="宋体" w:hAnsi="宋体"/>
                <w:bCs/>
              </w:rPr>
            </w:pPr>
            <w:r>
              <w:rPr>
                <w:rFonts w:ascii="宋体" w:hAnsi="宋体"/>
                <w:bCs/>
              </w:rPr>
              <w:t>重点：医用床的功能特点与适用场景。</w:t>
            </w:r>
          </w:p>
          <w:p w14:paraId="0DB17731">
            <w:pPr>
              <w:pStyle w:val="14"/>
              <w:widowControl w:val="0"/>
              <w:jc w:val="left"/>
              <w:rPr>
                <w:rFonts w:hint="eastAsia" w:ascii="宋体" w:hAnsi="宋体"/>
                <w:bCs/>
              </w:rPr>
            </w:pPr>
            <w:r>
              <w:rPr>
                <w:rFonts w:ascii="宋体" w:hAnsi="宋体"/>
                <w:bCs/>
              </w:rPr>
              <w:t>难点：特殊需求患者（如重症、残疾）的床具选择与配置。</w:t>
            </w:r>
          </w:p>
        </w:tc>
      </w:tr>
      <w:tr w14:paraId="52BF665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601" w:type="dxa"/>
            <w:shd w:val="clear" w:color="auto" w:fill="auto"/>
          </w:tcPr>
          <w:p w14:paraId="787DCB9C">
            <w:pPr>
              <w:pStyle w:val="14"/>
              <w:widowControl w:val="0"/>
              <w:jc w:val="left"/>
              <w:rPr>
                <w:rFonts w:hint="eastAsia" w:ascii="宋体" w:hAnsi="宋体"/>
                <w:bCs/>
              </w:rPr>
            </w:pPr>
            <w:r>
              <w:rPr>
                <w:rFonts w:hint="eastAsia" w:ascii="宋体" w:hAnsi="宋体"/>
                <w:bCs/>
              </w:rPr>
              <w:t>第八单元 高压氧舱</w:t>
            </w:r>
          </w:p>
          <w:p w14:paraId="0CF91696">
            <w:pPr>
              <w:pStyle w:val="14"/>
              <w:widowControl w:val="0"/>
              <w:jc w:val="left"/>
              <w:rPr>
                <w:rFonts w:hint="eastAsia" w:ascii="宋体" w:hAnsi="宋体"/>
                <w:bCs/>
              </w:rPr>
            </w:pPr>
            <w:r>
              <w:rPr>
                <w:rFonts w:ascii="宋体" w:hAnsi="宋体"/>
                <w:bCs/>
              </w:rPr>
              <w:t>知识点：高压氧疗原理、高压氧舱结构、治疗适应症与禁忌症。</w:t>
            </w:r>
          </w:p>
          <w:p w14:paraId="4AE43628">
            <w:pPr>
              <w:pStyle w:val="14"/>
              <w:widowControl w:val="0"/>
              <w:jc w:val="left"/>
              <w:rPr>
                <w:rFonts w:hint="eastAsia" w:ascii="宋体" w:hAnsi="宋体"/>
                <w:bCs/>
              </w:rPr>
            </w:pPr>
            <w:r>
              <w:rPr>
                <w:rFonts w:ascii="宋体" w:hAnsi="宋体"/>
                <w:bCs/>
              </w:rPr>
              <w:t>能力要求：理解高压氧疗的适应症，评估患者是否适合高压氧治疗。</w:t>
            </w:r>
          </w:p>
          <w:p w14:paraId="2FFE892E">
            <w:pPr>
              <w:pStyle w:val="14"/>
              <w:widowControl w:val="0"/>
              <w:jc w:val="left"/>
              <w:rPr>
                <w:rFonts w:hint="eastAsia" w:ascii="宋体" w:hAnsi="宋体"/>
                <w:bCs/>
              </w:rPr>
            </w:pPr>
            <w:r>
              <w:rPr>
                <w:rFonts w:ascii="宋体" w:hAnsi="宋体"/>
                <w:bCs/>
              </w:rPr>
              <w:t>教学重难点：</w:t>
            </w:r>
          </w:p>
          <w:p w14:paraId="52E16BB9">
            <w:pPr>
              <w:pStyle w:val="14"/>
              <w:widowControl w:val="0"/>
              <w:jc w:val="left"/>
              <w:rPr>
                <w:rFonts w:hint="eastAsia" w:ascii="宋体" w:hAnsi="宋体"/>
                <w:bCs/>
              </w:rPr>
            </w:pPr>
            <w:r>
              <w:rPr>
                <w:rFonts w:ascii="宋体" w:hAnsi="宋体"/>
                <w:bCs/>
              </w:rPr>
              <w:t>重点：高压氧疗的基本原理与治疗作用。</w:t>
            </w:r>
          </w:p>
          <w:p w14:paraId="2CEE7306">
            <w:pPr>
              <w:pStyle w:val="14"/>
              <w:widowControl w:val="0"/>
              <w:jc w:val="left"/>
              <w:rPr>
                <w:rFonts w:hint="eastAsia" w:ascii="宋体" w:hAnsi="宋体"/>
                <w:bCs/>
              </w:rPr>
            </w:pPr>
            <w:r>
              <w:rPr>
                <w:rFonts w:ascii="宋体" w:hAnsi="宋体"/>
                <w:bCs/>
              </w:rPr>
              <w:t>难点：高压氧舱治疗的个性化方案设计与效果评估。</w:t>
            </w:r>
          </w:p>
        </w:tc>
      </w:tr>
      <w:tr w14:paraId="2564B33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601" w:type="dxa"/>
            <w:shd w:val="clear" w:color="auto" w:fill="auto"/>
          </w:tcPr>
          <w:p w14:paraId="13C654E1">
            <w:pPr>
              <w:pStyle w:val="14"/>
              <w:widowControl w:val="0"/>
              <w:jc w:val="left"/>
            </w:pPr>
            <w:r>
              <w:rPr>
                <w:rFonts w:hint="eastAsia" w:ascii="宋体" w:hAnsi="宋体"/>
                <w:bCs/>
              </w:rPr>
              <w:t xml:space="preserve">第九单元 </w:t>
            </w:r>
            <w:r>
              <w:rPr>
                <w:rFonts w:hint="eastAsia"/>
              </w:rPr>
              <w:t>医用机器人</w:t>
            </w:r>
          </w:p>
          <w:p w14:paraId="3AB2E879">
            <w:pPr>
              <w:pStyle w:val="14"/>
              <w:widowControl w:val="0"/>
              <w:jc w:val="left"/>
            </w:pPr>
            <w:r>
              <w:t>知识点：医用机器人类型、手术辅助、康复应用及发展前景。</w:t>
            </w:r>
          </w:p>
          <w:p w14:paraId="7C8D2E4A">
            <w:pPr>
              <w:pStyle w:val="14"/>
              <w:widowControl w:val="0"/>
              <w:jc w:val="left"/>
            </w:pPr>
            <w:r>
              <w:t>能力要求：了解医用机器人的最新进展，探讨其在医疗领域的潜力。</w:t>
            </w:r>
          </w:p>
          <w:p w14:paraId="4F35BFE6">
            <w:pPr>
              <w:pStyle w:val="14"/>
              <w:widowControl w:val="0"/>
              <w:jc w:val="left"/>
            </w:pPr>
            <w:r>
              <w:t>教学重难点：</w:t>
            </w:r>
          </w:p>
          <w:p w14:paraId="5C0FAD80">
            <w:pPr>
              <w:pStyle w:val="14"/>
              <w:widowControl w:val="0"/>
              <w:jc w:val="left"/>
            </w:pPr>
            <w:r>
              <w:t>重点：医用机器人的技术特点与应用领域。</w:t>
            </w:r>
          </w:p>
          <w:p w14:paraId="607FE442">
            <w:pPr>
              <w:pStyle w:val="14"/>
              <w:widowControl w:val="0"/>
              <w:jc w:val="left"/>
            </w:pPr>
            <w:r>
              <w:t>难点：医用机器人技术前沿与伦理法律问题。</w:t>
            </w:r>
          </w:p>
        </w:tc>
      </w:tr>
      <w:tr w14:paraId="219786A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601" w:type="dxa"/>
            <w:shd w:val="clear" w:color="auto" w:fill="auto"/>
          </w:tcPr>
          <w:p w14:paraId="233CD6EC">
            <w:pPr>
              <w:pStyle w:val="14"/>
              <w:widowControl w:val="0"/>
              <w:jc w:val="left"/>
            </w:pPr>
            <w:r>
              <w:rPr>
                <w:rFonts w:hint="eastAsia"/>
              </w:rPr>
              <w:t>第十单元 医院影像设备</w:t>
            </w:r>
          </w:p>
          <w:p w14:paraId="700DD234">
            <w:pPr>
              <w:pStyle w:val="14"/>
              <w:widowControl w:val="0"/>
              <w:jc w:val="left"/>
            </w:pPr>
            <w:r>
              <w:t>知识点：X光、CT、MRI等影像设备原理、操作与诊断应用。</w:t>
            </w:r>
          </w:p>
          <w:p w14:paraId="5D46171D">
            <w:pPr>
              <w:pStyle w:val="14"/>
              <w:widowControl w:val="0"/>
              <w:jc w:val="left"/>
            </w:pPr>
            <w:r>
              <w:t>能力要求：掌握基本影像设备的操作与影像解读能力。</w:t>
            </w:r>
          </w:p>
          <w:p w14:paraId="64F1A80C">
            <w:pPr>
              <w:pStyle w:val="14"/>
              <w:widowControl w:val="0"/>
              <w:jc w:val="left"/>
            </w:pPr>
            <w:r>
              <w:t>教学重难点：</w:t>
            </w:r>
          </w:p>
          <w:p w14:paraId="25C8BF82">
            <w:pPr>
              <w:pStyle w:val="14"/>
              <w:widowControl w:val="0"/>
              <w:jc w:val="left"/>
            </w:pPr>
            <w:r>
              <w:t>重点：各类影像设备的成像原理与诊断价值。</w:t>
            </w:r>
          </w:p>
          <w:p w14:paraId="2167AE54">
            <w:pPr>
              <w:pStyle w:val="14"/>
              <w:widowControl w:val="0"/>
              <w:jc w:val="left"/>
            </w:pPr>
            <w:r>
              <w:t>难点：复杂影像图像的分析与诊断技巧。</w:t>
            </w:r>
          </w:p>
        </w:tc>
      </w:tr>
      <w:tr w14:paraId="088C4D6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601" w:type="dxa"/>
            <w:shd w:val="clear" w:color="auto" w:fill="auto"/>
          </w:tcPr>
          <w:p w14:paraId="3979D3FB">
            <w:pPr>
              <w:pStyle w:val="14"/>
              <w:widowControl w:val="0"/>
              <w:jc w:val="left"/>
            </w:pPr>
            <w:r>
              <w:rPr>
                <w:rFonts w:hint="eastAsia"/>
              </w:rPr>
              <w:t>第十</w:t>
            </w:r>
            <w:r>
              <w:rPr>
                <w:rFonts w:hint="eastAsia"/>
                <w:lang w:val="en-US" w:eastAsia="zh-CN"/>
              </w:rPr>
              <w:t>一</w:t>
            </w:r>
            <w:r>
              <w:rPr>
                <w:rFonts w:hint="eastAsia"/>
              </w:rPr>
              <w:t>单元 医疗器械监管法规</w:t>
            </w:r>
          </w:p>
          <w:p w14:paraId="630D9EE9">
            <w:pPr>
              <w:pStyle w:val="14"/>
              <w:widowControl w:val="0"/>
              <w:jc w:val="left"/>
            </w:pPr>
            <w:r>
              <w:t>知识点：国内外医疗器械监管体系、注册流程、质量管理体系。</w:t>
            </w:r>
          </w:p>
          <w:p w14:paraId="00EF9719">
            <w:pPr>
              <w:pStyle w:val="14"/>
              <w:widowControl w:val="0"/>
              <w:jc w:val="left"/>
            </w:pPr>
            <w:r>
              <w:t>能力要求：理解并遵守医疗器械相关法律法规，确保医疗器械使用的合规性。</w:t>
            </w:r>
          </w:p>
          <w:p w14:paraId="01C7F40F">
            <w:pPr>
              <w:pStyle w:val="14"/>
              <w:widowControl w:val="0"/>
              <w:jc w:val="left"/>
            </w:pPr>
            <w:r>
              <w:t>教学重难点：</w:t>
            </w:r>
          </w:p>
          <w:p w14:paraId="3D37ECD0">
            <w:pPr>
              <w:pStyle w:val="14"/>
              <w:widowControl w:val="0"/>
              <w:jc w:val="left"/>
            </w:pPr>
            <w:r>
              <w:t>重点：医疗器械监管体系与注册流程。</w:t>
            </w:r>
          </w:p>
          <w:p w14:paraId="0AE3BD6C">
            <w:pPr>
              <w:pStyle w:val="14"/>
              <w:widowControl w:val="0"/>
              <w:jc w:val="left"/>
            </w:pPr>
            <w:r>
              <w:t>难点：质量管理体系的建立与持续改进，以及法规更新的跟踪与应对。</w:t>
            </w:r>
          </w:p>
        </w:tc>
      </w:tr>
      <w:tr w14:paraId="21502D6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601" w:type="dxa"/>
            <w:shd w:val="clear" w:color="auto" w:fill="auto"/>
          </w:tcPr>
          <w:p w14:paraId="4D15D96F">
            <w:pPr>
              <w:pStyle w:val="14"/>
              <w:widowControl w:val="0"/>
              <w:jc w:val="left"/>
            </w:pPr>
            <w:r>
              <w:rPr>
                <w:rFonts w:hint="eastAsia"/>
              </w:rPr>
              <w:t>第十</w:t>
            </w:r>
            <w:r>
              <w:rPr>
                <w:rFonts w:hint="eastAsia"/>
                <w:lang w:val="en-US" w:eastAsia="zh-CN"/>
              </w:rPr>
              <w:t>二</w:t>
            </w:r>
            <w:r>
              <w:rPr>
                <w:rFonts w:hint="eastAsia"/>
              </w:rPr>
              <w:t>单元 医用超声设备</w:t>
            </w:r>
          </w:p>
          <w:p w14:paraId="5A436192">
            <w:pPr>
              <w:pStyle w:val="14"/>
              <w:widowControl w:val="0"/>
              <w:jc w:val="left"/>
            </w:pPr>
            <w:r>
              <w:t>知识点：超声成像原理、超声设备类型、检查方法及临床应用。</w:t>
            </w:r>
          </w:p>
          <w:p w14:paraId="66030D9B">
            <w:pPr>
              <w:pStyle w:val="14"/>
              <w:widowControl w:val="0"/>
              <w:jc w:val="left"/>
            </w:pPr>
            <w:r>
              <w:t>能力要求：能够熟练操作超声设备进行常见疾病的诊断。</w:t>
            </w:r>
          </w:p>
          <w:p w14:paraId="1E2DDEE8">
            <w:pPr>
              <w:pStyle w:val="14"/>
              <w:widowControl w:val="0"/>
              <w:jc w:val="left"/>
            </w:pPr>
            <w:r>
              <w:t>教学重难点：</w:t>
            </w:r>
          </w:p>
          <w:p w14:paraId="60CD3DD3">
            <w:pPr>
              <w:pStyle w:val="14"/>
              <w:widowControl w:val="0"/>
              <w:jc w:val="left"/>
            </w:pPr>
            <w:r>
              <w:t>重点：超声成像的基本原理与设备操作。</w:t>
            </w:r>
          </w:p>
          <w:p w14:paraId="3CC9B5CC">
            <w:pPr>
              <w:pStyle w:val="14"/>
              <w:widowControl w:val="0"/>
              <w:jc w:val="left"/>
            </w:pPr>
            <w:r>
              <w:t>难点：超声图像的识别与诊断能力的提升。</w:t>
            </w:r>
          </w:p>
        </w:tc>
      </w:tr>
    </w:tbl>
    <w:p w14:paraId="270C7430">
      <w:pPr>
        <w:pStyle w:val="17"/>
        <w:spacing w:before="81" w:after="163"/>
      </w:pPr>
    </w:p>
    <w:p w14:paraId="23D21A00">
      <w:pPr>
        <w:pStyle w:val="17"/>
        <w:spacing w:before="81" w:after="163"/>
      </w:pPr>
    </w:p>
    <w:p w14:paraId="4E3C2D31">
      <w:pPr>
        <w:pStyle w:val="17"/>
        <w:spacing w:before="81" w:after="163"/>
      </w:pPr>
      <w:r>
        <w:rPr>
          <w:rFonts w:hint="eastAsia"/>
        </w:rPr>
        <w:t>（二）教学单元对课程目标的支撑关系</w:t>
      </w:r>
    </w:p>
    <w:tbl>
      <w:tblPr>
        <w:tblStyle w:val="7"/>
        <w:tblW w:w="45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399"/>
        <w:gridCol w:w="1123"/>
        <w:gridCol w:w="1123"/>
        <w:gridCol w:w="1123"/>
        <w:gridCol w:w="1124"/>
      </w:tblGrid>
      <w:tr w14:paraId="7C47B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3399" w:type="dxa"/>
            <w:tcBorders>
              <w:top w:val="single" w:color="auto" w:sz="12" w:space="0"/>
              <w:left w:val="single" w:color="auto" w:sz="12" w:space="0"/>
              <w:tl2br w:val="single" w:color="auto" w:sz="4" w:space="0"/>
            </w:tcBorders>
          </w:tcPr>
          <w:p w14:paraId="759E9DAB">
            <w:pPr>
              <w:pStyle w:val="13"/>
              <w:ind w:firstLine="489"/>
              <w:jc w:val="right"/>
              <w:rPr>
                <w:szCs w:val="16"/>
              </w:rPr>
            </w:pPr>
            <w:r>
              <w:rPr>
                <w:rFonts w:hint="eastAsia"/>
                <w:szCs w:val="16"/>
              </w:rPr>
              <w:t>课程目标</w:t>
            </w:r>
          </w:p>
          <w:p w14:paraId="6113A666">
            <w:pPr>
              <w:pStyle w:val="13"/>
              <w:ind w:right="210"/>
              <w:jc w:val="left"/>
              <w:rPr>
                <w:szCs w:val="16"/>
              </w:rPr>
            </w:pPr>
          </w:p>
          <w:p w14:paraId="49E38BDE">
            <w:pPr>
              <w:pStyle w:val="13"/>
              <w:ind w:right="210"/>
              <w:jc w:val="left"/>
              <w:rPr>
                <w:szCs w:val="16"/>
              </w:rPr>
            </w:pPr>
            <w:r>
              <w:rPr>
                <w:rFonts w:hint="eastAsia"/>
                <w:szCs w:val="16"/>
              </w:rPr>
              <w:t>教学单元</w:t>
            </w:r>
          </w:p>
        </w:tc>
        <w:tc>
          <w:tcPr>
            <w:tcW w:w="1123" w:type="dxa"/>
            <w:tcBorders>
              <w:top w:val="single" w:color="auto" w:sz="12" w:space="0"/>
            </w:tcBorders>
            <w:vAlign w:val="center"/>
          </w:tcPr>
          <w:p w14:paraId="3979A44F">
            <w:pPr>
              <w:pStyle w:val="13"/>
              <w:rPr>
                <w:szCs w:val="16"/>
              </w:rPr>
            </w:pPr>
            <w:r>
              <w:rPr>
                <w:rFonts w:hint="eastAsia"/>
                <w:szCs w:val="16"/>
              </w:rPr>
              <w:t>1</w:t>
            </w:r>
          </w:p>
        </w:tc>
        <w:tc>
          <w:tcPr>
            <w:tcW w:w="1123" w:type="dxa"/>
            <w:tcBorders>
              <w:top w:val="single" w:color="auto" w:sz="12" w:space="0"/>
            </w:tcBorders>
            <w:vAlign w:val="center"/>
          </w:tcPr>
          <w:p w14:paraId="0AA12A51">
            <w:pPr>
              <w:pStyle w:val="13"/>
              <w:rPr>
                <w:szCs w:val="16"/>
              </w:rPr>
            </w:pPr>
            <w:r>
              <w:rPr>
                <w:rFonts w:hint="eastAsia"/>
                <w:szCs w:val="16"/>
              </w:rPr>
              <w:t>2</w:t>
            </w:r>
          </w:p>
        </w:tc>
        <w:tc>
          <w:tcPr>
            <w:tcW w:w="1123" w:type="dxa"/>
            <w:tcBorders>
              <w:top w:val="single" w:color="auto" w:sz="12" w:space="0"/>
            </w:tcBorders>
            <w:vAlign w:val="center"/>
          </w:tcPr>
          <w:p w14:paraId="63E12111">
            <w:pPr>
              <w:pStyle w:val="13"/>
              <w:rPr>
                <w:szCs w:val="16"/>
              </w:rPr>
            </w:pPr>
            <w:r>
              <w:rPr>
                <w:rFonts w:hint="eastAsia"/>
                <w:szCs w:val="16"/>
              </w:rPr>
              <w:t>3</w:t>
            </w:r>
          </w:p>
        </w:tc>
        <w:tc>
          <w:tcPr>
            <w:tcW w:w="1124" w:type="dxa"/>
            <w:tcBorders>
              <w:top w:val="single" w:color="auto" w:sz="12" w:space="0"/>
            </w:tcBorders>
            <w:vAlign w:val="center"/>
          </w:tcPr>
          <w:p w14:paraId="4EBE797E">
            <w:pPr>
              <w:pStyle w:val="13"/>
              <w:rPr>
                <w:szCs w:val="16"/>
              </w:rPr>
            </w:pPr>
            <w:r>
              <w:rPr>
                <w:rFonts w:hint="eastAsia"/>
                <w:szCs w:val="16"/>
              </w:rPr>
              <w:t>4</w:t>
            </w:r>
          </w:p>
        </w:tc>
      </w:tr>
      <w:tr w14:paraId="331C0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399" w:type="dxa"/>
            <w:tcBorders>
              <w:left w:val="single" w:color="auto" w:sz="12" w:space="0"/>
            </w:tcBorders>
          </w:tcPr>
          <w:p w14:paraId="66EA5636">
            <w:pPr>
              <w:pStyle w:val="14"/>
              <w:jc w:val="left"/>
            </w:pPr>
            <w:r>
              <w:rPr>
                <w:rFonts w:hint="eastAsia" w:ascii="宋体" w:hAnsi="宋体"/>
                <w:bCs/>
              </w:rPr>
              <w:t xml:space="preserve">第一单元 </w:t>
            </w:r>
            <w:r>
              <w:rPr>
                <w:rFonts w:ascii="宋体" w:hAnsi="宋体"/>
                <w:bCs/>
              </w:rPr>
              <w:t>绪论</w:t>
            </w:r>
          </w:p>
        </w:tc>
        <w:tc>
          <w:tcPr>
            <w:tcW w:w="1123" w:type="dxa"/>
            <w:vAlign w:val="center"/>
          </w:tcPr>
          <w:p w14:paraId="46FA4795">
            <w:pPr>
              <w:pStyle w:val="14"/>
            </w:pPr>
            <w:r>
              <w:rPr>
                <w:rFonts w:hint="eastAsia"/>
              </w:rPr>
              <w:t>√</w:t>
            </w:r>
          </w:p>
        </w:tc>
        <w:tc>
          <w:tcPr>
            <w:tcW w:w="1123" w:type="dxa"/>
            <w:vAlign w:val="center"/>
          </w:tcPr>
          <w:p w14:paraId="0A990389">
            <w:pPr>
              <w:pStyle w:val="14"/>
            </w:pPr>
          </w:p>
        </w:tc>
        <w:tc>
          <w:tcPr>
            <w:tcW w:w="1123" w:type="dxa"/>
            <w:vAlign w:val="center"/>
          </w:tcPr>
          <w:p w14:paraId="2B296188">
            <w:pPr>
              <w:pStyle w:val="14"/>
            </w:pPr>
            <w:r>
              <w:rPr>
                <w:rFonts w:hint="eastAsia"/>
              </w:rPr>
              <w:t>√</w:t>
            </w:r>
          </w:p>
        </w:tc>
        <w:tc>
          <w:tcPr>
            <w:tcW w:w="1124" w:type="dxa"/>
            <w:vAlign w:val="center"/>
          </w:tcPr>
          <w:p w14:paraId="6D8F722C">
            <w:pPr>
              <w:pStyle w:val="14"/>
            </w:pPr>
            <w:r>
              <w:rPr>
                <w:rFonts w:hint="eastAsia"/>
              </w:rPr>
              <w:t>√</w:t>
            </w:r>
          </w:p>
        </w:tc>
      </w:tr>
      <w:tr w14:paraId="5BC10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399" w:type="dxa"/>
            <w:tcBorders>
              <w:left w:val="single" w:color="auto" w:sz="12" w:space="0"/>
            </w:tcBorders>
          </w:tcPr>
          <w:p w14:paraId="54F9F845">
            <w:pPr>
              <w:pStyle w:val="14"/>
              <w:widowControl w:val="0"/>
              <w:jc w:val="left"/>
            </w:pPr>
            <w:r>
              <w:rPr>
                <w:rFonts w:hint="eastAsia" w:ascii="宋体" w:hAnsi="宋体"/>
                <w:bCs/>
              </w:rPr>
              <w:t>第二单元 一体化手术室</w:t>
            </w:r>
          </w:p>
        </w:tc>
        <w:tc>
          <w:tcPr>
            <w:tcW w:w="1123" w:type="dxa"/>
            <w:vAlign w:val="center"/>
          </w:tcPr>
          <w:p w14:paraId="14B64C48">
            <w:pPr>
              <w:pStyle w:val="14"/>
            </w:pPr>
            <w:r>
              <w:rPr>
                <w:rFonts w:hint="eastAsia"/>
              </w:rPr>
              <w:t>√</w:t>
            </w:r>
          </w:p>
        </w:tc>
        <w:tc>
          <w:tcPr>
            <w:tcW w:w="1123" w:type="dxa"/>
            <w:shd w:val="clear" w:color="auto" w:fill="auto"/>
            <w:vAlign w:val="center"/>
          </w:tcPr>
          <w:p w14:paraId="30991822">
            <w:pPr>
              <w:pStyle w:val="14"/>
            </w:pPr>
            <w:r>
              <w:rPr>
                <w:rFonts w:hint="eastAsia"/>
              </w:rPr>
              <w:t>√</w:t>
            </w:r>
          </w:p>
        </w:tc>
        <w:tc>
          <w:tcPr>
            <w:tcW w:w="1123" w:type="dxa"/>
            <w:shd w:val="clear" w:color="auto" w:fill="auto"/>
            <w:vAlign w:val="center"/>
          </w:tcPr>
          <w:p w14:paraId="7C3FB01B">
            <w:pPr>
              <w:pStyle w:val="14"/>
            </w:pPr>
            <w:r>
              <w:rPr>
                <w:rFonts w:hint="eastAsia"/>
              </w:rPr>
              <w:t>√</w:t>
            </w:r>
          </w:p>
        </w:tc>
        <w:tc>
          <w:tcPr>
            <w:tcW w:w="1124" w:type="dxa"/>
            <w:vAlign w:val="center"/>
          </w:tcPr>
          <w:p w14:paraId="32540142">
            <w:pPr>
              <w:pStyle w:val="14"/>
            </w:pPr>
          </w:p>
        </w:tc>
      </w:tr>
      <w:tr w14:paraId="6376C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399" w:type="dxa"/>
            <w:tcBorders>
              <w:left w:val="single" w:color="auto" w:sz="12" w:space="0"/>
            </w:tcBorders>
          </w:tcPr>
          <w:p w14:paraId="17547673">
            <w:pPr>
              <w:pStyle w:val="14"/>
              <w:jc w:val="left"/>
            </w:pPr>
            <w:r>
              <w:rPr>
                <w:rFonts w:hint="eastAsia" w:ascii="宋体" w:hAnsi="宋体"/>
                <w:bCs/>
              </w:rPr>
              <w:t>第三单元 血液净化设备</w:t>
            </w:r>
          </w:p>
        </w:tc>
        <w:tc>
          <w:tcPr>
            <w:tcW w:w="1123" w:type="dxa"/>
            <w:vAlign w:val="center"/>
          </w:tcPr>
          <w:p w14:paraId="1E50D7BF">
            <w:pPr>
              <w:pStyle w:val="14"/>
            </w:pPr>
            <w:r>
              <w:rPr>
                <w:rFonts w:hint="eastAsia"/>
              </w:rPr>
              <w:t>√</w:t>
            </w:r>
          </w:p>
        </w:tc>
        <w:tc>
          <w:tcPr>
            <w:tcW w:w="1123" w:type="dxa"/>
            <w:shd w:val="clear" w:color="auto" w:fill="auto"/>
            <w:vAlign w:val="center"/>
          </w:tcPr>
          <w:p w14:paraId="1E71762F">
            <w:pPr>
              <w:pStyle w:val="14"/>
            </w:pPr>
            <w:r>
              <w:rPr>
                <w:rFonts w:hint="eastAsia"/>
              </w:rPr>
              <w:t>√</w:t>
            </w:r>
          </w:p>
        </w:tc>
        <w:tc>
          <w:tcPr>
            <w:tcW w:w="1123" w:type="dxa"/>
            <w:shd w:val="clear" w:color="auto" w:fill="auto"/>
            <w:vAlign w:val="center"/>
          </w:tcPr>
          <w:p w14:paraId="01CF9A9B">
            <w:pPr>
              <w:pStyle w:val="14"/>
            </w:pPr>
            <w:r>
              <w:rPr>
                <w:rFonts w:hint="eastAsia"/>
              </w:rPr>
              <w:t>√</w:t>
            </w:r>
          </w:p>
        </w:tc>
        <w:tc>
          <w:tcPr>
            <w:tcW w:w="1124" w:type="dxa"/>
            <w:vAlign w:val="center"/>
          </w:tcPr>
          <w:p w14:paraId="146AE243">
            <w:pPr>
              <w:pStyle w:val="14"/>
            </w:pPr>
            <w:r>
              <w:rPr>
                <w:rFonts w:hint="eastAsia"/>
              </w:rPr>
              <w:t>√</w:t>
            </w:r>
          </w:p>
        </w:tc>
      </w:tr>
      <w:tr w14:paraId="16EB1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399" w:type="dxa"/>
            <w:tcBorders>
              <w:left w:val="single" w:color="auto" w:sz="12" w:space="0"/>
            </w:tcBorders>
          </w:tcPr>
          <w:p w14:paraId="60006415">
            <w:pPr>
              <w:pStyle w:val="14"/>
              <w:widowControl w:val="0"/>
              <w:jc w:val="left"/>
            </w:pPr>
            <w:r>
              <w:rPr>
                <w:rFonts w:hint="eastAsia" w:ascii="宋体" w:hAnsi="宋体"/>
                <w:bCs/>
              </w:rPr>
              <w:t>第四单元 体外循环设备</w:t>
            </w:r>
          </w:p>
        </w:tc>
        <w:tc>
          <w:tcPr>
            <w:tcW w:w="1123" w:type="dxa"/>
            <w:vAlign w:val="center"/>
          </w:tcPr>
          <w:p w14:paraId="0A0C7185">
            <w:pPr>
              <w:pStyle w:val="14"/>
            </w:pPr>
            <w:r>
              <w:rPr>
                <w:rFonts w:hint="eastAsia"/>
              </w:rPr>
              <w:t>√</w:t>
            </w:r>
          </w:p>
        </w:tc>
        <w:tc>
          <w:tcPr>
            <w:tcW w:w="1123" w:type="dxa"/>
            <w:shd w:val="clear" w:color="auto" w:fill="auto"/>
            <w:vAlign w:val="center"/>
          </w:tcPr>
          <w:p w14:paraId="1A6BA069">
            <w:pPr>
              <w:pStyle w:val="14"/>
            </w:pPr>
            <w:r>
              <w:rPr>
                <w:rFonts w:hint="eastAsia"/>
              </w:rPr>
              <w:t>√</w:t>
            </w:r>
          </w:p>
        </w:tc>
        <w:tc>
          <w:tcPr>
            <w:tcW w:w="1123" w:type="dxa"/>
            <w:shd w:val="clear" w:color="auto" w:fill="auto"/>
            <w:vAlign w:val="center"/>
          </w:tcPr>
          <w:p w14:paraId="2DF58C40">
            <w:pPr>
              <w:pStyle w:val="14"/>
            </w:pPr>
            <w:r>
              <w:rPr>
                <w:rFonts w:hint="eastAsia"/>
              </w:rPr>
              <w:t>√</w:t>
            </w:r>
          </w:p>
        </w:tc>
        <w:tc>
          <w:tcPr>
            <w:tcW w:w="1124" w:type="dxa"/>
            <w:vAlign w:val="center"/>
          </w:tcPr>
          <w:p w14:paraId="40123E41">
            <w:pPr>
              <w:pStyle w:val="14"/>
            </w:pPr>
          </w:p>
        </w:tc>
      </w:tr>
      <w:tr w14:paraId="5BE15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399" w:type="dxa"/>
            <w:tcBorders>
              <w:left w:val="single" w:color="auto" w:sz="12" w:space="0"/>
            </w:tcBorders>
          </w:tcPr>
          <w:p w14:paraId="53D02895">
            <w:pPr>
              <w:pStyle w:val="14"/>
              <w:jc w:val="left"/>
            </w:pPr>
            <w:r>
              <w:rPr>
                <w:rFonts w:hint="eastAsia" w:ascii="宋体" w:hAnsi="宋体"/>
                <w:bCs/>
              </w:rPr>
              <w:t>第五单元 呼吸机</w:t>
            </w:r>
          </w:p>
        </w:tc>
        <w:tc>
          <w:tcPr>
            <w:tcW w:w="1123" w:type="dxa"/>
            <w:vAlign w:val="center"/>
          </w:tcPr>
          <w:p w14:paraId="73B1ACE6">
            <w:pPr>
              <w:pStyle w:val="14"/>
            </w:pPr>
            <w:r>
              <w:rPr>
                <w:rFonts w:hint="eastAsia"/>
              </w:rPr>
              <w:t>√</w:t>
            </w:r>
          </w:p>
        </w:tc>
        <w:tc>
          <w:tcPr>
            <w:tcW w:w="1123" w:type="dxa"/>
            <w:shd w:val="clear" w:color="auto" w:fill="auto"/>
            <w:vAlign w:val="center"/>
          </w:tcPr>
          <w:p w14:paraId="0242EC6B">
            <w:pPr>
              <w:pStyle w:val="14"/>
            </w:pPr>
            <w:r>
              <w:rPr>
                <w:rFonts w:hint="eastAsia"/>
              </w:rPr>
              <w:t>√</w:t>
            </w:r>
          </w:p>
        </w:tc>
        <w:tc>
          <w:tcPr>
            <w:tcW w:w="1123" w:type="dxa"/>
            <w:shd w:val="clear" w:color="auto" w:fill="auto"/>
            <w:vAlign w:val="center"/>
          </w:tcPr>
          <w:p w14:paraId="5C7477E5">
            <w:pPr>
              <w:pStyle w:val="14"/>
            </w:pPr>
            <w:r>
              <w:rPr>
                <w:rFonts w:hint="eastAsia"/>
              </w:rPr>
              <w:t>√</w:t>
            </w:r>
          </w:p>
        </w:tc>
        <w:tc>
          <w:tcPr>
            <w:tcW w:w="1124" w:type="dxa"/>
            <w:vAlign w:val="center"/>
          </w:tcPr>
          <w:p w14:paraId="7B2880C7">
            <w:pPr>
              <w:pStyle w:val="14"/>
            </w:pPr>
          </w:p>
        </w:tc>
      </w:tr>
      <w:tr w14:paraId="15E0D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399" w:type="dxa"/>
            <w:tcBorders>
              <w:left w:val="single" w:color="auto" w:sz="12" w:space="0"/>
            </w:tcBorders>
          </w:tcPr>
          <w:p w14:paraId="6F7CB491">
            <w:pPr>
              <w:pStyle w:val="14"/>
              <w:widowControl w:val="0"/>
              <w:jc w:val="left"/>
            </w:pPr>
            <w:r>
              <w:rPr>
                <w:rFonts w:hint="eastAsia" w:ascii="宋体" w:hAnsi="宋体"/>
                <w:bCs/>
              </w:rPr>
              <w:t>第六单元 麻醉机</w:t>
            </w:r>
          </w:p>
        </w:tc>
        <w:tc>
          <w:tcPr>
            <w:tcW w:w="1123" w:type="dxa"/>
            <w:vAlign w:val="center"/>
          </w:tcPr>
          <w:p w14:paraId="1E280E52">
            <w:pPr>
              <w:pStyle w:val="14"/>
            </w:pPr>
            <w:r>
              <w:rPr>
                <w:rFonts w:hint="eastAsia"/>
              </w:rPr>
              <w:t>√</w:t>
            </w:r>
          </w:p>
        </w:tc>
        <w:tc>
          <w:tcPr>
            <w:tcW w:w="1123" w:type="dxa"/>
            <w:shd w:val="clear" w:color="auto" w:fill="auto"/>
            <w:vAlign w:val="center"/>
          </w:tcPr>
          <w:p w14:paraId="01BA2C25">
            <w:pPr>
              <w:pStyle w:val="14"/>
            </w:pPr>
            <w:r>
              <w:rPr>
                <w:rFonts w:hint="eastAsia"/>
              </w:rPr>
              <w:t>√</w:t>
            </w:r>
          </w:p>
        </w:tc>
        <w:tc>
          <w:tcPr>
            <w:tcW w:w="1123" w:type="dxa"/>
            <w:shd w:val="clear" w:color="auto" w:fill="auto"/>
            <w:vAlign w:val="center"/>
          </w:tcPr>
          <w:p w14:paraId="5E3C3E70">
            <w:pPr>
              <w:pStyle w:val="14"/>
            </w:pPr>
            <w:r>
              <w:rPr>
                <w:rFonts w:hint="eastAsia"/>
              </w:rPr>
              <w:t>√</w:t>
            </w:r>
          </w:p>
        </w:tc>
        <w:tc>
          <w:tcPr>
            <w:tcW w:w="1124" w:type="dxa"/>
            <w:vAlign w:val="center"/>
          </w:tcPr>
          <w:p w14:paraId="483434F7">
            <w:pPr>
              <w:pStyle w:val="14"/>
            </w:pPr>
          </w:p>
        </w:tc>
      </w:tr>
      <w:tr w14:paraId="0A920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399" w:type="dxa"/>
            <w:tcBorders>
              <w:left w:val="single" w:color="auto" w:sz="12" w:space="0"/>
            </w:tcBorders>
          </w:tcPr>
          <w:p w14:paraId="6D882C04">
            <w:pPr>
              <w:pStyle w:val="14"/>
              <w:widowControl w:val="0"/>
              <w:jc w:val="left"/>
            </w:pPr>
            <w:r>
              <w:rPr>
                <w:rFonts w:hint="eastAsia" w:ascii="宋体" w:hAnsi="宋体"/>
                <w:bCs/>
              </w:rPr>
              <w:t>第七单元 医用床类</w:t>
            </w:r>
          </w:p>
        </w:tc>
        <w:tc>
          <w:tcPr>
            <w:tcW w:w="1123" w:type="dxa"/>
            <w:vAlign w:val="center"/>
          </w:tcPr>
          <w:p w14:paraId="1C0D7C55">
            <w:pPr>
              <w:pStyle w:val="14"/>
            </w:pPr>
            <w:r>
              <w:rPr>
                <w:rFonts w:hint="eastAsia"/>
              </w:rPr>
              <w:t>√</w:t>
            </w:r>
          </w:p>
        </w:tc>
        <w:tc>
          <w:tcPr>
            <w:tcW w:w="1123" w:type="dxa"/>
            <w:shd w:val="clear" w:color="auto" w:fill="auto"/>
            <w:vAlign w:val="center"/>
          </w:tcPr>
          <w:p w14:paraId="4C678B7D">
            <w:pPr>
              <w:pStyle w:val="14"/>
            </w:pPr>
            <w:r>
              <w:rPr>
                <w:rFonts w:hint="eastAsia"/>
              </w:rPr>
              <w:t>√</w:t>
            </w:r>
          </w:p>
        </w:tc>
        <w:tc>
          <w:tcPr>
            <w:tcW w:w="1123" w:type="dxa"/>
            <w:shd w:val="clear" w:color="auto" w:fill="auto"/>
            <w:vAlign w:val="center"/>
          </w:tcPr>
          <w:p w14:paraId="3B5F269B">
            <w:pPr>
              <w:pStyle w:val="14"/>
            </w:pPr>
            <w:r>
              <w:rPr>
                <w:rFonts w:hint="eastAsia"/>
              </w:rPr>
              <w:t>√</w:t>
            </w:r>
          </w:p>
        </w:tc>
        <w:tc>
          <w:tcPr>
            <w:tcW w:w="1124" w:type="dxa"/>
            <w:vAlign w:val="center"/>
          </w:tcPr>
          <w:p w14:paraId="4C58ED3D">
            <w:pPr>
              <w:pStyle w:val="14"/>
            </w:pPr>
          </w:p>
        </w:tc>
      </w:tr>
      <w:tr w14:paraId="191A2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399" w:type="dxa"/>
            <w:tcBorders>
              <w:left w:val="single" w:color="auto" w:sz="12" w:space="0"/>
            </w:tcBorders>
          </w:tcPr>
          <w:p w14:paraId="1FA36288">
            <w:pPr>
              <w:pStyle w:val="14"/>
              <w:widowControl w:val="0"/>
              <w:jc w:val="left"/>
            </w:pPr>
            <w:r>
              <w:rPr>
                <w:rFonts w:hint="eastAsia" w:ascii="宋体" w:hAnsi="宋体"/>
                <w:bCs/>
              </w:rPr>
              <w:t>第八单元 高压氧舱</w:t>
            </w:r>
          </w:p>
        </w:tc>
        <w:tc>
          <w:tcPr>
            <w:tcW w:w="1123" w:type="dxa"/>
            <w:vAlign w:val="center"/>
          </w:tcPr>
          <w:p w14:paraId="5A07B45A">
            <w:pPr>
              <w:pStyle w:val="14"/>
            </w:pPr>
            <w:r>
              <w:rPr>
                <w:rFonts w:hint="eastAsia"/>
              </w:rPr>
              <w:t>√</w:t>
            </w:r>
          </w:p>
        </w:tc>
        <w:tc>
          <w:tcPr>
            <w:tcW w:w="1123" w:type="dxa"/>
            <w:shd w:val="clear" w:color="auto" w:fill="auto"/>
            <w:vAlign w:val="center"/>
          </w:tcPr>
          <w:p w14:paraId="749EBC54">
            <w:pPr>
              <w:pStyle w:val="14"/>
            </w:pPr>
            <w:r>
              <w:rPr>
                <w:rFonts w:hint="eastAsia"/>
              </w:rPr>
              <w:t>√</w:t>
            </w:r>
          </w:p>
        </w:tc>
        <w:tc>
          <w:tcPr>
            <w:tcW w:w="1123" w:type="dxa"/>
            <w:shd w:val="clear" w:color="auto" w:fill="auto"/>
            <w:vAlign w:val="center"/>
          </w:tcPr>
          <w:p w14:paraId="08ABE857">
            <w:pPr>
              <w:pStyle w:val="14"/>
            </w:pPr>
            <w:r>
              <w:rPr>
                <w:rFonts w:hint="eastAsia"/>
              </w:rPr>
              <w:t>√</w:t>
            </w:r>
          </w:p>
        </w:tc>
        <w:tc>
          <w:tcPr>
            <w:tcW w:w="1124" w:type="dxa"/>
            <w:vAlign w:val="center"/>
          </w:tcPr>
          <w:p w14:paraId="45FD14F7">
            <w:pPr>
              <w:pStyle w:val="14"/>
            </w:pPr>
          </w:p>
        </w:tc>
      </w:tr>
      <w:tr w14:paraId="3CBE4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399" w:type="dxa"/>
            <w:tcBorders>
              <w:left w:val="single" w:color="auto" w:sz="12" w:space="0"/>
            </w:tcBorders>
          </w:tcPr>
          <w:p w14:paraId="1C38BC2F">
            <w:pPr>
              <w:pStyle w:val="14"/>
              <w:widowControl w:val="0"/>
              <w:jc w:val="left"/>
            </w:pPr>
            <w:r>
              <w:rPr>
                <w:rFonts w:hint="eastAsia" w:ascii="宋体" w:hAnsi="宋体"/>
                <w:bCs/>
              </w:rPr>
              <w:t xml:space="preserve">第九单元 </w:t>
            </w:r>
            <w:r>
              <w:rPr>
                <w:rFonts w:hint="eastAsia"/>
              </w:rPr>
              <w:t>医用机器人</w:t>
            </w:r>
          </w:p>
        </w:tc>
        <w:tc>
          <w:tcPr>
            <w:tcW w:w="1123" w:type="dxa"/>
            <w:vAlign w:val="center"/>
          </w:tcPr>
          <w:p w14:paraId="479827FF">
            <w:pPr>
              <w:pStyle w:val="14"/>
            </w:pPr>
            <w:r>
              <w:rPr>
                <w:rFonts w:hint="eastAsia"/>
              </w:rPr>
              <w:t>√</w:t>
            </w:r>
          </w:p>
        </w:tc>
        <w:tc>
          <w:tcPr>
            <w:tcW w:w="1123" w:type="dxa"/>
            <w:shd w:val="clear" w:color="auto" w:fill="auto"/>
            <w:vAlign w:val="center"/>
          </w:tcPr>
          <w:p w14:paraId="33434212">
            <w:pPr>
              <w:pStyle w:val="14"/>
            </w:pPr>
            <w:r>
              <w:rPr>
                <w:rFonts w:hint="eastAsia"/>
              </w:rPr>
              <w:t>√</w:t>
            </w:r>
          </w:p>
        </w:tc>
        <w:tc>
          <w:tcPr>
            <w:tcW w:w="1123" w:type="dxa"/>
            <w:shd w:val="clear" w:color="auto" w:fill="auto"/>
            <w:vAlign w:val="center"/>
          </w:tcPr>
          <w:p w14:paraId="364A7D9D">
            <w:pPr>
              <w:pStyle w:val="14"/>
            </w:pPr>
            <w:r>
              <w:rPr>
                <w:rFonts w:hint="eastAsia"/>
              </w:rPr>
              <w:t>√</w:t>
            </w:r>
          </w:p>
        </w:tc>
        <w:tc>
          <w:tcPr>
            <w:tcW w:w="1124" w:type="dxa"/>
            <w:vAlign w:val="center"/>
          </w:tcPr>
          <w:p w14:paraId="62C1B80A">
            <w:pPr>
              <w:pStyle w:val="14"/>
            </w:pPr>
            <w:r>
              <w:rPr>
                <w:rFonts w:hint="eastAsia"/>
              </w:rPr>
              <w:t>√</w:t>
            </w:r>
          </w:p>
        </w:tc>
      </w:tr>
      <w:tr w14:paraId="36D5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399" w:type="dxa"/>
            <w:tcBorders>
              <w:left w:val="single" w:color="auto" w:sz="12" w:space="0"/>
            </w:tcBorders>
          </w:tcPr>
          <w:p w14:paraId="6AAFFBC5">
            <w:pPr>
              <w:pStyle w:val="14"/>
              <w:widowControl w:val="0"/>
              <w:jc w:val="left"/>
            </w:pPr>
            <w:r>
              <w:rPr>
                <w:rFonts w:hint="eastAsia"/>
              </w:rPr>
              <w:t>第十单元 医院影像设备</w:t>
            </w:r>
          </w:p>
        </w:tc>
        <w:tc>
          <w:tcPr>
            <w:tcW w:w="1123" w:type="dxa"/>
            <w:vAlign w:val="center"/>
          </w:tcPr>
          <w:p w14:paraId="7C5A9CB7">
            <w:pPr>
              <w:pStyle w:val="14"/>
            </w:pPr>
            <w:r>
              <w:rPr>
                <w:rFonts w:hint="eastAsia"/>
              </w:rPr>
              <w:t>√</w:t>
            </w:r>
          </w:p>
        </w:tc>
        <w:tc>
          <w:tcPr>
            <w:tcW w:w="1123" w:type="dxa"/>
            <w:shd w:val="clear" w:color="auto" w:fill="auto"/>
            <w:vAlign w:val="center"/>
          </w:tcPr>
          <w:p w14:paraId="3B3B04C1">
            <w:pPr>
              <w:pStyle w:val="14"/>
            </w:pPr>
            <w:r>
              <w:rPr>
                <w:rFonts w:hint="eastAsia"/>
              </w:rPr>
              <w:t>√</w:t>
            </w:r>
          </w:p>
        </w:tc>
        <w:tc>
          <w:tcPr>
            <w:tcW w:w="1123" w:type="dxa"/>
            <w:shd w:val="clear" w:color="auto" w:fill="auto"/>
            <w:vAlign w:val="center"/>
          </w:tcPr>
          <w:p w14:paraId="623225B8">
            <w:pPr>
              <w:pStyle w:val="14"/>
            </w:pPr>
            <w:r>
              <w:rPr>
                <w:rFonts w:hint="eastAsia"/>
              </w:rPr>
              <w:t>√</w:t>
            </w:r>
          </w:p>
        </w:tc>
        <w:tc>
          <w:tcPr>
            <w:tcW w:w="1124" w:type="dxa"/>
            <w:vAlign w:val="center"/>
          </w:tcPr>
          <w:p w14:paraId="38DDFA3B">
            <w:pPr>
              <w:pStyle w:val="14"/>
            </w:pPr>
          </w:p>
        </w:tc>
      </w:tr>
      <w:tr w14:paraId="02331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399" w:type="dxa"/>
            <w:tcBorders>
              <w:left w:val="single" w:color="auto" w:sz="12" w:space="0"/>
            </w:tcBorders>
          </w:tcPr>
          <w:p w14:paraId="06D1B56F">
            <w:pPr>
              <w:pStyle w:val="14"/>
              <w:widowControl w:val="0"/>
              <w:jc w:val="left"/>
              <w:rPr>
                <w:rFonts w:hint="eastAsia"/>
              </w:rPr>
            </w:pPr>
            <w:r>
              <w:rPr>
                <w:rFonts w:hint="eastAsia"/>
              </w:rPr>
              <w:t>第十一单元</w:t>
            </w:r>
            <w:r>
              <w:rPr>
                <w:rFonts w:hint="eastAsia"/>
                <w:lang w:val="en-US" w:eastAsia="zh-CN"/>
              </w:rPr>
              <w:t xml:space="preserve"> </w:t>
            </w:r>
            <w:r>
              <w:rPr>
                <w:rFonts w:hint="eastAsia"/>
              </w:rPr>
              <w:t>医疗器械监管法规</w:t>
            </w:r>
          </w:p>
        </w:tc>
        <w:tc>
          <w:tcPr>
            <w:tcW w:w="1123" w:type="dxa"/>
            <w:vAlign w:val="center"/>
          </w:tcPr>
          <w:p w14:paraId="2B40E0AC">
            <w:pPr>
              <w:pStyle w:val="14"/>
              <w:rPr>
                <w:rFonts w:hint="eastAsia"/>
              </w:rPr>
            </w:pPr>
          </w:p>
        </w:tc>
        <w:tc>
          <w:tcPr>
            <w:tcW w:w="1123" w:type="dxa"/>
            <w:shd w:val="clear" w:color="auto" w:fill="auto"/>
            <w:vAlign w:val="center"/>
          </w:tcPr>
          <w:p w14:paraId="47B48259">
            <w:pPr>
              <w:pStyle w:val="14"/>
              <w:rPr>
                <w:rFonts w:hint="eastAsia"/>
              </w:rPr>
            </w:pPr>
          </w:p>
        </w:tc>
        <w:tc>
          <w:tcPr>
            <w:tcW w:w="1123" w:type="dxa"/>
            <w:shd w:val="clear" w:color="auto" w:fill="auto"/>
            <w:vAlign w:val="center"/>
          </w:tcPr>
          <w:p w14:paraId="305797C2">
            <w:pPr>
              <w:pStyle w:val="14"/>
              <w:rPr>
                <w:rFonts w:hint="eastAsia"/>
              </w:rPr>
            </w:pPr>
            <w:r>
              <w:rPr>
                <w:rFonts w:hint="eastAsia"/>
              </w:rPr>
              <w:t>√</w:t>
            </w:r>
          </w:p>
        </w:tc>
        <w:tc>
          <w:tcPr>
            <w:tcW w:w="1124" w:type="dxa"/>
            <w:vAlign w:val="center"/>
          </w:tcPr>
          <w:p w14:paraId="6418155D">
            <w:pPr>
              <w:pStyle w:val="14"/>
            </w:pPr>
            <w:r>
              <w:rPr>
                <w:rFonts w:hint="eastAsia"/>
              </w:rPr>
              <w:t>√</w:t>
            </w:r>
          </w:p>
        </w:tc>
      </w:tr>
      <w:tr w14:paraId="0868C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399" w:type="dxa"/>
            <w:tcBorders>
              <w:left w:val="single" w:color="auto" w:sz="12" w:space="0"/>
              <w:bottom w:val="single" w:color="auto" w:sz="12" w:space="0"/>
            </w:tcBorders>
          </w:tcPr>
          <w:p w14:paraId="69B7D874">
            <w:pPr>
              <w:pStyle w:val="14"/>
              <w:widowControl w:val="0"/>
              <w:jc w:val="left"/>
            </w:pPr>
            <w:bookmarkStart w:id="6" w:name="_GoBack"/>
            <w:bookmarkEnd w:id="6"/>
            <w:r>
              <w:rPr>
                <w:rFonts w:hint="eastAsia"/>
              </w:rPr>
              <w:t>第十二单元  医用超声设备</w:t>
            </w:r>
          </w:p>
        </w:tc>
        <w:tc>
          <w:tcPr>
            <w:tcW w:w="1123" w:type="dxa"/>
            <w:tcBorders>
              <w:bottom w:val="single" w:color="auto" w:sz="12" w:space="0"/>
            </w:tcBorders>
            <w:vAlign w:val="center"/>
          </w:tcPr>
          <w:p w14:paraId="4CF7CC42">
            <w:pPr>
              <w:pStyle w:val="14"/>
            </w:pPr>
            <w:r>
              <w:rPr>
                <w:rFonts w:hint="eastAsia"/>
              </w:rPr>
              <w:t>√</w:t>
            </w:r>
          </w:p>
        </w:tc>
        <w:tc>
          <w:tcPr>
            <w:tcW w:w="1123" w:type="dxa"/>
            <w:tcBorders>
              <w:bottom w:val="single" w:color="auto" w:sz="12" w:space="0"/>
            </w:tcBorders>
            <w:vAlign w:val="center"/>
          </w:tcPr>
          <w:p w14:paraId="5963CBF4">
            <w:pPr>
              <w:pStyle w:val="14"/>
            </w:pPr>
            <w:r>
              <w:rPr>
                <w:rFonts w:hint="eastAsia"/>
              </w:rPr>
              <w:t>√</w:t>
            </w:r>
          </w:p>
        </w:tc>
        <w:tc>
          <w:tcPr>
            <w:tcW w:w="1123" w:type="dxa"/>
            <w:tcBorders>
              <w:bottom w:val="single" w:color="auto" w:sz="12" w:space="0"/>
            </w:tcBorders>
            <w:vAlign w:val="center"/>
          </w:tcPr>
          <w:p w14:paraId="64943085">
            <w:pPr>
              <w:pStyle w:val="14"/>
            </w:pPr>
            <w:r>
              <w:rPr>
                <w:rFonts w:hint="eastAsia"/>
              </w:rPr>
              <w:t>√</w:t>
            </w:r>
          </w:p>
        </w:tc>
        <w:tc>
          <w:tcPr>
            <w:tcW w:w="1124" w:type="dxa"/>
            <w:tcBorders>
              <w:bottom w:val="single" w:color="auto" w:sz="12" w:space="0"/>
            </w:tcBorders>
            <w:vAlign w:val="center"/>
          </w:tcPr>
          <w:p w14:paraId="24165933">
            <w:pPr>
              <w:pStyle w:val="14"/>
            </w:pPr>
          </w:p>
        </w:tc>
      </w:tr>
    </w:tbl>
    <w:p w14:paraId="37E09610">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822"/>
        <w:gridCol w:w="1926"/>
        <w:gridCol w:w="1784"/>
        <w:gridCol w:w="744"/>
        <w:gridCol w:w="686"/>
        <w:gridCol w:w="736"/>
      </w:tblGrid>
      <w:tr w14:paraId="75180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822" w:type="dxa"/>
            <w:vMerge w:val="restart"/>
            <w:tcBorders>
              <w:top w:val="single" w:color="auto" w:sz="12" w:space="0"/>
              <w:left w:val="single" w:color="auto" w:sz="12" w:space="0"/>
            </w:tcBorders>
            <w:vAlign w:val="center"/>
          </w:tcPr>
          <w:p w14:paraId="3DE9BDCD">
            <w:pPr>
              <w:widowControl w:val="0"/>
              <w:snapToGrid w:val="0"/>
              <w:jc w:val="center"/>
              <w:rPr>
                <w:rFonts w:hint="eastAsia" w:ascii="黑体" w:hAnsi="黑体" w:eastAsia="黑体"/>
                <w:bCs/>
                <w:sz w:val="21"/>
                <w:szCs w:val="21"/>
              </w:rPr>
            </w:pPr>
            <w:r>
              <w:rPr>
                <w:rFonts w:hint="eastAsia" w:ascii="黑体" w:hAnsi="黑体" w:eastAsia="黑体"/>
                <w:bCs/>
                <w:sz w:val="21"/>
                <w:szCs w:val="21"/>
              </w:rPr>
              <w:t>教学单元</w:t>
            </w:r>
          </w:p>
        </w:tc>
        <w:tc>
          <w:tcPr>
            <w:tcW w:w="1926" w:type="dxa"/>
            <w:vMerge w:val="restart"/>
            <w:tcBorders>
              <w:top w:val="single" w:color="auto" w:sz="12" w:space="0"/>
            </w:tcBorders>
            <w:vAlign w:val="center"/>
          </w:tcPr>
          <w:p w14:paraId="4B234115">
            <w:pPr>
              <w:pStyle w:val="13"/>
              <w:widowControl w:val="0"/>
              <w:rPr>
                <w:szCs w:val="21"/>
              </w:rPr>
            </w:pPr>
            <w:r>
              <w:rPr>
                <w:rFonts w:hint="eastAsia" w:ascii="黑体" w:hAnsi="黑体"/>
                <w:szCs w:val="21"/>
              </w:rPr>
              <w:t>教与学方式</w:t>
            </w:r>
          </w:p>
        </w:tc>
        <w:tc>
          <w:tcPr>
            <w:tcW w:w="1784" w:type="dxa"/>
            <w:vMerge w:val="restart"/>
            <w:tcBorders>
              <w:top w:val="single" w:color="auto" w:sz="12" w:space="0"/>
            </w:tcBorders>
            <w:vAlign w:val="center"/>
          </w:tcPr>
          <w:p w14:paraId="228493C7">
            <w:pPr>
              <w:pStyle w:val="13"/>
              <w:widowControl w:val="0"/>
              <w:rPr>
                <w:rFonts w:hint="eastAsia" w:ascii="黑体" w:hAnsi="黑体"/>
                <w:szCs w:val="21"/>
              </w:rPr>
            </w:pPr>
            <w:r>
              <w:rPr>
                <w:rFonts w:hint="eastAsia" w:ascii="黑体" w:hAnsi="黑体"/>
                <w:szCs w:val="21"/>
              </w:rPr>
              <w:t>考核方式</w:t>
            </w:r>
          </w:p>
        </w:tc>
        <w:tc>
          <w:tcPr>
            <w:tcW w:w="2166" w:type="dxa"/>
            <w:gridSpan w:val="3"/>
            <w:tcBorders>
              <w:top w:val="single" w:color="auto" w:sz="12" w:space="0"/>
              <w:right w:val="single" w:color="auto" w:sz="12" w:space="0"/>
            </w:tcBorders>
            <w:vAlign w:val="center"/>
          </w:tcPr>
          <w:p w14:paraId="53260844">
            <w:pPr>
              <w:pStyle w:val="13"/>
              <w:widowControl w:val="0"/>
              <w:rPr>
                <w:rFonts w:hint="eastAsia" w:ascii="黑体" w:hAnsi="黑体"/>
                <w:szCs w:val="21"/>
              </w:rPr>
            </w:pPr>
            <w:r>
              <w:rPr>
                <w:rFonts w:hint="eastAsia" w:ascii="黑体" w:hAnsi="黑体"/>
                <w:szCs w:val="21"/>
              </w:rPr>
              <w:t>学时</w:t>
            </w:r>
            <w:r>
              <w:rPr>
                <w:rFonts w:hint="eastAsia" w:ascii="黑体" w:hAnsi="黑体"/>
                <w:bCs w:val="0"/>
                <w:szCs w:val="21"/>
              </w:rPr>
              <w:t>分配</w:t>
            </w:r>
          </w:p>
        </w:tc>
      </w:tr>
      <w:tr w14:paraId="51555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822" w:type="dxa"/>
            <w:vMerge w:val="continue"/>
            <w:tcBorders>
              <w:left w:val="single" w:color="auto" w:sz="12" w:space="0"/>
            </w:tcBorders>
          </w:tcPr>
          <w:p w14:paraId="3555B26D">
            <w:pPr>
              <w:widowControl w:val="0"/>
              <w:snapToGrid w:val="0"/>
              <w:jc w:val="center"/>
              <w:rPr>
                <w:rFonts w:hint="eastAsia" w:ascii="黑体" w:hAnsi="黑体" w:eastAsia="黑体"/>
                <w:bCs/>
                <w:sz w:val="21"/>
                <w:szCs w:val="21"/>
              </w:rPr>
            </w:pPr>
          </w:p>
        </w:tc>
        <w:tc>
          <w:tcPr>
            <w:tcW w:w="1926" w:type="dxa"/>
            <w:vMerge w:val="continue"/>
          </w:tcPr>
          <w:p w14:paraId="33AABDDD">
            <w:pPr>
              <w:widowControl w:val="0"/>
              <w:snapToGrid w:val="0"/>
              <w:jc w:val="center"/>
              <w:rPr>
                <w:rFonts w:hint="eastAsia" w:ascii="黑体" w:hAnsi="黑体" w:eastAsia="黑体"/>
                <w:bCs/>
                <w:sz w:val="21"/>
                <w:szCs w:val="21"/>
              </w:rPr>
            </w:pPr>
          </w:p>
        </w:tc>
        <w:tc>
          <w:tcPr>
            <w:tcW w:w="1784" w:type="dxa"/>
            <w:vMerge w:val="continue"/>
          </w:tcPr>
          <w:p w14:paraId="38429EF4">
            <w:pPr>
              <w:widowControl w:val="0"/>
              <w:snapToGrid w:val="0"/>
              <w:jc w:val="center"/>
              <w:rPr>
                <w:rFonts w:hint="eastAsia" w:ascii="黑体" w:hAnsi="黑体" w:eastAsia="黑体"/>
                <w:bCs/>
                <w:sz w:val="21"/>
                <w:szCs w:val="21"/>
              </w:rPr>
            </w:pPr>
          </w:p>
        </w:tc>
        <w:tc>
          <w:tcPr>
            <w:tcW w:w="744" w:type="dxa"/>
            <w:vAlign w:val="center"/>
          </w:tcPr>
          <w:p w14:paraId="6ED8BE0B">
            <w:pPr>
              <w:widowControl w:val="0"/>
              <w:snapToGrid w:val="0"/>
              <w:jc w:val="center"/>
              <w:rPr>
                <w:rFonts w:hint="eastAsia" w:ascii="黑体" w:hAnsi="黑体" w:eastAsia="黑体"/>
                <w:bCs/>
                <w:sz w:val="21"/>
                <w:szCs w:val="21"/>
              </w:rPr>
            </w:pPr>
            <w:r>
              <w:rPr>
                <w:rFonts w:hint="eastAsia" w:ascii="黑体" w:hAnsi="黑体" w:eastAsia="黑体"/>
                <w:bCs/>
                <w:sz w:val="21"/>
                <w:szCs w:val="21"/>
              </w:rPr>
              <w:t>理论</w:t>
            </w:r>
          </w:p>
        </w:tc>
        <w:tc>
          <w:tcPr>
            <w:tcW w:w="686" w:type="dxa"/>
            <w:vAlign w:val="center"/>
          </w:tcPr>
          <w:p w14:paraId="0BFFB02C">
            <w:pPr>
              <w:widowControl w:val="0"/>
              <w:snapToGrid w:val="0"/>
              <w:jc w:val="center"/>
              <w:rPr>
                <w:rFonts w:hint="eastAsia" w:ascii="黑体" w:hAnsi="黑体" w:eastAsia="黑体"/>
                <w:bCs/>
                <w:sz w:val="21"/>
                <w:szCs w:val="21"/>
              </w:rPr>
            </w:pPr>
            <w:r>
              <w:rPr>
                <w:rFonts w:hint="eastAsia" w:ascii="黑体" w:hAnsi="黑体" w:eastAsia="黑体"/>
                <w:bCs/>
                <w:sz w:val="21"/>
                <w:szCs w:val="21"/>
              </w:rPr>
              <w:t>实践</w:t>
            </w:r>
          </w:p>
        </w:tc>
        <w:tc>
          <w:tcPr>
            <w:tcW w:w="736" w:type="dxa"/>
            <w:tcBorders>
              <w:right w:val="single" w:color="auto" w:sz="12" w:space="0"/>
            </w:tcBorders>
            <w:vAlign w:val="center"/>
          </w:tcPr>
          <w:p w14:paraId="6B164B58">
            <w:pPr>
              <w:widowControl w:val="0"/>
              <w:snapToGrid w:val="0"/>
              <w:jc w:val="center"/>
              <w:rPr>
                <w:rFonts w:hint="eastAsia" w:ascii="黑体" w:hAnsi="黑体" w:eastAsia="黑体"/>
                <w:bCs/>
                <w:sz w:val="21"/>
                <w:szCs w:val="21"/>
              </w:rPr>
            </w:pPr>
            <w:r>
              <w:rPr>
                <w:rFonts w:hint="eastAsia" w:ascii="黑体" w:hAnsi="黑体" w:eastAsia="黑体"/>
                <w:bCs/>
                <w:sz w:val="21"/>
                <w:szCs w:val="21"/>
              </w:rPr>
              <w:t>小计</w:t>
            </w:r>
          </w:p>
        </w:tc>
      </w:tr>
      <w:tr w14:paraId="224F8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2" w:type="dxa"/>
            <w:tcBorders>
              <w:left w:val="single" w:color="auto" w:sz="12" w:space="0"/>
            </w:tcBorders>
            <w:shd w:val="clear" w:color="auto" w:fill="auto"/>
          </w:tcPr>
          <w:p w14:paraId="51890B7E">
            <w:pPr>
              <w:pStyle w:val="14"/>
              <w:widowControl w:val="0"/>
              <w:jc w:val="left"/>
            </w:pPr>
            <w:r>
              <w:rPr>
                <w:rFonts w:hint="eastAsia" w:ascii="宋体" w:hAnsi="宋体"/>
                <w:bCs/>
              </w:rPr>
              <w:t xml:space="preserve">第一单元 </w:t>
            </w:r>
            <w:r>
              <w:rPr>
                <w:rFonts w:ascii="宋体" w:hAnsi="宋体"/>
                <w:bCs/>
              </w:rPr>
              <w:t>绪论</w:t>
            </w:r>
          </w:p>
        </w:tc>
        <w:tc>
          <w:tcPr>
            <w:tcW w:w="1926" w:type="dxa"/>
            <w:shd w:val="clear" w:color="auto" w:fill="auto"/>
            <w:vAlign w:val="center"/>
          </w:tcPr>
          <w:p w14:paraId="118ABFA3">
            <w:pPr>
              <w:widowControl/>
              <w:jc w:val="center"/>
              <w:rPr>
                <w:rFonts w:hint="eastAsia"/>
                <w:sz w:val="21"/>
                <w:szCs w:val="21"/>
              </w:rPr>
            </w:pPr>
            <w:r>
              <w:rPr>
                <w:rFonts w:hint="eastAsia"/>
                <w:sz w:val="21"/>
                <w:szCs w:val="21"/>
              </w:rPr>
              <w:t>讲授法</w:t>
            </w:r>
          </w:p>
        </w:tc>
        <w:tc>
          <w:tcPr>
            <w:tcW w:w="1784" w:type="dxa"/>
            <w:vAlign w:val="center"/>
          </w:tcPr>
          <w:p w14:paraId="12E6820C">
            <w:pPr>
              <w:widowControl w:val="0"/>
              <w:snapToGrid w:val="0"/>
              <w:jc w:val="center"/>
              <w:rPr>
                <w:rFonts w:ascii="Times New Roman" w:hAnsi="Times New Roman"/>
                <w:bCs/>
                <w:sz w:val="21"/>
                <w:szCs w:val="21"/>
              </w:rPr>
            </w:pPr>
            <w:r>
              <w:rPr>
                <w:rFonts w:hint="eastAsia" w:ascii="Times New Roman" w:hAnsi="Times New Roman"/>
                <w:bCs/>
                <w:sz w:val="21"/>
                <w:szCs w:val="21"/>
              </w:rPr>
              <w:t>总结性报告</w:t>
            </w:r>
          </w:p>
        </w:tc>
        <w:tc>
          <w:tcPr>
            <w:tcW w:w="744" w:type="dxa"/>
            <w:vAlign w:val="center"/>
          </w:tcPr>
          <w:p w14:paraId="3017B1D2">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86" w:type="dxa"/>
            <w:vAlign w:val="center"/>
          </w:tcPr>
          <w:p w14:paraId="180D8641">
            <w:pPr>
              <w:widowControl w:val="0"/>
              <w:snapToGrid w:val="0"/>
              <w:jc w:val="center"/>
              <w:rPr>
                <w:rFonts w:ascii="Times New Roman" w:hAnsi="Times New Roman"/>
                <w:bCs/>
                <w:sz w:val="21"/>
                <w:szCs w:val="21"/>
              </w:rPr>
            </w:pPr>
          </w:p>
        </w:tc>
        <w:tc>
          <w:tcPr>
            <w:tcW w:w="736" w:type="dxa"/>
            <w:tcBorders>
              <w:right w:val="single" w:color="auto" w:sz="12" w:space="0"/>
            </w:tcBorders>
            <w:vAlign w:val="center"/>
          </w:tcPr>
          <w:p w14:paraId="59E43198">
            <w:pPr>
              <w:widowControl w:val="0"/>
              <w:snapToGrid w:val="0"/>
              <w:jc w:val="center"/>
              <w:rPr>
                <w:rFonts w:ascii="Times New Roman" w:hAnsi="Times New Roman"/>
                <w:bCs/>
                <w:sz w:val="21"/>
                <w:szCs w:val="21"/>
              </w:rPr>
            </w:pPr>
          </w:p>
        </w:tc>
      </w:tr>
      <w:tr w14:paraId="0A5E7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2" w:type="dxa"/>
            <w:tcBorders>
              <w:left w:val="single" w:color="auto" w:sz="12" w:space="0"/>
            </w:tcBorders>
            <w:shd w:val="clear" w:color="auto" w:fill="auto"/>
          </w:tcPr>
          <w:p w14:paraId="5FFE1BED">
            <w:pPr>
              <w:pStyle w:val="14"/>
              <w:widowControl w:val="0"/>
              <w:jc w:val="left"/>
            </w:pPr>
            <w:r>
              <w:rPr>
                <w:rFonts w:hint="eastAsia" w:ascii="宋体" w:hAnsi="宋体"/>
                <w:bCs/>
              </w:rPr>
              <w:t>第二单元 一体化手术室</w:t>
            </w:r>
          </w:p>
        </w:tc>
        <w:tc>
          <w:tcPr>
            <w:tcW w:w="1926" w:type="dxa"/>
            <w:shd w:val="clear" w:color="auto" w:fill="auto"/>
            <w:vAlign w:val="center"/>
          </w:tcPr>
          <w:p w14:paraId="32823122">
            <w:pPr>
              <w:widowControl/>
              <w:jc w:val="center"/>
              <w:rPr>
                <w:rFonts w:hint="eastAsia"/>
                <w:sz w:val="21"/>
                <w:szCs w:val="21"/>
              </w:rPr>
            </w:pPr>
            <w:r>
              <w:rPr>
                <w:rFonts w:hint="eastAsia"/>
                <w:sz w:val="21"/>
                <w:szCs w:val="21"/>
              </w:rPr>
              <w:t>讲授法</w:t>
            </w:r>
          </w:p>
        </w:tc>
        <w:tc>
          <w:tcPr>
            <w:tcW w:w="1784" w:type="dxa"/>
            <w:vAlign w:val="center"/>
          </w:tcPr>
          <w:p w14:paraId="47A3BD9E">
            <w:pPr>
              <w:widowControl w:val="0"/>
              <w:snapToGrid w:val="0"/>
              <w:jc w:val="center"/>
              <w:rPr>
                <w:rFonts w:ascii="Times New Roman" w:hAnsi="Times New Roman"/>
                <w:bCs/>
                <w:sz w:val="21"/>
                <w:szCs w:val="21"/>
              </w:rPr>
            </w:pPr>
            <w:r>
              <w:rPr>
                <w:rFonts w:hint="eastAsia" w:ascii="Times New Roman" w:hAnsi="Times New Roman"/>
                <w:bCs/>
                <w:sz w:val="21"/>
                <w:szCs w:val="21"/>
              </w:rPr>
              <w:t>总结性报告</w:t>
            </w:r>
          </w:p>
        </w:tc>
        <w:tc>
          <w:tcPr>
            <w:tcW w:w="744" w:type="dxa"/>
            <w:vAlign w:val="center"/>
          </w:tcPr>
          <w:p w14:paraId="6FAE2F30">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86" w:type="dxa"/>
            <w:vAlign w:val="center"/>
          </w:tcPr>
          <w:p w14:paraId="085527A5">
            <w:pPr>
              <w:widowControl w:val="0"/>
              <w:snapToGrid w:val="0"/>
              <w:jc w:val="center"/>
              <w:rPr>
                <w:rFonts w:ascii="Times New Roman" w:hAnsi="Times New Roman"/>
                <w:bCs/>
                <w:sz w:val="21"/>
                <w:szCs w:val="21"/>
              </w:rPr>
            </w:pPr>
          </w:p>
        </w:tc>
        <w:tc>
          <w:tcPr>
            <w:tcW w:w="736" w:type="dxa"/>
            <w:tcBorders>
              <w:right w:val="single" w:color="auto" w:sz="12" w:space="0"/>
            </w:tcBorders>
            <w:vAlign w:val="center"/>
          </w:tcPr>
          <w:p w14:paraId="45DEAB4D">
            <w:pPr>
              <w:widowControl w:val="0"/>
              <w:snapToGrid w:val="0"/>
              <w:jc w:val="center"/>
              <w:rPr>
                <w:rFonts w:ascii="Times New Roman" w:hAnsi="Times New Roman"/>
                <w:bCs/>
                <w:sz w:val="21"/>
                <w:szCs w:val="21"/>
              </w:rPr>
            </w:pPr>
          </w:p>
        </w:tc>
      </w:tr>
      <w:tr w14:paraId="79284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2" w:type="dxa"/>
            <w:tcBorders>
              <w:left w:val="single" w:color="auto" w:sz="12" w:space="0"/>
            </w:tcBorders>
            <w:shd w:val="clear" w:color="auto" w:fill="auto"/>
          </w:tcPr>
          <w:p w14:paraId="64467455">
            <w:pPr>
              <w:pStyle w:val="14"/>
              <w:widowControl w:val="0"/>
              <w:jc w:val="left"/>
            </w:pPr>
            <w:r>
              <w:rPr>
                <w:rFonts w:hint="eastAsia" w:ascii="宋体" w:hAnsi="宋体"/>
                <w:bCs/>
              </w:rPr>
              <w:t>第三单元 血液净化设备</w:t>
            </w:r>
          </w:p>
        </w:tc>
        <w:tc>
          <w:tcPr>
            <w:tcW w:w="1926" w:type="dxa"/>
            <w:shd w:val="clear" w:color="auto" w:fill="auto"/>
            <w:vAlign w:val="center"/>
          </w:tcPr>
          <w:p w14:paraId="7DE9C0C9">
            <w:pPr>
              <w:widowControl/>
              <w:jc w:val="center"/>
              <w:rPr>
                <w:rFonts w:hint="eastAsia"/>
                <w:sz w:val="21"/>
                <w:szCs w:val="21"/>
              </w:rPr>
            </w:pPr>
            <w:r>
              <w:rPr>
                <w:rFonts w:hint="eastAsia"/>
                <w:sz w:val="21"/>
                <w:szCs w:val="21"/>
              </w:rPr>
              <w:t>讲授法</w:t>
            </w:r>
          </w:p>
          <w:p w14:paraId="0B95CC0B">
            <w:pPr>
              <w:widowControl/>
              <w:jc w:val="center"/>
              <w:rPr>
                <w:rFonts w:hint="eastAsia"/>
                <w:sz w:val="21"/>
                <w:szCs w:val="21"/>
              </w:rPr>
            </w:pPr>
            <w:r>
              <w:rPr>
                <w:rFonts w:hint="eastAsia"/>
                <w:sz w:val="21"/>
                <w:szCs w:val="21"/>
              </w:rPr>
              <w:t>实验室实训</w:t>
            </w:r>
          </w:p>
        </w:tc>
        <w:tc>
          <w:tcPr>
            <w:tcW w:w="1784" w:type="dxa"/>
            <w:vAlign w:val="center"/>
          </w:tcPr>
          <w:p w14:paraId="0CC18091">
            <w:pPr>
              <w:widowControl w:val="0"/>
              <w:snapToGrid w:val="0"/>
              <w:jc w:val="center"/>
              <w:rPr>
                <w:rFonts w:ascii="Times New Roman" w:hAnsi="Times New Roman"/>
                <w:bCs/>
                <w:sz w:val="21"/>
                <w:szCs w:val="21"/>
              </w:rPr>
            </w:pPr>
            <w:r>
              <w:rPr>
                <w:rFonts w:hint="eastAsia" w:ascii="Times New Roman" w:hAnsi="Times New Roman"/>
                <w:bCs/>
                <w:sz w:val="21"/>
                <w:szCs w:val="21"/>
              </w:rPr>
              <w:t>总结性报告</w:t>
            </w:r>
          </w:p>
        </w:tc>
        <w:tc>
          <w:tcPr>
            <w:tcW w:w="744" w:type="dxa"/>
            <w:vAlign w:val="center"/>
          </w:tcPr>
          <w:p w14:paraId="766DE17C">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86" w:type="dxa"/>
            <w:vAlign w:val="center"/>
          </w:tcPr>
          <w:p w14:paraId="707055B1">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736" w:type="dxa"/>
            <w:tcBorders>
              <w:right w:val="single" w:color="auto" w:sz="12" w:space="0"/>
            </w:tcBorders>
            <w:vAlign w:val="center"/>
          </w:tcPr>
          <w:p w14:paraId="20946D0D">
            <w:pPr>
              <w:widowControl w:val="0"/>
              <w:snapToGrid w:val="0"/>
              <w:jc w:val="center"/>
              <w:rPr>
                <w:rFonts w:ascii="Times New Roman" w:hAnsi="Times New Roman"/>
                <w:bCs/>
                <w:sz w:val="21"/>
                <w:szCs w:val="21"/>
              </w:rPr>
            </w:pPr>
          </w:p>
        </w:tc>
      </w:tr>
      <w:tr w14:paraId="1377C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2" w:type="dxa"/>
            <w:tcBorders>
              <w:left w:val="single" w:color="auto" w:sz="12" w:space="0"/>
            </w:tcBorders>
            <w:shd w:val="clear" w:color="auto" w:fill="auto"/>
          </w:tcPr>
          <w:p w14:paraId="196089F1">
            <w:pPr>
              <w:pStyle w:val="14"/>
              <w:widowControl w:val="0"/>
              <w:jc w:val="left"/>
            </w:pPr>
            <w:r>
              <w:rPr>
                <w:rFonts w:hint="eastAsia" w:ascii="宋体" w:hAnsi="宋体"/>
                <w:bCs/>
              </w:rPr>
              <w:t>第四单元 体外循环设备</w:t>
            </w:r>
          </w:p>
        </w:tc>
        <w:tc>
          <w:tcPr>
            <w:tcW w:w="1926" w:type="dxa"/>
            <w:vAlign w:val="center"/>
          </w:tcPr>
          <w:p w14:paraId="2798A204">
            <w:pPr>
              <w:widowControl w:val="0"/>
              <w:snapToGrid w:val="0"/>
              <w:jc w:val="center"/>
              <w:rPr>
                <w:rFonts w:ascii="Times New Roman" w:hAnsi="Times New Roman"/>
                <w:bCs/>
                <w:sz w:val="21"/>
                <w:szCs w:val="21"/>
              </w:rPr>
            </w:pPr>
            <w:r>
              <w:rPr>
                <w:rFonts w:hint="eastAsia"/>
                <w:sz w:val="21"/>
                <w:szCs w:val="21"/>
              </w:rPr>
              <w:t>讲授法</w:t>
            </w:r>
          </w:p>
        </w:tc>
        <w:tc>
          <w:tcPr>
            <w:tcW w:w="1784" w:type="dxa"/>
            <w:vAlign w:val="center"/>
          </w:tcPr>
          <w:p w14:paraId="258C4786">
            <w:pPr>
              <w:widowControl w:val="0"/>
              <w:snapToGrid w:val="0"/>
              <w:jc w:val="center"/>
              <w:rPr>
                <w:rFonts w:ascii="Times New Roman" w:hAnsi="Times New Roman"/>
                <w:bCs/>
                <w:sz w:val="21"/>
                <w:szCs w:val="21"/>
              </w:rPr>
            </w:pPr>
            <w:r>
              <w:rPr>
                <w:rFonts w:hint="eastAsia" w:ascii="Times New Roman" w:hAnsi="Times New Roman"/>
                <w:bCs/>
                <w:sz w:val="21"/>
                <w:szCs w:val="21"/>
              </w:rPr>
              <w:t>总结性报告</w:t>
            </w:r>
          </w:p>
        </w:tc>
        <w:tc>
          <w:tcPr>
            <w:tcW w:w="744" w:type="dxa"/>
            <w:vAlign w:val="center"/>
          </w:tcPr>
          <w:p w14:paraId="11A0B1E1">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86" w:type="dxa"/>
            <w:vAlign w:val="center"/>
          </w:tcPr>
          <w:p w14:paraId="5CD4C22E">
            <w:pPr>
              <w:widowControl w:val="0"/>
              <w:snapToGrid w:val="0"/>
              <w:jc w:val="center"/>
              <w:rPr>
                <w:rFonts w:ascii="Times New Roman" w:hAnsi="Times New Roman"/>
                <w:bCs/>
                <w:sz w:val="21"/>
                <w:szCs w:val="21"/>
              </w:rPr>
            </w:pPr>
          </w:p>
        </w:tc>
        <w:tc>
          <w:tcPr>
            <w:tcW w:w="736" w:type="dxa"/>
            <w:tcBorders>
              <w:right w:val="single" w:color="auto" w:sz="12" w:space="0"/>
            </w:tcBorders>
            <w:vAlign w:val="center"/>
          </w:tcPr>
          <w:p w14:paraId="692A3673">
            <w:pPr>
              <w:widowControl w:val="0"/>
              <w:snapToGrid w:val="0"/>
              <w:jc w:val="center"/>
              <w:rPr>
                <w:rFonts w:ascii="Times New Roman" w:hAnsi="Times New Roman"/>
                <w:bCs/>
                <w:sz w:val="21"/>
                <w:szCs w:val="21"/>
              </w:rPr>
            </w:pPr>
          </w:p>
        </w:tc>
      </w:tr>
      <w:tr w14:paraId="432B2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2" w:type="dxa"/>
            <w:tcBorders>
              <w:left w:val="single" w:color="auto" w:sz="12" w:space="0"/>
            </w:tcBorders>
            <w:shd w:val="clear" w:color="auto" w:fill="auto"/>
          </w:tcPr>
          <w:p w14:paraId="763A77A4">
            <w:pPr>
              <w:pStyle w:val="14"/>
              <w:widowControl w:val="0"/>
              <w:jc w:val="left"/>
            </w:pPr>
            <w:r>
              <w:rPr>
                <w:rFonts w:hint="eastAsia" w:ascii="宋体" w:hAnsi="宋体"/>
                <w:bCs/>
              </w:rPr>
              <w:t>第五单元 呼吸机</w:t>
            </w:r>
          </w:p>
        </w:tc>
        <w:tc>
          <w:tcPr>
            <w:tcW w:w="1926" w:type="dxa"/>
            <w:vAlign w:val="center"/>
          </w:tcPr>
          <w:p w14:paraId="3C0CB8AD">
            <w:pPr>
              <w:widowControl w:val="0"/>
              <w:snapToGrid w:val="0"/>
              <w:jc w:val="center"/>
              <w:rPr>
                <w:rFonts w:ascii="Times New Roman" w:hAnsi="Times New Roman"/>
                <w:bCs/>
                <w:sz w:val="21"/>
                <w:szCs w:val="21"/>
              </w:rPr>
            </w:pPr>
            <w:r>
              <w:rPr>
                <w:rFonts w:hint="eastAsia"/>
                <w:sz w:val="21"/>
                <w:szCs w:val="21"/>
              </w:rPr>
              <w:t>讲授法</w:t>
            </w:r>
          </w:p>
        </w:tc>
        <w:tc>
          <w:tcPr>
            <w:tcW w:w="1784" w:type="dxa"/>
            <w:vAlign w:val="center"/>
          </w:tcPr>
          <w:p w14:paraId="4F15A67B">
            <w:pPr>
              <w:widowControl w:val="0"/>
              <w:snapToGrid w:val="0"/>
              <w:jc w:val="center"/>
              <w:rPr>
                <w:rFonts w:ascii="Times New Roman" w:hAnsi="Times New Roman"/>
                <w:bCs/>
                <w:sz w:val="21"/>
                <w:szCs w:val="21"/>
              </w:rPr>
            </w:pPr>
            <w:r>
              <w:rPr>
                <w:rFonts w:hint="eastAsia" w:ascii="Times New Roman" w:hAnsi="Times New Roman"/>
                <w:bCs/>
                <w:sz w:val="21"/>
                <w:szCs w:val="21"/>
              </w:rPr>
              <w:t>总结性报告</w:t>
            </w:r>
          </w:p>
        </w:tc>
        <w:tc>
          <w:tcPr>
            <w:tcW w:w="744" w:type="dxa"/>
            <w:vAlign w:val="center"/>
          </w:tcPr>
          <w:p w14:paraId="0CA08A2A">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86" w:type="dxa"/>
            <w:vAlign w:val="center"/>
          </w:tcPr>
          <w:p w14:paraId="05E119B2">
            <w:pPr>
              <w:widowControl w:val="0"/>
              <w:snapToGrid w:val="0"/>
              <w:jc w:val="center"/>
              <w:rPr>
                <w:rFonts w:ascii="Times New Roman" w:hAnsi="Times New Roman"/>
                <w:bCs/>
                <w:sz w:val="21"/>
                <w:szCs w:val="21"/>
              </w:rPr>
            </w:pPr>
          </w:p>
        </w:tc>
        <w:tc>
          <w:tcPr>
            <w:tcW w:w="736" w:type="dxa"/>
            <w:tcBorders>
              <w:right w:val="single" w:color="auto" w:sz="12" w:space="0"/>
            </w:tcBorders>
            <w:vAlign w:val="center"/>
          </w:tcPr>
          <w:p w14:paraId="27A36A21">
            <w:pPr>
              <w:widowControl w:val="0"/>
              <w:snapToGrid w:val="0"/>
              <w:jc w:val="center"/>
              <w:rPr>
                <w:rFonts w:ascii="Times New Roman" w:hAnsi="Times New Roman"/>
                <w:bCs/>
                <w:sz w:val="21"/>
                <w:szCs w:val="21"/>
              </w:rPr>
            </w:pPr>
          </w:p>
        </w:tc>
      </w:tr>
      <w:tr w14:paraId="5ED9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2" w:type="dxa"/>
            <w:tcBorders>
              <w:left w:val="single" w:color="auto" w:sz="12" w:space="0"/>
            </w:tcBorders>
            <w:shd w:val="clear" w:color="auto" w:fill="auto"/>
          </w:tcPr>
          <w:p w14:paraId="6A144C36">
            <w:pPr>
              <w:pStyle w:val="14"/>
              <w:widowControl w:val="0"/>
              <w:jc w:val="left"/>
            </w:pPr>
            <w:r>
              <w:rPr>
                <w:rFonts w:hint="eastAsia" w:ascii="宋体" w:hAnsi="宋体"/>
                <w:bCs/>
              </w:rPr>
              <w:t>第六单元 麻醉机</w:t>
            </w:r>
          </w:p>
        </w:tc>
        <w:tc>
          <w:tcPr>
            <w:tcW w:w="1926" w:type="dxa"/>
            <w:shd w:val="clear" w:color="auto" w:fill="auto"/>
            <w:vAlign w:val="center"/>
          </w:tcPr>
          <w:p w14:paraId="27BC9780">
            <w:pPr>
              <w:widowControl/>
              <w:jc w:val="center"/>
              <w:rPr>
                <w:rFonts w:hint="eastAsia"/>
                <w:sz w:val="21"/>
                <w:szCs w:val="21"/>
              </w:rPr>
            </w:pPr>
            <w:r>
              <w:rPr>
                <w:rFonts w:hint="eastAsia"/>
                <w:sz w:val="21"/>
                <w:szCs w:val="21"/>
              </w:rPr>
              <w:t>讲授法</w:t>
            </w:r>
          </w:p>
        </w:tc>
        <w:tc>
          <w:tcPr>
            <w:tcW w:w="1784" w:type="dxa"/>
            <w:vAlign w:val="center"/>
          </w:tcPr>
          <w:p w14:paraId="090CC1DA">
            <w:pPr>
              <w:widowControl w:val="0"/>
              <w:snapToGrid w:val="0"/>
              <w:jc w:val="center"/>
              <w:rPr>
                <w:rFonts w:ascii="Times New Roman" w:hAnsi="Times New Roman"/>
                <w:bCs/>
                <w:sz w:val="21"/>
                <w:szCs w:val="21"/>
              </w:rPr>
            </w:pPr>
            <w:r>
              <w:rPr>
                <w:rFonts w:hint="eastAsia" w:ascii="Times New Roman" w:hAnsi="Times New Roman"/>
                <w:bCs/>
                <w:sz w:val="21"/>
                <w:szCs w:val="21"/>
              </w:rPr>
              <w:t>总结性报告</w:t>
            </w:r>
          </w:p>
        </w:tc>
        <w:tc>
          <w:tcPr>
            <w:tcW w:w="744" w:type="dxa"/>
            <w:vAlign w:val="center"/>
          </w:tcPr>
          <w:p w14:paraId="49756C16">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86" w:type="dxa"/>
            <w:vAlign w:val="center"/>
          </w:tcPr>
          <w:p w14:paraId="38C0620F">
            <w:pPr>
              <w:widowControl w:val="0"/>
              <w:snapToGrid w:val="0"/>
              <w:jc w:val="center"/>
              <w:rPr>
                <w:rFonts w:ascii="Times New Roman" w:hAnsi="Times New Roman"/>
                <w:bCs/>
                <w:sz w:val="21"/>
                <w:szCs w:val="21"/>
              </w:rPr>
            </w:pPr>
          </w:p>
        </w:tc>
        <w:tc>
          <w:tcPr>
            <w:tcW w:w="736" w:type="dxa"/>
            <w:tcBorders>
              <w:right w:val="single" w:color="auto" w:sz="12" w:space="0"/>
            </w:tcBorders>
            <w:vAlign w:val="center"/>
          </w:tcPr>
          <w:p w14:paraId="477E99AA">
            <w:pPr>
              <w:widowControl w:val="0"/>
              <w:snapToGrid w:val="0"/>
              <w:jc w:val="center"/>
              <w:rPr>
                <w:rFonts w:ascii="Times New Roman" w:hAnsi="Times New Roman"/>
                <w:bCs/>
                <w:sz w:val="21"/>
                <w:szCs w:val="21"/>
              </w:rPr>
            </w:pPr>
          </w:p>
        </w:tc>
      </w:tr>
      <w:tr w14:paraId="0F7AA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2" w:type="dxa"/>
            <w:tcBorders>
              <w:left w:val="single" w:color="auto" w:sz="12" w:space="0"/>
            </w:tcBorders>
            <w:shd w:val="clear" w:color="auto" w:fill="auto"/>
          </w:tcPr>
          <w:p w14:paraId="66D17D5E">
            <w:pPr>
              <w:pStyle w:val="14"/>
              <w:widowControl w:val="0"/>
              <w:jc w:val="left"/>
            </w:pPr>
            <w:r>
              <w:rPr>
                <w:rFonts w:hint="eastAsia" w:ascii="宋体" w:hAnsi="宋体"/>
                <w:bCs/>
              </w:rPr>
              <w:t>第七单元 医用床类</w:t>
            </w:r>
          </w:p>
        </w:tc>
        <w:tc>
          <w:tcPr>
            <w:tcW w:w="1926" w:type="dxa"/>
            <w:shd w:val="clear" w:color="auto" w:fill="auto"/>
            <w:vAlign w:val="center"/>
          </w:tcPr>
          <w:p w14:paraId="0DC366B4">
            <w:pPr>
              <w:widowControl/>
              <w:jc w:val="center"/>
              <w:rPr>
                <w:rFonts w:hint="eastAsia"/>
                <w:sz w:val="21"/>
                <w:szCs w:val="21"/>
              </w:rPr>
            </w:pPr>
            <w:r>
              <w:rPr>
                <w:rFonts w:hint="eastAsia"/>
                <w:sz w:val="21"/>
                <w:szCs w:val="21"/>
              </w:rPr>
              <w:t>翻转课堂</w:t>
            </w:r>
          </w:p>
        </w:tc>
        <w:tc>
          <w:tcPr>
            <w:tcW w:w="1784" w:type="dxa"/>
            <w:vAlign w:val="center"/>
          </w:tcPr>
          <w:p w14:paraId="1C47BBEB">
            <w:pPr>
              <w:widowControl w:val="0"/>
              <w:snapToGrid w:val="0"/>
              <w:jc w:val="center"/>
              <w:rPr>
                <w:rFonts w:ascii="Times New Roman" w:hAnsi="Times New Roman"/>
                <w:bCs/>
                <w:sz w:val="21"/>
                <w:szCs w:val="21"/>
              </w:rPr>
            </w:pPr>
            <w:r>
              <w:rPr>
                <w:rFonts w:hint="eastAsia" w:ascii="Times New Roman" w:hAnsi="Times New Roman"/>
                <w:bCs/>
                <w:sz w:val="21"/>
                <w:szCs w:val="21"/>
              </w:rPr>
              <w:t>调研报告</w:t>
            </w:r>
          </w:p>
          <w:p w14:paraId="0700E683">
            <w:pPr>
              <w:widowControl w:val="0"/>
              <w:snapToGrid w:val="0"/>
              <w:jc w:val="center"/>
              <w:rPr>
                <w:rFonts w:ascii="Times New Roman" w:hAnsi="Times New Roman"/>
                <w:bCs/>
                <w:sz w:val="21"/>
                <w:szCs w:val="21"/>
              </w:rPr>
            </w:pPr>
            <w:r>
              <w:rPr>
                <w:rFonts w:hint="eastAsia" w:ascii="Times New Roman" w:hAnsi="Times New Roman"/>
                <w:bCs/>
                <w:sz w:val="21"/>
                <w:szCs w:val="21"/>
              </w:rPr>
              <w:t>小组汇报</w:t>
            </w:r>
          </w:p>
        </w:tc>
        <w:tc>
          <w:tcPr>
            <w:tcW w:w="744" w:type="dxa"/>
            <w:vAlign w:val="center"/>
          </w:tcPr>
          <w:p w14:paraId="4897F5A6">
            <w:pPr>
              <w:widowControl w:val="0"/>
              <w:snapToGrid w:val="0"/>
              <w:jc w:val="center"/>
              <w:rPr>
                <w:rFonts w:ascii="Times New Roman" w:hAnsi="Times New Roman"/>
                <w:bCs/>
                <w:sz w:val="21"/>
                <w:szCs w:val="21"/>
              </w:rPr>
            </w:pPr>
          </w:p>
        </w:tc>
        <w:tc>
          <w:tcPr>
            <w:tcW w:w="686" w:type="dxa"/>
            <w:vAlign w:val="center"/>
          </w:tcPr>
          <w:p w14:paraId="08B7B4C7">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36" w:type="dxa"/>
            <w:tcBorders>
              <w:right w:val="single" w:color="auto" w:sz="12" w:space="0"/>
            </w:tcBorders>
            <w:vAlign w:val="center"/>
          </w:tcPr>
          <w:p w14:paraId="0A9EF71C">
            <w:pPr>
              <w:widowControl w:val="0"/>
              <w:snapToGrid w:val="0"/>
              <w:jc w:val="center"/>
              <w:rPr>
                <w:rFonts w:ascii="Times New Roman" w:hAnsi="Times New Roman"/>
                <w:bCs/>
                <w:sz w:val="21"/>
                <w:szCs w:val="21"/>
              </w:rPr>
            </w:pPr>
          </w:p>
        </w:tc>
      </w:tr>
      <w:tr w14:paraId="7AF3C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2" w:type="dxa"/>
            <w:tcBorders>
              <w:left w:val="single" w:color="auto" w:sz="12" w:space="0"/>
            </w:tcBorders>
            <w:shd w:val="clear" w:color="auto" w:fill="auto"/>
          </w:tcPr>
          <w:p w14:paraId="6F212A16">
            <w:pPr>
              <w:pStyle w:val="14"/>
              <w:widowControl w:val="0"/>
              <w:jc w:val="left"/>
            </w:pPr>
            <w:r>
              <w:rPr>
                <w:rFonts w:hint="eastAsia" w:ascii="宋体" w:hAnsi="宋体"/>
                <w:bCs/>
              </w:rPr>
              <w:t>第八单元 高压氧舱</w:t>
            </w:r>
          </w:p>
        </w:tc>
        <w:tc>
          <w:tcPr>
            <w:tcW w:w="1926" w:type="dxa"/>
            <w:shd w:val="clear" w:color="auto" w:fill="auto"/>
            <w:vAlign w:val="center"/>
          </w:tcPr>
          <w:p w14:paraId="6658788A">
            <w:pPr>
              <w:widowControl/>
              <w:jc w:val="center"/>
              <w:rPr>
                <w:rFonts w:hint="eastAsia"/>
                <w:sz w:val="21"/>
                <w:szCs w:val="21"/>
              </w:rPr>
            </w:pPr>
            <w:r>
              <w:rPr>
                <w:rFonts w:hint="eastAsia"/>
                <w:sz w:val="21"/>
                <w:szCs w:val="21"/>
              </w:rPr>
              <w:t>讲授法</w:t>
            </w:r>
          </w:p>
          <w:p w14:paraId="6B152B5C">
            <w:pPr>
              <w:widowControl/>
              <w:jc w:val="center"/>
              <w:rPr>
                <w:rFonts w:hint="eastAsia"/>
                <w:sz w:val="21"/>
                <w:szCs w:val="21"/>
              </w:rPr>
            </w:pPr>
            <w:r>
              <w:rPr>
                <w:rFonts w:hint="eastAsia"/>
                <w:sz w:val="21"/>
                <w:szCs w:val="21"/>
              </w:rPr>
              <w:t>实验室实训</w:t>
            </w:r>
          </w:p>
        </w:tc>
        <w:tc>
          <w:tcPr>
            <w:tcW w:w="1784" w:type="dxa"/>
            <w:vAlign w:val="center"/>
          </w:tcPr>
          <w:p w14:paraId="262D5179">
            <w:pPr>
              <w:widowControl w:val="0"/>
              <w:snapToGrid w:val="0"/>
              <w:jc w:val="center"/>
              <w:rPr>
                <w:rFonts w:ascii="Times New Roman" w:hAnsi="Times New Roman"/>
                <w:bCs/>
                <w:sz w:val="21"/>
                <w:szCs w:val="21"/>
              </w:rPr>
            </w:pPr>
            <w:r>
              <w:rPr>
                <w:rFonts w:hint="eastAsia" w:ascii="Times New Roman" w:hAnsi="Times New Roman"/>
                <w:bCs/>
                <w:sz w:val="21"/>
                <w:szCs w:val="21"/>
              </w:rPr>
              <w:t>总结性报告</w:t>
            </w:r>
          </w:p>
        </w:tc>
        <w:tc>
          <w:tcPr>
            <w:tcW w:w="744" w:type="dxa"/>
            <w:vAlign w:val="center"/>
          </w:tcPr>
          <w:p w14:paraId="339B5BE9">
            <w:pPr>
              <w:widowControl w:val="0"/>
              <w:snapToGrid w:val="0"/>
              <w:jc w:val="center"/>
              <w:rPr>
                <w:rFonts w:ascii="Times New Roman" w:hAnsi="Times New Roman"/>
                <w:bCs/>
                <w:sz w:val="21"/>
                <w:szCs w:val="21"/>
              </w:rPr>
            </w:pPr>
          </w:p>
        </w:tc>
        <w:tc>
          <w:tcPr>
            <w:tcW w:w="686" w:type="dxa"/>
            <w:vAlign w:val="center"/>
          </w:tcPr>
          <w:p w14:paraId="6A21C206">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36" w:type="dxa"/>
            <w:tcBorders>
              <w:right w:val="single" w:color="auto" w:sz="12" w:space="0"/>
            </w:tcBorders>
            <w:vAlign w:val="center"/>
          </w:tcPr>
          <w:p w14:paraId="2C1D4BDA">
            <w:pPr>
              <w:widowControl w:val="0"/>
              <w:snapToGrid w:val="0"/>
              <w:jc w:val="center"/>
              <w:rPr>
                <w:rFonts w:ascii="Times New Roman" w:hAnsi="Times New Roman"/>
                <w:bCs/>
                <w:sz w:val="21"/>
                <w:szCs w:val="21"/>
              </w:rPr>
            </w:pPr>
          </w:p>
        </w:tc>
      </w:tr>
      <w:tr w14:paraId="11823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2" w:type="dxa"/>
            <w:tcBorders>
              <w:left w:val="single" w:color="auto" w:sz="12" w:space="0"/>
            </w:tcBorders>
            <w:shd w:val="clear" w:color="auto" w:fill="auto"/>
          </w:tcPr>
          <w:p w14:paraId="74CE3DC6">
            <w:pPr>
              <w:pStyle w:val="14"/>
              <w:widowControl w:val="0"/>
              <w:jc w:val="left"/>
            </w:pPr>
            <w:r>
              <w:rPr>
                <w:rFonts w:hint="eastAsia" w:ascii="宋体" w:hAnsi="宋体"/>
                <w:bCs/>
              </w:rPr>
              <w:t xml:space="preserve">第九单元 </w:t>
            </w:r>
            <w:r>
              <w:rPr>
                <w:rFonts w:hint="eastAsia"/>
              </w:rPr>
              <w:t>医用机器人</w:t>
            </w:r>
          </w:p>
        </w:tc>
        <w:tc>
          <w:tcPr>
            <w:tcW w:w="1926" w:type="dxa"/>
            <w:shd w:val="clear" w:color="auto" w:fill="auto"/>
            <w:vAlign w:val="center"/>
          </w:tcPr>
          <w:p w14:paraId="2724D608">
            <w:pPr>
              <w:widowControl/>
              <w:jc w:val="center"/>
              <w:rPr>
                <w:rFonts w:hint="eastAsia"/>
                <w:sz w:val="21"/>
                <w:szCs w:val="21"/>
              </w:rPr>
            </w:pPr>
            <w:r>
              <w:rPr>
                <w:rFonts w:hint="eastAsia"/>
                <w:sz w:val="21"/>
                <w:szCs w:val="21"/>
              </w:rPr>
              <w:t>讲授法</w:t>
            </w:r>
          </w:p>
        </w:tc>
        <w:tc>
          <w:tcPr>
            <w:tcW w:w="1784" w:type="dxa"/>
            <w:vAlign w:val="center"/>
          </w:tcPr>
          <w:p w14:paraId="4B33C98C">
            <w:pPr>
              <w:widowControl w:val="0"/>
              <w:snapToGrid w:val="0"/>
              <w:jc w:val="center"/>
              <w:rPr>
                <w:rFonts w:ascii="Times New Roman" w:hAnsi="Times New Roman"/>
                <w:bCs/>
                <w:sz w:val="21"/>
                <w:szCs w:val="21"/>
              </w:rPr>
            </w:pPr>
            <w:r>
              <w:rPr>
                <w:rFonts w:hint="eastAsia" w:ascii="Times New Roman" w:hAnsi="Times New Roman"/>
                <w:bCs/>
                <w:sz w:val="21"/>
                <w:szCs w:val="21"/>
              </w:rPr>
              <w:t>总结性报告</w:t>
            </w:r>
          </w:p>
        </w:tc>
        <w:tc>
          <w:tcPr>
            <w:tcW w:w="744" w:type="dxa"/>
            <w:vAlign w:val="center"/>
          </w:tcPr>
          <w:p w14:paraId="1CC7D521">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86" w:type="dxa"/>
            <w:vAlign w:val="center"/>
          </w:tcPr>
          <w:p w14:paraId="39482197">
            <w:pPr>
              <w:widowControl w:val="0"/>
              <w:snapToGrid w:val="0"/>
              <w:jc w:val="center"/>
              <w:rPr>
                <w:rFonts w:ascii="Times New Roman" w:hAnsi="Times New Roman"/>
                <w:bCs/>
                <w:sz w:val="21"/>
                <w:szCs w:val="21"/>
              </w:rPr>
            </w:pPr>
          </w:p>
        </w:tc>
        <w:tc>
          <w:tcPr>
            <w:tcW w:w="736" w:type="dxa"/>
            <w:tcBorders>
              <w:right w:val="single" w:color="auto" w:sz="12" w:space="0"/>
            </w:tcBorders>
            <w:vAlign w:val="center"/>
          </w:tcPr>
          <w:p w14:paraId="1F3D6617">
            <w:pPr>
              <w:widowControl w:val="0"/>
              <w:snapToGrid w:val="0"/>
              <w:jc w:val="center"/>
              <w:rPr>
                <w:rFonts w:ascii="Times New Roman" w:hAnsi="Times New Roman"/>
                <w:bCs/>
                <w:sz w:val="21"/>
                <w:szCs w:val="21"/>
              </w:rPr>
            </w:pPr>
          </w:p>
        </w:tc>
      </w:tr>
      <w:tr w14:paraId="3E4C4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2" w:type="dxa"/>
            <w:tcBorders>
              <w:left w:val="single" w:color="auto" w:sz="12" w:space="0"/>
            </w:tcBorders>
            <w:shd w:val="clear" w:color="auto" w:fill="auto"/>
          </w:tcPr>
          <w:p w14:paraId="4BA0BD53">
            <w:pPr>
              <w:pStyle w:val="14"/>
              <w:widowControl w:val="0"/>
              <w:jc w:val="left"/>
            </w:pPr>
            <w:r>
              <w:rPr>
                <w:rFonts w:hint="eastAsia"/>
              </w:rPr>
              <w:t>第十单元 医院影像设备</w:t>
            </w:r>
          </w:p>
        </w:tc>
        <w:tc>
          <w:tcPr>
            <w:tcW w:w="1926" w:type="dxa"/>
            <w:shd w:val="clear" w:color="auto" w:fill="auto"/>
            <w:vAlign w:val="center"/>
          </w:tcPr>
          <w:p w14:paraId="708C026D">
            <w:pPr>
              <w:widowControl/>
              <w:jc w:val="center"/>
              <w:rPr>
                <w:rFonts w:hint="eastAsia"/>
                <w:sz w:val="21"/>
                <w:szCs w:val="21"/>
              </w:rPr>
            </w:pPr>
            <w:r>
              <w:rPr>
                <w:rFonts w:hint="eastAsia"/>
                <w:sz w:val="21"/>
                <w:szCs w:val="21"/>
              </w:rPr>
              <w:t>讲授法</w:t>
            </w:r>
          </w:p>
        </w:tc>
        <w:tc>
          <w:tcPr>
            <w:tcW w:w="1784" w:type="dxa"/>
            <w:vAlign w:val="center"/>
          </w:tcPr>
          <w:p w14:paraId="4645F14E">
            <w:pPr>
              <w:widowControl w:val="0"/>
              <w:snapToGrid w:val="0"/>
              <w:jc w:val="center"/>
              <w:rPr>
                <w:rFonts w:ascii="Times New Roman" w:hAnsi="Times New Roman"/>
                <w:bCs/>
                <w:sz w:val="21"/>
                <w:szCs w:val="21"/>
              </w:rPr>
            </w:pPr>
            <w:r>
              <w:rPr>
                <w:rFonts w:hint="eastAsia" w:ascii="Times New Roman" w:hAnsi="Times New Roman"/>
                <w:bCs/>
                <w:sz w:val="21"/>
                <w:szCs w:val="21"/>
              </w:rPr>
              <w:t>总结性报告</w:t>
            </w:r>
          </w:p>
        </w:tc>
        <w:tc>
          <w:tcPr>
            <w:tcW w:w="744" w:type="dxa"/>
            <w:vAlign w:val="center"/>
          </w:tcPr>
          <w:p w14:paraId="044711C9">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86" w:type="dxa"/>
            <w:vAlign w:val="center"/>
          </w:tcPr>
          <w:p w14:paraId="3581F455">
            <w:pPr>
              <w:widowControl w:val="0"/>
              <w:snapToGrid w:val="0"/>
              <w:jc w:val="center"/>
              <w:rPr>
                <w:rFonts w:ascii="Times New Roman" w:hAnsi="Times New Roman"/>
                <w:bCs/>
                <w:sz w:val="21"/>
                <w:szCs w:val="21"/>
              </w:rPr>
            </w:pPr>
          </w:p>
        </w:tc>
        <w:tc>
          <w:tcPr>
            <w:tcW w:w="736" w:type="dxa"/>
            <w:tcBorders>
              <w:right w:val="single" w:color="auto" w:sz="12" w:space="0"/>
            </w:tcBorders>
            <w:vAlign w:val="center"/>
          </w:tcPr>
          <w:p w14:paraId="55873014">
            <w:pPr>
              <w:widowControl w:val="0"/>
              <w:snapToGrid w:val="0"/>
              <w:jc w:val="center"/>
              <w:rPr>
                <w:rFonts w:ascii="Times New Roman" w:hAnsi="Times New Roman"/>
                <w:bCs/>
                <w:sz w:val="21"/>
                <w:szCs w:val="21"/>
              </w:rPr>
            </w:pPr>
          </w:p>
        </w:tc>
      </w:tr>
      <w:tr w14:paraId="00127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2" w:type="dxa"/>
            <w:tcBorders>
              <w:left w:val="single" w:color="auto" w:sz="12" w:space="0"/>
            </w:tcBorders>
            <w:shd w:val="clear" w:color="auto" w:fill="auto"/>
          </w:tcPr>
          <w:p w14:paraId="0F94C2DF">
            <w:pPr>
              <w:pStyle w:val="14"/>
              <w:widowControl w:val="0"/>
              <w:jc w:val="left"/>
            </w:pPr>
            <w:r>
              <w:rPr>
                <w:rFonts w:hint="eastAsia"/>
              </w:rPr>
              <w:t>第十一单元 医用超声设备</w:t>
            </w:r>
          </w:p>
        </w:tc>
        <w:tc>
          <w:tcPr>
            <w:tcW w:w="1926" w:type="dxa"/>
            <w:shd w:val="clear" w:color="auto" w:fill="auto"/>
            <w:vAlign w:val="center"/>
          </w:tcPr>
          <w:p w14:paraId="5904A466">
            <w:pPr>
              <w:widowControl/>
              <w:jc w:val="center"/>
              <w:rPr>
                <w:rFonts w:ascii="Times New Roman" w:hAnsi="Times New Roman" w:cs="Times New Roman"/>
                <w:sz w:val="21"/>
                <w:szCs w:val="21"/>
              </w:rPr>
            </w:pPr>
            <w:r>
              <w:rPr>
                <w:rFonts w:hint="eastAsia"/>
                <w:sz w:val="21"/>
                <w:szCs w:val="21"/>
              </w:rPr>
              <w:t>讲授法</w:t>
            </w:r>
          </w:p>
        </w:tc>
        <w:tc>
          <w:tcPr>
            <w:tcW w:w="1784" w:type="dxa"/>
            <w:vAlign w:val="center"/>
          </w:tcPr>
          <w:p w14:paraId="2223D085">
            <w:pPr>
              <w:widowControl w:val="0"/>
              <w:snapToGrid w:val="0"/>
              <w:jc w:val="center"/>
              <w:rPr>
                <w:rFonts w:ascii="Times New Roman" w:hAnsi="Times New Roman"/>
                <w:bCs/>
                <w:sz w:val="21"/>
                <w:szCs w:val="21"/>
              </w:rPr>
            </w:pPr>
            <w:r>
              <w:rPr>
                <w:rFonts w:hint="eastAsia" w:ascii="Times New Roman" w:hAnsi="Times New Roman"/>
                <w:bCs/>
                <w:sz w:val="21"/>
                <w:szCs w:val="21"/>
              </w:rPr>
              <w:t>总结性报告</w:t>
            </w:r>
          </w:p>
        </w:tc>
        <w:tc>
          <w:tcPr>
            <w:tcW w:w="744" w:type="dxa"/>
            <w:vAlign w:val="center"/>
          </w:tcPr>
          <w:p w14:paraId="530354A2">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86" w:type="dxa"/>
            <w:vAlign w:val="center"/>
          </w:tcPr>
          <w:p w14:paraId="41D2AE48">
            <w:pPr>
              <w:widowControl w:val="0"/>
              <w:snapToGrid w:val="0"/>
              <w:jc w:val="center"/>
              <w:rPr>
                <w:rFonts w:ascii="Times New Roman" w:hAnsi="Times New Roman"/>
                <w:bCs/>
                <w:sz w:val="21"/>
                <w:szCs w:val="21"/>
              </w:rPr>
            </w:pPr>
          </w:p>
        </w:tc>
        <w:tc>
          <w:tcPr>
            <w:tcW w:w="736" w:type="dxa"/>
            <w:tcBorders>
              <w:right w:val="single" w:color="auto" w:sz="12" w:space="0"/>
            </w:tcBorders>
            <w:vAlign w:val="center"/>
          </w:tcPr>
          <w:p w14:paraId="4A74DB6B">
            <w:pPr>
              <w:widowControl w:val="0"/>
              <w:snapToGrid w:val="0"/>
              <w:jc w:val="center"/>
              <w:rPr>
                <w:rFonts w:ascii="Times New Roman" w:hAnsi="Times New Roman"/>
                <w:bCs/>
                <w:sz w:val="21"/>
                <w:szCs w:val="21"/>
              </w:rPr>
            </w:pPr>
          </w:p>
        </w:tc>
      </w:tr>
      <w:tr w14:paraId="095C3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2" w:type="dxa"/>
            <w:tcBorders>
              <w:left w:val="single" w:color="auto" w:sz="12" w:space="0"/>
            </w:tcBorders>
            <w:shd w:val="clear" w:color="auto" w:fill="auto"/>
          </w:tcPr>
          <w:p w14:paraId="5FFFD502">
            <w:pPr>
              <w:pStyle w:val="14"/>
              <w:widowControl w:val="0"/>
              <w:jc w:val="left"/>
            </w:pPr>
            <w:r>
              <w:rPr>
                <w:rFonts w:hint="eastAsia"/>
              </w:rPr>
              <w:t>第十二单元 医疗器械监管法规</w:t>
            </w:r>
          </w:p>
        </w:tc>
        <w:tc>
          <w:tcPr>
            <w:tcW w:w="1926" w:type="dxa"/>
            <w:shd w:val="clear" w:color="auto" w:fill="auto"/>
            <w:vAlign w:val="center"/>
          </w:tcPr>
          <w:p w14:paraId="749BA96F">
            <w:pPr>
              <w:widowControl/>
              <w:jc w:val="center"/>
              <w:rPr>
                <w:rFonts w:hint="eastAsia"/>
                <w:sz w:val="21"/>
                <w:szCs w:val="21"/>
              </w:rPr>
            </w:pPr>
            <w:r>
              <w:rPr>
                <w:rFonts w:hint="eastAsia"/>
                <w:sz w:val="21"/>
                <w:szCs w:val="21"/>
              </w:rPr>
              <w:t>讲授法</w:t>
            </w:r>
          </w:p>
        </w:tc>
        <w:tc>
          <w:tcPr>
            <w:tcW w:w="1784" w:type="dxa"/>
            <w:vAlign w:val="center"/>
          </w:tcPr>
          <w:p w14:paraId="12BFEA88">
            <w:pPr>
              <w:widowControl w:val="0"/>
              <w:snapToGrid w:val="0"/>
              <w:jc w:val="center"/>
              <w:rPr>
                <w:rFonts w:ascii="Times New Roman" w:hAnsi="Times New Roman"/>
                <w:bCs/>
                <w:sz w:val="21"/>
                <w:szCs w:val="21"/>
              </w:rPr>
            </w:pPr>
            <w:r>
              <w:rPr>
                <w:rFonts w:hint="eastAsia" w:ascii="Times New Roman" w:hAnsi="Times New Roman"/>
                <w:bCs/>
                <w:sz w:val="21"/>
                <w:szCs w:val="21"/>
              </w:rPr>
              <w:t>总结性报告</w:t>
            </w:r>
          </w:p>
        </w:tc>
        <w:tc>
          <w:tcPr>
            <w:tcW w:w="744" w:type="dxa"/>
            <w:vAlign w:val="center"/>
          </w:tcPr>
          <w:p w14:paraId="679529C3">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86" w:type="dxa"/>
            <w:vAlign w:val="center"/>
          </w:tcPr>
          <w:p w14:paraId="60700D2E">
            <w:pPr>
              <w:widowControl w:val="0"/>
              <w:snapToGrid w:val="0"/>
              <w:jc w:val="center"/>
              <w:rPr>
                <w:rFonts w:ascii="Times New Roman" w:hAnsi="Times New Roman"/>
                <w:bCs/>
                <w:sz w:val="21"/>
                <w:szCs w:val="21"/>
              </w:rPr>
            </w:pPr>
          </w:p>
        </w:tc>
        <w:tc>
          <w:tcPr>
            <w:tcW w:w="736" w:type="dxa"/>
            <w:tcBorders>
              <w:right w:val="single" w:color="auto" w:sz="12" w:space="0"/>
            </w:tcBorders>
            <w:vAlign w:val="center"/>
          </w:tcPr>
          <w:p w14:paraId="45B69AC4">
            <w:pPr>
              <w:widowControl w:val="0"/>
              <w:snapToGrid w:val="0"/>
              <w:jc w:val="center"/>
              <w:rPr>
                <w:rFonts w:ascii="Times New Roman" w:hAnsi="Times New Roman"/>
                <w:bCs/>
                <w:sz w:val="21"/>
                <w:szCs w:val="21"/>
              </w:rPr>
            </w:pPr>
          </w:p>
        </w:tc>
      </w:tr>
      <w:tr w14:paraId="2C23E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532" w:type="dxa"/>
            <w:gridSpan w:val="3"/>
            <w:tcBorders>
              <w:left w:val="single" w:color="auto" w:sz="12" w:space="0"/>
              <w:bottom w:val="single" w:color="auto" w:sz="12" w:space="0"/>
            </w:tcBorders>
            <w:vAlign w:val="center"/>
          </w:tcPr>
          <w:p w14:paraId="30D4EC32">
            <w:pPr>
              <w:pStyle w:val="13"/>
              <w:widowControl w:val="0"/>
            </w:pPr>
            <w:r>
              <w:rPr>
                <w:rFonts w:hint="eastAsia"/>
              </w:rPr>
              <w:t>合计</w:t>
            </w:r>
          </w:p>
        </w:tc>
        <w:tc>
          <w:tcPr>
            <w:tcW w:w="744" w:type="dxa"/>
            <w:tcBorders>
              <w:bottom w:val="single" w:color="auto" w:sz="12" w:space="0"/>
            </w:tcBorders>
            <w:vAlign w:val="center"/>
          </w:tcPr>
          <w:p w14:paraId="7375F8A7">
            <w:pPr>
              <w:widowControl w:val="0"/>
              <w:snapToGrid w:val="0"/>
              <w:jc w:val="center"/>
              <w:rPr>
                <w:rFonts w:ascii="Times New Roman" w:hAnsi="Times New Roman"/>
                <w:bCs/>
                <w:sz w:val="21"/>
                <w:szCs w:val="21"/>
              </w:rPr>
            </w:pPr>
            <w:r>
              <w:rPr>
                <w:rFonts w:hint="eastAsia" w:ascii="Times New Roman" w:hAnsi="Times New Roman"/>
                <w:bCs/>
                <w:sz w:val="21"/>
                <w:szCs w:val="21"/>
              </w:rPr>
              <w:t>24</w:t>
            </w:r>
          </w:p>
        </w:tc>
        <w:tc>
          <w:tcPr>
            <w:tcW w:w="686" w:type="dxa"/>
            <w:tcBorders>
              <w:bottom w:val="single" w:color="auto" w:sz="12" w:space="0"/>
            </w:tcBorders>
            <w:vAlign w:val="center"/>
          </w:tcPr>
          <w:p w14:paraId="0FD10B3E">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c>
          <w:tcPr>
            <w:tcW w:w="736" w:type="dxa"/>
            <w:tcBorders>
              <w:bottom w:val="single" w:color="auto" w:sz="12" w:space="0"/>
              <w:right w:val="single" w:color="auto" w:sz="12" w:space="0"/>
            </w:tcBorders>
            <w:vAlign w:val="center"/>
          </w:tcPr>
          <w:p w14:paraId="61A904A4">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r>
    </w:tbl>
    <w:p w14:paraId="795A62B8">
      <w:pPr>
        <w:pStyle w:val="17"/>
        <w:spacing w:before="326" w:beforeLines="100" w:after="163"/>
      </w:pPr>
      <w:r>
        <w:rPr>
          <w:rFonts w:hint="eastAsia"/>
        </w:rPr>
        <w:t>（四）课内实验项目与基本要求</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42"/>
        <w:gridCol w:w="1650"/>
        <w:gridCol w:w="4441"/>
        <w:gridCol w:w="886"/>
        <w:gridCol w:w="977"/>
      </w:tblGrid>
      <w:tr w14:paraId="1FBB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39" w:type="dxa"/>
            <w:tcBorders>
              <w:top w:val="single" w:color="auto" w:sz="12" w:space="0"/>
              <w:left w:val="single" w:color="auto" w:sz="12" w:space="0"/>
              <w:bottom w:val="single" w:color="auto" w:sz="4" w:space="0"/>
              <w:right w:val="single" w:color="auto" w:sz="4" w:space="0"/>
            </w:tcBorders>
            <w:shd w:val="clear" w:color="auto" w:fill="auto"/>
            <w:vAlign w:val="center"/>
          </w:tcPr>
          <w:p w14:paraId="1B8A2149">
            <w:pPr>
              <w:pStyle w:val="13"/>
              <w:rPr>
                <w:szCs w:val="16"/>
              </w:rPr>
            </w:pPr>
            <w:r>
              <w:rPr>
                <w:rFonts w:hint="eastAsia"/>
                <w:szCs w:val="16"/>
              </w:rPr>
              <w:t>序号</w:t>
            </w:r>
          </w:p>
        </w:tc>
        <w:tc>
          <w:tcPr>
            <w:tcW w:w="1650" w:type="dxa"/>
            <w:tcBorders>
              <w:top w:val="single" w:color="auto" w:sz="12" w:space="0"/>
              <w:left w:val="single" w:color="auto" w:sz="4" w:space="0"/>
              <w:bottom w:val="single" w:color="auto" w:sz="4" w:space="0"/>
              <w:right w:val="single" w:color="auto" w:sz="4" w:space="0"/>
            </w:tcBorders>
            <w:shd w:val="clear" w:color="auto" w:fill="auto"/>
            <w:vAlign w:val="center"/>
          </w:tcPr>
          <w:p w14:paraId="1D2BAB7D">
            <w:pPr>
              <w:pStyle w:val="13"/>
              <w:rPr>
                <w:szCs w:val="16"/>
              </w:rPr>
            </w:pPr>
            <w:r>
              <w:rPr>
                <w:rFonts w:hint="eastAsia"/>
                <w:szCs w:val="16"/>
              </w:rPr>
              <w:t>实验项目名称</w:t>
            </w:r>
          </w:p>
        </w:tc>
        <w:tc>
          <w:tcPr>
            <w:tcW w:w="4449" w:type="dxa"/>
            <w:tcBorders>
              <w:top w:val="single" w:color="auto" w:sz="12" w:space="0"/>
              <w:left w:val="single" w:color="auto" w:sz="4" w:space="0"/>
              <w:bottom w:val="single" w:color="auto" w:sz="4" w:space="0"/>
              <w:right w:val="single" w:color="auto" w:sz="4" w:space="0"/>
            </w:tcBorders>
            <w:vAlign w:val="center"/>
          </w:tcPr>
          <w:p w14:paraId="2F5E9634">
            <w:pPr>
              <w:pStyle w:val="13"/>
              <w:rPr>
                <w:szCs w:val="16"/>
              </w:rPr>
            </w:pPr>
            <w:r>
              <w:rPr>
                <w:rFonts w:hint="eastAsia" w:ascii="黑体" w:hAnsi="宋体"/>
                <w:szCs w:val="16"/>
              </w:rPr>
              <w:t>目标要求与</w:t>
            </w:r>
            <w:r>
              <w:rPr>
                <w:rFonts w:hint="eastAsia"/>
                <w:szCs w:val="16"/>
              </w:rPr>
              <w:t>主要内容</w:t>
            </w:r>
          </w:p>
        </w:tc>
        <w:tc>
          <w:tcPr>
            <w:tcW w:w="884" w:type="dxa"/>
            <w:tcBorders>
              <w:top w:val="single" w:color="auto" w:sz="12" w:space="0"/>
              <w:left w:val="single" w:color="auto" w:sz="4" w:space="0"/>
              <w:right w:val="single" w:color="auto" w:sz="4" w:space="0"/>
            </w:tcBorders>
            <w:shd w:val="clear" w:color="auto" w:fill="auto"/>
            <w:vAlign w:val="center"/>
          </w:tcPr>
          <w:p w14:paraId="5AB520C8">
            <w:pPr>
              <w:pStyle w:val="13"/>
              <w:rPr>
                <w:szCs w:val="16"/>
              </w:rPr>
            </w:pPr>
            <w:r>
              <w:rPr>
                <w:rFonts w:hint="eastAsia"/>
                <w:szCs w:val="16"/>
              </w:rPr>
              <w:t>实验</w:t>
            </w:r>
          </w:p>
          <w:p w14:paraId="71B774F7">
            <w:pPr>
              <w:pStyle w:val="13"/>
              <w:rPr>
                <w:szCs w:val="16"/>
              </w:rPr>
            </w:pPr>
            <w:r>
              <w:rPr>
                <w:rFonts w:hint="eastAsia"/>
                <w:szCs w:val="16"/>
              </w:rPr>
              <w:t>时数</w:t>
            </w:r>
          </w:p>
        </w:tc>
        <w:tc>
          <w:tcPr>
            <w:tcW w:w="975" w:type="dxa"/>
            <w:tcBorders>
              <w:top w:val="single" w:color="auto" w:sz="12" w:space="0"/>
              <w:left w:val="single" w:color="auto" w:sz="4" w:space="0"/>
              <w:right w:val="single" w:color="auto" w:sz="12" w:space="0"/>
            </w:tcBorders>
            <w:shd w:val="clear" w:color="auto" w:fill="auto"/>
            <w:vAlign w:val="center"/>
          </w:tcPr>
          <w:p w14:paraId="260F1F8B">
            <w:pPr>
              <w:pStyle w:val="13"/>
              <w:rPr>
                <w:szCs w:val="16"/>
              </w:rPr>
            </w:pPr>
            <w:r>
              <w:rPr>
                <w:rFonts w:hint="eastAsia"/>
                <w:szCs w:val="16"/>
              </w:rPr>
              <w:t>实验</w:t>
            </w:r>
          </w:p>
          <w:p w14:paraId="2D39DC0F">
            <w:pPr>
              <w:pStyle w:val="13"/>
              <w:rPr>
                <w:szCs w:val="16"/>
              </w:rPr>
            </w:pPr>
            <w:r>
              <w:rPr>
                <w:rFonts w:hint="eastAsia"/>
                <w:szCs w:val="16"/>
              </w:rPr>
              <w:t>类型</w:t>
            </w:r>
          </w:p>
        </w:tc>
      </w:tr>
      <w:tr w14:paraId="31952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39" w:type="dxa"/>
            <w:tcBorders>
              <w:top w:val="single" w:color="auto" w:sz="4" w:space="0"/>
              <w:left w:val="single" w:color="auto" w:sz="12" w:space="0"/>
              <w:bottom w:val="single" w:color="auto" w:sz="4" w:space="0"/>
              <w:right w:val="single" w:color="auto" w:sz="4" w:space="0"/>
            </w:tcBorders>
            <w:shd w:val="clear" w:color="auto" w:fill="auto"/>
            <w:vAlign w:val="center"/>
          </w:tcPr>
          <w:p w14:paraId="068C0E74">
            <w:pPr>
              <w:pStyle w:val="14"/>
            </w:pPr>
            <w:r>
              <w:rPr>
                <w:rFonts w:hint="eastAsia"/>
              </w:rPr>
              <w:t>1</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14:paraId="461328B2">
            <w:pPr>
              <w:pStyle w:val="14"/>
            </w:pPr>
            <w:r>
              <w:rPr>
                <w:rFonts w:hint="eastAsia"/>
              </w:rPr>
              <w:t>血液净化设备</w:t>
            </w:r>
          </w:p>
        </w:tc>
        <w:tc>
          <w:tcPr>
            <w:tcW w:w="4449" w:type="dxa"/>
            <w:tcBorders>
              <w:top w:val="single" w:color="auto" w:sz="4" w:space="0"/>
              <w:left w:val="single" w:color="auto" w:sz="4" w:space="0"/>
              <w:bottom w:val="single" w:color="auto" w:sz="4" w:space="0"/>
              <w:right w:val="single" w:color="auto" w:sz="4" w:space="0"/>
            </w:tcBorders>
            <w:vAlign w:val="center"/>
          </w:tcPr>
          <w:p w14:paraId="680D031D">
            <w:pPr>
              <w:pStyle w:val="14"/>
              <w:jc w:val="left"/>
            </w:pPr>
            <w:r>
              <w:rPr>
                <w:rFonts w:hint="eastAsia"/>
              </w:rPr>
              <w:t>实验目标要求：</w:t>
            </w:r>
          </w:p>
          <w:p w14:paraId="563D5031">
            <w:pPr>
              <w:pStyle w:val="14"/>
              <w:jc w:val="left"/>
            </w:pPr>
            <w:r>
              <w:rPr>
                <w:rFonts w:hint="eastAsia"/>
              </w:rPr>
              <w:t>理论知识巩固：通过实验加深对血液透析原理、设备构成及操作流程的理解。</w:t>
            </w:r>
          </w:p>
          <w:p w14:paraId="093A4DC8">
            <w:pPr>
              <w:pStyle w:val="14"/>
              <w:jc w:val="left"/>
            </w:pPr>
            <w:r>
              <w:rPr>
                <w:rFonts w:hint="eastAsia"/>
              </w:rPr>
              <w:t>实验主要内容：</w:t>
            </w:r>
          </w:p>
          <w:p w14:paraId="1CC6AD4D">
            <w:pPr>
              <w:pStyle w:val="14"/>
              <w:jc w:val="left"/>
            </w:pPr>
            <w:r>
              <w:rPr>
                <w:rFonts w:hint="eastAsia"/>
              </w:rPr>
              <w:t>设备认知：介绍血液透析机的主要部件、工作原理及安全性能要求。</w:t>
            </w:r>
          </w:p>
        </w:tc>
        <w:tc>
          <w:tcPr>
            <w:tcW w:w="884" w:type="dxa"/>
            <w:tcBorders>
              <w:left w:val="single" w:color="auto" w:sz="4" w:space="0"/>
              <w:right w:val="single" w:color="auto" w:sz="4" w:space="0"/>
            </w:tcBorders>
            <w:shd w:val="clear" w:color="auto" w:fill="auto"/>
            <w:vAlign w:val="center"/>
          </w:tcPr>
          <w:p w14:paraId="0CF32CEE">
            <w:pPr>
              <w:pStyle w:val="14"/>
            </w:pPr>
            <w:r>
              <w:rPr>
                <w:rFonts w:hint="eastAsia"/>
              </w:rPr>
              <w:t>4</w:t>
            </w:r>
          </w:p>
        </w:tc>
        <w:tc>
          <w:tcPr>
            <w:tcW w:w="975" w:type="dxa"/>
            <w:tcBorders>
              <w:left w:val="single" w:color="auto" w:sz="4" w:space="0"/>
              <w:right w:val="single" w:color="auto" w:sz="12" w:space="0"/>
            </w:tcBorders>
            <w:shd w:val="clear" w:color="auto" w:fill="auto"/>
            <w:vAlign w:val="center"/>
          </w:tcPr>
          <w:p w14:paraId="680F64A6">
            <w:pPr>
              <w:pStyle w:val="14"/>
            </w:pPr>
            <w:r>
              <w:rPr>
                <w:rFonts w:hint="eastAsia"/>
              </w:rPr>
              <w:t>①</w:t>
            </w:r>
          </w:p>
        </w:tc>
      </w:tr>
      <w:tr w14:paraId="1CF1A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39" w:type="dxa"/>
            <w:tcBorders>
              <w:top w:val="single" w:color="auto" w:sz="4" w:space="0"/>
              <w:left w:val="single" w:color="auto" w:sz="12" w:space="0"/>
              <w:bottom w:val="single" w:color="auto" w:sz="4" w:space="0"/>
              <w:right w:val="single" w:color="auto" w:sz="4" w:space="0"/>
            </w:tcBorders>
            <w:shd w:val="clear" w:color="auto" w:fill="auto"/>
            <w:vAlign w:val="center"/>
          </w:tcPr>
          <w:p w14:paraId="42AD80AD">
            <w:pPr>
              <w:pStyle w:val="14"/>
            </w:pPr>
            <w:r>
              <w:rPr>
                <w:rFonts w:hint="eastAsia"/>
              </w:rPr>
              <w:t>2</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14:paraId="152E4A49">
            <w:pPr>
              <w:pStyle w:val="14"/>
            </w:pPr>
            <w:r>
              <w:rPr>
                <w:rFonts w:hint="eastAsia"/>
              </w:rPr>
              <w:t>医用床类</w:t>
            </w:r>
          </w:p>
        </w:tc>
        <w:tc>
          <w:tcPr>
            <w:tcW w:w="4449" w:type="dxa"/>
            <w:tcBorders>
              <w:top w:val="single" w:color="auto" w:sz="4" w:space="0"/>
              <w:left w:val="single" w:color="auto" w:sz="4" w:space="0"/>
              <w:bottom w:val="single" w:color="auto" w:sz="4" w:space="0"/>
              <w:right w:val="single" w:color="auto" w:sz="4" w:space="0"/>
            </w:tcBorders>
            <w:vAlign w:val="center"/>
          </w:tcPr>
          <w:p w14:paraId="2BE49967">
            <w:pPr>
              <w:pStyle w:val="14"/>
              <w:jc w:val="left"/>
            </w:pPr>
            <w:r>
              <w:rPr>
                <w:rFonts w:hint="eastAsia"/>
              </w:rPr>
              <w:t>实验目标要求：</w:t>
            </w:r>
          </w:p>
          <w:p w14:paraId="7BDDD7CF">
            <w:pPr>
              <w:pStyle w:val="14"/>
              <w:jc w:val="left"/>
            </w:pPr>
            <w:r>
              <w:rPr>
                <w:rFonts w:hint="eastAsia"/>
              </w:rPr>
              <w:t>功能了解：熟悉不同类型医用床的基本功能与特点，包括手动、电动调节，以及特殊功能（如翻身、称重）。</w:t>
            </w:r>
          </w:p>
          <w:p w14:paraId="08AD26C6">
            <w:pPr>
              <w:pStyle w:val="14"/>
              <w:jc w:val="left"/>
            </w:pPr>
            <w:r>
              <w:rPr>
                <w:rFonts w:hint="eastAsia"/>
              </w:rPr>
              <w:t>实验主要内容：</w:t>
            </w:r>
          </w:p>
          <w:p w14:paraId="75B53618">
            <w:pPr>
              <w:pStyle w:val="14"/>
              <w:jc w:val="left"/>
            </w:pPr>
            <w:r>
              <w:rPr>
                <w:rFonts w:hint="eastAsia"/>
              </w:rPr>
              <w:t>床类展示：展示并介绍多种医用床（如手动护理床、电动多功能床）的外观、结构与功能。</w:t>
            </w:r>
          </w:p>
          <w:p w14:paraId="43E93174">
            <w:pPr>
              <w:pStyle w:val="14"/>
              <w:jc w:val="left"/>
            </w:pPr>
            <w:r>
              <w:rPr>
                <w:rFonts w:hint="eastAsia"/>
              </w:rPr>
              <w:t>功能演示：逐一演示医用床的各项功能，如升降、倾斜、翻身等，让学生体验不同功能对患者舒适度的影响。</w:t>
            </w:r>
          </w:p>
        </w:tc>
        <w:tc>
          <w:tcPr>
            <w:tcW w:w="884" w:type="dxa"/>
            <w:tcBorders>
              <w:left w:val="single" w:color="auto" w:sz="4" w:space="0"/>
              <w:bottom w:val="single" w:color="auto" w:sz="4" w:space="0"/>
              <w:right w:val="single" w:color="auto" w:sz="4" w:space="0"/>
            </w:tcBorders>
            <w:shd w:val="clear" w:color="auto" w:fill="auto"/>
            <w:vAlign w:val="center"/>
          </w:tcPr>
          <w:p w14:paraId="641AF6FF">
            <w:pPr>
              <w:pStyle w:val="14"/>
            </w:pPr>
            <w:r>
              <w:rPr>
                <w:rFonts w:hint="eastAsia"/>
              </w:rPr>
              <w:t>2</w:t>
            </w:r>
          </w:p>
        </w:tc>
        <w:tc>
          <w:tcPr>
            <w:tcW w:w="975" w:type="dxa"/>
            <w:tcBorders>
              <w:left w:val="single" w:color="auto" w:sz="4" w:space="0"/>
              <w:bottom w:val="single" w:color="auto" w:sz="4" w:space="0"/>
              <w:right w:val="single" w:color="auto" w:sz="12" w:space="0"/>
            </w:tcBorders>
            <w:shd w:val="clear" w:color="auto" w:fill="auto"/>
            <w:vAlign w:val="center"/>
          </w:tcPr>
          <w:p w14:paraId="798275E4">
            <w:pPr>
              <w:pStyle w:val="14"/>
            </w:pPr>
            <w:r>
              <w:rPr>
                <w:rFonts w:hint="eastAsia"/>
              </w:rPr>
              <w:t>④</w:t>
            </w:r>
          </w:p>
        </w:tc>
      </w:tr>
      <w:tr w14:paraId="069BF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39" w:type="dxa"/>
            <w:tcBorders>
              <w:top w:val="single" w:color="auto" w:sz="4" w:space="0"/>
              <w:left w:val="single" w:color="auto" w:sz="12" w:space="0"/>
              <w:bottom w:val="single" w:color="auto" w:sz="4" w:space="0"/>
              <w:right w:val="single" w:color="auto" w:sz="4" w:space="0"/>
            </w:tcBorders>
            <w:shd w:val="clear" w:color="auto" w:fill="auto"/>
            <w:vAlign w:val="center"/>
          </w:tcPr>
          <w:p w14:paraId="7D0E4FE9">
            <w:pPr>
              <w:pStyle w:val="14"/>
            </w:pPr>
            <w:r>
              <w:rPr>
                <w:rFonts w:hint="eastAsia"/>
              </w:rPr>
              <w:t>3</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14:paraId="291C97EE">
            <w:pPr>
              <w:pStyle w:val="14"/>
            </w:pPr>
            <w:r>
              <w:rPr>
                <w:rFonts w:hint="eastAsia" w:ascii="宋体" w:hAnsi="宋体"/>
                <w:bCs/>
              </w:rPr>
              <w:t>高压氧舱</w:t>
            </w:r>
          </w:p>
        </w:tc>
        <w:tc>
          <w:tcPr>
            <w:tcW w:w="4449" w:type="dxa"/>
            <w:tcBorders>
              <w:top w:val="single" w:color="auto" w:sz="4" w:space="0"/>
              <w:left w:val="single" w:color="auto" w:sz="4" w:space="0"/>
              <w:bottom w:val="single" w:color="auto" w:sz="4" w:space="0"/>
              <w:right w:val="single" w:color="auto" w:sz="4" w:space="0"/>
            </w:tcBorders>
            <w:vAlign w:val="center"/>
          </w:tcPr>
          <w:p w14:paraId="48FD49B8">
            <w:pPr>
              <w:pStyle w:val="14"/>
              <w:jc w:val="left"/>
            </w:pPr>
            <w:r>
              <w:rPr>
                <w:rFonts w:hint="eastAsia"/>
              </w:rPr>
              <w:t>实验目标要求：</w:t>
            </w:r>
          </w:p>
          <w:p w14:paraId="380203E4">
            <w:pPr>
              <w:pStyle w:val="14"/>
              <w:jc w:val="left"/>
            </w:pPr>
            <w:r>
              <w:rPr>
                <w:rFonts w:hint="eastAsia"/>
              </w:rPr>
              <w:t>原理理解：通过实验加深对高压氧疗原理的理解，包括其生理效应与临床应用。</w:t>
            </w:r>
          </w:p>
          <w:p w14:paraId="405C18D2">
            <w:pPr>
              <w:pStyle w:val="14"/>
              <w:jc w:val="left"/>
            </w:pPr>
            <w:r>
              <w:rPr>
                <w:rFonts w:hint="eastAsia"/>
              </w:rPr>
              <w:t>设备认知：熟悉高压氧舱的结构、控制系统及安全性能要求。</w:t>
            </w:r>
          </w:p>
          <w:p w14:paraId="283105B6">
            <w:pPr>
              <w:pStyle w:val="14"/>
              <w:jc w:val="left"/>
            </w:pPr>
            <w:r>
              <w:rPr>
                <w:rFonts w:hint="eastAsia"/>
              </w:rPr>
              <w:t>实验主要内容：</w:t>
            </w:r>
          </w:p>
          <w:p w14:paraId="7BB4CD49">
            <w:pPr>
              <w:pStyle w:val="14"/>
              <w:jc w:val="left"/>
            </w:pPr>
            <w:r>
              <w:rPr>
                <w:rFonts w:hint="eastAsia"/>
              </w:rPr>
              <w:t>原理讲解：介绍高压氧疗的基本原理、生理效应及其在神经系统疾病、创伤修复等方面的临床应用。</w:t>
            </w:r>
          </w:p>
          <w:p w14:paraId="6234763C">
            <w:pPr>
              <w:pStyle w:val="14"/>
              <w:jc w:val="left"/>
            </w:pPr>
            <w:r>
              <w:rPr>
                <w:rFonts w:hint="eastAsia"/>
              </w:rPr>
              <w:t>设备展示：展示高压氧舱的实物或模型，介绍其结构、控制系统及安全性能要求。</w:t>
            </w:r>
          </w:p>
        </w:tc>
        <w:tc>
          <w:tcPr>
            <w:tcW w:w="884" w:type="dxa"/>
            <w:tcBorders>
              <w:left w:val="single" w:color="auto" w:sz="4" w:space="0"/>
              <w:right w:val="single" w:color="auto" w:sz="4" w:space="0"/>
            </w:tcBorders>
            <w:shd w:val="clear" w:color="auto" w:fill="auto"/>
            <w:vAlign w:val="center"/>
          </w:tcPr>
          <w:p w14:paraId="11A8BA6F">
            <w:pPr>
              <w:pStyle w:val="14"/>
            </w:pPr>
            <w:r>
              <w:rPr>
                <w:rFonts w:hint="eastAsia"/>
              </w:rPr>
              <w:t>2</w:t>
            </w:r>
          </w:p>
        </w:tc>
        <w:tc>
          <w:tcPr>
            <w:tcW w:w="975" w:type="dxa"/>
            <w:tcBorders>
              <w:left w:val="single" w:color="auto" w:sz="4" w:space="0"/>
              <w:right w:val="single" w:color="auto" w:sz="12" w:space="0"/>
            </w:tcBorders>
            <w:shd w:val="clear" w:color="auto" w:fill="auto"/>
            <w:vAlign w:val="center"/>
          </w:tcPr>
          <w:p w14:paraId="1104F79D">
            <w:pPr>
              <w:pStyle w:val="14"/>
            </w:pPr>
            <w:r>
              <w:rPr>
                <w:rFonts w:hint="eastAsia"/>
              </w:rPr>
              <w:t>①</w:t>
            </w:r>
          </w:p>
        </w:tc>
      </w:tr>
      <w:tr w14:paraId="623B0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697" w:type="dxa"/>
            <w:gridSpan w:val="5"/>
            <w:tcBorders>
              <w:top w:val="single" w:color="auto" w:sz="12" w:space="0"/>
              <w:left w:val="nil"/>
              <w:bottom w:val="nil"/>
              <w:right w:val="nil"/>
            </w:tcBorders>
            <w:shd w:val="clear" w:color="auto" w:fill="auto"/>
            <w:vAlign w:val="center"/>
          </w:tcPr>
          <w:p w14:paraId="28CD2CC3">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0D4A8AEC">
      <w:pPr>
        <w:pStyle w:val="16"/>
        <w:spacing w:before="326" w:beforeLines="100" w:line="360" w:lineRule="auto"/>
        <w:ind w:firstLine="140" w:firstLineChars="50"/>
        <w:rPr>
          <w:rFonts w:hint="eastAsia" w:ascii="黑体" w:hAnsi="宋体"/>
        </w:rPr>
      </w:pPr>
      <w:bookmarkStart w:id="2" w:name="OLE_LINK1"/>
      <w:bookmarkStart w:id="3" w:name="OLE_LINK2"/>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698"/>
      </w:tblGrid>
      <w:tr w14:paraId="392EC4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7FC03F0C">
            <w:pPr>
              <w:pStyle w:val="14"/>
              <w:widowControl w:val="0"/>
              <w:ind w:firstLine="420" w:firstLineChars="200"/>
              <w:jc w:val="left"/>
            </w:pPr>
            <w:r>
              <w:rPr>
                <w:rFonts w:hint="eastAsia"/>
              </w:rPr>
              <w:t>本门课程的思政设计，旨在将专业教育与思想政治教育深度融合。通过引入行业英雄事迹、法律法规案例及实践活动，激发学生爱岗敬业的热情，培养对医疗器械专业的深厚兴趣与使命感。同时，强化法治观念，使学生熟悉并自觉遵守行业规范，树立高度的职业道德操守。</w:t>
            </w:r>
          </w:p>
          <w:p w14:paraId="0D3F9BDC">
            <w:pPr>
              <w:pStyle w:val="14"/>
              <w:widowControl w:val="0"/>
              <w:ind w:firstLine="420" w:firstLineChars="200"/>
              <w:jc w:val="left"/>
            </w:pPr>
            <w:r>
              <w:rPr>
                <w:rFonts w:hint="eastAsia"/>
              </w:rPr>
              <w:t>课程采用以下教学方法：</w:t>
            </w:r>
          </w:p>
          <w:p w14:paraId="5C4AFAFF">
            <w:pPr>
              <w:pStyle w:val="14"/>
              <w:widowControl w:val="0"/>
              <w:ind w:firstLine="210" w:firstLineChars="100"/>
              <w:jc w:val="left"/>
            </w:pPr>
            <w:r>
              <w:rPr>
                <w:rFonts w:hint="eastAsia"/>
              </w:rPr>
              <w:t>（1）案例教学：通过真实或模拟的案例，让学生在分析中学习专业知识，同时思考职业道德与法律责任。</w:t>
            </w:r>
          </w:p>
          <w:p w14:paraId="438BEBB1">
            <w:pPr>
              <w:pStyle w:val="14"/>
              <w:widowControl w:val="0"/>
              <w:ind w:firstLine="210" w:firstLineChars="100"/>
              <w:jc w:val="left"/>
            </w:pPr>
            <w:r>
              <w:rPr>
                <w:rFonts w:hint="eastAsia"/>
              </w:rPr>
              <w:t>（2）小组讨论与汇报：鼓励学生分组讨论，培养团队协作与沟通能力，通过汇报形式展示学习成果，增强自信心。</w:t>
            </w:r>
          </w:p>
          <w:p w14:paraId="69DDC415">
            <w:pPr>
              <w:pStyle w:val="14"/>
              <w:widowControl w:val="0"/>
              <w:ind w:firstLine="210" w:firstLineChars="100"/>
              <w:jc w:val="left"/>
            </w:pPr>
            <w:r>
              <w:rPr>
                <w:rFonts w:hint="eastAsia"/>
              </w:rPr>
              <w:t>（3）翻转课堂：利用网络资源进行课前预习，课堂上则侧重于问题探讨、案例分析等深度学习，提高学习效率。</w:t>
            </w:r>
          </w:p>
          <w:p w14:paraId="7BB85136">
            <w:pPr>
              <w:pStyle w:val="14"/>
              <w:widowControl w:val="0"/>
              <w:jc w:val="left"/>
            </w:pPr>
            <w:r>
              <w:rPr>
                <w:rFonts w:hint="eastAsia"/>
              </w:rPr>
              <w:t>（4）实践教学：加强实验、实训和社会实践环节，让学生在实践中学习、成长，锤炼专业技能和职业道德。</w:t>
            </w:r>
          </w:p>
          <w:p w14:paraId="691080EC">
            <w:pPr>
              <w:pStyle w:val="14"/>
              <w:widowControl w:val="0"/>
              <w:ind w:firstLine="420" w:firstLineChars="200"/>
              <w:jc w:val="left"/>
            </w:pPr>
            <w:r>
              <w:rPr>
                <w:rFonts w:hint="eastAsia"/>
              </w:rPr>
              <w:t>课程不仅传授专业知识与技能，更注重培养学生的职业精神、法治意识和职业道德操守，为培养高素质的医疗器械专业人才奠定坚实基础。</w:t>
            </w:r>
          </w:p>
        </w:tc>
      </w:tr>
    </w:tbl>
    <w:p w14:paraId="523F3D50">
      <w:pPr>
        <w:pStyle w:val="16"/>
        <w:spacing w:before="326" w:beforeLines="100" w:line="360" w:lineRule="auto"/>
        <w:rPr>
          <w:rFonts w:hint="eastAsia" w:ascii="黑体" w:hAnsi="宋体"/>
        </w:rPr>
      </w:pPr>
      <w:r>
        <w:rPr>
          <w:rFonts w:hint="eastAsia" w:ascii="黑体" w:hAnsi="宋体"/>
        </w:rPr>
        <w:t>五、课程考核</w:t>
      </w:r>
      <w:bookmarkStart w:id="4" w:name="OLE_LINK3"/>
      <w:bookmarkStart w:id="5" w:name="OLE_LINK4"/>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709"/>
        <w:gridCol w:w="2353"/>
        <w:gridCol w:w="1020"/>
        <w:gridCol w:w="1020"/>
        <w:gridCol w:w="1020"/>
        <w:gridCol w:w="1020"/>
        <w:gridCol w:w="706"/>
      </w:tblGrid>
      <w:tr w14:paraId="64B27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5F20030C">
            <w:pPr>
              <w:widowControl w:val="0"/>
              <w:snapToGrid w:val="0"/>
              <w:jc w:val="center"/>
              <w:rPr>
                <w:rFonts w:hint="eastAsia"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6A21CD28">
            <w:pPr>
              <w:pStyle w:val="16"/>
              <w:widowControl w:val="0"/>
              <w:spacing w:line="240" w:lineRule="auto"/>
              <w:jc w:val="center"/>
              <w:rPr>
                <w:rFonts w:hint="eastAsia"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2DC863A7">
            <w:pPr>
              <w:pStyle w:val="16"/>
              <w:widowControl w:val="0"/>
              <w:jc w:val="center"/>
              <w:rPr>
                <w:rFonts w:hint="eastAsia" w:ascii="黑体" w:hAnsi="黑体"/>
                <w:bCs/>
                <w:sz w:val="21"/>
                <w:szCs w:val="21"/>
              </w:rPr>
            </w:pPr>
            <w:r>
              <w:rPr>
                <w:rFonts w:hint="eastAsia" w:ascii="黑体" w:hAnsi="黑体"/>
                <w:bCs/>
                <w:sz w:val="21"/>
                <w:szCs w:val="21"/>
              </w:rPr>
              <w:t>考核方式</w:t>
            </w:r>
          </w:p>
        </w:tc>
        <w:tc>
          <w:tcPr>
            <w:tcW w:w="1020" w:type="dxa"/>
            <w:gridSpan w:val="4"/>
            <w:tcBorders>
              <w:top w:val="single" w:color="auto" w:sz="12" w:space="0"/>
              <w:left w:val="double" w:color="auto" w:sz="4" w:space="0"/>
            </w:tcBorders>
            <w:vAlign w:val="center"/>
          </w:tcPr>
          <w:p w14:paraId="7BA3DBA0">
            <w:pPr>
              <w:pStyle w:val="16"/>
              <w:widowControl w:val="0"/>
              <w:spacing w:line="240" w:lineRule="auto"/>
              <w:jc w:val="center"/>
              <w:rPr>
                <w:rFonts w:hint="eastAsia" w:ascii="黑体" w:hAnsi="黑体"/>
                <w:bCs/>
                <w:sz w:val="21"/>
                <w:szCs w:val="21"/>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582D80C9">
            <w:pPr>
              <w:pStyle w:val="16"/>
              <w:widowControl w:val="0"/>
              <w:spacing w:line="240" w:lineRule="auto"/>
              <w:jc w:val="center"/>
              <w:rPr>
                <w:rFonts w:hint="eastAsia" w:ascii="黑体" w:hAnsi="黑体"/>
                <w:bCs/>
                <w:sz w:val="21"/>
                <w:szCs w:val="21"/>
              </w:rPr>
            </w:pPr>
            <w:r>
              <w:rPr>
                <w:rFonts w:hint="eastAsia" w:ascii="黑体" w:hAnsi="黑体"/>
                <w:bCs/>
                <w:sz w:val="21"/>
                <w:szCs w:val="21"/>
              </w:rPr>
              <w:t>合计</w:t>
            </w:r>
          </w:p>
        </w:tc>
      </w:tr>
      <w:tr w14:paraId="0589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2E4C1C2A">
            <w:pPr>
              <w:widowControl w:val="0"/>
              <w:snapToGrid w:val="0"/>
              <w:jc w:val="center"/>
              <w:rPr>
                <w:rFonts w:hint="eastAsia" w:ascii="黑体" w:hAnsi="黑体" w:eastAsia="黑体"/>
                <w:bCs/>
                <w:sz w:val="21"/>
                <w:szCs w:val="21"/>
              </w:rPr>
            </w:pPr>
          </w:p>
        </w:tc>
        <w:tc>
          <w:tcPr>
            <w:tcW w:w="709" w:type="dxa"/>
            <w:vMerge w:val="continue"/>
          </w:tcPr>
          <w:p w14:paraId="38E13D04">
            <w:pPr>
              <w:pStyle w:val="16"/>
              <w:widowControl w:val="0"/>
              <w:jc w:val="both"/>
              <w:rPr>
                <w:rFonts w:hint="eastAsia" w:ascii="黑体" w:hAnsi="黑体"/>
                <w:bCs/>
                <w:sz w:val="21"/>
                <w:szCs w:val="21"/>
              </w:rPr>
            </w:pPr>
          </w:p>
        </w:tc>
        <w:tc>
          <w:tcPr>
            <w:tcW w:w="2353" w:type="dxa"/>
            <w:vMerge w:val="continue"/>
            <w:tcBorders>
              <w:right w:val="double" w:color="auto" w:sz="4" w:space="0"/>
            </w:tcBorders>
          </w:tcPr>
          <w:p w14:paraId="33EEA06A">
            <w:pPr>
              <w:pStyle w:val="16"/>
              <w:widowControl w:val="0"/>
              <w:jc w:val="both"/>
              <w:rPr>
                <w:rFonts w:hint="eastAsia" w:ascii="黑体" w:hAnsi="黑体"/>
                <w:bCs/>
                <w:sz w:val="21"/>
                <w:szCs w:val="21"/>
              </w:rPr>
            </w:pPr>
          </w:p>
        </w:tc>
        <w:tc>
          <w:tcPr>
            <w:tcW w:w="1020" w:type="dxa"/>
            <w:tcBorders>
              <w:left w:val="double" w:color="auto" w:sz="4" w:space="0"/>
            </w:tcBorders>
            <w:vAlign w:val="center"/>
          </w:tcPr>
          <w:p w14:paraId="648CD3CE">
            <w:pPr>
              <w:pStyle w:val="16"/>
              <w:widowControl w:val="0"/>
              <w:spacing w:line="240" w:lineRule="auto"/>
              <w:jc w:val="center"/>
              <w:rPr>
                <w:rFonts w:hint="eastAsia" w:ascii="黑体" w:hAnsi="黑体"/>
                <w:bCs/>
                <w:sz w:val="21"/>
                <w:szCs w:val="21"/>
              </w:rPr>
            </w:pPr>
            <w:r>
              <w:rPr>
                <w:rFonts w:hint="eastAsia" w:ascii="黑体" w:hAnsi="黑体"/>
                <w:bCs/>
                <w:sz w:val="21"/>
                <w:szCs w:val="21"/>
              </w:rPr>
              <w:t>1</w:t>
            </w:r>
          </w:p>
        </w:tc>
        <w:tc>
          <w:tcPr>
            <w:tcW w:w="1020" w:type="dxa"/>
            <w:vAlign w:val="center"/>
          </w:tcPr>
          <w:p w14:paraId="09A662C0">
            <w:pPr>
              <w:pStyle w:val="16"/>
              <w:widowControl w:val="0"/>
              <w:spacing w:line="240" w:lineRule="auto"/>
              <w:jc w:val="center"/>
              <w:rPr>
                <w:rFonts w:hint="eastAsia" w:ascii="黑体" w:hAnsi="黑体"/>
                <w:bCs/>
                <w:sz w:val="21"/>
                <w:szCs w:val="21"/>
              </w:rPr>
            </w:pPr>
            <w:r>
              <w:rPr>
                <w:rFonts w:hint="eastAsia" w:ascii="黑体" w:hAnsi="黑体"/>
                <w:bCs/>
                <w:sz w:val="21"/>
                <w:szCs w:val="21"/>
              </w:rPr>
              <w:t>2</w:t>
            </w:r>
          </w:p>
        </w:tc>
        <w:tc>
          <w:tcPr>
            <w:tcW w:w="1020" w:type="dxa"/>
            <w:vAlign w:val="center"/>
          </w:tcPr>
          <w:p w14:paraId="4F271C37">
            <w:pPr>
              <w:pStyle w:val="16"/>
              <w:widowControl w:val="0"/>
              <w:spacing w:line="240" w:lineRule="auto"/>
              <w:jc w:val="center"/>
              <w:rPr>
                <w:rFonts w:hint="eastAsia" w:ascii="黑体" w:hAnsi="黑体"/>
                <w:bCs/>
                <w:sz w:val="21"/>
                <w:szCs w:val="21"/>
              </w:rPr>
            </w:pPr>
            <w:r>
              <w:rPr>
                <w:rFonts w:hint="eastAsia" w:ascii="黑体" w:hAnsi="黑体"/>
                <w:bCs/>
                <w:sz w:val="21"/>
                <w:szCs w:val="21"/>
              </w:rPr>
              <w:t>3</w:t>
            </w:r>
          </w:p>
        </w:tc>
        <w:tc>
          <w:tcPr>
            <w:tcW w:w="1020" w:type="dxa"/>
            <w:vAlign w:val="center"/>
          </w:tcPr>
          <w:p w14:paraId="2A725A3A">
            <w:pPr>
              <w:pStyle w:val="16"/>
              <w:widowControl w:val="0"/>
              <w:spacing w:line="240" w:lineRule="auto"/>
              <w:jc w:val="center"/>
              <w:rPr>
                <w:rFonts w:hint="eastAsia" w:ascii="黑体" w:hAnsi="黑体"/>
                <w:bCs/>
                <w:sz w:val="21"/>
                <w:szCs w:val="21"/>
              </w:rPr>
            </w:pPr>
            <w:r>
              <w:rPr>
                <w:rFonts w:hint="eastAsia" w:ascii="黑体" w:hAnsi="黑体"/>
                <w:bCs/>
                <w:sz w:val="21"/>
                <w:szCs w:val="21"/>
              </w:rPr>
              <w:t>4</w:t>
            </w:r>
          </w:p>
        </w:tc>
        <w:tc>
          <w:tcPr>
            <w:tcW w:w="706" w:type="dxa"/>
            <w:vMerge w:val="continue"/>
            <w:tcBorders>
              <w:right w:val="single" w:color="auto" w:sz="12" w:space="0"/>
            </w:tcBorders>
          </w:tcPr>
          <w:p w14:paraId="7FFC1A4A">
            <w:pPr>
              <w:pStyle w:val="16"/>
              <w:widowControl w:val="0"/>
              <w:spacing w:line="240" w:lineRule="auto"/>
              <w:jc w:val="center"/>
              <w:rPr>
                <w:rFonts w:hint="eastAsia" w:ascii="黑体" w:hAnsi="黑体"/>
                <w:bCs/>
                <w:sz w:val="21"/>
                <w:szCs w:val="21"/>
              </w:rPr>
            </w:pPr>
          </w:p>
        </w:tc>
      </w:tr>
      <w:tr w14:paraId="46E8E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79C4B55">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1202B67A">
            <w:pPr>
              <w:pStyle w:val="14"/>
              <w:widowControl w:val="0"/>
            </w:pPr>
            <w:r>
              <w:rPr>
                <w:rFonts w:hint="eastAsia"/>
              </w:rPr>
              <w:t>50%</w:t>
            </w:r>
          </w:p>
        </w:tc>
        <w:tc>
          <w:tcPr>
            <w:tcW w:w="2353" w:type="dxa"/>
            <w:tcBorders>
              <w:right w:val="double" w:color="auto" w:sz="4" w:space="0"/>
            </w:tcBorders>
            <w:vAlign w:val="center"/>
          </w:tcPr>
          <w:p w14:paraId="0D1F1B73">
            <w:pPr>
              <w:pStyle w:val="14"/>
              <w:widowControl w:val="0"/>
            </w:pPr>
            <w:r>
              <w:rPr>
                <w:rFonts w:hint="eastAsia" w:ascii="宋体" w:hAnsi="宋体" w:cs="Arial"/>
                <w:bCs/>
              </w:rPr>
              <w:t>课程总结性报告</w:t>
            </w:r>
          </w:p>
        </w:tc>
        <w:tc>
          <w:tcPr>
            <w:tcW w:w="1020" w:type="dxa"/>
            <w:tcBorders>
              <w:left w:val="double" w:color="auto" w:sz="4" w:space="0"/>
            </w:tcBorders>
            <w:vAlign w:val="center"/>
          </w:tcPr>
          <w:p w14:paraId="7D6CB5EF">
            <w:pPr>
              <w:pStyle w:val="14"/>
              <w:widowControl w:val="0"/>
            </w:pPr>
            <w:r>
              <w:rPr>
                <w:rFonts w:hint="eastAsia"/>
              </w:rPr>
              <w:t>20</w:t>
            </w:r>
          </w:p>
        </w:tc>
        <w:tc>
          <w:tcPr>
            <w:tcW w:w="1020" w:type="dxa"/>
            <w:vAlign w:val="center"/>
          </w:tcPr>
          <w:p w14:paraId="4E8C83A4">
            <w:pPr>
              <w:pStyle w:val="14"/>
              <w:widowControl w:val="0"/>
            </w:pPr>
            <w:r>
              <w:rPr>
                <w:rFonts w:hint="eastAsia"/>
              </w:rPr>
              <w:t>40</w:t>
            </w:r>
          </w:p>
        </w:tc>
        <w:tc>
          <w:tcPr>
            <w:tcW w:w="1020" w:type="dxa"/>
            <w:vAlign w:val="center"/>
          </w:tcPr>
          <w:p w14:paraId="7FA3011E">
            <w:pPr>
              <w:pStyle w:val="14"/>
              <w:widowControl w:val="0"/>
            </w:pPr>
            <w:r>
              <w:rPr>
                <w:rFonts w:hint="eastAsia"/>
              </w:rPr>
              <w:t>20</w:t>
            </w:r>
          </w:p>
        </w:tc>
        <w:tc>
          <w:tcPr>
            <w:tcW w:w="1020" w:type="dxa"/>
            <w:vAlign w:val="center"/>
          </w:tcPr>
          <w:p w14:paraId="2B6ED43C">
            <w:pPr>
              <w:pStyle w:val="14"/>
              <w:widowControl w:val="0"/>
            </w:pPr>
            <w:r>
              <w:rPr>
                <w:rFonts w:hint="eastAsia"/>
              </w:rPr>
              <w:t>20</w:t>
            </w:r>
          </w:p>
        </w:tc>
        <w:tc>
          <w:tcPr>
            <w:tcW w:w="706" w:type="dxa"/>
            <w:tcBorders>
              <w:right w:val="single" w:color="auto" w:sz="12" w:space="0"/>
            </w:tcBorders>
            <w:vAlign w:val="center"/>
          </w:tcPr>
          <w:p w14:paraId="55D0D0D8">
            <w:pPr>
              <w:pStyle w:val="14"/>
              <w:widowControl w:val="0"/>
            </w:pPr>
            <w:r>
              <w:rPr>
                <w:rFonts w:hint="eastAsia"/>
              </w:rPr>
              <w:t>1</w:t>
            </w:r>
            <w:r>
              <w:t>00</w:t>
            </w:r>
          </w:p>
        </w:tc>
      </w:tr>
      <w:tr w14:paraId="79154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6EF9C699">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7F44C095">
            <w:pPr>
              <w:pStyle w:val="14"/>
              <w:widowControl w:val="0"/>
            </w:pPr>
            <w:r>
              <w:rPr>
                <w:rFonts w:hint="eastAsia"/>
              </w:rPr>
              <w:t>30%</w:t>
            </w:r>
          </w:p>
        </w:tc>
        <w:tc>
          <w:tcPr>
            <w:tcW w:w="2353" w:type="dxa"/>
            <w:tcBorders>
              <w:right w:val="double" w:color="auto" w:sz="4" w:space="0"/>
            </w:tcBorders>
            <w:vAlign w:val="center"/>
          </w:tcPr>
          <w:p w14:paraId="0B9D0EA4">
            <w:pPr>
              <w:pStyle w:val="14"/>
              <w:widowControl w:val="0"/>
            </w:pPr>
            <w:r>
              <w:rPr>
                <w:rFonts w:hint="eastAsia" w:ascii="宋体" w:hAnsi="宋体" w:cs="Arial"/>
                <w:bCs/>
              </w:rPr>
              <w:t>小组汇报</w:t>
            </w:r>
          </w:p>
        </w:tc>
        <w:tc>
          <w:tcPr>
            <w:tcW w:w="1020" w:type="dxa"/>
            <w:tcBorders>
              <w:left w:val="double" w:color="auto" w:sz="4" w:space="0"/>
            </w:tcBorders>
            <w:vAlign w:val="center"/>
          </w:tcPr>
          <w:p w14:paraId="23475C75">
            <w:pPr>
              <w:pStyle w:val="14"/>
              <w:widowControl w:val="0"/>
            </w:pPr>
            <w:r>
              <w:rPr>
                <w:rFonts w:hint="eastAsia"/>
              </w:rPr>
              <w:t>20</w:t>
            </w:r>
          </w:p>
        </w:tc>
        <w:tc>
          <w:tcPr>
            <w:tcW w:w="1020" w:type="dxa"/>
            <w:vAlign w:val="center"/>
          </w:tcPr>
          <w:p w14:paraId="03B2B4CC">
            <w:pPr>
              <w:pStyle w:val="14"/>
              <w:widowControl w:val="0"/>
            </w:pPr>
            <w:r>
              <w:rPr>
                <w:rFonts w:hint="eastAsia"/>
              </w:rPr>
              <w:t>20</w:t>
            </w:r>
          </w:p>
        </w:tc>
        <w:tc>
          <w:tcPr>
            <w:tcW w:w="1020" w:type="dxa"/>
            <w:vAlign w:val="center"/>
          </w:tcPr>
          <w:p w14:paraId="79CEA3BD">
            <w:pPr>
              <w:pStyle w:val="14"/>
              <w:widowControl w:val="0"/>
            </w:pPr>
            <w:r>
              <w:rPr>
                <w:rFonts w:hint="eastAsia"/>
              </w:rPr>
              <w:t>20</w:t>
            </w:r>
          </w:p>
        </w:tc>
        <w:tc>
          <w:tcPr>
            <w:tcW w:w="1020" w:type="dxa"/>
            <w:vAlign w:val="center"/>
          </w:tcPr>
          <w:p w14:paraId="076C7B41">
            <w:pPr>
              <w:pStyle w:val="14"/>
              <w:widowControl w:val="0"/>
            </w:pPr>
            <w:r>
              <w:rPr>
                <w:rFonts w:hint="eastAsia"/>
              </w:rPr>
              <w:t>40</w:t>
            </w:r>
          </w:p>
        </w:tc>
        <w:tc>
          <w:tcPr>
            <w:tcW w:w="706" w:type="dxa"/>
            <w:tcBorders>
              <w:right w:val="single" w:color="auto" w:sz="12" w:space="0"/>
            </w:tcBorders>
            <w:vAlign w:val="center"/>
          </w:tcPr>
          <w:p w14:paraId="67C12E2C">
            <w:pPr>
              <w:pStyle w:val="14"/>
              <w:widowControl w:val="0"/>
            </w:pPr>
            <w:r>
              <w:rPr>
                <w:rFonts w:hint="eastAsia"/>
              </w:rPr>
              <w:t>1</w:t>
            </w:r>
            <w:r>
              <w:t>00</w:t>
            </w:r>
          </w:p>
        </w:tc>
      </w:tr>
      <w:tr w14:paraId="5654F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41067D61">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3104BA3F">
            <w:pPr>
              <w:pStyle w:val="14"/>
              <w:widowControl w:val="0"/>
            </w:pPr>
            <w:r>
              <w:rPr>
                <w:rFonts w:hint="eastAsia"/>
              </w:rPr>
              <w:t>20%</w:t>
            </w:r>
          </w:p>
        </w:tc>
        <w:tc>
          <w:tcPr>
            <w:tcW w:w="2353" w:type="dxa"/>
            <w:tcBorders>
              <w:right w:val="double" w:color="auto" w:sz="4" w:space="0"/>
            </w:tcBorders>
            <w:vAlign w:val="center"/>
          </w:tcPr>
          <w:p w14:paraId="1D69CBB8">
            <w:pPr>
              <w:pStyle w:val="14"/>
              <w:widowControl w:val="0"/>
            </w:pPr>
            <w:r>
              <w:rPr>
                <w:rFonts w:hint="eastAsia" w:ascii="宋体" w:hAnsi="宋体" w:cs="Arial"/>
                <w:bCs/>
              </w:rPr>
              <w:t>调研报告</w:t>
            </w:r>
          </w:p>
        </w:tc>
        <w:tc>
          <w:tcPr>
            <w:tcW w:w="1020" w:type="dxa"/>
            <w:tcBorders>
              <w:left w:val="double" w:color="auto" w:sz="4" w:space="0"/>
            </w:tcBorders>
            <w:vAlign w:val="center"/>
          </w:tcPr>
          <w:p w14:paraId="7EB91A98">
            <w:pPr>
              <w:pStyle w:val="14"/>
              <w:widowControl w:val="0"/>
            </w:pPr>
            <w:r>
              <w:rPr>
                <w:rFonts w:hint="eastAsia"/>
              </w:rPr>
              <w:t>30</w:t>
            </w:r>
          </w:p>
        </w:tc>
        <w:tc>
          <w:tcPr>
            <w:tcW w:w="1020" w:type="dxa"/>
            <w:vAlign w:val="center"/>
          </w:tcPr>
          <w:p w14:paraId="1E3E47BC">
            <w:pPr>
              <w:pStyle w:val="14"/>
              <w:widowControl w:val="0"/>
            </w:pPr>
            <w:r>
              <w:rPr>
                <w:rFonts w:hint="eastAsia"/>
              </w:rPr>
              <w:t>30</w:t>
            </w:r>
          </w:p>
        </w:tc>
        <w:tc>
          <w:tcPr>
            <w:tcW w:w="1020" w:type="dxa"/>
            <w:vAlign w:val="center"/>
          </w:tcPr>
          <w:p w14:paraId="5652BD5B">
            <w:pPr>
              <w:pStyle w:val="14"/>
              <w:widowControl w:val="0"/>
            </w:pPr>
            <w:r>
              <w:rPr>
                <w:rFonts w:hint="eastAsia"/>
              </w:rPr>
              <w:t>20</w:t>
            </w:r>
          </w:p>
        </w:tc>
        <w:tc>
          <w:tcPr>
            <w:tcW w:w="1020" w:type="dxa"/>
            <w:vAlign w:val="center"/>
          </w:tcPr>
          <w:p w14:paraId="3F371F87">
            <w:pPr>
              <w:pStyle w:val="14"/>
              <w:widowControl w:val="0"/>
            </w:pPr>
            <w:r>
              <w:rPr>
                <w:rFonts w:hint="eastAsia"/>
              </w:rPr>
              <w:t>20</w:t>
            </w:r>
          </w:p>
        </w:tc>
        <w:tc>
          <w:tcPr>
            <w:tcW w:w="706" w:type="dxa"/>
            <w:tcBorders>
              <w:right w:val="single" w:color="auto" w:sz="12" w:space="0"/>
            </w:tcBorders>
            <w:vAlign w:val="center"/>
          </w:tcPr>
          <w:p w14:paraId="40C16538">
            <w:pPr>
              <w:pStyle w:val="14"/>
              <w:widowControl w:val="0"/>
            </w:pPr>
            <w:r>
              <w:rPr>
                <w:rFonts w:hint="eastAsia"/>
              </w:rPr>
              <w:t>1</w:t>
            </w:r>
            <w:r>
              <w:t>00</w:t>
            </w:r>
          </w:p>
        </w:tc>
      </w:tr>
    </w:tbl>
    <w:p w14:paraId="141807DC">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685"/>
        <w:gridCol w:w="1482"/>
        <w:gridCol w:w="1482"/>
        <w:gridCol w:w="1482"/>
        <w:gridCol w:w="1482"/>
        <w:gridCol w:w="1483"/>
      </w:tblGrid>
      <w:tr w14:paraId="3141F1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78F2471A">
            <w:pPr>
              <w:widowControl w:val="0"/>
              <w:snapToGrid w:val="0"/>
              <w:jc w:val="center"/>
              <w:rPr>
                <w:rFonts w:hint="eastAsia"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019EBBE4">
            <w:pPr>
              <w:widowControl w:val="0"/>
              <w:snapToGrid w:val="0"/>
              <w:jc w:val="center"/>
              <w:rPr>
                <w:rFonts w:hint="eastAsia" w:ascii="黑体" w:hAnsi="黑体" w:eastAsia="黑体"/>
                <w:bCs/>
                <w:sz w:val="21"/>
                <w:szCs w:val="21"/>
              </w:rPr>
            </w:pPr>
            <w:r>
              <w:rPr>
                <w:rFonts w:hint="eastAsia" w:ascii="黑体" w:hAnsi="黑体" w:eastAsia="黑体"/>
                <w:bCs/>
                <w:sz w:val="21"/>
                <w:szCs w:val="21"/>
              </w:rPr>
              <w:t>课</w:t>
            </w:r>
          </w:p>
          <w:p w14:paraId="419ACEA7">
            <w:pPr>
              <w:widowControl w:val="0"/>
              <w:snapToGrid w:val="0"/>
              <w:jc w:val="center"/>
              <w:rPr>
                <w:rFonts w:hint="eastAsia" w:ascii="黑体" w:hAnsi="黑体" w:eastAsia="黑体"/>
                <w:bCs/>
                <w:sz w:val="21"/>
                <w:szCs w:val="21"/>
              </w:rPr>
            </w:pPr>
            <w:r>
              <w:rPr>
                <w:rFonts w:hint="eastAsia" w:ascii="黑体" w:hAnsi="黑体" w:eastAsia="黑体"/>
                <w:bCs/>
                <w:sz w:val="21"/>
                <w:szCs w:val="21"/>
              </w:rPr>
              <w:t>程</w:t>
            </w:r>
          </w:p>
          <w:p w14:paraId="6AF6B8AE">
            <w:pPr>
              <w:widowControl w:val="0"/>
              <w:snapToGrid w:val="0"/>
              <w:jc w:val="center"/>
              <w:rPr>
                <w:rFonts w:hint="eastAsia" w:ascii="黑体" w:hAnsi="黑体" w:eastAsia="黑体"/>
                <w:bCs/>
                <w:sz w:val="21"/>
                <w:szCs w:val="21"/>
              </w:rPr>
            </w:pPr>
            <w:r>
              <w:rPr>
                <w:rFonts w:hint="eastAsia" w:ascii="黑体" w:hAnsi="黑体" w:eastAsia="黑体"/>
                <w:bCs/>
                <w:sz w:val="21"/>
                <w:szCs w:val="21"/>
              </w:rPr>
              <w:t>目</w:t>
            </w:r>
          </w:p>
          <w:p w14:paraId="1617D29D">
            <w:pPr>
              <w:widowControl w:val="0"/>
              <w:snapToGrid w:val="0"/>
              <w:jc w:val="center"/>
              <w:rPr>
                <w:rFonts w:hint="eastAsia"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2AF79DFD">
            <w:pPr>
              <w:widowControl w:val="0"/>
              <w:snapToGrid w:val="0"/>
              <w:jc w:val="center"/>
              <w:rPr>
                <w:rFonts w:hint="eastAsia"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7874BB4A">
            <w:pPr>
              <w:pStyle w:val="16"/>
              <w:widowControl w:val="0"/>
              <w:spacing w:line="240" w:lineRule="auto"/>
              <w:jc w:val="center"/>
              <w:rPr>
                <w:rFonts w:hint="eastAsia" w:ascii="黑体" w:hAnsi="黑体"/>
                <w:bCs/>
                <w:sz w:val="21"/>
                <w:szCs w:val="21"/>
              </w:rPr>
            </w:pPr>
            <w:r>
              <w:rPr>
                <w:rFonts w:hint="eastAsia" w:ascii="黑体" w:hAnsi="黑体"/>
                <w:bCs/>
                <w:sz w:val="21"/>
                <w:szCs w:val="21"/>
              </w:rPr>
              <w:t>评价标准</w:t>
            </w:r>
          </w:p>
        </w:tc>
      </w:tr>
      <w:tr w14:paraId="1F759D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49DCAF2D">
            <w:pPr>
              <w:widowControl w:val="0"/>
              <w:snapToGrid w:val="0"/>
              <w:jc w:val="center"/>
              <w:rPr>
                <w:rFonts w:hint="eastAsia" w:ascii="黑体" w:hAnsi="黑体" w:eastAsia="黑体"/>
                <w:bCs/>
                <w:sz w:val="21"/>
                <w:szCs w:val="21"/>
              </w:rPr>
            </w:pPr>
          </w:p>
        </w:tc>
        <w:tc>
          <w:tcPr>
            <w:tcW w:w="648" w:type="dxa"/>
            <w:vMerge w:val="continue"/>
          </w:tcPr>
          <w:p w14:paraId="32391BFA">
            <w:pPr>
              <w:pStyle w:val="16"/>
              <w:widowControl w:val="0"/>
              <w:jc w:val="both"/>
              <w:rPr>
                <w:rFonts w:hint="eastAsia" w:ascii="黑体" w:hAnsi="黑体"/>
                <w:bCs/>
                <w:sz w:val="21"/>
                <w:szCs w:val="21"/>
              </w:rPr>
            </w:pPr>
          </w:p>
        </w:tc>
        <w:tc>
          <w:tcPr>
            <w:tcW w:w="1403" w:type="dxa"/>
            <w:vMerge w:val="continue"/>
          </w:tcPr>
          <w:p w14:paraId="53F31C5D">
            <w:pPr>
              <w:pStyle w:val="16"/>
              <w:widowControl w:val="0"/>
              <w:jc w:val="both"/>
              <w:rPr>
                <w:rFonts w:hint="eastAsia" w:ascii="黑体" w:hAnsi="黑体"/>
                <w:bCs/>
                <w:sz w:val="21"/>
                <w:szCs w:val="21"/>
              </w:rPr>
            </w:pPr>
          </w:p>
        </w:tc>
        <w:tc>
          <w:tcPr>
            <w:tcW w:w="1403" w:type="dxa"/>
            <w:vAlign w:val="center"/>
          </w:tcPr>
          <w:p w14:paraId="3093EDC2">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3614FA61">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5DD618FA">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7989226E">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1CFAE095">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5F86691A">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427AF465">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01FE9A64">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572061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E2F149F">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6F3704A1">
            <w:pPr>
              <w:widowControl w:val="0"/>
              <w:snapToGrid w:val="0"/>
              <w:jc w:val="center"/>
              <w:rPr>
                <w:rFonts w:ascii="Arial" w:hAnsi="Arial" w:eastAsia="黑体" w:cs="Arial"/>
                <w:bCs/>
                <w:sz w:val="21"/>
                <w:szCs w:val="21"/>
              </w:rPr>
            </w:pPr>
          </w:p>
        </w:tc>
        <w:tc>
          <w:tcPr>
            <w:tcW w:w="1403" w:type="dxa"/>
          </w:tcPr>
          <w:p w14:paraId="2CB991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14:paraId="661CE0F6">
            <w:pPr>
              <w:pStyle w:val="14"/>
              <w:widowControl w:val="0"/>
              <w:jc w:val="both"/>
            </w:pPr>
          </w:p>
        </w:tc>
        <w:tc>
          <w:tcPr>
            <w:tcW w:w="1403" w:type="dxa"/>
          </w:tcPr>
          <w:p w14:paraId="7CEF20DE">
            <w:pPr>
              <w:pStyle w:val="14"/>
              <w:widowControl w:val="0"/>
              <w:jc w:val="both"/>
            </w:pPr>
          </w:p>
        </w:tc>
        <w:tc>
          <w:tcPr>
            <w:tcW w:w="1403" w:type="dxa"/>
          </w:tcPr>
          <w:p w14:paraId="7CCCED3D">
            <w:pPr>
              <w:pStyle w:val="14"/>
              <w:widowControl w:val="0"/>
              <w:jc w:val="both"/>
            </w:pPr>
          </w:p>
        </w:tc>
        <w:tc>
          <w:tcPr>
            <w:tcW w:w="1403" w:type="dxa"/>
          </w:tcPr>
          <w:p w14:paraId="5CB64275">
            <w:pPr>
              <w:pStyle w:val="6"/>
              <w:widowControl/>
              <w:shd w:val="clear" w:color="auto" w:fill="FFFFFF"/>
              <w:jc w:val="both"/>
              <w:rPr>
                <w:rFonts w:hint="eastAsia"/>
              </w:rPr>
            </w:pPr>
          </w:p>
        </w:tc>
      </w:tr>
      <w:tr w14:paraId="275409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10526455">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43DFCE18">
            <w:pPr>
              <w:widowControl w:val="0"/>
              <w:snapToGrid w:val="0"/>
              <w:jc w:val="center"/>
              <w:rPr>
                <w:rFonts w:ascii="Arial" w:hAnsi="Arial" w:eastAsia="黑体" w:cs="Arial"/>
                <w:bCs/>
                <w:sz w:val="21"/>
                <w:szCs w:val="21"/>
              </w:rPr>
            </w:pPr>
          </w:p>
        </w:tc>
        <w:tc>
          <w:tcPr>
            <w:tcW w:w="1403" w:type="dxa"/>
            <w:vAlign w:val="center"/>
          </w:tcPr>
          <w:p w14:paraId="7BF25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B23AD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2B4E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09477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AC5F4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50D52A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5DFA053E">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5BA7FE47">
            <w:pPr>
              <w:widowControl w:val="0"/>
              <w:snapToGrid w:val="0"/>
              <w:jc w:val="center"/>
              <w:rPr>
                <w:rFonts w:ascii="Arial" w:hAnsi="Arial" w:eastAsia="黑体" w:cs="Arial"/>
                <w:bCs/>
                <w:sz w:val="21"/>
                <w:szCs w:val="21"/>
              </w:rPr>
            </w:pPr>
          </w:p>
        </w:tc>
        <w:tc>
          <w:tcPr>
            <w:tcW w:w="1403" w:type="dxa"/>
            <w:vAlign w:val="center"/>
          </w:tcPr>
          <w:p w14:paraId="56D2D3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0F814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845F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F1027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9CC61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13DC56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1CCB1CFB">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3723856D">
            <w:pPr>
              <w:widowControl w:val="0"/>
              <w:snapToGrid w:val="0"/>
              <w:jc w:val="center"/>
              <w:rPr>
                <w:rFonts w:ascii="Arial" w:hAnsi="Arial" w:eastAsia="黑体" w:cs="Arial"/>
                <w:bCs/>
                <w:sz w:val="21"/>
                <w:szCs w:val="21"/>
              </w:rPr>
            </w:pPr>
          </w:p>
        </w:tc>
        <w:tc>
          <w:tcPr>
            <w:tcW w:w="1403" w:type="dxa"/>
            <w:vAlign w:val="center"/>
          </w:tcPr>
          <w:p w14:paraId="68C281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8FF97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06E5A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49781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35D0D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79336A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06FB9647">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7CC0C90D">
            <w:pPr>
              <w:widowControl w:val="0"/>
              <w:snapToGrid w:val="0"/>
              <w:jc w:val="center"/>
              <w:rPr>
                <w:rFonts w:ascii="Arial" w:hAnsi="Arial" w:eastAsia="黑体" w:cs="Arial"/>
                <w:bCs/>
                <w:sz w:val="21"/>
                <w:szCs w:val="21"/>
              </w:rPr>
            </w:pPr>
          </w:p>
        </w:tc>
        <w:tc>
          <w:tcPr>
            <w:tcW w:w="1403" w:type="dxa"/>
            <w:vAlign w:val="center"/>
          </w:tcPr>
          <w:p w14:paraId="0AEDFE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75584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6DA1C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88E77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C95C8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22CA99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447D1F82">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14:paraId="0F2E8C15">
            <w:pPr>
              <w:widowControl w:val="0"/>
              <w:snapToGrid w:val="0"/>
              <w:jc w:val="center"/>
              <w:rPr>
                <w:rFonts w:ascii="Arial" w:hAnsi="Arial" w:eastAsia="黑体" w:cs="Arial"/>
                <w:bCs/>
                <w:sz w:val="21"/>
                <w:szCs w:val="21"/>
              </w:rPr>
            </w:pPr>
          </w:p>
        </w:tc>
        <w:tc>
          <w:tcPr>
            <w:tcW w:w="1403" w:type="dxa"/>
            <w:vAlign w:val="center"/>
          </w:tcPr>
          <w:p w14:paraId="07C0AA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55B5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B345B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2A6B0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FCF67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5163D21A">
      <w:pPr>
        <w:pStyle w:val="16"/>
        <w:spacing w:before="326" w:beforeLines="100" w:line="360" w:lineRule="auto"/>
        <w:rPr>
          <w:rFonts w:hint="eastAsia"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345BEDC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7D801F76">
            <w:pPr>
              <w:pStyle w:val="14"/>
              <w:widowControl w:val="0"/>
              <w:jc w:val="left"/>
              <w:rPr>
                <w:rFonts w:hint="eastAsia" w:ascii="仿宋" w:hAnsi="仿宋" w:eastAsia="仿宋" w:cs="仿宋"/>
              </w:rPr>
            </w:pPr>
          </w:p>
          <w:p w14:paraId="3743E0E9">
            <w:pPr>
              <w:pStyle w:val="14"/>
              <w:widowControl w:val="0"/>
              <w:jc w:val="left"/>
              <w:rPr>
                <w:rFonts w:hint="eastAsia" w:ascii="宋体" w:hAnsi="宋体"/>
                <w:bCs/>
              </w:rPr>
            </w:pPr>
            <w:r>
              <w:rPr>
                <w:rFonts w:hint="eastAsia" w:ascii="宋体" w:hAnsi="宋体"/>
                <w:bCs/>
              </w:rPr>
              <w:t>无</w:t>
            </w:r>
          </w:p>
          <w:p w14:paraId="42182BFA">
            <w:pPr>
              <w:pStyle w:val="14"/>
              <w:widowControl w:val="0"/>
              <w:jc w:val="left"/>
              <w:rPr>
                <w:rFonts w:ascii="黑体"/>
              </w:rPr>
            </w:pPr>
          </w:p>
        </w:tc>
      </w:tr>
    </w:tbl>
    <w:p w14:paraId="45BE1B4D">
      <w:pPr>
        <w:pStyle w:val="16"/>
        <w:rPr>
          <w:rFonts w:hint="eastAsia" w:ascii="黑体" w:hAnsi="宋体"/>
          <w:sz w:val="18"/>
          <w:szCs w:val="16"/>
        </w:rPr>
      </w:pPr>
    </w:p>
    <w:sectPr>
      <w:headerReference r:id="rId3" w:type="default"/>
      <w:pgSz w:w="11906" w:h="16838"/>
      <w:pgMar w:top="1327" w:right="1689" w:bottom="1383" w:left="1689"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auto"/>
    <w:pitch w:val="default"/>
    <w:sig w:usb0="00000000" w:usb1="00000000" w:usb2="00000000" w:usb3="00000000" w:csb0="00000093"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A9BA5">
    <w:pPr>
      <w:jc w:val="right"/>
      <w:rPr>
        <w:rFonts w:hint="eastAsia"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182D23D4">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182D23D4">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wZWQzNDI0YmI2NTVkYWRiMTlkM2I4OTg4OTIxMDg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85D2D"/>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82063"/>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1E5D"/>
    <w:rsid w:val="00F35AA0"/>
    <w:rsid w:val="00F43C49"/>
    <w:rsid w:val="00F45C12"/>
    <w:rsid w:val="00F5166D"/>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47A1C27"/>
    <w:rsid w:val="09C025BE"/>
    <w:rsid w:val="0A8128A6"/>
    <w:rsid w:val="0BF32A1B"/>
    <w:rsid w:val="10BD2C22"/>
    <w:rsid w:val="11D118DF"/>
    <w:rsid w:val="16FA7C5C"/>
    <w:rsid w:val="1A221309"/>
    <w:rsid w:val="1FAB4F33"/>
    <w:rsid w:val="22987C80"/>
    <w:rsid w:val="24192CCC"/>
    <w:rsid w:val="25A42208"/>
    <w:rsid w:val="26962F26"/>
    <w:rsid w:val="26F4679D"/>
    <w:rsid w:val="27C546B8"/>
    <w:rsid w:val="3152520E"/>
    <w:rsid w:val="34AC55A9"/>
    <w:rsid w:val="36162CAE"/>
    <w:rsid w:val="39A66CD4"/>
    <w:rsid w:val="3AB42A96"/>
    <w:rsid w:val="3C951A2A"/>
    <w:rsid w:val="3CD52CE1"/>
    <w:rsid w:val="3E14509C"/>
    <w:rsid w:val="3E9133E1"/>
    <w:rsid w:val="40A435AC"/>
    <w:rsid w:val="410F2E6A"/>
    <w:rsid w:val="413B5574"/>
    <w:rsid w:val="4430136C"/>
    <w:rsid w:val="4890240A"/>
    <w:rsid w:val="4AB0382B"/>
    <w:rsid w:val="4B0709C0"/>
    <w:rsid w:val="4F1A5A0F"/>
    <w:rsid w:val="542E3461"/>
    <w:rsid w:val="56271FF3"/>
    <w:rsid w:val="569868B5"/>
    <w:rsid w:val="5B7E6A7C"/>
    <w:rsid w:val="5E224037"/>
    <w:rsid w:val="611F6817"/>
    <w:rsid w:val="63927568"/>
    <w:rsid w:val="66CA1754"/>
    <w:rsid w:val="684828EC"/>
    <w:rsid w:val="6F1E65D4"/>
    <w:rsid w:val="6F266C86"/>
    <w:rsid w:val="6F5042C2"/>
    <w:rsid w:val="74316312"/>
    <w:rsid w:val="780F13C8"/>
    <w:rsid w:val="7B05466C"/>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Template>
  <Pages>8</Pages>
  <Words>708</Words>
  <Characters>762</Characters>
  <Lines>35</Lines>
  <Paragraphs>9</Paragraphs>
  <TotalTime>5</TotalTime>
  <ScaleCrop>false</ScaleCrop>
  <LinksUpToDate>false</LinksUpToDate>
  <CharactersWithSpaces>769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王飔飔</cp:lastModifiedBy>
  <cp:lastPrinted>2025-09-17T02:18:16Z</cp:lastPrinted>
  <dcterms:modified xsi:type="dcterms:W3CDTF">2025-09-17T02:19:25Z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B8588DEF0F9F45EEA60E8230054E83AB_12</vt:lpwstr>
  </property>
  <property fmtid="{D5CDD505-2E9C-101B-9397-08002B2CF9AE}" pid="4" name="KSOTemplateDocerSaveRecord">
    <vt:lpwstr>eyJoZGlkIjoiNjgwZWQzNDI0YmI2NTVkYWRiMTlkM2I4OTg4OTIxMDgiLCJ1c2VySWQiOiIzMzU2NjMxMDYifQ==</vt:lpwstr>
  </property>
</Properties>
</file>