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32"/>
          <w:szCs w:val="32"/>
        </w:rPr>
      </w:pPr>
      <w:r>
        <w:rPr>
          <w:rFonts w:hint="eastAsia" w:ascii="黑体" w:hAnsi="黑体" w:eastAsia="黑体"/>
          <w:bCs/>
          <w:sz w:val="32"/>
          <w:szCs w:val="32"/>
        </w:rPr>
        <w:t>《老年护理》专科课程教学大纲</w:t>
      </w:r>
    </w:p>
    <w:p>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Gerontological Nursing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0070053</w:t>
            </w:r>
          </w:p>
        </w:tc>
        <w:tc>
          <w:tcPr>
            <w:tcW w:w="2126"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both"/>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lef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c>
          <w:tcPr>
            <w:tcW w:w="1272" w:type="dxa"/>
            <w:vAlign w:val="center"/>
          </w:tcPr>
          <w:p>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w:t>
            </w:r>
          </w:p>
        </w:tc>
        <w:tc>
          <w:tcPr>
            <w:tcW w:w="1413" w:type="dxa"/>
            <w:gridSpan w:val="2"/>
            <w:vAlign w:val="center"/>
          </w:tcPr>
          <w:p>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护理专科二年级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老年护理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学</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张先庚、ISBN</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9787117368735    </w:t>
            </w:r>
            <w:r>
              <w:rPr>
                <w:rFonts w:hint="eastAsia" w:asciiTheme="minorEastAsia" w:hAnsiTheme="minorEastAsia" w:eastAsiaTheme="minorEastAsia" w:cstheme="minorEastAsia"/>
                <w:color w:val="000000" w:themeColor="text1"/>
                <w:sz w:val="21"/>
                <w:szCs w:val="21"/>
                <w14:textFill>
                  <w14:solidFill>
                    <w14:schemeClr w14:val="tx1"/>
                  </w14:solidFill>
                </w14:textFill>
              </w:rPr>
              <w:t>人民卫生出版社 第</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版</w:t>
            </w:r>
          </w:p>
        </w:tc>
        <w:tc>
          <w:tcPr>
            <w:tcW w:w="1413"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护理导论</w:t>
            </w:r>
            <w:r>
              <w:rPr>
                <w:color w:val="000000" w:themeColor="text1"/>
                <w:sz w:val="21"/>
                <w:szCs w:val="21"/>
                <w14:textFill>
                  <w14:solidFill>
                    <w14:schemeClr w14:val="tx1"/>
                  </w14:solidFill>
                </w14:textFill>
              </w:rPr>
              <w:t>0070033</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）、护理学基础</w:t>
            </w:r>
            <w:r>
              <w:rPr>
                <w:color w:val="000000" w:themeColor="text1"/>
                <w:sz w:val="21"/>
                <w:szCs w:val="21"/>
                <w14:textFill>
                  <w14:solidFill>
                    <w14:schemeClr w14:val="tx1"/>
                  </w14:solidFill>
                </w14:textFill>
              </w:rPr>
              <w:t>1 0070012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w:t>
            </w:r>
          </w:p>
          <w:p>
            <w:pPr>
              <w:widowControl w:val="0"/>
              <w:jc w:val="left"/>
              <w:rPr>
                <w:rFonts w:hint="eastAsia"/>
              </w:rPr>
            </w:pPr>
            <w:r>
              <w:rPr>
                <w:rFonts w:hint="eastAsia"/>
                <w:color w:val="000000" w:themeColor="text1"/>
                <w:sz w:val="21"/>
                <w:szCs w:val="21"/>
                <w14:textFill>
                  <w14:solidFill>
                    <w14:schemeClr w14:val="tx1"/>
                  </w14:solidFill>
                </w14:textFill>
              </w:rPr>
              <w:t>正常人体学基础</w:t>
            </w:r>
            <w:r>
              <w:rPr>
                <w:color w:val="000000" w:themeColor="text1"/>
                <w:sz w:val="21"/>
                <w:szCs w:val="21"/>
                <w14:textFill>
                  <w14:solidFill>
                    <w14:schemeClr w14:val="tx1"/>
                  </w14:solidFill>
                </w14:textFill>
              </w:rPr>
              <w:t>1 0070038</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）、正常人体学基础</w:t>
            </w:r>
            <w:r>
              <w:rPr>
                <w:color w:val="000000" w:themeColor="text1"/>
                <w:sz w:val="21"/>
                <w:szCs w:val="21"/>
                <w14:textFill>
                  <w14:solidFill>
                    <w14:schemeClr w14:val="tx1"/>
                  </w14:solidFill>
                </w14:textFill>
              </w:rPr>
              <w:t>2 0070039</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97"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ind w:firstLine="420" w:firstLineChars="20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主要介绍老年护理的有关概念，老年人的健康保健及健康评估，老年人的常见疾病及护理，老年人的认知与感知、营养与饮食、活动与安全、心理健康、老年人安全用药、家庭护理及临终关怀护理等问题。从老年人的生理、心理及社会方面进行健康保健指导，维护和促进老年人的健康状态，提高老年人的生命质量，促进老年人“老有所医、老有所养、老有所乐、老有所学、老有所为和老有所教”。主要授课方式为理论讲授、课堂讨论、多媒体、社区实践和调查、临床实训等，充分利用教学资源，调动学生的学习积极性。让护理专业的学生能够认识到当前学习老年护理学的重要性和必要性，并重视老年护理学的研究，根据老年人个性化、多样化的需求，为老年人提供专业化、规范化、普及化和优质化的护理服务，以提高和增强学生的实际动手能力和良好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3" w:hRule="atLeast"/>
        </w:trPr>
        <w:tc>
          <w:tcPr>
            <w:tcW w:w="1691" w:type="dxa"/>
            <w:tcBorders>
              <w:left w:val="single" w:color="auto" w:sz="12" w:space="0"/>
              <w:bottom w:val="double" w:color="auto" w:sz="4" w:space="0"/>
            </w:tcBorders>
            <w:shd w:val="clear" w:color="auto" w:fill="auto"/>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ind w:firstLine="420" w:firstLineChars="200"/>
              <w:jc w:val="left"/>
              <w:rPr>
                <w:rFonts w:hint="eastAsia"/>
              </w:rPr>
            </w:pPr>
            <w:r>
              <w:rPr>
                <w:rFonts w:hint="eastAsia"/>
                <w:color w:val="000000" w:themeColor="text1"/>
                <w:sz w:val="21"/>
                <w:szCs w:val="21"/>
                <w14:textFill>
                  <w14:solidFill>
                    <w14:schemeClr w14:val="tx1"/>
                  </w14:solidFill>
                </w14:textFill>
              </w:rPr>
              <w:t>该课程适合于高职护理专业、二年级上学期开设、学生需要对专业有一定的认识，并初步具有一定的职业情感。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ind w:firstLine="840" w:firstLineChars="400"/>
              <w:jc w:val="left"/>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position w:val="-20"/>
                <w:sz w:val="21"/>
                <w:szCs w:val="21"/>
                <w:lang w:eastAsia="zh-CN"/>
              </w:rPr>
              <w:drawing>
                <wp:inline distT="0" distB="0" distL="114300" distR="114300">
                  <wp:extent cx="551180" cy="339090"/>
                  <wp:effectExtent l="0" t="0" r="7620" b="3810"/>
                  <wp:docPr id="4" name="图片 4" descr="莫敏玲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莫敏玲电子签名"/>
                          <pic:cNvPicPr>
                            <a:picLocks noChangeAspect="1"/>
                          </pic:cNvPicPr>
                        </pic:nvPicPr>
                        <pic:blipFill>
                          <a:blip r:embed="rId5"/>
                          <a:stretch>
                            <a:fillRect/>
                          </a:stretch>
                        </pic:blipFill>
                        <pic:spPr>
                          <a:xfrm>
                            <a:off x="0" y="0"/>
                            <a:ext cx="551180" cy="339090"/>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.0</w:t>
            </w:r>
            <w:r>
              <w:rPr>
                <w:rFonts w:hint="eastAsia" w:ascii="Times New Roman" w:hAnsi="Times New Roman"/>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467995" cy="412750"/>
                  <wp:effectExtent l="0" t="0" r="1905" b="6350"/>
                  <wp:docPr id="5" name="图片 5" descr="f7c8aba96f25c53abf4430a787f20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7c8aba96f25c53abf4430a787f20e6"/>
                          <pic:cNvPicPr>
                            <a:picLocks noChangeAspect="1"/>
                          </pic:cNvPicPr>
                        </pic:nvPicPr>
                        <pic:blipFill>
                          <a:blip r:embed="rId6"/>
                          <a:stretch>
                            <a:fillRect/>
                          </a:stretch>
                        </pic:blipFill>
                        <pic:spPr>
                          <a:xfrm>
                            <a:off x="0" y="0"/>
                            <a:ext cx="467995" cy="412750"/>
                          </a:xfrm>
                          <a:prstGeom prst="rect">
                            <a:avLst/>
                          </a:prstGeom>
                        </pic:spPr>
                      </pic:pic>
                    </a:graphicData>
                  </a:graphic>
                </wp:inline>
              </w:drawing>
            </w:r>
          </w:p>
        </w:tc>
        <w:tc>
          <w:tcPr>
            <w:tcW w:w="1425" w:type="dxa"/>
            <w:gridSpan w:val="2"/>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.0</w:t>
            </w:r>
            <w:r>
              <w:rPr>
                <w:rFonts w:hint="eastAsia" w:ascii="Times New Roman" w:hAnsi="Times New Roman"/>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608330" cy="378460"/>
                  <wp:effectExtent l="0" t="0" r="1270" b="2540"/>
                  <wp:docPr id="1" name="图片 1" descr="f1fbc23d30b3e3091468a454fae5b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fbc23d30b3e3091468a454fae5b5c"/>
                          <pic:cNvPicPr>
                            <a:picLocks noChangeAspect="1"/>
                          </pic:cNvPicPr>
                        </pic:nvPicPr>
                        <pic:blipFill>
                          <a:blip r:embed="rId7"/>
                          <a:stretch>
                            <a:fillRect/>
                          </a:stretch>
                        </pic:blipFill>
                        <pic:spPr>
                          <a:xfrm>
                            <a:off x="0" y="0"/>
                            <a:ext cx="608330" cy="378460"/>
                          </a:xfrm>
                          <a:prstGeom prst="rect">
                            <a:avLst/>
                          </a:prstGeom>
                        </pic:spPr>
                      </pic:pic>
                    </a:graphicData>
                  </a:graphic>
                </wp:inline>
              </w:drawing>
            </w:r>
          </w:p>
        </w:tc>
        <w:tc>
          <w:tcPr>
            <w:tcW w:w="1425" w:type="dxa"/>
            <w:gridSpan w:val="2"/>
            <w:tcBorders>
              <w:bottom w:val="single" w:color="auto" w:sz="12" w:space="0"/>
            </w:tcBorders>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b/>
                <w:bCs/>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.0</w:t>
            </w:r>
            <w:r>
              <w:rPr>
                <w:rFonts w:hint="eastAsia" w:ascii="Times New Roman" w:hAnsi="Times New Roman"/>
                <w:color w:val="000000"/>
                <w:sz w:val="21"/>
                <w:szCs w:val="21"/>
                <w:lang w:val="en-US" w:eastAsia="zh-CN"/>
              </w:rPr>
              <w:t>9</w:t>
            </w:r>
          </w:p>
        </w:tc>
      </w:tr>
    </w:tbl>
    <w:p>
      <w:pPr>
        <w:spacing w:line="100" w:lineRule="exact"/>
        <w:rPr>
          <w:rFonts w:ascii="Arial" w:hAnsi="Arial" w:eastAsia="黑体"/>
        </w:rPr>
      </w:pPr>
      <w:r>
        <w:br w:type="page"/>
      </w:r>
    </w:p>
    <w:p>
      <w:pPr>
        <w:pStyle w:val="16"/>
        <w:tabs>
          <w:tab w:val="right" w:pos="8306"/>
        </w:tabs>
        <w:spacing w:before="326" w:beforeLines="100" w:line="360" w:lineRule="auto"/>
        <w:rPr>
          <w:rFonts w:hint="eastAsia" w:ascii="黑体" w:hAnsi="宋体"/>
        </w:rPr>
      </w:pPr>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晓与老年护理专业相关应急处理流程；针对老年痴呆病人可能走失问题；老年骨质疏松症病人可能骨折问题；老年高血压病可能出现脑出血风险；老年糖尿病可能出现低血糖休克、老年跌倒护理、老年压疮护理等，要能分析和确定出首要危机，并能采取对应的护理措施施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能确定老年人、家属的健康需求，根据其生理、心理需求，结合老年人所患疾病，制订健康指导计划，有效推进健康教育，提高患者的依从性。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1.能针对老年人做全面的躯体健康评估。</w:t>
            </w:r>
          </w:p>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2.能针对量表做全面的心理健康评估。</w:t>
            </w:r>
          </w:p>
          <w:p>
            <w:pPr>
              <w:pStyle w:val="14"/>
              <w:widowControl w:val="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3.能针对老年人做全面的社会健康评估。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hint="eastAsia"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1.能制订老年常见病如：阿尔茨海默病、老年骨质疏松症、老年高血压病、老年糖尿病的护理计划、护理措施及出现急症是能及时发现、及时处理、及时抢救。</w:t>
            </w:r>
          </w:p>
          <w:p>
            <w:pPr>
              <w:pStyle w:val="14"/>
              <w:widowControl w:val="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2.能指导老年人安全用药。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1.要有良好的沟通技巧和沟通方法。</w:t>
            </w:r>
          </w:p>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2.倾听老年人意见、尊重老年人观点、分析老年人需求。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hint="eastAsia"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要关爱老人，对待老人要有足够的耐心、细心和爱心。</w:t>
            </w:r>
          </w:p>
        </w:tc>
      </w:tr>
    </w:tbl>
    <w:p>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bookmarkStart w:id="6" w:name="_GoBack"/>
      <w:bookmarkEnd w:id="6"/>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39"/>
        <w:gridCol w:w="1050"/>
        <w:gridCol w:w="2457"/>
        <w:gridCol w:w="1382"/>
        <w:gridCol w:w="1382"/>
        <w:gridCol w:w="13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snapToGrid w:val="0"/>
              <w:spacing w:line="288" w:lineRule="auto"/>
              <w:jc w:val="center"/>
              <w:rPr>
                <w:rFonts w:hAnsi="Times New Roman"/>
                <w:b/>
                <w:sz w:val="20"/>
                <w:szCs w:val="20"/>
              </w:rPr>
            </w:pPr>
            <w:bookmarkStart w:id="0" w:name="OLE_LINK6"/>
            <w:bookmarkStart w:id="1" w:name="OLE_LINK5"/>
            <w:r>
              <w:rPr>
                <w:rFonts w:hint="eastAsia"/>
                <w:b/>
                <w:sz w:val="20"/>
                <w:szCs w:val="20"/>
              </w:rPr>
              <w:t>序号</w:t>
            </w:r>
          </w:p>
        </w:tc>
        <w:tc>
          <w:tcPr>
            <w:tcW w:w="1050" w:type="dxa"/>
            <w:vAlign w:val="center"/>
          </w:tcPr>
          <w:p>
            <w:pPr>
              <w:widowControl w:val="0"/>
              <w:snapToGrid w:val="0"/>
              <w:spacing w:line="288" w:lineRule="auto"/>
              <w:jc w:val="center"/>
              <w:rPr>
                <w:rFonts w:hAnsi="Times New Roman"/>
                <w:b/>
                <w:sz w:val="20"/>
                <w:szCs w:val="20"/>
              </w:rPr>
            </w:pPr>
            <w:r>
              <w:rPr>
                <w:rFonts w:hint="eastAsia"/>
                <w:b/>
                <w:sz w:val="20"/>
                <w:szCs w:val="20"/>
              </w:rPr>
              <w:t>单元名称</w:t>
            </w:r>
          </w:p>
        </w:tc>
        <w:tc>
          <w:tcPr>
            <w:tcW w:w="2457" w:type="dxa"/>
            <w:vAlign w:val="center"/>
          </w:tcPr>
          <w:p>
            <w:pPr>
              <w:widowControl w:val="0"/>
              <w:snapToGrid w:val="0"/>
              <w:spacing w:line="288" w:lineRule="auto"/>
              <w:jc w:val="center"/>
              <w:rPr>
                <w:rFonts w:hAnsi="Times New Roman"/>
                <w:b/>
                <w:sz w:val="20"/>
                <w:szCs w:val="20"/>
              </w:rPr>
            </w:pPr>
            <w:r>
              <w:rPr>
                <w:rFonts w:hint="eastAsia"/>
                <w:b/>
                <w:sz w:val="20"/>
                <w:szCs w:val="20"/>
              </w:rPr>
              <w:t>知识点</w:t>
            </w:r>
          </w:p>
        </w:tc>
        <w:tc>
          <w:tcPr>
            <w:tcW w:w="1382" w:type="dxa"/>
            <w:vAlign w:val="center"/>
          </w:tcPr>
          <w:p>
            <w:pPr>
              <w:widowControl w:val="0"/>
              <w:snapToGrid w:val="0"/>
              <w:spacing w:line="288" w:lineRule="auto"/>
              <w:jc w:val="center"/>
              <w:rPr>
                <w:rFonts w:hAnsi="Times New Roman"/>
                <w:b/>
                <w:sz w:val="20"/>
                <w:szCs w:val="20"/>
              </w:rPr>
            </w:pPr>
            <w:r>
              <w:rPr>
                <w:rFonts w:hint="eastAsia"/>
                <w:b/>
                <w:sz w:val="20"/>
                <w:szCs w:val="20"/>
              </w:rPr>
              <w:t>能力要求</w:t>
            </w:r>
          </w:p>
        </w:tc>
        <w:tc>
          <w:tcPr>
            <w:tcW w:w="1382" w:type="dxa"/>
            <w:vAlign w:val="center"/>
          </w:tcPr>
          <w:p>
            <w:pPr>
              <w:widowControl w:val="0"/>
              <w:snapToGrid w:val="0"/>
              <w:spacing w:line="288" w:lineRule="auto"/>
              <w:jc w:val="center"/>
              <w:rPr>
                <w:rFonts w:hint="eastAsia"/>
                <w:b/>
                <w:sz w:val="20"/>
                <w:szCs w:val="20"/>
              </w:rPr>
            </w:pPr>
            <w:r>
              <w:rPr>
                <w:rFonts w:hint="eastAsia"/>
                <w:b/>
                <w:sz w:val="20"/>
                <w:szCs w:val="20"/>
              </w:rPr>
              <w:t>情感目标</w:t>
            </w:r>
          </w:p>
        </w:tc>
        <w:tc>
          <w:tcPr>
            <w:tcW w:w="1386" w:type="dxa"/>
            <w:vAlign w:val="center"/>
          </w:tcPr>
          <w:p>
            <w:pPr>
              <w:widowControl w:val="0"/>
              <w:snapToGrid w:val="0"/>
              <w:spacing w:line="288" w:lineRule="auto"/>
              <w:jc w:val="center"/>
              <w:rPr>
                <w:rFonts w:hAnsi="Times New Roman"/>
                <w:b/>
                <w:sz w:val="20"/>
                <w:szCs w:val="20"/>
              </w:rPr>
            </w:pPr>
            <w:r>
              <w:rPr>
                <w:rFonts w:hint="eastAsia"/>
                <w:b/>
                <w:sz w:val="20"/>
                <w:szCs w:val="20"/>
              </w:rPr>
              <w:t>教学难点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05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绪论：老年人、与人口老龄化；老年护理学概述</w:t>
            </w:r>
          </w:p>
        </w:tc>
        <w:tc>
          <w:tcPr>
            <w:tcW w:w="2457"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1.知晓人口老龄化的现状与趋势、老年护理学发展。</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2.知道了WHO对老年期年龄划分标准。</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3.知道了老年护理学的相关概念、老年人、人口老龄化、老龄化社会、健康老龄化等概念。</w:t>
            </w:r>
          </w:p>
          <w:p>
            <w:pPr>
              <w:widowControl w:val="0"/>
              <w:adjustRightInd w:val="0"/>
              <w:ind w:right="-5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4.熟悉患病老年人的护理特点。</w:t>
            </w:r>
          </w:p>
          <w:p>
            <w:pPr>
              <w:widowControl w:val="0"/>
              <w:adjustRightInd w:val="0"/>
              <w:ind w:right="-5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5.知道了老年护理的工作目标及老年护理人员素质要求。</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1.随着老龄化进程的加剧，国家和社会需要大量护理人才积极投身老年护理事业中来。</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老年护理是夕阳产业但是朝阳事业。希望护理学生们知晓老年产业带来的机遇和挑战。爱上老年护理专业。3.老年护理人才需要博学多专的知识，要有高度的责任感和奉献精神，要有良好的沟通能力和团队合作精神。</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1.热爱护理事业。</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2.尊重、关爱老年人。</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3.具有耐心、细心、责任心、爱心。</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4.具有积极主动的沟通意识和沟通能力。</w:t>
            </w:r>
          </w:p>
        </w:tc>
        <w:tc>
          <w:tcPr>
            <w:tcW w:w="1386" w:type="dxa"/>
          </w:tcPr>
          <w:p>
            <w:pPr>
              <w:widowControl w:val="0"/>
              <w:numPr>
                <w:ilvl w:val="0"/>
                <w:numId w:val="1"/>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患病老人的护理特点。</w:t>
            </w:r>
          </w:p>
          <w:p>
            <w:pPr>
              <w:widowControl w:val="0"/>
              <w:numPr>
                <w:ilvl w:val="0"/>
                <w:numId w:val="1"/>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如何做个合格的老年护理护士？</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5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老年人健康及生活质量评估；年人的健康促进与健康保健；</w:t>
            </w:r>
          </w:p>
        </w:tc>
        <w:tc>
          <w:tcPr>
            <w:tcW w:w="2457" w:type="dxa"/>
          </w:tcPr>
          <w:p>
            <w:pPr>
              <w:widowControl w:val="0"/>
              <w:numPr>
                <w:ilvl w:val="0"/>
                <w:numId w:val="2"/>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知晓老年人健康评估基本概念。知道了老年人健康评估应遵循的原则；知道了老年健康评估过程中护理人员应注意的事项。</w:t>
            </w:r>
          </w:p>
          <w:p>
            <w:pPr>
              <w:widowControl w:val="0"/>
              <w:numPr>
                <w:ilvl w:val="0"/>
                <w:numId w:val="2"/>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知晓老年人躯体健康评估的内容。知道了老年综合征定义。</w:t>
            </w:r>
          </w:p>
          <w:p>
            <w:pPr>
              <w:widowControl w:val="0"/>
              <w:numPr>
                <w:ilvl w:val="0"/>
                <w:numId w:val="2"/>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知晓功能状态评估内容；知道了ADL评估量表使用。</w:t>
            </w:r>
          </w:p>
          <w:p>
            <w:pPr>
              <w:widowControl w:val="0"/>
              <w:numPr>
                <w:ilvl w:val="0"/>
                <w:numId w:val="2"/>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知晓老年人心理与社会状态评估内容。</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5.知晓健康促进与健康保健概念。</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6.知道了老年保健概念和目标，老年保健重点人群。</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7.知道了健康保健的基本原则。</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1.说出老年人健康评估内容及应遵循的原则；对老年人健康评估过程中护理人员应注意的事项。</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2.会采集病人的现病史、健康史及相关实验室检查。</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3.知道了ADL评估量表使用。</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4.运用相应评估表评估老年人有否抑郁和焦虑。</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5.能倾听老年人意见，能分析老年人需求。</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6.能和老人进行积极有效的沟通。不断提升与老人的健康教育能力。</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1.尊重、关爱老年人。</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2.具有耐心、细心。</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3.工作认真负责，严谨求实。</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确保老人用药安全。</w:t>
            </w:r>
          </w:p>
        </w:tc>
        <w:tc>
          <w:tcPr>
            <w:tcW w:w="1386" w:type="dxa"/>
          </w:tcPr>
          <w:p>
            <w:pPr>
              <w:widowControl w:val="0"/>
              <w:numPr>
                <w:ilvl w:val="0"/>
                <w:numId w:val="3"/>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病史采集及分析。</w:t>
            </w:r>
          </w:p>
          <w:p>
            <w:pPr>
              <w:widowControl w:val="0"/>
              <w:numPr>
                <w:ilvl w:val="0"/>
                <w:numId w:val="3"/>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评估量表的运用和分析。</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3.老年人心理问题的评估。</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4.沟通技巧的使用。</w:t>
            </w:r>
          </w:p>
          <w:p>
            <w:pPr>
              <w:widowControl w:val="0"/>
              <w:jc w:val="both"/>
              <w:rPr>
                <w:rFonts w:hint="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05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老年人的安全用药与护理/阿尔茨海默病</w:t>
            </w:r>
          </w:p>
        </w:tc>
        <w:tc>
          <w:tcPr>
            <w:tcW w:w="2457"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1.知道了老年人用药原则及老年人常用药物的不良反应。</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2.密切观察和预防老年人用药不良反应。</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3.做好老年人安全用药护理。</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4.知晓阿尔茨海默病的概述及相关护理评估。</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5.知晓阿尔茨海默病的护理诊断和护理措施。</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6.针对老年痴呆病人可能的走失问题等，能及时发现、及时处理、及时抢救。</w:t>
            </w:r>
          </w:p>
          <w:p>
            <w:pPr>
              <w:widowControl w:val="0"/>
              <w:jc w:val="both"/>
              <w:rPr>
                <w:rFonts w:hint="eastAsia"/>
                <w:color w:val="000000" w:themeColor="text1"/>
                <w:sz w:val="21"/>
                <w:szCs w:val="21"/>
                <w14:textFill>
                  <w14:solidFill>
                    <w14:schemeClr w14:val="tx1"/>
                  </w14:solidFill>
                </w14:textFill>
              </w:rPr>
            </w:pP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1.能简述老年人的用药原则。</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2.能进行老年人用药知识教育与指导。</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3.知晓与老年护理专业（跌倒、走失）相关应急处理流程。</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4.能对阿尔茨海默病做相关护理评估。</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5.能制订阿尔茨海默病护理计划和护理措施。</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6.对老年痴呆症老人的突发走失、跌倒骨折等能第一时间施救。</w:t>
            </w:r>
          </w:p>
          <w:p>
            <w:pPr>
              <w:widowControl w:val="0"/>
              <w:jc w:val="both"/>
              <w:rPr>
                <w:rFonts w:hint="eastAsia"/>
                <w:color w:val="000000" w:themeColor="text1"/>
                <w:sz w:val="21"/>
                <w:szCs w:val="21"/>
                <w14:textFill>
                  <w14:solidFill>
                    <w14:schemeClr w14:val="tx1"/>
                  </w14:solidFill>
                </w14:textFill>
              </w:rPr>
            </w:pP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1.热爱护理事业。</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2.尊重、关爱老年人。</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3.具有耐心、细心、责任心、爱心。</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4.具有积极主动的沟通意识和沟通能力。</w:t>
            </w:r>
          </w:p>
          <w:p>
            <w:pPr>
              <w:widowControl w:val="0"/>
              <w:jc w:val="both"/>
              <w:rPr>
                <w:rFonts w:hint="eastAsia"/>
                <w:color w:val="000000" w:themeColor="text1"/>
                <w:sz w:val="21"/>
                <w:szCs w:val="21"/>
                <w14:textFill>
                  <w14:solidFill>
                    <w14:schemeClr w14:val="tx1"/>
                  </w14:solidFill>
                </w14:textFill>
              </w:rPr>
            </w:pPr>
          </w:p>
        </w:tc>
        <w:tc>
          <w:tcPr>
            <w:tcW w:w="1386"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1.老年用药特点。</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2.老年人用药情况的评估。</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3.用药不良反应检测。</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4.老年痴呆患者的应急抢救。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05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老年常见疾病护理：高血压、老年糖尿病</w:t>
            </w:r>
          </w:p>
        </w:tc>
        <w:tc>
          <w:tcPr>
            <w:tcW w:w="2457"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1.知晓老年高血压病、老年糖尿病的定义、分类、诊断标准及临床特征、相关护理评估。</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2.知道了老年人降压药物应用的基本原则及指导病人合理运用降压药。知道了老年糖尿病胰岛素的使用方法及发生不良反应的判断、处理</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3.知晓老年高血压病、老年糖尿病的护理诊断、护理措施及健康指导。</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4.针对老年高血压病可能出现的脑出血风险；老年糖尿病可能出现的低血糖休克等，要能分析和确定出首要危机。针对老年人出现的急症，能及时发现、及时处理、及时抢救。</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1.知晓与老年护理专业相关应急处理流程。</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2.能对老年高血压病、老年糖尿病做相关护理评估。</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3.能制订老年高血压病、老年糖尿病的护理计划和护理措施。</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4.对突发意识丧失、脑出血、酮症酸中毒、低血糖休克等能及时发现、及时处理、及时抢救。</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1.工作认真负责，严谨求实。</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2.关心、爱护老年人，有高度的责任心。</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3.要有敏锐的观察能力和判断能力。</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4.具有应急处理能力及抢救意识，确保病人安全。</w:t>
            </w:r>
          </w:p>
        </w:tc>
        <w:tc>
          <w:tcPr>
            <w:tcW w:w="1386"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1.对疾病护理计划的制订。</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2.急症判断及抢救。</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3.意外事件的预防。</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4.疾病的健康宣教及宣教者的表达能力。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105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老年人营养问题及护理；老年常见疾病护理：骨质疏松症</w:t>
            </w:r>
          </w:p>
        </w:tc>
        <w:tc>
          <w:tcPr>
            <w:tcW w:w="2457"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1.知晓老年人的代谢特点和营养需求。</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2.知道了老年人常见营养问题。</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3.知晓骨质疏松症的概念；</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4.知道了老年骨质疏松症的病因、临床表现、治疗原则。</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5.知晓老年骨质疏松症的护理诊断、护理措施、健康指导。</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6.老年骨质疏松症病人可能的骨折问题等，能及时发现、及时处理、及时抢救。</w:t>
            </w:r>
          </w:p>
        </w:tc>
        <w:tc>
          <w:tcPr>
            <w:tcW w:w="1382" w:type="dxa"/>
          </w:tcPr>
          <w:p>
            <w:pPr>
              <w:widowControl w:val="0"/>
              <w:numPr>
                <w:ilvl w:val="0"/>
                <w:numId w:val="4"/>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能说出老年人营养需求。</w:t>
            </w:r>
          </w:p>
          <w:p>
            <w:pPr>
              <w:widowControl w:val="0"/>
              <w:numPr>
                <w:ilvl w:val="0"/>
                <w:numId w:val="4"/>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能说出老年人常见的营养问题</w:t>
            </w:r>
          </w:p>
          <w:p>
            <w:pPr>
              <w:widowControl w:val="0"/>
              <w:numPr>
                <w:ilvl w:val="0"/>
                <w:numId w:val="4"/>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对老年骨质疏松症做相关护理评估。</w:t>
            </w:r>
          </w:p>
          <w:p>
            <w:pPr>
              <w:widowControl w:val="0"/>
              <w:numPr>
                <w:ilvl w:val="0"/>
                <w:numId w:val="4"/>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能制订老年骨质疏松症的护理计划和护理措施。</w:t>
            </w:r>
          </w:p>
          <w:p>
            <w:pPr>
              <w:widowControl w:val="0"/>
              <w:jc w:val="both"/>
              <w:rPr>
                <w:rFonts w:hint="eastAsia"/>
                <w:color w:val="000000" w:themeColor="text1"/>
                <w:sz w:val="21"/>
                <w:szCs w:val="21"/>
                <w14:textFill>
                  <w14:solidFill>
                    <w14:schemeClr w14:val="tx1"/>
                  </w14:solidFill>
                </w14:textFill>
              </w:rPr>
            </w:pP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1.工作认真负责，严谨求实。</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2.关心、爱护老年人，有高度的责任心。</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3.具有应急处理能力及抢救意识，确保病人安全。</w:t>
            </w:r>
          </w:p>
          <w:p>
            <w:pPr>
              <w:widowControl w:val="0"/>
              <w:jc w:val="both"/>
              <w:rPr>
                <w:rFonts w:hint="eastAsia"/>
                <w:color w:val="000000" w:themeColor="text1"/>
                <w:sz w:val="21"/>
                <w:szCs w:val="21"/>
                <w14:textFill>
                  <w14:solidFill>
                    <w14:schemeClr w14:val="tx1"/>
                  </w14:solidFill>
                </w14:textFill>
              </w:rPr>
            </w:pPr>
          </w:p>
        </w:tc>
        <w:tc>
          <w:tcPr>
            <w:tcW w:w="1386" w:type="dxa"/>
          </w:tcPr>
          <w:p>
            <w:pPr>
              <w:widowControl w:val="0"/>
              <w:numPr>
                <w:ilvl w:val="0"/>
                <w:numId w:val="5"/>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老年营养与饮食指导。</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2.疾病护理计划的制订</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及时应急的抢救。</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3.疾病的健康宣教及宣教者的表达能力。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05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老年人的心理和精神相关问题及护理： </w:t>
            </w:r>
          </w:p>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老年人舒适和活动问题及护理：跌倒、疼痛</w:t>
            </w:r>
          </w:p>
        </w:tc>
        <w:tc>
          <w:tcPr>
            <w:tcW w:w="2457" w:type="dxa"/>
          </w:tcPr>
          <w:p>
            <w:pPr>
              <w:widowControl w:val="0"/>
              <w:numPr>
                <w:ilvl w:val="0"/>
                <w:numId w:val="6"/>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知晓跌倒、压疮的常见原因及相关基础知识。</w:t>
            </w:r>
          </w:p>
          <w:p>
            <w:pPr>
              <w:widowControl w:val="0"/>
              <w:numPr>
                <w:ilvl w:val="0"/>
                <w:numId w:val="6"/>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知晓跌倒、压疮的危险性评估。</w:t>
            </w:r>
          </w:p>
          <w:p>
            <w:pPr>
              <w:widowControl w:val="0"/>
              <w:numPr>
                <w:ilvl w:val="0"/>
                <w:numId w:val="6"/>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知道了老年人跌倒、疼痛的预防与护理。</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1.指导老年人居家安全防护措施。</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2.知道了预防老人跌倒的护理措施及健康指导。</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3.知道了老年人疼痛的护理。</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1.工作认真负责，严谨求实。</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2.关心、爱护老年人，有高度的责任心。保护老年人安全。</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3.具有应急处理能力及抢救意识，当患者突发意外情况时紧急施救确保病人安全。</w:t>
            </w:r>
          </w:p>
        </w:tc>
        <w:tc>
          <w:tcPr>
            <w:tcW w:w="1386" w:type="dxa"/>
          </w:tcPr>
          <w:p>
            <w:pPr>
              <w:widowControl w:val="0"/>
              <w:numPr>
                <w:ilvl w:val="0"/>
                <w:numId w:val="7"/>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疾病护理计划的制订</w:t>
            </w:r>
          </w:p>
          <w:p>
            <w:pPr>
              <w:widowControl w:val="0"/>
              <w:numPr>
                <w:ilvl w:val="0"/>
                <w:numId w:val="7"/>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应急的抢救。</w:t>
            </w:r>
          </w:p>
          <w:p>
            <w:pPr>
              <w:widowControl w:val="0"/>
              <w:numPr>
                <w:ilvl w:val="0"/>
                <w:numId w:val="7"/>
              </w:numPr>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疾病的健康宣教及宣教者的表达能力。</w:t>
            </w:r>
          </w:p>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4.老年安全防护，跌倒的安全护理、压疮的安全防护。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105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课内实验；低血糖反应急救</w:t>
            </w:r>
          </w:p>
        </w:tc>
        <w:tc>
          <w:tcPr>
            <w:tcW w:w="2457"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低血糖常见诱因、典型症状、急救流程、后续观察要点。</w:t>
            </w:r>
          </w:p>
          <w:p>
            <w:pPr>
              <w:widowControl w:val="0"/>
              <w:jc w:val="both"/>
              <w:rPr>
                <w:rFonts w:hint="eastAsia"/>
                <w:color w:val="000000" w:themeColor="text1"/>
                <w:sz w:val="21"/>
                <w:szCs w:val="21"/>
                <w14:textFill>
                  <w14:solidFill>
                    <w14:schemeClr w14:val="tx1"/>
                  </w14:solidFill>
                </w14:textFill>
              </w:rPr>
            </w:pP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快速</w:t>
            </w:r>
            <w:r>
              <w:rPr>
                <w:rFonts w:hint="eastAsia"/>
                <w:color w:val="000000" w:themeColor="text1"/>
                <w:sz w:val="21"/>
                <w:szCs w:val="21"/>
                <w14:textFill>
                  <w14:solidFill>
                    <w14:schemeClr w14:val="tx1"/>
                  </w14:solidFill>
                </w14:textFill>
              </w:rPr>
              <w:t>识别危险征象，</w:t>
            </w:r>
            <w:r>
              <w:rPr>
                <w:rFonts w:hint="eastAsia"/>
                <w:color w:val="000000" w:themeColor="text1"/>
                <w:sz w:val="21"/>
                <w:szCs w:val="21"/>
                <w:lang w:val="en-US" w:eastAsia="zh-CN"/>
                <w14:textFill>
                  <w14:solidFill>
                    <w14:schemeClr w14:val="tx1"/>
                  </w14:solidFill>
                </w14:textFill>
              </w:rPr>
              <w:t>规定时间内</w:t>
            </w:r>
            <w:r>
              <w:rPr>
                <w:rFonts w:hint="eastAsia"/>
                <w:color w:val="000000" w:themeColor="text1"/>
                <w:sz w:val="21"/>
                <w:szCs w:val="21"/>
                <w14:textFill>
                  <w14:solidFill>
                    <w14:schemeClr w14:val="tx1"/>
                  </w14:solidFill>
                </w14:textFill>
              </w:rPr>
              <w:t>完成</w:t>
            </w:r>
            <w:r>
              <w:rPr>
                <w:rFonts w:hint="eastAsia"/>
                <w:color w:val="000000" w:themeColor="text1"/>
                <w:sz w:val="21"/>
                <w:szCs w:val="21"/>
                <w:lang w:val="en-US" w:eastAsia="zh-CN"/>
                <w14:textFill>
                  <w14:solidFill>
                    <w14:schemeClr w14:val="tx1"/>
                  </w14:solidFill>
                </w14:textFill>
              </w:rPr>
              <w:t>相关抢救</w:t>
            </w:r>
            <w:r>
              <w:rPr>
                <w:rFonts w:hint="eastAsia"/>
                <w:color w:val="000000" w:themeColor="text1"/>
                <w:sz w:val="21"/>
                <w:szCs w:val="21"/>
                <w14:textFill>
                  <w14:solidFill>
                    <w14:schemeClr w14:val="tx1"/>
                  </w14:solidFill>
                </w14:textFill>
              </w:rPr>
              <w:t>操作并记录。</w:t>
            </w: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尊重老人感受，施救时语言安抚、动作轻柔。</w:t>
            </w:r>
          </w:p>
        </w:tc>
        <w:tc>
          <w:tcPr>
            <w:tcW w:w="1386" w:type="dxa"/>
          </w:tcPr>
          <w:p>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症状与卒中、心梗快速鉴别；</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正确判断“再次进食”时机</w:t>
            </w:r>
            <w:r>
              <w:rPr>
                <w:rFonts w:hint="eastAsia"/>
                <w:color w:val="000000" w:themeColor="text1"/>
                <w:sz w:val="21"/>
                <w:szCs w:val="21"/>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 w:hRule="atLeast"/>
        </w:trPr>
        <w:tc>
          <w:tcPr>
            <w:tcW w:w="639"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050"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课内实验；老年人日常生活护理</w:t>
            </w:r>
          </w:p>
        </w:tc>
        <w:tc>
          <w:tcPr>
            <w:tcW w:w="2457"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ADL分级、床上擦浴、更衣、口腔护理、防跌倒要点。</w:t>
            </w:r>
          </w:p>
          <w:p>
            <w:pPr>
              <w:widowControl w:val="0"/>
              <w:jc w:val="both"/>
              <w:rPr>
                <w:rFonts w:hint="eastAsia"/>
                <w:color w:val="000000" w:themeColor="text1"/>
                <w:sz w:val="21"/>
                <w:szCs w:val="21"/>
                <w14:textFill>
                  <w14:solidFill>
                    <w14:schemeClr w14:val="tx1"/>
                  </w14:solidFill>
                </w14:textFill>
              </w:rPr>
            </w:pPr>
          </w:p>
        </w:tc>
        <w:tc>
          <w:tcPr>
            <w:tcW w:w="1382" w:type="dxa"/>
          </w:tcPr>
          <w:p>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协助</w:t>
            </w:r>
            <w:r>
              <w:rPr>
                <w:rFonts w:hint="eastAsia"/>
                <w:color w:val="000000" w:themeColor="text1"/>
                <w:sz w:val="21"/>
                <w:szCs w:val="21"/>
                <w14:textFill>
                  <w14:solidFill>
                    <w14:schemeClr w14:val="tx1"/>
                  </w14:solidFill>
                </w14:textFill>
              </w:rPr>
              <w:t>完成</w:t>
            </w:r>
            <w:r>
              <w:rPr>
                <w:rFonts w:hint="eastAsia"/>
                <w:color w:val="000000" w:themeColor="text1"/>
                <w:sz w:val="21"/>
                <w:szCs w:val="21"/>
                <w:lang w:val="en-US" w:eastAsia="zh-CN"/>
                <w14:textFill>
                  <w14:solidFill>
                    <w14:schemeClr w14:val="tx1"/>
                  </w14:solidFill>
                </w14:textFill>
              </w:rPr>
              <w:t>相关评估与操作。</w:t>
            </w:r>
          </w:p>
          <w:p>
            <w:pPr>
              <w:widowControl w:val="0"/>
              <w:jc w:val="both"/>
              <w:rPr>
                <w:rFonts w:hint="eastAsia"/>
                <w:color w:val="000000" w:themeColor="text1"/>
                <w:sz w:val="21"/>
                <w:szCs w:val="21"/>
                <w14:textFill>
                  <w14:solidFill>
                    <w14:schemeClr w14:val="tx1"/>
                  </w14:solidFill>
                </w14:textFill>
              </w:rPr>
            </w:pPr>
          </w:p>
        </w:tc>
        <w:tc>
          <w:tcPr>
            <w:tcW w:w="1382" w:type="dxa"/>
          </w:tcPr>
          <w:p>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维护老人尊严，操作前解释、操作中遮隐。</w:t>
            </w:r>
          </w:p>
          <w:p>
            <w:pPr>
              <w:widowControl w:val="0"/>
              <w:jc w:val="both"/>
              <w:rPr>
                <w:rFonts w:hint="eastAsia"/>
                <w:color w:val="000000" w:themeColor="text1"/>
                <w:sz w:val="21"/>
                <w:szCs w:val="21"/>
                <w14:textFill>
                  <w14:solidFill>
                    <w14:schemeClr w14:val="tx1"/>
                  </w14:solidFill>
                </w14:textFill>
              </w:rPr>
            </w:pPr>
          </w:p>
        </w:tc>
        <w:tc>
          <w:tcPr>
            <w:tcW w:w="1386" w:type="dxa"/>
          </w:tcPr>
          <w:p>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在省力原则与老人舒适/尊严间平衡</w:t>
            </w:r>
            <w:r>
              <w:rPr>
                <w:rFonts w:hint="eastAsia"/>
                <w:color w:val="000000" w:themeColor="text1"/>
                <w:sz w:val="21"/>
                <w:szCs w:val="21"/>
                <w:lang w:eastAsia="zh-CN"/>
                <w14:textFill>
                  <w14:solidFill>
                    <w14:schemeClr w14:val="tx1"/>
                  </w14:solidFill>
                </w14:textFill>
              </w:rPr>
              <w:t>。</w:t>
            </w:r>
          </w:p>
        </w:tc>
      </w:tr>
      <w:bookmarkEnd w:id="0"/>
      <w:bookmarkEnd w:id="1"/>
    </w:tbl>
    <w:p>
      <w:pPr>
        <w:pStyle w:val="17"/>
        <w:numPr>
          <w:ilvl w:val="0"/>
          <w:numId w:val="8"/>
        </w:numPr>
        <w:spacing w:before="81" w:after="163"/>
      </w:pPr>
      <w:r>
        <w:rPr>
          <w:rFonts w:hint="eastAsia"/>
        </w:rPr>
        <w:t>教学单元对课程目标的支撑关系</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知晓与老年护理专业相关应急处理流程；针对老年痴呆病人可能走失问题；老年骨质疏松症病人可能骨折问题；老年高血压病可能出现脑出血风险；老年糖尿病可能出现低血糖休克、老年跌倒护理、老年压疮护理等，要能分析和确定出首要危机，并能采取对应的护理措施施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能确定老年人、家属的健康需求，根据其生理、心理需求，结合老年人所患疾病，制订健康指导计划，有效推进健康教育，提高患者的依从性。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1.能针对老年人做全面的躯体健康评估。</w:t>
            </w:r>
          </w:p>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2.能针对量表做全面的心理健康评估。</w:t>
            </w:r>
          </w:p>
          <w:p>
            <w:pPr>
              <w:pStyle w:val="14"/>
              <w:widowControl w:val="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3.能针对老年人做全面的社会健康评估。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hint="eastAsia"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1.能制订老年常见病如：阿尔茨海默病、老年骨质疏松症、老年高血压病、老年糖尿病的护理计划、护理措施及出现急症时能及时发现、及时处理、及时抢救。</w:t>
            </w:r>
          </w:p>
          <w:p>
            <w:pPr>
              <w:pStyle w:val="14"/>
              <w:widowControl w:val="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2.能指导老年人安全用药。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1.要有良好的沟通技巧和沟通方法。</w:t>
            </w:r>
          </w:p>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2.倾听老年人意见、尊重老年人观点、分析老年人需求。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hint="eastAsia"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widowControl w:val="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要关爱老人，对待老人要有足够的耐心、细心和爱心。</w:t>
            </w:r>
          </w:p>
        </w:tc>
      </w:tr>
    </w:tbl>
    <w:p>
      <w:pPr>
        <w:pStyle w:val="17"/>
        <w:spacing w:before="81" w:after="163"/>
      </w:pP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32"/>
        <w:gridCol w:w="1074"/>
        <w:gridCol w:w="1074"/>
        <w:gridCol w:w="1074"/>
        <w:gridCol w:w="1073"/>
        <w:gridCol w:w="1073"/>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1074" w:type="dxa"/>
            <w:tcBorders>
              <w:top w:val="single" w:color="auto" w:sz="12" w:space="0"/>
            </w:tcBorders>
            <w:vAlign w:val="center"/>
          </w:tcPr>
          <w:p>
            <w:pPr>
              <w:pStyle w:val="13"/>
              <w:rPr>
                <w:szCs w:val="16"/>
              </w:rPr>
            </w:pPr>
            <w:r>
              <w:rPr>
                <w:rFonts w:hint="eastAsia"/>
                <w:szCs w:val="16"/>
              </w:rPr>
              <w:t>1</w:t>
            </w:r>
          </w:p>
        </w:tc>
        <w:tc>
          <w:tcPr>
            <w:tcW w:w="1074" w:type="dxa"/>
            <w:tcBorders>
              <w:top w:val="single" w:color="auto" w:sz="12" w:space="0"/>
            </w:tcBorders>
            <w:vAlign w:val="center"/>
          </w:tcPr>
          <w:p>
            <w:pPr>
              <w:pStyle w:val="13"/>
              <w:rPr>
                <w:szCs w:val="16"/>
              </w:rPr>
            </w:pPr>
            <w:r>
              <w:rPr>
                <w:rFonts w:hint="eastAsia"/>
                <w:szCs w:val="16"/>
              </w:rPr>
              <w:t>2</w:t>
            </w:r>
          </w:p>
        </w:tc>
        <w:tc>
          <w:tcPr>
            <w:tcW w:w="1074" w:type="dxa"/>
            <w:tcBorders>
              <w:top w:val="single" w:color="auto" w:sz="12" w:space="0"/>
            </w:tcBorders>
            <w:vAlign w:val="center"/>
          </w:tcPr>
          <w:p>
            <w:pPr>
              <w:pStyle w:val="13"/>
              <w:rPr>
                <w:szCs w:val="16"/>
              </w:rPr>
            </w:pPr>
            <w:r>
              <w:rPr>
                <w:rFonts w:hint="eastAsia"/>
                <w:szCs w:val="16"/>
              </w:rPr>
              <w:t>3</w:t>
            </w:r>
          </w:p>
        </w:tc>
        <w:tc>
          <w:tcPr>
            <w:tcW w:w="1073" w:type="dxa"/>
            <w:tcBorders>
              <w:top w:val="single" w:color="auto" w:sz="12" w:space="0"/>
            </w:tcBorders>
            <w:vAlign w:val="center"/>
          </w:tcPr>
          <w:p>
            <w:pPr>
              <w:pStyle w:val="13"/>
              <w:rPr>
                <w:szCs w:val="16"/>
              </w:rPr>
            </w:pPr>
            <w:r>
              <w:rPr>
                <w:rFonts w:hint="eastAsia"/>
                <w:szCs w:val="16"/>
              </w:rPr>
              <w:t>4</w:t>
            </w:r>
          </w:p>
        </w:tc>
        <w:tc>
          <w:tcPr>
            <w:tcW w:w="1073" w:type="dxa"/>
            <w:tcBorders>
              <w:top w:val="single" w:color="auto" w:sz="12" w:space="0"/>
            </w:tcBorders>
            <w:vAlign w:val="center"/>
          </w:tcPr>
          <w:p>
            <w:pPr>
              <w:pStyle w:val="13"/>
              <w:rPr>
                <w:szCs w:val="16"/>
              </w:rPr>
            </w:pPr>
            <w:r>
              <w:rPr>
                <w:rFonts w:hint="eastAsia"/>
                <w:szCs w:val="16"/>
              </w:rPr>
              <w:t>5</w:t>
            </w:r>
          </w:p>
        </w:tc>
        <w:tc>
          <w:tcPr>
            <w:tcW w:w="1074" w:type="dxa"/>
            <w:tcBorders>
              <w:top w:val="single" w:color="auto" w:sz="12" w:space="0"/>
              <w:right w:val="single" w:color="auto" w:sz="12" w:space="0"/>
            </w:tcBorders>
            <w:vAlign w:val="center"/>
          </w:tcPr>
          <w:p>
            <w:pPr>
              <w:pStyle w:val="13"/>
              <w:rPr>
                <w:szCs w:val="16"/>
              </w:rPr>
            </w:pPr>
            <w:r>
              <w:rPr>
                <w:rFonts w:hint="eastAsia"/>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vAlign w:val="center"/>
          </w:tcPr>
          <w:p>
            <w:pPr>
              <w:snapToGrid w:val="0"/>
              <w:spacing w:line="288" w:lineRule="auto"/>
              <w:jc w:val="center"/>
              <w:rPr>
                <w:rFonts w:hint="eastAsia"/>
                <w:bCs/>
                <w:sz w:val="21"/>
                <w:szCs w:val="21"/>
              </w:rPr>
            </w:pPr>
            <w:r>
              <w:rPr>
                <w:rFonts w:hint="eastAsia"/>
                <w:bCs/>
                <w:sz w:val="21"/>
                <w:szCs w:val="21"/>
              </w:rPr>
              <w:t>绪论：老年人、与人口老龄化；老年护理学概述</w:t>
            </w:r>
          </w:p>
        </w:tc>
        <w:tc>
          <w:tcPr>
            <w:tcW w:w="1074" w:type="dxa"/>
            <w:vAlign w:val="center"/>
          </w:tcPr>
          <w:p>
            <w:pPr>
              <w:pStyle w:val="14"/>
            </w:pPr>
            <w:r>
              <w:rPr>
                <w:rFonts w:hint="eastAsia"/>
              </w:rPr>
              <w:t>√</w:t>
            </w:r>
          </w:p>
        </w:tc>
        <w:tc>
          <w:tcPr>
            <w:tcW w:w="1074" w:type="dxa"/>
            <w:vAlign w:val="center"/>
          </w:tcPr>
          <w:p>
            <w:pPr>
              <w:pStyle w:val="14"/>
            </w:pPr>
            <w:r>
              <w:rPr>
                <w:rFonts w:hint="eastAsia"/>
              </w:rPr>
              <w:t>√</w:t>
            </w:r>
          </w:p>
        </w:tc>
        <w:tc>
          <w:tcPr>
            <w:tcW w:w="1074" w:type="dxa"/>
            <w:vAlign w:val="center"/>
          </w:tcPr>
          <w:p>
            <w:pPr>
              <w:pStyle w:val="14"/>
            </w:pPr>
          </w:p>
        </w:tc>
        <w:tc>
          <w:tcPr>
            <w:tcW w:w="1073" w:type="dxa"/>
            <w:vAlign w:val="center"/>
          </w:tcPr>
          <w:p>
            <w:pPr>
              <w:pStyle w:val="14"/>
            </w:pP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vAlign w:val="center"/>
          </w:tcPr>
          <w:p>
            <w:pPr>
              <w:snapToGrid w:val="0"/>
              <w:spacing w:line="288" w:lineRule="auto"/>
              <w:jc w:val="center"/>
              <w:rPr>
                <w:rFonts w:hint="eastAsia"/>
                <w:bCs/>
                <w:color w:val="0000FF"/>
                <w:sz w:val="21"/>
                <w:szCs w:val="21"/>
              </w:rPr>
            </w:pPr>
            <w:r>
              <w:rPr>
                <w:rFonts w:hint="eastAsia"/>
                <w:bCs/>
                <w:sz w:val="21"/>
                <w:szCs w:val="21"/>
              </w:rPr>
              <w:t>老年人健康及生活质量评估；老年人的健康促进与健康保健；</w:t>
            </w:r>
          </w:p>
        </w:tc>
        <w:tc>
          <w:tcPr>
            <w:tcW w:w="1074" w:type="dxa"/>
            <w:vAlign w:val="center"/>
          </w:tcPr>
          <w:p>
            <w:pPr>
              <w:pStyle w:val="14"/>
            </w:pPr>
          </w:p>
        </w:tc>
        <w:tc>
          <w:tcPr>
            <w:tcW w:w="1074" w:type="dxa"/>
            <w:vAlign w:val="center"/>
          </w:tcPr>
          <w:p>
            <w:pPr>
              <w:pStyle w:val="14"/>
            </w:pPr>
          </w:p>
        </w:tc>
        <w:tc>
          <w:tcPr>
            <w:tcW w:w="1074" w:type="dxa"/>
            <w:vAlign w:val="center"/>
          </w:tcPr>
          <w:p>
            <w:pPr>
              <w:pStyle w:val="14"/>
            </w:pPr>
            <w:r>
              <w:rPr>
                <w:rFonts w:hint="eastAsia"/>
              </w:rPr>
              <w:t>√</w:t>
            </w:r>
          </w:p>
        </w:tc>
        <w:tc>
          <w:tcPr>
            <w:tcW w:w="1073" w:type="dxa"/>
            <w:vAlign w:val="center"/>
          </w:tcPr>
          <w:p>
            <w:pPr>
              <w:pStyle w:val="14"/>
            </w:pP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vAlign w:val="center"/>
          </w:tcPr>
          <w:p>
            <w:pPr>
              <w:snapToGrid w:val="0"/>
              <w:spacing w:line="288" w:lineRule="auto"/>
              <w:jc w:val="center"/>
              <w:rPr>
                <w:rFonts w:hint="eastAsia"/>
                <w:bCs/>
                <w:sz w:val="21"/>
                <w:szCs w:val="21"/>
              </w:rPr>
            </w:pPr>
            <w:r>
              <w:rPr>
                <w:rFonts w:hint="eastAsia"/>
                <w:bCs/>
                <w:sz w:val="21"/>
                <w:szCs w:val="21"/>
              </w:rPr>
              <w:t>老年人的安全用药与护理/</w:t>
            </w:r>
            <w:r>
              <w:rPr>
                <w:rFonts w:hint="eastAsia"/>
                <w:sz w:val="21"/>
                <w:szCs w:val="21"/>
              </w:rPr>
              <w:t>阿尔茨海默病</w:t>
            </w:r>
          </w:p>
        </w:tc>
        <w:tc>
          <w:tcPr>
            <w:tcW w:w="1074" w:type="dxa"/>
            <w:vAlign w:val="center"/>
          </w:tcPr>
          <w:p>
            <w:pPr>
              <w:pStyle w:val="14"/>
            </w:pPr>
          </w:p>
        </w:tc>
        <w:tc>
          <w:tcPr>
            <w:tcW w:w="1074" w:type="dxa"/>
            <w:vAlign w:val="center"/>
          </w:tcPr>
          <w:p>
            <w:pPr>
              <w:pStyle w:val="14"/>
            </w:pPr>
          </w:p>
        </w:tc>
        <w:tc>
          <w:tcPr>
            <w:tcW w:w="1074" w:type="dxa"/>
            <w:vAlign w:val="center"/>
          </w:tcPr>
          <w:p>
            <w:pPr>
              <w:pStyle w:val="14"/>
            </w:pP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vAlign w:val="center"/>
          </w:tcPr>
          <w:p>
            <w:pPr>
              <w:snapToGrid w:val="0"/>
              <w:spacing w:line="288" w:lineRule="auto"/>
              <w:jc w:val="center"/>
              <w:rPr>
                <w:rFonts w:hint="eastAsia" w:cs="Arial"/>
                <w:color w:val="FF0000"/>
                <w:sz w:val="21"/>
                <w:szCs w:val="21"/>
              </w:rPr>
            </w:pPr>
            <w:r>
              <w:rPr>
                <w:rFonts w:hint="eastAsia"/>
                <w:sz w:val="21"/>
                <w:szCs w:val="21"/>
              </w:rPr>
              <w:t>老年常见疾病护理：高血压、老年糖尿病</w:t>
            </w:r>
          </w:p>
        </w:tc>
        <w:tc>
          <w:tcPr>
            <w:tcW w:w="1074" w:type="dxa"/>
            <w:vAlign w:val="center"/>
          </w:tcPr>
          <w:p>
            <w:pPr>
              <w:pStyle w:val="14"/>
            </w:pPr>
          </w:p>
        </w:tc>
        <w:tc>
          <w:tcPr>
            <w:tcW w:w="1074" w:type="dxa"/>
            <w:vAlign w:val="center"/>
          </w:tcPr>
          <w:p>
            <w:pPr>
              <w:pStyle w:val="14"/>
            </w:pPr>
          </w:p>
        </w:tc>
        <w:tc>
          <w:tcPr>
            <w:tcW w:w="1074" w:type="dxa"/>
            <w:vAlign w:val="center"/>
          </w:tcPr>
          <w:p>
            <w:pPr>
              <w:pStyle w:val="14"/>
            </w:pP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vAlign w:val="center"/>
          </w:tcPr>
          <w:p>
            <w:pPr>
              <w:snapToGrid w:val="0"/>
              <w:spacing w:line="288" w:lineRule="auto"/>
              <w:jc w:val="center"/>
              <w:rPr>
                <w:rFonts w:hint="eastAsia" w:cs="Arial"/>
                <w:sz w:val="21"/>
                <w:szCs w:val="21"/>
              </w:rPr>
            </w:pPr>
            <w:r>
              <w:rPr>
                <w:rFonts w:hint="eastAsia"/>
                <w:sz w:val="21"/>
                <w:szCs w:val="21"/>
              </w:rPr>
              <w:t>老年人营养问题及护理；老年常见疾病护理：骨质疏松症</w:t>
            </w:r>
          </w:p>
        </w:tc>
        <w:tc>
          <w:tcPr>
            <w:tcW w:w="1074" w:type="dxa"/>
            <w:vAlign w:val="center"/>
          </w:tcPr>
          <w:p>
            <w:pPr>
              <w:pStyle w:val="14"/>
            </w:pPr>
          </w:p>
        </w:tc>
        <w:tc>
          <w:tcPr>
            <w:tcW w:w="1074" w:type="dxa"/>
            <w:vAlign w:val="center"/>
          </w:tcPr>
          <w:p>
            <w:pPr>
              <w:pStyle w:val="14"/>
            </w:pPr>
          </w:p>
        </w:tc>
        <w:tc>
          <w:tcPr>
            <w:tcW w:w="1074" w:type="dxa"/>
            <w:vAlign w:val="center"/>
          </w:tcPr>
          <w:p>
            <w:pPr>
              <w:pStyle w:val="14"/>
            </w:pP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vAlign w:val="center"/>
          </w:tcPr>
          <w:p>
            <w:pPr>
              <w:snapToGrid w:val="0"/>
              <w:spacing w:line="288" w:lineRule="auto"/>
              <w:jc w:val="center"/>
              <w:rPr>
                <w:rFonts w:hint="eastAsia"/>
                <w:sz w:val="21"/>
                <w:szCs w:val="21"/>
              </w:rPr>
            </w:pPr>
            <w:r>
              <w:rPr>
                <w:rFonts w:hint="eastAsia"/>
                <w:sz w:val="21"/>
                <w:szCs w:val="21"/>
              </w:rPr>
              <w:t xml:space="preserve">老年人的心理和精神相关问题及护理： </w:t>
            </w:r>
          </w:p>
          <w:p>
            <w:pPr>
              <w:snapToGrid w:val="0"/>
              <w:spacing w:line="288" w:lineRule="auto"/>
              <w:jc w:val="center"/>
              <w:rPr>
                <w:rFonts w:hint="eastAsia"/>
                <w:sz w:val="21"/>
                <w:szCs w:val="21"/>
              </w:rPr>
            </w:pPr>
            <w:r>
              <w:rPr>
                <w:rFonts w:hint="eastAsia"/>
                <w:sz w:val="21"/>
                <w:szCs w:val="21"/>
              </w:rPr>
              <w:t>老年人舒适和活动问题及护理：跌倒、疼痛</w:t>
            </w:r>
          </w:p>
        </w:tc>
        <w:tc>
          <w:tcPr>
            <w:tcW w:w="1074" w:type="dxa"/>
            <w:vAlign w:val="center"/>
          </w:tcPr>
          <w:p>
            <w:pPr>
              <w:pStyle w:val="14"/>
            </w:pPr>
          </w:p>
        </w:tc>
        <w:tc>
          <w:tcPr>
            <w:tcW w:w="1074" w:type="dxa"/>
            <w:vAlign w:val="center"/>
          </w:tcPr>
          <w:p>
            <w:pPr>
              <w:pStyle w:val="14"/>
            </w:pPr>
          </w:p>
        </w:tc>
        <w:tc>
          <w:tcPr>
            <w:tcW w:w="1074" w:type="dxa"/>
            <w:vAlign w:val="center"/>
          </w:tcPr>
          <w:p>
            <w:pPr>
              <w:pStyle w:val="14"/>
            </w:pP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vAlign w:val="center"/>
          </w:tcPr>
          <w:p>
            <w:pPr>
              <w:snapToGrid w:val="0"/>
              <w:spacing w:line="288" w:lineRule="auto"/>
              <w:jc w:val="center"/>
              <w:rPr>
                <w:rFonts w:hint="eastAsia"/>
                <w:sz w:val="21"/>
                <w:szCs w:val="21"/>
              </w:rPr>
            </w:pPr>
            <w:r>
              <w:rPr>
                <w:rFonts w:hint="eastAsia"/>
                <w:sz w:val="21"/>
                <w:szCs w:val="21"/>
              </w:rPr>
              <w:t>课内实验；低血糖反应急救</w:t>
            </w:r>
          </w:p>
        </w:tc>
        <w:tc>
          <w:tcPr>
            <w:tcW w:w="1074" w:type="dxa"/>
            <w:vAlign w:val="center"/>
          </w:tcPr>
          <w:p>
            <w:pPr>
              <w:pStyle w:val="14"/>
            </w:pPr>
          </w:p>
        </w:tc>
        <w:tc>
          <w:tcPr>
            <w:tcW w:w="1074" w:type="dxa"/>
            <w:vAlign w:val="center"/>
          </w:tcPr>
          <w:p>
            <w:pPr>
              <w:pStyle w:val="14"/>
            </w:pPr>
            <w:r>
              <w:rPr>
                <w:rFonts w:hint="eastAsia"/>
              </w:rPr>
              <w:t>√</w:t>
            </w:r>
          </w:p>
        </w:tc>
        <w:tc>
          <w:tcPr>
            <w:tcW w:w="1074" w:type="dxa"/>
            <w:vAlign w:val="center"/>
          </w:tcPr>
          <w:p>
            <w:pPr>
              <w:pStyle w:val="14"/>
            </w:pPr>
          </w:p>
        </w:tc>
        <w:tc>
          <w:tcPr>
            <w:tcW w:w="1073" w:type="dxa"/>
            <w:vAlign w:val="center"/>
          </w:tcPr>
          <w:p>
            <w:pPr>
              <w:pStyle w:val="14"/>
            </w:pPr>
          </w:p>
        </w:tc>
        <w:tc>
          <w:tcPr>
            <w:tcW w:w="1073" w:type="dxa"/>
            <w:vAlign w:val="center"/>
          </w:tcPr>
          <w:p>
            <w:pPr>
              <w:pStyle w:val="14"/>
            </w:pPr>
            <w:r>
              <w:rPr>
                <w:rFonts w:hint="eastAsia"/>
              </w:rPr>
              <w:t>√</w:t>
            </w:r>
          </w:p>
        </w:tc>
        <w:tc>
          <w:tcPr>
            <w:tcW w:w="1074" w:type="dxa"/>
            <w:tcBorders>
              <w:right w:val="single" w:color="auto" w:sz="12" w:space="0"/>
            </w:tcBorders>
            <w:vAlign w:val="center"/>
          </w:tcPr>
          <w:p>
            <w:pPr>
              <w:pStyle w:val="14"/>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vAlign w:val="center"/>
          </w:tcPr>
          <w:p>
            <w:pPr>
              <w:snapToGrid w:val="0"/>
              <w:spacing w:line="288" w:lineRule="auto"/>
              <w:jc w:val="center"/>
              <w:rPr>
                <w:rFonts w:hint="eastAsia"/>
                <w:sz w:val="21"/>
                <w:szCs w:val="21"/>
              </w:rPr>
            </w:pPr>
            <w:r>
              <w:rPr>
                <w:rFonts w:hint="eastAsia"/>
                <w:sz w:val="21"/>
                <w:szCs w:val="21"/>
              </w:rPr>
              <w:t>课内实验；老年人日常生活护理</w:t>
            </w:r>
          </w:p>
        </w:tc>
        <w:tc>
          <w:tcPr>
            <w:tcW w:w="1074" w:type="dxa"/>
            <w:tcBorders>
              <w:bottom w:val="single" w:color="auto" w:sz="12" w:space="0"/>
            </w:tcBorders>
            <w:vAlign w:val="center"/>
          </w:tcPr>
          <w:p>
            <w:pPr>
              <w:pStyle w:val="14"/>
            </w:pPr>
          </w:p>
        </w:tc>
        <w:tc>
          <w:tcPr>
            <w:tcW w:w="1074" w:type="dxa"/>
            <w:tcBorders>
              <w:bottom w:val="single" w:color="auto" w:sz="12" w:space="0"/>
            </w:tcBorders>
            <w:vAlign w:val="center"/>
          </w:tcPr>
          <w:p>
            <w:pPr>
              <w:pStyle w:val="14"/>
            </w:pPr>
            <w:r>
              <w:rPr>
                <w:rFonts w:hint="eastAsia"/>
              </w:rPr>
              <w:t>√</w:t>
            </w:r>
          </w:p>
        </w:tc>
        <w:tc>
          <w:tcPr>
            <w:tcW w:w="1074" w:type="dxa"/>
            <w:tcBorders>
              <w:bottom w:val="single" w:color="auto" w:sz="12" w:space="0"/>
            </w:tcBorders>
            <w:vAlign w:val="center"/>
          </w:tcPr>
          <w:p>
            <w:pPr>
              <w:pStyle w:val="14"/>
            </w:pPr>
          </w:p>
        </w:tc>
        <w:tc>
          <w:tcPr>
            <w:tcW w:w="1073" w:type="dxa"/>
            <w:tcBorders>
              <w:bottom w:val="single" w:color="auto" w:sz="12" w:space="0"/>
            </w:tcBorders>
            <w:vAlign w:val="center"/>
          </w:tcPr>
          <w:p>
            <w:pPr>
              <w:pStyle w:val="14"/>
            </w:pPr>
          </w:p>
        </w:tc>
        <w:tc>
          <w:tcPr>
            <w:tcW w:w="1073" w:type="dxa"/>
            <w:tcBorders>
              <w:bottom w:val="single" w:color="auto" w:sz="12" w:space="0"/>
            </w:tcBorders>
            <w:vAlign w:val="center"/>
          </w:tcPr>
          <w:p>
            <w:pPr>
              <w:pStyle w:val="14"/>
            </w:pPr>
            <w:r>
              <w:rPr>
                <w:rFonts w:hint="eastAsia"/>
              </w:rPr>
              <w:t>√</w:t>
            </w:r>
          </w:p>
        </w:tc>
        <w:tc>
          <w:tcPr>
            <w:tcW w:w="1074" w:type="dxa"/>
            <w:tcBorders>
              <w:bottom w:val="single" w:color="auto" w:sz="12" w:space="0"/>
              <w:right w:val="single" w:color="auto" w:sz="12" w:space="0"/>
            </w:tcBorders>
            <w:vAlign w:val="center"/>
          </w:tcPr>
          <w:p>
            <w:pPr>
              <w:pStyle w:val="14"/>
            </w:pPr>
            <w:r>
              <w:rPr>
                <w:rFonts w:hint="eastAsia"/>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3041"/>
        <w:gridCol w:w="1738"/>
        <w:gridCol w:w="724"/>
        <w:gridCol w:w="668"/>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89" w:type="dxa"/>
            <w:vMerge w:val="restart"/>
            <w:tcBorders>
              <w:top w:val="single" w:color="auto" w:sz="12" w:space="0"/>
              <w:left w:val="single" w:color="auto" w:sz="12" w:space="0"/>
            </w:tcBorders>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3041"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pPr>
              <w:pStyle w:val="13"/>
              <w:widowControl w:val="0"/>
              <w:rPr>
                <w:rFonts w:hint="eastAsia" w:ascii="黑体" w:hAnsi="黑体"/>
                <w:szCs w:val="21"/>
              </w:rPr>
            </w:pPr>
            <w:r>
              <w:rPr>
                <w:rFonts w:hint="eastAsia" w:ascii="黑体" w:hAnsi="黑体"/>
                <w:szCs w:val="21"/>
              </w:rPr>
              <w:t>考核方式</w:t>
            </w:r>
          </w:p>
        </w:tc>
        <w:tc>
          <w:tcPr>
            <w:tcW w:w="2108" w:type="dxa"/>
            <w:gridSpan w:val="3"/>
            <w:tcBorders>
              <w:top w:val="single" w:color="auto" w:sz="12" w:space="0"/>
              <w:right w:val="single" w:color="auto" w:sz="12" w:space="0"/>
            </w:tcBorders>
            <w:vAlign w:val="center"/>
          </w:tcPr>
          <w:p>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89" w:type="dxa"/>
            <w:vMerge w:val="continue"/>
            <w:tcBorders>
              <w:left w:val="single" w:color="auto" w:sz="12" w:space="0"/>
            </w:tcBorders>
          </w:tcPr>
          <w:p>
            <w:pPr>
              <w:widowControl w:val="0"/>
              <w:snapToGrid w:val="0"/>
              <w:jc w:val="center"/>
              <w:rPr>
                <w:rFonts w:hint="eastAsia" w:ascii="黑体" w:hAnsi="黑体" w:eastAsia="黑体"/>
                <w:bCs/>
                <w:sz w:val="21"/>
                <w:szCs w:val="21"/>
              </w:rPr>
            </w:pPr>
          </w:p>
        </w:tc>
        <w:tc>
          <w:tcPr>
            <w:tcW w:w="3041" w:type="dxa"/>
            <w:vMerge w:val="continue"/>
          </w:tcPr>
          <w:p>
            <w:pPr>
              <w:widowControl w:val="0"/>
              <w:snapToGrid w:val="0"/>
              <w:jc w:val="center"/>
              <w:rPr>
                <w:rFonts w:hint="eastAsia" w:ascii="黑体" w:hAnsi="黑体" w:eastAsia="黑体"/>
                <w:bCs/>
                <w:sz w:val="21"/>
                <w:szCs w:val="21"/>
              </w:rPr>
            </w:pPr>
          </w:p>
        </w:tc>
        <w:tc>
          <w:tcPr>
            <w:tcW w:w="1738" w:type="dxa"/>
            <w:vMerge w:val="continue"/>
          </w:tcPr>
          <w:p>
            <w:pPr>
              <w:widowControl w:val="0"/>
              <w:snapToGrid w:val="0"/>
              <w:jc w:val="center"/>
              <w:rPr>
                <w:rFonts w:hint="eastAsia" w:ascii="黑体" w:hAnsi="黑体" w:eastAsia="黑体"/>
                <w:bCs/>
                <w:sz w:val="21"/>
                <w:szCs w:val="21"/>
              </w:rPr>
            </w:pPr>
          </w:p>
        </w:tc>
        <w:tc>
          <w:tcPr>
            <w:tcW w:w="724" w:type="dxa"/>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8" w:type="dxa"/>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pPr>
              <w:widowControl w:val="0"/>
              <w:snapToGrid w:val="0"/>
              <w:spacing w:line="288" w:lineRule="auto"/>
              <w:jc w:val="center"/>
              <w:rPr>
                <w:rFonts w:hint="eastAsia"/>
                <w:bCs/>
                <w:sz w:val="21"/>
                <w:szCs w:val="21"/>
              </w:rPr>
            </w:pPr>
            <w:r>
              <w:rPr>
                <w:rFonts w:hint="eastAsia"/>
                <w:bCs/>
                <w:sz w:val="21"/>
                <w:szCs w:val="21"/>
              </w:rPr>
              <w:t>绪论：老年人、与人口老龄化；老年护理学概述</w:t>
            </w:r>
          </w:p>
        </w:tc>
        <w:tc>
          <w:tcPr>
            <w:tcW w:w="3041" w:type="dxa"/>
            <w:vAlign w:val="center"/>
          </w:tcPr>
          <w:p>
            <w:pPr>
              <w:widowControl w:val="0"/>
              <w:snapToGrid w:val="0"/>
              <w:jc w:val="center"/>
              <w:rPr>
                <w:rFonts w:ascii="Times New Roman" w:hAnsi="Times New Roman"/>
                <w:bCs/>
                <w:sz w:val="21"/>
                <w:szCs w:val="21"/>
              </w:rPr>
            </w:pPr>
            <w:r>
              <w:rPr>
                <w:rFonts w:hint="eastAsia"/>
                <w:sz w:val="20"/>
                <w:szCs w:val="20"/>
              </w:rPr>
              <w:t>理论讲授</w:t>
            </w:r>
          </w:p>
        </w:tc>
        <w:tc>
          <w:tcPr>
            <w:tcW w:w="1738" w:type="dxa"/>
            <w:vAlign w:val="center"/>
          </w:tcPr>
          <w:p>
            <w:pPr>
              <w:widowControl w:val="0"/>
              <w:snapToGrid w:val="0"/>
              <w:jc w:val="center"/>
              <w:rPr>
                <w:rFonts w:ascii="Times New Roman" w:hAnsi="Times New Roman"/>
                <w:bCs/>
                <w:sz w:val="21"/>
                <w:szCs w:val="21"/>
              </w:rPr>
            </w:pPr>
            <w:r>
              <w:rPr>
                <w:rFonts w:hint="eastAsia"/>
                <w:sz w:val="20"/>
                <w:szCs w:val="20"/>
              </w:rPr>
              <w:t>理论考试</w:t>
            </w:r>
          </w:p>
        </w:tc>
        <w:tc>
          <w:tcPr>
            <w:tcW w:w="724" w:type="dxa"/>
          </w:tcPr>
          <w:p>
            <w:pPr>
              <w:widowControl w:val="0"/>
              <w:snapToGrid w:val="0"/>
              <w:spacing w:line="288" w:lineRule="auto"/>
              <w:jc w:val="center"/>
              <w:rPr>
                <w:rFonts w:hint="eastAsia"/>
                <w:bCs/>
                <w:sz w:val="20"/>
                <w:szCs w:val="20"/>
              </w:rPr>
            </w:pPr>
            <w:r>
              <w:rPr>
                <w:rFonts w:hint="eastAsia"/>
                <w:bCs/>
                <w:sz w:val="20"/>
                <w:szCs w:val="20"/>
              </w:rPr>
              <w:t>2</w:t>
            </w:r>
          </w:p>
        </w:tc>
        <w:tc>
          <w:tcPr>
            <w:tcW w:w="668" w:type="dxa"/>
          </w:tcPr>
          <w:p>
            <w:pPr>
              <w:widowControl w:val="0"/>
              <w:snapToGrid w:val="0"/>
              <w:spacing w:line="288" w:lineRule="auto"/>
              <w:jc w:val="center"/>
              <w:rPr>
                <w:rFonts w:hint="eastAsia"/>
                <w:bCs/>
                <w:sz w:val="20"/>
                <w:szCs w:val="20"/>
              </w:rPr>
            </w:pPr>
            <w:r>
              <w:rPr>
                <w:rFonts w:hint="eastAsia"/>
                <w:bCs/>
                <w:sz w:val="20"/>
                <w:szCs w:val="20"/>
              </w:rPr>
              <w:t>0</w:t>
            </w:r>
          </w:p>
        </w:tc>
        <w:tc>
          <w:tcPr>
            <w:tcW w:w="716" w:type="dxa"/>
            <w:tcBorders>
              <w:right w:val="single" w:color="auto" w:sz="12" w:space="0"/>
            </w:tcBorders>
          </w:tcPr>
          <w:p>
            <w:pPr>
              <w:widowControl w:val="0"/>
              <w:snapToGrid w:val="0"/>
              <w:spacing w:line="288" w:lineRule="auto"/>
              <w:jc w:val="center"/>
              <w:rPr>
                <w:rFonts w:hint="eastAsia"/>
                <w:bCs/>
                <w:sz w:val="20"/>
                <w:szCs w:val="20"/>
              </w:rPr>
            </w:pPr>
            <w:r>
              <w:rPr>
                <w:rFonts w:hint="eastAsia"/>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pPr>
              <w:widowControl w:val="0"/>
              <w:snapToGrid w:val="0"/>
              <w:spacing w:line="288" w:lineRule="auto"/>
              <w:jc w:val="center"/>
              <w:rPr>
                <w:rFonts w:hint="eastAsia"/>
                <w:bCs/>
                <w:color w:val="0000FF"/>
                <w:sz w:val="21"/>
                <w:szCs w:val="21"/>
              </w:rPr>
            </w:pPr>
            <w:r>
              <w:rPr>
                <w:rFonts w:hint="eastAsia"/>
                <w:bCs/>
                <w:sz w:val="21"/>
                <w:szCs w:val="21"/>
              </w:rPr>
              <w:t>老年人健康及生活质量评估；老年人的健康促进与健康保健；</w:t>
            </w:r>
          </w:p>
        </w:tc>
        <w:tc>
          <w:tcPr>
            <w:tcW w:w="3041" w:type="dxa"/>
            <w:vAlign w:val="center"/>
          </w:tcPr>
          <w:p>
            <w:pPr>
              <w:widowControl w:val="0"/>
              <w:snapToGrid w:val="0"/>
              <w:jc w:val="center"/>
              <w:rPr>
                <w:rFonts w:hint="eastAsia"/>
                <w:sz w:val="20"/>
                <w:szCs w:val="20"/>
              </w:rPr>
            </w:pPr>
            <w:r>
              <w:rPr>
                <w:rFonts w:hint="eastAsia"/>
                <w:sz w:val="20"/>
                <w:szCs w:val="20"/>
              </w:rPr>
              <w:t>理论讲授</w:t>
            </w:r>
          </w:p>
          <w:p>
            <w:pPr>
              <w:widowControl w:val="0"/>
              <w:snapToGrid w:val="0"/>
              <w:jc w:val="center"/>
              <w:rPr>
                <w:rFonts w:ascii="Times New Roman" w:hAnsi="Times New Roman"/>
                <w:bCs/>
                <w:sz w:val="21"/>
                <w:szCs w:val="21"/>
              </w:rPr>
            </w:pPr>
            <w:r>
              <w:rPr>
                <w:rFonts w:hint="eastAsia"/>
                <w:bCs/>
                <w:sz w:val="21"/>
                <w:szCs w:val="21"/>
              </w:rPr>
              <w:t>评估量表</w:t>
            </w:r>
          </w:p>
        </w:tc>
        <w:tc>
          <w:tcPr>
            <w:tcW w:w="1738" w:type="dxa"/>
            <w:vAlign w:val="center"/>
          </w:tcPr>
          <w:p>
            <w:pPr>
              <w:widowControl w:val="0"/>
              <w:snapToGrid w:val="0"/>
              <w:jc w:val="center"/>
              <w:rPr>
                <w:rFonts w:ascii="Times New Roman" w:hAnsi="Times New Roman"/>
                <w:bCs/>
                <w:sz w:val="21"/>
                <w:szCs w:val="21"/>
              </w:rPr>
            </w:pPr>
            <w:r>
              <w:rPr>
                <w:rFonts w:hint="eastAsia"/>
                <w:sz w:val="20"/>
                <w:szCs w:val="20"/>
              </w:rPr>
              <w:t>理论考试</w:t>
            </w:r>
          </w:p>
        </w:tc>
        <w:tc>
          <w:tcPr>
            <w:tcW w:w="724" w:type="dxa"/>
          </w:tcPr>
          <w:p>
            <w:pPr>
              <w:widowControl w:val="0"/>
              <w:snapToGrid w:val="0"/>
              <w:spacing w:line="288" w:lineRule="auto"/>
              <w:jc w:val="center"/>
              <w:rPr>
                <w:rFonts w:hint="eastAsia"/>
                <w:bCs/>
                <w:sz w:val="20"/>
                <w:szCs w:val="20"/>
              </w:rPr>
            </w:pPr>
            <w:r>
              <w:rPr>
                <w:rFonts w:hint="eastAsia"/>
                <w:bCs/>
                <w:sz w:val="20"/>
                <w:szCs w:val="20"/>
              </w:rPr>
              <w:t>2</w:t>
            </w:r>
          </w:p>
        </w:tc>
        <w:tc>
          <w:tcPr>
            <w:tcW w:w="668" w:type="dxa"/>
          </w:tcPr>
          <w:p>
            <w:pPr>
              <w:widowControl w:val="0"/>
              <w:snapToGrid w:val="0"/>
              <w:spacing w:line="288" w:lineRule="auto"/>
              <w:jc w:val="center"/>
              <w:rPr>
                <w:rFonts w:hint="eastAsia"/>
                <w:bCs/>
                <w:sz w:val="20"/>
                <w:szCs w:val="20"/>
              </w:rPr>
            </w:pPr>
            <w:r>
              <w:rPr>
                <w:rFonts w:hint="eastAsia"/>
                <w:bCs/>
                <w:sz w:val="20"/>
                <w:szCs w:val="20"/>
              </w:rPr>
              <w:t>0</w:t>
            </w:r>
          </w:p>
        </w:tc>
        <w:tc>
          <w:tcPr>
            <w:tcW w:w="716" w:type="dxa"/>
            <w:tcBorders>
              <w:right w:val="single" w:color="auto" w:sz="12" w:space="0"/>
            </w:tcBorders>
          </w:tcPr>
          <w:p>
            <w:pPr>
              <w:widowControl w:val="0"/>
              <w:snapToGrid w:val="0"/>
              <w:spacing w:line="288" w:lineRule="auto"/>
              <w:jc w:val="center"/>
              <w:rPr>
                <w:rFonts w:hint="eastAsia"/>
                <w:bCs/>
                <w:sz w:val="20"/>
                <w:szCs w:val="20"/>
              </w:rPr>
            </w:pPr>
            <w:r>
              <w:rPr>
                <w:rFonts w:hint="eastAsia"/>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pPr>
              <w:widowControl w:val="0"/>
              <w:snapToGrid w:val="0"/>
              <w:spacing w:line="288" w:lineRule="auto"/>
              <w:jc w:val="center"/>
              <w:rPr>
                <w:rFonts w:hint="eastAsia"/>
                <w:bCs/>
                <w:sz w:val="21"/>
                <w:szCs w:val="21"/>
              </w:rPr>
            </w:pPr>
            <w:r>
              <w:rPr>
                <w:rFonts w:hint="eastAsia"/>
                <w:bCs/>
                <w:sz w:val="21"/>
                <w:szCs w:val="21"/>
              </w:rPr>
              <w:t>老年人的安全用药与护理/</w:t>
            </w:r>
            <w:r>
              <w:rPr>
                <w:rFonts w:hint="eastAsia"/>
                <w:sz w:val="21"/>
                <w:szCs w:val="21"/>
              </w:rPr>
              <w:t>阿尔茨海默病</w:t>
            </w:r>
          </w:p>
        </w:tc>
        <w:tc>
          <w:tcPr>
            <w:tcW w:w="3041" w:type="dxa"/>
            <w:vAlign w:val="center"/>
          </w:tcPr>
          <w:p>
            <w:pPr>
              <w:widowControl w:val="0"/>
              <w:snapToGrid w:val="0"/>
              <w:jc w:val="center"/>
              <w:rPr>
                <w:rFonts w:ascii="Times New Roman" w:hAnsi="Times New Roman"/>
                <w:bCs/>
                <w:sz w:val="21"/>
                <w:szCs w:val="21"/>
              </w:rPr>
            </w:pPr>
            <w:r>
              <w:rPr>
                <w:rFonts w:hint="eastAsia"/>
                <w:sz w:val="20"/>
                <w:szCs w:val="20"/>
              </w:rPr>
              <w:t>理论讲授</w:t>
            </w:r>
          </w:p>
        </w:tc>
        <w:tc>
          <w:tcPr>
            <w:tcW w:w="1738" w:type="dxa"/>
            <w:vAlign w:val="center"/>
          </w:tcPr>
          <w:p>
            <w:pPr>
              <w:widowControl w:val="0"/>
              <w:snapToGrid w:val="0"/>
              <w:jc w:val="center"/>
              <w:rPr>
                <w:rFonts w:ascii="Times New Roman" w:hAnsi="Times New Roman"/>
                <w:bCs/>
                <w:sz w:val="21"/>
                <w:szCs w:val="21"/>
              </w:rPr>
            </w:pPr>
            <w:r>
              <w:rPr>
                <w:rFonts w:hint="eastAsia"/>
                <w:sz w:val="20"/>
                <w:szCs w:val="20"/>
              </w:rPr>
              <w:t>理论考试</w:t>
            </w:r>
          </w:p>
        </w:tc>
        <w:tc>
          <w:tcPr>
            <w:tcW w:w="724" w:type="dxa"/>
          </w:tcPr>
          <w:p>
            <w:pPr>
              <w:widowControl w:val="0"/>
              <w:snapToGrid w:val="0"/>
              <w:spacing w:line="288" w:lineRule="auto"/>
              <w:jc w:val="center"/>
              <w:rPr>
                <w:rFonts w:hint="eastAsia"/>
                <w:bCs/>
                <w:sz w:val="20"/>
                <w:szCs w:val="20"/>
              </w:rPr>
            </w:pPr>
            <w:r>
              <w:rPr>
                <w:rFonts w:hint="eastAsia"/>
                <w:bCs/>
                <w:sz w:val="20"/>
                <w:szCs w:val="20"/>
              </w:rPr>
              <w:t>2</w:t>
            </w:r>
          </w:p>
        </w:tc>
        <w:tc>
          <w:tcPr>
            <w:tcW w:w="668" w:type="dxa"/>
          </w:tcPr>
          <w:p>
            <w:pPr>
              <w:widowControl w:val="0"/>
              <w:snapToGrid w:val="0"/>
              <w:spacing w:line="288" w:lineRule="auto"/>
              <w:jc w:val="center"/>
              <w:rPr>
                <w:rFonts w:hint="eastAsia"/>
                <w:bCs/>
                <w:sz w:val="20"/>
                <w:szCs w:val="20"/>
              </w:rPr>
            </w:pPr>
            <w:r>
              <w:rPr>
                <w:rFonts w:hint="eastAsia"/>
                <w:bCs/>
                <w:sz w:val="20"/>
                <w:szCs w:val="20"/>
              </w:rPr>
              <w:t>0</w:t>
            </w:r>
          </w:p>
        </w:tc>
        <w:tc>
          <w:tcPr>
            <w:tcW w:w="716" w:type="dxa"/>
            <w:tcBorders>
              <w:right w:val="single" w:color="auto" w:sz="12" w:space="0"/>
            </w:tcBorders>
          </w:tcPr>
          <w:p>
            <w:pPr>
              <w:widowControl w:val="0"/>
              <w:snapToGrid w:val="0"/>
              <w:spacing w:line="288" w:lineRule="auto"/>
              <w:jc w:val="center"/>
              <w:rPr>
                <w:rFonts w:hint="eastAsia"/>
                <w:bCs/>
                <w:sz w:val="20"/>
                <w:szCs w:val="20"/>
              </w:rPr>
            </w:pPr>
            <w:r>
              <w:rPr>
                <w:rFonts w:hint="eastAsia"/>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89" w:type="dxa"/>
            <w:tcBorders>
              <w:left w:val="single" w:color="auto" w:sz="12" w:space="0"/>
            </w:tcBorders>
            <w:vAlign w:val="center"/>
          </w:tcPr>
          <w:p>
            <w:pPr>
              <w:widowControl w:val="0"/>
              <w:snapToGrid w:val="0"/>
              <w:spacing w:line="288" w:lineRule="auto"/>
              <w:jc w:val="center"/>
              <w:rPr>
                <w:rFonts w:hint="eastAsia" w:cs="Arial"/>
                <w:color w:val="FF0000"/>
                <w:sz w:val="21"/>
                <w:szCs w:val="21"/>
              </w:rPr>
            </w:pPr>
            <w:r>
              <w:rPr>
                <w:rFonts w:hint="eastAsia"/>
                <w:sz w:val="21"/>
                <w:szCs w:val="21"/>
              </w:rPr>
              <w:t>老年常见疾病护理：高血压、老年糖尿病</w:t>
            </w:r>
          </w:p>
        </w:tc>
        <w:tc>
          <w:tcPr>
            <w:tcW w:w="3041" w:type="dxa"/>
            <w:vAlign w:val="center"/>
          </w:tcPr>
          <w:p>
            <w:pPr>
              <w:widowControl w:val="0"/>
              <w:snapToGrid w:val="0"/>
              <w:jc w:val="center"/>
              <w:rPr>
                <w:rFonts w:ascii="Times New Roman" w:hAnsi="Times New Roman"/>
                <w:bCs/>
                <w:sz w:val="21"/>
                <w:szCs w:val="21"/>
              </w:rPr>
            </w:pPr>
            <w:r>
              <w:rPr>
                <w:rFonts w:hint="eastAsia"/>
                <w:sz w:val="20"/>
                <w:szCs w:val="20"/>
              </w:rPr>
              <w:t>理论讲授</w:t>
            </w:r>
          </w:p>
        </w:tc>
        <w:tc>
          <w:tcPr>
            <w:tcW w:w="1738" w:type="dxa"/>
            <w:vAlign w:val="center"/>
          </w:tcPr>
          <w:p>
            <w:pPr>
              <w:widowControl w:val="0"/>
              <w:snapToGrid w:val="0"/>
              <w:jc w:val="center"/>
              <w:rPr>
                <w:rFonts w:ascii="Times New Roman" w:hAnsi="Times New Roman"/>
                <w:bCs/>
                <w:sz w:val="21"/>
                <w:szCs w:val="21"/>
              </w:rPr>
            </w:pPr>
            <w:r>
              <w:rPr>
                <w:rFonts w:hint="eastAsia"/>
                <w:sz w:val="20"/>
                <w:szCs w:val="20"/>
              </w:rPr>
              <w:t>理论考试</w:t>
            </w:r>
          </w:p>
        </w:tc>
        <w:tc>
          <w:tcPr>
            <w:tcW w:w="724" w:type="dxa"/>
          </w:tcPr>
          <w:p>
            <w:pPr>
              <w:widowControl w:val="0"/>
              <w:snapToGrid w:val="0"/>
              <w:spacing w:line="288" w:lineRule="auto"/>
              <w:jc w:val="center"/>
              <w:rPr>
                <w:rFonts w:hint="eastAsia"/>
                <w:bCs/>
                <w:sz w:val="20"/>
                <w:szCs w:val="20"/>
              </w:rPr>
            </w:pPr>
            <w:r>
              <w:rPr>
                <w:rFonts w:hint="eastAsia"/>
                <w:bCs/>
                <w:sz w:val="20"/>
                <w:szCs w:val="20"/>
              </w:rPr>
              <w:t>2</w:t>
            </w:r>
          </w:p>
        </w:tc>
        <w:tc>
          <w:tcPr>
            <w:tcW w:w="668" w:type="dxa"/>
          </w:tcPr>
          <w:p>
            <w:pPr>
              <w:widowControl w:val="0"/>
              <w:snapToGrid w:val="0"/>
              <w:spacing w:line="288" w:lineRule="auto"/>
              <w:jc w:val="center"/>
              <w:rPr>
                <w:rFonts w:hint="eastAsia"/>
                <w:bCs/>
                <w:sz w:val="20"/>
                <w:szCs w:val="20"/>
              </w:rPr>
            </w:pPr>
            <w:r>
              <w:rPr>
                <w:rFonts w:hint="eastAsia"/>
                <w:bCs/>
                <w:sz w:val="20"/>
                <w:szCs w:val="20"/>
              </w:rPr>
              <w:t>0</w:t>
            </w:r>
          </w:p>
        </w:tc>
        <w:tc>
          <w:tcPr>
            <w:tcW w:w="716" w:type="dxa"/>
            <w:tcBorders>
              <w:right w:val="single" w:color="auto" w:sz="12" w:space="0"/>
            </w:tcBorders>
          </w:tcPr>
          <w:p>
            <w:pPr>
              <w:widowControl w:val="0"/>
              <w:snapToGrid w:val="0"/>
              <w:spacing w:line="288" w:lineRule="auto"/>
              <w:jc w:val="center"/>
              <w:rPr>
                <w:rFonts w:hint="eastAsia"/>
                <w:bCs/>
                <w:sz w:val="20"/>
                <w:szCs w:val="20"/>
              </w:rPr>
            </w:pPr>
            <w:r>
              <w:rPr>
                <w:rFonts w:hint="eastAsia"/>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pPr>
              <w:widowControl w:val="0"/>
              <w:snapToGrid w:val="0"/>
              <w:spacing w:line="288" w:lineRule="auto"/>
              <w:jc w:val="center"/>
              <w:rPr>
                <w:rFonts w:hint="eastAsia" w:cs="Arial"/>
                <w:sz w:val="21"/>
                <w:szCs w:val="21"/>
              </w:rPr>
            </w:pPr>
            <w:r>
              <w:rPr>
                <w:rFonts w:hint="eastAsia"/>
                <w:sz w:val="21"/>
                <w:szCs w:val="21"/>
              </w:rPr>
              <w:t>老年人营养问题及护理；老年常见疾病护理：骨质疏松症</w:t>
            </w:r>
          </w:p>
        </w:tc>
        <w:tc>
          <w:tcPr>
            <w:tcW w:w="3041" w:type="dxa"/>
            <w:vAlign w:val="center"/>
          </w:tcPr>
          <w:p>
            <w:pPr>
              <w:widowControl w:val="0"/>
              <w:snapToGrid w:val="0"/>
              <w:jc w:val="center"/>
              <w:rPr>
                <w:rFonts w:ascii="Times New Roman" w:hAnsi="Times New Roman"/>
                <w:bCs/>
                <w:sz w:val="21"/>
                <w:szCs w:val="21"/>
              </w:rPr>
            </w:pPr>
            <w:r>
              <w:rPr>
                <w:rFonts w:hint="eastAsia"/>
                <w:sz w:val="20"/>
                <w:szCs w:val="20"/>
              </w:rPr>
              <w:t>理论讲授</w:t>
            </w:r>
          </w:p>
        </w:tc>
        <w:tc>
          <w:tcPr>
            <w:tcW w:w="1738" w:type="dxa"/>
            <w:vAlign w:val="center"/>
          </w:tcPr>
          <w:p>
            <w:pPr>
              <w:widowControl w:val="0"/>
              <w:snapToGrid w:val="0"/>
              <w:jc w:val="center"/>
              <w:rPr>
                <w:rFonts w:ascii="Times New Roman" w:hAnsi="Times New Roman"/>
                <w:bCs/>
                <w:sz w:val="21"/>
                <w:szCs w:val="21"/>
              </w:rPr>
            </w:pPr>
            <w:r>
              <w:rPr>
                <w:rFonts w:hint="eastAsia"/>
                <w:sz w:val="20"/>
                <w:szCs w:val="20"/>
              </w:rPr>
              <w:t>理论考试</w:t>
            </w:r>
          </w:p>
        </w:tc>
        <w:tc>
          <w:tcPr>
            <w:tcW w:w="724" w:type="dxa"/>
          </w:tcPr>
          <w:p>
            <w:pPr>
              <w:widowControl w:val="0"/>
              <w:snapToGrid w:val="0"/>
              <w:spacing w:line="288" w:lineRule="auto"/>
              <w:jc w:val="center"/>
              <w:rPr>
                <w:rFonts w:hint="eastAsia"/>
                <w:bCs/>
                <w:sz w:val="20"/>
                <w:szCs w:val="20"/>
              </w:rPr>
            </w:pPr>
            <w:r>
              <w:rPr>
                <w:rFonts w:hint="eastAsia"/>
                <w:bCs/>
                <w:sz w:val="20"/>
                <w:szCs w:val="20"/>
              </w:rPr>
              <w:t>2</w:t>
            </w:r>
          </w:p>
        </w:tc>
        <w:tc>
          <w:tcPr>
            <w:tcW w:w="668" w:type="dxa"/>
          </w:tcPr>
          <w:p>
            <w:pPr>
              <w:widowControl w:val="0"/>
              <w:snapToGrid w:val="0"/>
              <w:spacing w:line="288" w:lineRule="auto"/>
              <w:jc w:val="center"/>
              <w:rPr>
                <w:rFonts w:hint="eastAsia"/>
                <w:bCs/>
                <w:sz w:val="20"/>
                <w:szCs w:val="20"/>
              </w:rPr>
            </w:pPr>
            <w:r>
              <w:rPr>
                <w:rFonts w:hint="eastAsia"/>
                <w:bCs/>
                <w:sz w:val="20"/>
                <w:szCs w:val="20"/>
              </w:rPr>
              <w:t>0</w:t>
            </w:r>
          </w:p>
        </w:tc>
        <w:tc>
          <w:tcPr>
            <w:tcW w:w="716" w:type="dxa"/>
            <w:tcBorders>
              <w:right w:val="single" w:color="auto" w:sz="12" w:space="0"/>
            </w:tcBorders>
          </w:tcPr>
          <w:p>
            <w:pPr>
              <w:widowControl w:val="0"/>
              <w:snapToGrid w:val="0"/>
              <w:spacing w:line="288" w:lineRule="auto"/>
              <w:jc w:val="center"/>
              <w:rPr>
                <w:rFonts w:hint="eastAsia"/>
                <w:bCs/>
                <w:sz w:val="20"/>
                <w:szCs w:val="20"/>
              </w:rPr>
            </w:pPr>
            <w:r>
              <w:rPr>
                <w:rFonts w:hint="eastAsia"/>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pPr>
              <w:widowControl w:val="0"/>
              <w:snapToGrid w:val="0"/>
              <w:spacing w:line="288" w:lineRule="auto"/>
              <w:jc w:val="center"/>
              <w:rPr>
                <w:rFonts w:hint="eastAsia"/>
                <w:sz w:val="21"/>
                <w:szCs w:val="21"/>
              </w:rPr>
            </w:pPr>
            <w:r>
              <w:rPr>
                <w:rFonts w:hint="eastAsia"/>
                <w:sz w:val="21"/>
                <w:szCs w:val="21"/>
              </w:rPr>
              <w:t xml:space="preserve">老年人的心理和精神相关问题及护理： </w:t>
            </w:r>
          </w:p>
          <w:p>
            <w:pPr>
              <w:widowControl w:val="0"/>
              <w:snapToGrid w:val="0"/>
              <w:spacing w:line="288" w:lineRule="auto"/>
              <w:jc w:val="center"/>
              <w:rPr>
                <w:rFonts w:hint="eastAsia"/>
                <w:sz w:val="21"/>
                <w:szCs w:val="21"/>
              </w:rPr>
            </w:pPr>
            <w:r>
              <w:rPr>
                <w:rFonts w:hint="eastAsia"/>
                <w:sz w:val="21"/>
                <w:szCs w:val="21"/>
              </w:rPr>
              <w:t>老年人舒适和活动问题及护理：跌倒、疼痛</w:t>
            </w:r>
          </w:p>
        </w:tc>
        <w:tc>
          <w:tcPr>
            <w:tcW w:w="3041" w:type="dxa"/>
            <w:vAlign w:val="center"/>
          </w:tcPr>
          <w:p>
            <w:pPr>
              <w:widowControl w:val="0"/>
              <w:snapToGrid w:val="0"/>
              <w:jc w:val="center"/>
              <w:rPr>
                <w:rFonts w:ascii="Times New Roman" w:hAnsi="Times New Roman"/>
                <w:bCs/>
                <w:sz w:val="21"/>
                <w:szCs w:val="21"/>
              </w:rPr>
            </w:pPr>
            <w:r>
              <w:rPr>
                <w:rFonts w:hint="eastAsia"/>
                <w:sz w:val="20"/>
                <w:szCs w:val="20"/>
              </w:rPr>
              <w:t>理论讲授</w:t>
            </w:r>
          </w:p>
        </w:tc>
        <w:tc>
          <w:tcPr>
            <w:tcW w:w="1738" w:type="dxa"/>
            <w:vAlign w:val="center"/>
          </w:tcPr>
          <w:p>
            <w:pPr>
              <w:widowControl w:val="0"/>
              <w:snapToGrid w:val="0"/>
              <w:jc w:val="center"/>
              <w:rPr>
                <w:rFonts w:ascii="Times New Roman" w:hAnsi="Times New Roman"/>
                <w:bCs/>
                <w:sz w:val="21"/>
                <w:szCs w:val="21"/>
              </w:rPr>
            </w:pPr>
            <w:r>
              <w:rPr>
                <w:rFonts w:hint="eastAsia"/>
                <w:sz w:val="20"/>
                <w:szCs w:val="20"/>
              </w:rPr>
              <w:t>理论考试</w:t>
            </w:r>
          </w:p>
        </w:tc>
        <w:tc>
          <w:tcPr>
            <w:tcW w:w="724" w:type="dxa"/>
          </w:tcPr>
          <w:p>
            <w:pPr>
              <w:widowControl w:val="0"/>
              <w:snapToGrid w:val="0"/>
              <w:spacing w:line="288" w:lineRule="auto"/>
              <w:jc w:val="center"/>
              <w:rPr>
                <w:rFonts w:hint="eastAsia"/>
                <w:bCs/>
                <w:sz w:val="20"/>
                <w:szCs w:val="20"/>
              </w:rPr>
            </w:pPr>
            <w:r>
              <w:rPr>
                <w:rFonts w:hint="eastAsia"/>
                <w:bCs/>
                <w:sz w:val="20"/>
                <w:szCs w:val="20"/>
              </w:rPr>
              <w:t>2</w:t>
            </w:r>
          </w:p>
        </w:tc>
        <w:tc>
          <w:tcPr>
            <w:tcW w:w="668" w:type="dxa"/>
          </w:tcPr>
          <w:p>
            <w:pPr>
              <w:widowControl w:val="0"/>
              <w:snapToGrid w:val="0"/>
              <w:spacing w:line="288" w:lineRule="auto"/>
              <w:jc w:val="center"/>
              <w:rPr>
                <w:rFonts w:hint="eastAsia"/>
                <w:bCs/>
                <w:sz w:val="20"/>
                <w:szCs w:val="20"/>
              </w:rPr>
            </w:pPr>
            <w:r>
              <w:rPr>
                <w:rFonts w:hint="eastAsia"/>
                <w:bCs/>
                <w:sz w:val="20"/>
                <w:szCs w:val="20"/>
              </w:rPr>
              <w:t>0</w:t>
            </w:r>
          </w:p>
        </w:tc>
        <w:tc>
          <w:tcPr>
            <w:tcW w:w="716" w:type="dxa"/>
            <w:tcBorders>
              <w:right w:val="single" w:color="auto" w:sz="12" w:space="0"/>
            </w:tcBorders>
          </w:tcPr>
          <w:p>
            <w:pPr>
              <w:widowControl w:val="0"/>
              <w:snapToGrid w:val="0"/>
              <w:spacing w:line="288" w:lineRule="auto"/>
              <w:jc w:val="center"/>
              <w:rPr>
                <w:rFonts w:hint="eastAsia"/>
                <w:bCs/>
                <w:sz w:val="20"/>
                <w:szCs w:val="20"/>
              </w:rPr>
            </w:pPr>
            <w:r>
              <w:rPr>
                <w:rFonts w:hint="eastAsia"/>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pPr>
              <w:widowControl w:val="0"/>
              <w:snapToGrid w:val="0"/>
              <w:spacing w:line="288" w:lineRule="auto"/>
              <w:jc w:val="center"/>
              <w:rPr>
                <w:rFonts w:hint="eastAsia"/>
                <w:sz w:val="21"/>
                <w:szCs w:val="21"/>
              </w:rPr>
            </w:pPr>
            <w:r>
              <w:rPr>
                <w:rFonts w:hint="eastAsia"/>
                <w:sz w:val="21"/>
                <w:szCs w:val="21"/>
              </w:rPr>
              <w:t>课内实验</w:t>
            </w:r>
            <w:r>
              <w:rPr>
                <w:rFonts w:hint="eastAsia"/>
                <w:sz w:val="21"/>
                <w:szCs w:val="21"/>
                <w:lang w:val="en-US" w:eastAsia="zh-CN"/>
              </w:rPr>
              <w:t>1：</w:t>
            </w:r>
            <w:r>
              <w:rPr>
                <w:rFonts w:hint="eastAsia"/>
                <w:sz w:val="21"/>
                <w:szCs w:val="21"/>
              </w:rPr>
              <w:t>低血糖反应急救</w:t>
            </w:r>
          </w:p>
          <w:p>
            <w:pPr>
              <w:widowControl w:val="0"/>
              <w:snapToGrid w:val="0"/>
              <w:spacing w:line="288" w:lineRule="auto"/>
              <w:jc w:val="center"/>
              <w:rPr>
                <w:rFonts w:hint="eastAsia"/>
                <w:sz w:val="21"/>
                <w:szCs w:val="21"/>
              </w:rPr>
            </w:pPr>
            <w:r>
              <w:rPr>
                <w:rFonts w:hint="eastAsia"/>
                <w:sz w:val="21"/>
                <w:szCs w:val="21"/>
              </w:rPr>
              <w:t>课内实验</w:t>
            </w:r>
            <w:r>
              <w:rPr>
                <w:rFonts w:hint="eastAsia"/>
                <w:sz w:val="21"/>
                <w:szCs w:val="21"/>
                <w:lang w:eastAsia="zh-CN"/>
              </w:rPr>
              <w:t>：</w:t>
            </w:r>
            <w:r>
              <w:rPr>
                <w:rFonts w:hint="eastAsia"/>
                <w:sz w:val="21"/>
                <w:szCs w:val="21"/>
              </w:rPr>
              <w:t>老年人日常生活护理</w:t>
            </w:r>
          </w:p>
        </w:tc>
        <w:tc>
          <w:tcPr>
            <w:tcW w:w="3041" w:type="dxa"/>
            <w:vAlign w:val="center"/>
          </w:tcPr>
          <w:p>
            <w:pPr>
              <w:widowControl w:val="0"/>
              <w:snapToGrid w:val="0"/>
              <w:jc w:val="center"/>
              <w:rPr>
                <w:rFonts w:hint="eastAsia"/>
                <w:sz w:val="20"/>
                <w:szCs w:val="20"/>
              </w:rPr>
            </w:pPr>
            <w:r>
              <w:rPr>
                <w:rFonts w:hint="eastAsia"/>
                <w:sz w:val="20"/>
                <w:szCs w:val="20"/>
              </w:rPr>
              <w:t>理论讲授</w:t>
            </w:r>
          </w:p>
          <w:p>
            <w:pPr>
              <w:widowControl w:val="0"/>
              <w:snapToGrid w:val="0"/>
              <w:jc w:val="center"/>
              <w:rPr>
                <w:rFonts w:ascii="Times New Roman" w:hAnsi="Times New Roman"/>
                <w:bCs/>
                <w:sz w:val="21"/>
                <w:szCs w:val="21"/>
              </w:rPr>
            </w:pPr>
            <w:r>
              <w:rPr>
                <w:rFonts w:hint="eastAsia"/>
                <w:bCs/>
                <w:sz w:val="21"/>
                <w:szCs w:val="21"/>
              </w:rPr>
              <w:t>角色</w:t>
            </w:r>
          </w:p>
        </w:tc>
        <w:tc>
          <w:tcPr>
            <w:tcW w:w="1738" w:type="dxa"/>
            <w:vAlign w:val="center"/>
          </w:tcPr>
          <w:p>
            <w:pPr>
              <w:widowControl w:val="0"/>
              <w:snapToGrid w:val="0"/>
              <w:spacing w:line="288" w:lineRule="auto"/>
              <w:jc w:val="center"/>
              <w:rPr>
                <w:rFonts w:hint="eastAsia"/>
                <w:sz w:val="20"/>
                <w:szCs w:val="20"/>
              </w:rPr>
            </w:pPr>
            <w:r>
              <w:rPr>
                <w:rFonts w:hint="eastAsia"/>
                <w:sz w:val="20"/>
                <w:szCs w:val="20"/>
              </w:rPr>
              <w:t>理论考试</w:t>
            </w:r>
          </w:p>
          <w:p>
            <w:pPr>
              <w:widowControl w:val="0"/>
              <w:snapToGrid w:val="0"/>
              <w:jc w:val="center"/>
              <w:rPr>
                <w:rFonts w:hint="eastAsia"/>
                <w:sz w:val="20"/>
                <w:szCs w:val="20"/>
              </w:rPr>
            </w:pPr>
            <w:r>
              <w:rPr>
                <w:rFonts w:hint="eastAsia"/>
                <w:sz w:val="20"/>
                <w:szCs w:val="20"/>
              </w:rPr>
              <w:t>案例分析</w:t>
            </w:r>
          </w:p>
          <w:p>
            <w:pPr>
              <w:widowControl w:val="0"/>
              <w:snapToGrid w:val="0"/>
              <w:jc w:val="center"/>
              <w:rPr>
                <w:rFonts w:ascii="Times New Roman" w:hAnsi="Times New Roman"/>
                <w:bCs/>
                <w:sz w:val="21"/>
                <w:szCs w:val="21"/>
              </w:rPr>
            </w:pPr>
            <w:r>
              <w:rPr>
                <w:rFonts w:hint="eastAsia"/>
                <w:sz w:val="20"/>
                <w:szCs w:val="20"/>
              </w:rPr>
              <w:t>小组讨论</w:t>
            </w:r>
          </w:p>
        </w:tc>
        <w:tc>
          <w:tcPr>
            <w:tcW w:w="724" w:type="dxa"/>
          </w:tcPr>
          <w:p>
            <w:pPr>
              <w:widowControl w:val="0"/>
              <w:snapToGrid w:val="0"/>
              <w:spacing w:line="288" w:lineRule="auto"/>
              <w:jc w:val="center"/>
              <w:rPr>
                <w:rFonts w:hint="eastAsia"/>
                <w:bCs/>
                <w:sz w:val="20"/>
                <w:szCs w:val="20"/>
              </w:rPr>
            </w:pPr>
            <w:r>
              <w:rPr>
                <w:bCs/>
                <w:sz w:val="20"/>
                <w:szCs w:val="20"/>
              </w:rPr>
              <w:t>0</w:t>
            </w:r>
          </w:p>
        </w:tc>
        <w:tc>
          <w:tcPr>
            <w:tcW w:w="668" w:type="dxa"/>
          </w:tcPr>
          <w:p>
            <w:pPr>
              <w:widowControl w:val="0"/>
              <w:snapToGrid w:val="0"/>
              <w:spacing w:line="288" w:lineRule="auto"/>
              <w:jc w:val="center"/>
              <w:rPr>
                <w:rFonts w:hint="eastAsia" w:eastAsia="宋体"/>
                <w:bCs/>
                <w:sz w:val="20"/>
                <w:szCs w:val="20"/>
                <w:lang w:eastAsia="zh-CN"/>
              </w:rPr>
            </w:pPr>
            <w:r>
              <w:rPr>
                <w:rFonts w:hint="eastAsia"/>
                <w:bCs/>
                <w:sz w:val="20"/>
                <w:szCs w:val="20"/>
                <w:lang w:val="en-US" w:eastAsia="zh-CN"/>
              </w:rPr>
              <w:t>2</w:t>
            </w:r>
          </w:p>
        </w:tc>
        <w:tc>
          <w:tcPr>
            <w:tcW w:w="716" w:type="dxa"/>
            <w:tcBorders>
              <w:right w:val="single" w:color="auto" w:sz="12" w:space="0"/>
            </w:tcBorders>
          </w:tcPr>
          <w:p>
            <w:pPr>
              <w:widowControl w:val="0"/>
              <w:snapToGrid w:val="0"/>
              <w:spacing w:line="288" w:lineRule="auto"/>
              <w:jc w:val="center"/>
              <w:rPr>
                <w:rFonts w:hint="eastAsia"/>
                <w:bCs/>
                <w:sz w:val="20"/>
                <w:szCs w:val="20"/>
              </w:rPr>
            </w:pPr>
            <w:r>
              <w:rPr>
                <w:rFonts w:hint="eastAsia"/>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89" w:type="dxa"/>
            <w:tcBorders>
              <w:left w:val="single" w:color="auto" w:sz="12" w:space="0"/>
            </w:tcBorders>
            <w:vAlign w:val="center"/>
          </w:tcPr>
          <w:p>
            <w:pPr>
              <w:widowControl w:val="0"/>
              <w:snapToGrid w:val="0"/>
              <w:spacing w:line="288" w:lineRule="auto"/>
              <w:jc w:val="center"/>
              <w:rPr>
                <w:rFonts w:hint="eastAsia" w:eastAsia="宋体"/>
                <w:sz w:val="21"/>
                <w:szCs w:val="21"/>
                <w:lang w:val="en-US" w:eastAsia="zh-CN"/>
              </w:rPr>
            </w:pPr>
            <w:r>
              <w:rPr>
                <w:rFonts w:hint="eastAsia"/>
                <w:sz w:val="21"/>
                <w:szCs w:val="21"/>
                <w:lang w:val="en-US" w:eastAsia="zh-CN"/>
              </w:rPr>
              <w:t>期末考试</w:t>
            </w:r>
          </w:p>
        </w:tc>
        <w:tc>
          <w:tcPr>
            <w:tcW w:w="3041"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闭卷</w:t>
            </w:r>
          </w:p>
        </w:tc>
        <w:tc>
          <w:tcPr>
            <w:tcW w:w="1738" w:type="dxa"/>
            <w:vAlign w:val="center"/>
          </w:tcPr>
          <w:p>
            <w:pPr>
              <w:widowControl w:val="0"/>
              <w:snapToGrid w:val="0"/>
              <w:spacing w:line="288" w:lineRule="auto"/>
              <w:jc w:val="center"/>
              <w:rPr>
                <w:rFonts w:hint="eastAsia"/>
                <w:sz w:val="20"/>
                <w:szCs w:val="20"/>
              </w:rPr>
            </w:pPr>
            <w:r>
              <w:rPr>
                <w:rFonts w:hint="eastAsia"/>
                <w:sz w:val="20"/>
                <w:szCs w:val="20"/>
              </w:rPr>
              <w:t>理论考试</w:t>
            </w:r>
          </w:p>
          <w:p>
            <w:pPr>
              <w:widowControl w:val="0"/>
              <w:snapToGrid w:val="0"/>
              <w:jc w:val="center"/>
              <w:rPr>
                <w:rFonts w:ascii="Times New Roman" w:hAnsi="Times New Roman"/>
                <w:bCs/>
                <w:sz w:val="21"/>
                <w:szCs w:val="21"/>
              </w:rPr>
            </w:pPr>
          </w:p>
        </w:tc>
        <w:tc>
          <w:tcPr>
            <w:tcW w:w="724" w:type="dxa"/>
          </w:tcPr>
          <w:p>
            <w:pPr>
              <w:widowControl w:val="0"/>
              <w:snapToGrid w:val="0"/>
              <w:spacing w:line="288" w:lineRule="auto"/>
              <w:jc w:val="center"/>
              <w:rPr>
                <w:rFonts w:hint="eastAsia" w:eastAsia="宋体"/>
                <w:bCs/>
                <w:sz w:val="20"/>
                <w:szCs w:val="20"/>
                <w:lang w:eastAsia="zh-CN"/>
              </w:rPr>
            </w:pPr>
            <w:r>
              <w:rPr>
                <w:rFonts w:hint="eastAsia"/>
                <w:bCs/>
                <w:sz w:val="20"/>
                <w:szCs w:val="20"/>
                <w:lang w:val="en-US" w:eastAsia="zh-CN"/>
              </w:rPr>
              <w:t>2</w:t>
            </w:r>
          </w:p>
        </w:tc>
        <w:tc>
          <w:tcPr>
            <w:tcW w:w="668" w:type="dxa"/>
          </w:tcPr>
          <w:p>
            <w:pPr>
              <w:widowControl w:val="0"/>
              <w:snapToGrid w:val="0"/>
              <w:spacing w:line="288" w:lineRule="auto"/>
              <w:jc w:val="center"/>
              <w:rPr>
                <w:rFonts w:hint="eastAsia" w:eastAsia="宋体"/>
                <w:bCs/>
                <w:sz w:val="20"/>
                <w:szCs w:val="20"/>
                <w:lang w:eastAsia="zh-CN"/>
              </w:rPr>
            </w:pPr>
            <w:r>
              <w:rPr>
                <w:rFonts w:hint="eastAsia"/>
                <w:bCs/>
                <w:sz w:val="20"/>
                <w:szCs w:val="20"/>
                <w:lang w:val="en-US" w:eastAsia="zh-CN"/>
              </w:rPr>
              <w:t>0</w:t>
            </w:r>
          </w:p>
        </w:tc>
        <w:tc>
          <w:tcPr>
            <w:tcW w:w="716" w:type="dxa"/>
            <w:tcBorders>
              <w:right w:val="single" w:color="auto" w:sz="12" w:space="0"/>
            </w:tcBorders>
          </w:tcPr>
          <w:p>
            <w:pPr>
              <w:widowControl w:val="0"/>
              <w:snapToGrid w:val="0"/>
              <w:spacing w:line="288" w:lineRule="auto"/>
              <w:jc w:val="center"/>
              <w:rPr>
                <w:rFonts w:hint="eastAsia"/>
                <w:bCs/>
                <w:sz w:val="20"/>
                <w:szCs w:val="20"/>
              </w:rPr>
            </w:pPr>
            <w:r>
              <w:rPr>
                <w:rFonts w:hint="eastAsia"/>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8"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724"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c>
          <w:tcPr>
            <w:tcW w:w="668" w:type="dxa"/>
            <w:tcBorders>
              <w:bottom w:val="single" w:color="auto" w:sz="12" w:space="0"/>
            </w:tcBorders>
            <w:vAlign w:val="center"/>
          </w:tcPr>
          <w:p>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6" w:type="dxa"/>
            <w:tcBorders>
              <w:bottom w:val="single" w:color="auto" w:sz="12" w:space="0"/>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191"/>
        <w:gridCol w:w="72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3"/>
              <w:rPr>
                <w:szCs w:val="16"/>
              </w:rPr>
            </w:pPr>
            <w:r>
              <w:rPr>
                <w:rFonts w:hint="eastAsia"/>
                <w:szCs w:val="16"/>
              </w:rPr>
              <w:t>实验项目名称</w:t>
            </w:r>
          </w:p>
        </w:tc>
        <w:tc>
          <w:tcPr>
            <w:tcW w:w="4199" w:type="dxa"/>
            <w:tcBorders>
              <w:top w:val="single" w:color="auto" w:sz="12" w:space="0"/>
              <w:left w:val="single" w:color="auto" w:sz="4" w:space="0"/>
              <w:bottom w:val="single" w:color="auto" w:sz="4" w:space="0"/>
              <w:right w:val="single" w:color="auto" w:sz="4" w:space="0"/>
            </w:tcBorders>
            <w:vAlign w:val="center"/>
          </w:tcPr>
          <w:p>
            <w:pPr>
              <w:pStyle w:val="13"/>
              <w:rPr>
                <w:szCs w:val="16"/>
              </w:rPr>
            </w:pPr>
            <w:r>
              <w:rPr>
                <w:rFonts w:hint="eastAsia" w:ascii="黑体" w:hAnsi="宋体"/>
                <w:szCs w:val="16"/>
              </w:rPr>
              <w:t>目标要求与</w:t>
            </w:r>
            <w:r>
              <w:rPr>
                <w:rFonts w:hint="eastAsia"/>
                <w:szCs w:val="16"/>
              </w:rPr>
              <w:t>主要内容</w:t>
            </w:r>
          </w:p>
        </w:tc>
        <w:tc>
          <w:tcPr>
            <w:tcW w:w="724" w:type="dxa"/>
            <w:tcBorders>
              <w:top w:val="single" w:color="auto" w:sz="12" w:space="0"/>
              <w:left w:val="single" w:color="auto" w:sz="4" w:space="0"/>
              <w:right w:val="single" w:color="auto" w:sz="4"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val="0"/>
              <w:snapToGrid w:val="0"/>
              <w:jc w:val="center"/>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1"/>
                <w:szCs w:val="21"/>
              </w:rPr>
            </w:pPr>
            <w:r>
              <w:rPr>
                <w:rFonts w:hint="eastAsia" w:asciiTheme="minorEastAsia" w:hAnsiTheme="minorEastAsia" w:eastAsiaTheme="minorEastAsia"/>
                <w:b/>
                <w:bCs/>
                <w:sz w:val="21"/>
                <w:szCs w:val="21"/>
              </w:rPr>
              <w:t>实训课1：</w:t>
            </w:r>
            <w:r>
              <w:rPr>
                <w:rFonts w:hint="eastAsia" w:asciiTheme="minorEastAsia" w:hAnsiTheme="minorEastAsia" w:eastAsiaTheme="minorEastAsia"/>
                <w:sz w:val="21"/>
                <w:szCs w:val="21"/>
              </w:rPr>
              <w:t>分组病案讨论</w:t>
            </w:r>
            <w:r>
              <w:rPr>
                <w:rFonts w:hint="eastAsia" w:asciiTheme="minorEastAsia" w:hAnsiTheme="minorEastAsia" w:eastAsiaTheme="minorEastAsia"/>
                <w:b/>
                <w:sz w:val="21"/>
                <w:szCs w:val="21"/>
              </w:rPr>
              <w:t>+</w:t>
            </w:r>
            <w:r>
              <w:rPr>
                <w:rFonts w:hint="eastAsia" w:asciiTheme="minorEastAsia" w:hAnsiTheme="minorEastAsia" w:eastAsiaTheme="minorEastAsia"/>
                <w:sz w:val="21"/>
                <w:szCs w:val="21"/>
              </w:rPr>
              <w:t>情景演示---低血糖反应的急救</w:t>
            </w:r>
          </w:p>
        </w:tc>
        <w:tc>
          <w:tcPr>
            <w:tcW w:w="419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以《老年人常见疾病护理---老年糖尿病》为题，分小组组织进行案例分析、课堂讨论，情景演示-护士应对患者突发低血糖反应的急救。</w:t>
            </w:r>
          </w:p>
        </w:tc>
        <w:tc>
          <w:tcPr>
            <w:tcW w:w="724" w:type="dxa"/>
            <w:tcBorders>
              <w:left w:val="single" w:color="auto" w:sz="4" w:space="0"/>
              <w:right w:val="single" w:color="auto" w:sz="4" w:space="0"/>
            </w:tcBorders>
            <w:shd w:val="clear" w:color="auto" w:fill="auto"/>
            <w:vAlign w:val="center"/>
          </w:tcPr>
          <w:p>
            <w:pPr>
              <w:pStyle w:val="14"/>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p>
        </w:tc>
        <w:tc>
          <w:tcPr>
            <w:tcW w:w="950" w:type="dxa"/>
            <w:tcBorders>
              <w:left w:val="single" w:color="auto" w:sz="4" w:space="0"/>
              <w:right w:val="single" w:color="auto" w:sz="12" w:space="0"/>
            </w:tcBorders>
            <w:shd w:val="clear" w:color="auto" w:fill="auto"/>
            <w:vAlign w:val="center"/>
          </w:tcPr>
          <w:p>
            <w:pPr>
              <w:pStyle w:val="14"/>
              <w:rPr>
                <w:rFonts w:hint="eastAsia" w:asciiTheme="minorEastAsia" w:hAnsiTheme="minorEastAsia" w:eastAsiaTheme="minorEastAsia"/>
              </w:rPr>
            </w:pPr>
            <w:r>
              <w:rPr>
                <w:rFonts w:hint="eastAsia" w:asciiTheme="minorEastAsia" w:hAnsiTheme="minorEastAsia" w:eastAsiaTheme="minor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val="0"/>
              <w:snapToGrid w:val="0"/>
              <w:jc w:val="center"/>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sz w:val="21"/>
                <w:szCs w:val="21"/>
              </w:rPr>
            </w:pPr>
            <w:r>
              <w:rPr>
                <w:rFonts w:hint="eastAsia" w:asciiTheme="minorEastAsia" w:hAnsiTheme="minorEastAsia" w:eastAsiaTheme="minorEastAsia"/>
                <w:b/>
                <w:bCs/>
                <w:sz w:val="21"/>
                <w:szCs w:val="21"/>
              </w:rPr>
              <w:t>实训课2：</w:t>
            </w:r>
            <w:r>
              <w:rPr>
                <w:rFonts w:hint="eastAsia" w:asciiTheme="minorEastAsia" w:hAnsiTheme="minorEastAsia" w:eastAsiaTheme="minorEastAsia"/>
                <w:sz w:val="21"/>
                <w:szCs w:val="21"/>
              </w:rPr>
              <w:t>老年人日常生活护理</w:t>
            </w:r>
          </w:p>
        </w:tc>
        <w:tc>
          <w:tcPr>
            <w:tcW w:w="419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通过图片、影像、医院见习等让学生实时知晓目前老年医院病房的结构、老人的生活环境、人文环境及治疗环境，知晓两便失禁的护理及防跌倒的护理。</w:t>
            </w:r>
          </w:p>
        </w:tc>
        <w:tc>
          <w:tcPr>
            <w:tcW w:w="724" w:type="dxa"/>
            <w:tcBorders>
              <w:left w:val="single" w:color="auto" w:sz="4" w:space="0"/>
              <w:bottom w:val="single" w:color="auto" w:sz="4" w:space="0"/>
              <w:right w:val="single" w:color="auto" w:sz="4" w:space="0"/>
            </w:tcBorders>
            <w:shd w:val="clear" w:color="auto" w:fill="auto"/>
            <w:vAlign w:val="center"/>
          </w:tcPr>
          <w:p>
            <w:pPr>
              <w:pStyle w:val="14"/>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p>
        </w:tc>
        <w:tc>
          <w:tcPr>
            <w:tcW w:w="950" w:type="dxa"/>
            <w:tcBorders>
              <w:left w:val="single" w:color="auto" w:sz="4" w:space="0"/>
              <w:bottom w:val="single" w:color="auto" w:sz="4" w:space="0"/>
              <w:right w:val="single" w:color="auto" w:sz="12" w:space="0"/>
            </w:tcBorders>
            <w:shd w:val="clear" w:color="auto" w:fill="auto"/>
            <w:vAlign w:val="center"/>
          </w:tcPr>
          <w:p>
            <w:pPr>
              <w:pStyle w:val="14"/>
              <w:rPr>
                <w:rFonts w:hint="eastAsia" w:asciiTheme="minorEastAsia" w:hAnsiTheme="minorEastAsia" w:eastAsiaTheme="minorEastAsia"/>
              </w:rPr>
            </w:pPr>
            <w:r>
              <w:rPr>
                <w:rFonts w:hint="eastAsia" w:asciiTheme="minorEastAsia" w:hAnsiTheme="minorEastAsia" w:eastAsiaTheme="minor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6"/>
        <w:spacing w:before="326" w:beforeLines="100" w:line="360" w:lineRule="auto"/>
        <w:ind w:firstLine="140" w:firstLineChars="50"/>
        <w:rPr>
          <w:rFonts w:hint="eastAsia"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77" w:hRule="atLeast"/>
        </w:trPr>
        <w:tc>
          <w:tcPr>
            <w:tcW w:w="8276" w:type="dxa"/>
          </w:tcPr>
          <w:p>
            <w:pPr>
              <w:pStyle w:val="14"/>
              <w:widowControl w:val="0"/>
              <w:ind w:firstLine="420" w:firstLineChars="200"/>
              <w:jc w:val="both"/>
              <w:rPr>
                <w:rFonts w:hint="eastAsia" w:ascii="宋体" w:hAnsi="宋体"/>
                <w:bCs/>
              </w:rPr>
            </w:pPr>
            <w:r>
              <w:rPr>
                <w:rFonts w:hint="eastAsia" w:ascii="宋体" w:hAnsi="宋体"/>
                <w:bCs/>
              </w:rPr>
              <w:t>老年护理</w:t>
            </w:r>
            <w:r>
              <w:rPr>
                <w:rFonts w:hint="eastAsia"/>
              </w:rPr>
              <w:t>课程思政教学，以习近平总书记“广大医务工作者要恪守医德医风，修医德、行仁术，怀救苦之心、做苍生大医，努力为人民群众提供更加优质高效的健康服务”的讲话为核心，充分利用教学资源，调动学生的学习积极性。让护理专业的学生能够认识到当前学习老年护理学的重要性和必要性，并重视老年护理学的研究，根据老年人个性化、多样化的需求，为老年人提供专业化、规范化、普及化和优质化的护理服务，以提高和增强学生的实际动手能力和良好职业素质。</w:t>
            </w:r>
          </w:p>
        </w:tc>
      </w:tr>
    </w:tbl>
    <w:p>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hint="eastAsia" w:ascii="黑体" w:hAnsi="黑体" w:eastAsia="黑体"/>
                <w:bCs/>
                <w:sz w:val="21"/>
                <w:szCs w:val="21"/>
              </w:rPr>
            </w:pPr>
          </w:p>
        </w:tc>
        <w:tc>
          <w:tcPr>
            <w:tcW w:w="709" w:type="dxa"/>
            <w:vMerge w:val="continue"/>
          </w:tcPr>
          <w:p>
            <w:pPr>
              <w:pStyle w:val="16"/>
              <w:widowControl w:val="0"/>
              <w:jc w:val="both"/>
              <w:rPr>
                <w:rFonts w:hint="eastAsia" w:ascii="黑体" w:hAnsi="黑体"/>
                <w:bCs/>
                <w:sz w:val="21"/>
                <w:szCs w:val="21"/>
              </w:rPr>
            </w:pPr>
          </w:p>
        </w:tc>
        <w:tc>
          <w:tcPr>
            <w:tcW w:w="2353" w:type="dxa"/>
            <w:vMerge w:val="continue"/>
            <w:tcBorders>
              <w:right w:val="double" w:color="auto" w:sz="4" w:space="0"/>
            </w:tcBorders>
          </w:tcPr>
          <w:p>
            <w:pPr>
              <w:pStyle w:val="16"/>
              <w:widowControl w:val="0"/>
              <w:jc w:val="both"/>
              <w:rPr>
                <w:rFonts w:hint="eastAsia"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12" w:type="dxa"/>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12" w:type="dxa"/>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pPr>
              <w:pStyle w:val="16"/>
              <w:widowControl w:val="0"/>
              <w:spacing w:line="240" w:lineRule="auto"/>
              <w:jc w:val="center"/>
              <w:rPr>
                <w:rFonts w:hint="eastAsia"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
                <w:sz w:val="21"/>
                <w:szCs w:val="21"/>
              </w:rPr>
            </w:pPr>
            <w:r>
              <w:rPr>
                <w:rFonts w:ascii="Arial" w:hAnsi="Arial" w:eastAsia="黑体" w:cs="Arial"/>
                <w:bCs/>
                <w:sz w:val="21"/>
                <w:szCs w:val="21"/>
              </w:rPr>
              <w:t>X1</w:t>
            </w:r>
          </w:p>
        </w:tc>
        <w:tc>
          <w:tcPr>
            <w:tcW w:w="709" w:type="dxa"/>
          </w:tcPr>
          <w:p>
            <w:pPr>
              <w:widowControl w:val="0"/>
              <w:snapToGrid w:val="0"/>
              <w:spacing w:before="163" w:beforeLines="50" w:after="163" w:afterLines="5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40%</w:t>
            </w:r>
          </w:p>
        </w:tc>
        <w:tc>
          <w:tcPr>
            <w:tcW w:w="2353" w:type="dxa"/>
            <w:tcBorders>
              <w:right w:val="double" w:color="auto" w:sz="4" w:space="0"/>
            </w:tcBorders>
          </w:tcPr>
          <w:p>
            <w:pPr>
              <w:widowControl w:val="0"/>
              <w:snapToGrid w:val="0"/>
              <w:spacing w:before="163" w:beforeLines="50" w:after="163" w:afterLines="5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随堂测试</w:t>
            </w:r>
          </w:p>
        </w:tc>
        <w:tc>
          <w:tcPr>
            <w:tcW w:w="612" w:type="dxa"/>
            <w:tcBorders>
              <w:left w:val="double" w:color="auto" w:sz="4" w:space="0"/>
            </w:tcBorders>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12" w:type="dxa"/>
            <w:vAlign w:val="center"/>
          </w:tcPr>
          <w:p>
            <w:pPr>
              <w:pStyle w:val="14"/>
              <w:widowControl w:val="0"/>
              <w:rPr>
                <w:rFonts w:hint="eastAsia" w:asciiTheme="minorEastAsia" w:hAnsiTheme="minorEastAsia" w:eastAsiaTheme="minorEastAsia" w:cstheme="minorEastAsia"/>
              </w:rPr>
            </w:pPr>
          </w:p>
        </w:tc>
        <w:tc>
          <w:tcPr>
            <w:tcW w:w="612" w:type="dxa"/>
            <w:vAlign w:val="center"/>
          </w:tcPr>
          <w:p>
            <w:pPr>
              <w:pStyle w:val="14"/>
              <w:widowControl w:val="0"/>
              <w:rPr>
                <w:rFonts w:hint="eastAsia" w:asciiTheme="minorEastAsia" w:hAnsiTheme="minorEastAsia" w:eastAsiaTheme="minorEastAsia" w:cstheme="minorEastAsia"/>
              </w:rPr>
            </w:pPr>
          </w:p>
        </w:tc>
        <w:tc>
          <w:tcPr>
            <w:tcW w:w="706" w:type="dxa"/>
            <w:tcBorders>
              <w:right w:val="single" w:color="auto" w:sz="12" w:space="0"/>
            </w:tcBorders>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pPr>
              <w:widowControl w:val="0"/>
              <w:snapToGrid w:val="0"/>
              <w:spacing w:before="163" w:beforeLines="50" w:after="163" w:afterLines="5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20%</w:t>
            </w:r>
          </w:p>
        </w:tc>
        <w:tc>
          <w:tcPr>
            <w:tcW w:w="2353" w:type="dxa"/>
            <w:tcBorders>
              <w:right w:val="double" w:color="auto" w:sz="4" w:space="0"/>
            </w:tcBorders>
          </w:tcPr>
          <w:p>
            <w:pPr>
              <w:widowControl w:val="0"/>
              <w:snapToGrid w:val="0"/>
              <w:spacing w:before="163" w:beforeLines="50" w:after="163" w:afterLines="5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单元测试1</w:t>
            </w:r>
          </w:p>
        </w:tc>
        <w:tc>
          <w:tcPr>
            <w:tcW w:w="612" w:type="dxa"/>
            <w:tcBorders>
              <w:left w:val="double" w:color="auto" w:sz="4" w:space="0"/>
            </w:tcBorders>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12" w:type="dxa"/>
            <w:vAlign w:val="center"/>
          </w:tcPr>
          <w:p>
            <w:pPr>
              <w:pStyle w:val="14"/>
              <w:widowControl w:val="0"/>
              <w:rPr>
                <w:rFonts w:hint="eastAsia" w:asciiTheme="minorEastAsia" w:hAnsiTheme="minorEastAsia" w:eastAsiaTheme="minorEastAsia" w:cstheme="minorEastAsia"/>
              </w:rPr>
            </w:pPr>
          </w:p>
        </w:tc>
        <w:tc>
          <w:tcPr>
            <w:tcW w:w="706" w:type="dxa"/>
            <w:tcBorders>
              <w:right w:val="single" w:color="auto" w:sz="12" w:space="0"/>
            </w:tcBorders>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pPr>
              <w:widowControl w:val="0"/>
              <w:snapToGrid w:val="0"/>
              <w:spacing w:before="163" w:beforeLines="50" w:after="163" w:afterLines="5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20%</w:t>
            </w:r>
          </w:p>
        </w:tc>
        <w:tc>
          <w:tcPr>
            <w:tcW w:w="2353" w:type="dxa"/>
            <w:tcBorders>
              <w:right w:val="double" w:color="auto" w:sz="4" w:space="0"/>
            </w:tcBorders>
          </w:tcPr>
          <w:p>
            <w:pPr>
              <w:widowControl w:val="0"/>
              <w:snapToGrid w:val="0"/>
              <w:spacing w:before="163" w:beforeLines="50" w:after="163" w:afterLines="5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单元测试2</w:t>
            </w:r>
          </w:p>
        </w:tc>
        <w:tc>
          <w:tcPr>
            <w:tcW w:w="612" w:type="dxa"/>
            <w:tcBorders>
              <w:left w:val="double" w:color="auto" w:sz="4" w:space="0"/>
            </w:tcBorders>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12" w:type="dxa"/>
            <w:vAlign w:val="center"/>
          </w:tcPr>
          <w:p>
            <w:pPr>
              <w:pStyle w:val="14"/>
              <w:widowControl w:val="0"/>
              <w:rPr>
                <w:rFonts w:hint="eastAsia" w:asciiTheme="minorEastAsia" w:hAnsiTheme="minorEastAsia" w:eastAsiaTheme="minorEastAsia" w:cstheme="minorEastAsia"/>
              </w:rPr>
            </w:pPr>
          </w:p>
        </w:tc>
        <w:tc>
          <w:tcPr>
            <w:tcW w:w="706" w:type="dxa"/>
            <w:tcBorders>
              <w:right w:val="single" w:color="auto" w:sz="12" w:space="0"/>
            </w:tcBorders>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4</w:t>
            </w:r>
          </w:p>
        </w:tc>
        <w:tc>
          <w:tcPr>
            <w:tcW w:w="709" w:type="dxa"/>
          </w:tcPr>
          <w:p>
            <w:pPr>
              <w:widowControl w:val="0"/>
              <w:snapToGrid w:val="0"/>
              <w:spacing w:before="163" w:beforeLines="50" w:after="163" w:after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2353" w:type="dxa"/>
            <w:tcBorders>
              <w:right w:val="double" w:color="auto" w:sz="4" w:space="0"/>
            </w:tcBorders>
          </w:tcPr>
          <w:p>
            <w:pPr>
              <w:widowControl w:val="0"/>
              <w:snapToGrid w:val="0"/>
              <w:spacing w:before="163" w:beforeLines="50" w:after="163" w:afterLines="5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实训报告</w:t>
            </w:r>
          </w:p>
        </w:tc>
        <w:tc>
          <w:tcPr>
            <w:tcW w:w="612" w:type="dxa"/>
            <w:tcBorders>
              <w:left w:val="double" w:color="auto" w:sz="4" w:space="0"/>
            </w:tcBorders>
            <w:vAlign w:val="center"/>
          </w:tcPr>
          <w:p>
            <w:pPr>
              <w:pStyle w:val="14"/>
              <w:widowControl w:val="0"/>
              <w:rPr>
                <w:rFonts w:hint="eastAsia" w:asciiTheme="minorEastAsia" w:hAnsiTheme="minorEastAsia" w:eastAsiaTheme="minorEastAsia" w:cstheme="minorEastAsia"/>
              </w:rPr>
            </w:pP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12" w:type="dxa"/>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706" w:type="dxa"/>
            <w:tcBorders>
              <w:right w:val="single" w:color="auto" w:sz="12" w:space="0"/>
            </w:tcBorders>
            <w:vAlign w:val="center"/>
          </w:tcPr>
          <w:p>
            <w:pPr>
              <w:pStyle w:val="14"/>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bl>
    <w:p>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pPr>
              <w:widowControl w:val="0"/>
              <w:snapToGrid w:val="0"/>
              <w:jc w:val="center"/>
              <w:rPr>
                <w:rFonts w:hint="eastAsia" w:ascii="黑体" w:hAnsi="黑体" w:eastAsia="黑体"/>
                <w:bCs/>
                <w:sz w:val="21"/>
                <w:szCs w:val="21"/>
              </w:rPr>
            </w:pPr>
          </w:p>
        </w:tc>
        <w:tc>
          <w:tcPr>
            <w:tcW w:w="648" w:type="dxa"/>
            <w:vMerge w:val="continue"/>
          </w:tcPr>
          <w:p>
            <w:pPr>
              <w:pStyle w:val="16"/>
              <w:widowControl w:val="0"/>
              <w:jc w:val="both"/>
              <w:rPr>
                <w:rFonts w:hint="eastAsia" w:ascii="黑体" w:hAnsi="黑体"/>
                <w:bCs/>
                <w:sz w:val="21"/>
                <w:szCs w:val="21"/>
              </w:rPr>
            </w:pPr>
          </w:p>
        </w:tc>
        <w:tc>
          <w:tcPr>
            <w:tcW w:w="1403" w:type="dxa"/>
            <w:vMerge w:val="continue"/>
          </w:tcPr>
          <w:p>
            <w:pPr>
              <w:pStyle w:val="16"/>
              <w:widowControl w:val="0"/>
              <w:jc w:val="both"/>
              <w:rPr>
                <w:rFonts w:hint="eastAsia"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pStyle w:val="14"/>
              <w:widowControl w:val="0"/>
              <w:jc w:val="both"/>
              <w:rPr>
                <w:rFonts w:hint="eastAsia" w:ascii="宋体" w:hAnsi="宋体"/>
              </w:rPr>
            </w:pPr>
          </w:p>
        </w:tc>
        <w:tc>
          <w:tcPr>
            <w:tcW w:w="1403" w:type="dxa"/>
            <w:vAlign w:val="center"/>
          </w:tcPr>
          <w:p>
            <w:pPr>
              <w:pStyle w:val="14"/>
              <w:widowControl w:val="0"/>
              <w:jc w:val="both"/>
              <w:rPr>
                <w:rFonts w:hint="eastAsia" w:ascii="宋体" w:hAnsi="宋体"/>
              </w:rPr>
            </w:pPr>
          </w:p>
        </w:tc>
        <w:tc>
          <w:tcPr>
            <w:tcW w:w="1403" w:type="dxa"/>
            <w:vAlign w:val="center"/>
          </w:tcPr>
          <w:p>
            <w:pPr>
              <w:pStyle w:val="14"/>
              <w:widowControl w:val="0"/>
              <w:jc w:val="both"/>
              <w:rPr>
                <w:rFonts w:hint="eastAsia" w:ascii="宋体" w:hAnsi="宋体"/>
              </w:rPr>
            </w:pPr>
          </w:p>
        </w:tc>
        <w:tc>
          <w:tcPr>
            <w:tcW w:w="1403" w:type="dxa"/>
            <w:vAlign w:val="center"/>
          </w:tcPr>
          <w:p>
            <w:pPr>
              <w:pStyle w:val="6"/>
              <w:widowControl/>
              <w:shd w:val="clear" w:color="auto" w:fill="FFFFFF"/>
              <w:jc w:val="both"/>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r>
    </w:tbl>
    <w:p>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无</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黑体"/>
                <w:sz w:val="21"/>
                <w:szCs w:val="21"/>
              </w:rPr>
            </w:pPr>
          </w:p>
        </w:tc>
      </w:tr>
    </w:tbl>
    <w:p>
      <w:pPr>
        <w:pStyle w:val="16"/>
        <w:spacing w:before="326" w:beforeLines="100" w:line="360" w:lineRule="auto"/>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2000019F" w:csb1="4F01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SJQU-QR-JW-052（A0）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6C5FD"/>
    <w:multiLevelType w:val="singleLevel"/>
    <w:tmpl w:val="B5F6C5FD"/>
    <w:lvl w:ilvl="0" w:tentative="0">
      <w:start w:val="2"/>
      <w:numFmt w:val="chineseCounting"/>
      <w:suff w:val="nothing"/>
      <w:lvlText w:val="（%1）"/>
      <w:lvlJc w:val="left"/>
      <w:rPr>
        <w:rFonts w:hint="eastAsia"/>
      </w:rPr>
    </w:lvl>
  </w:abstractNum>
  <w:abstractNum w:abstractNumId="1">
    <w:nsid w:val="FAFFA163"/>
    <w:multiLevelType w:val="singleLevel"/>
    <w:tmpl w:val="FAFFA163"/>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suff w:val="nothing"/>
      <w:lvlText w:val="%1."/>
      <w:lvlJc w:val="left"/>
    </w:lvl>
  </w:abstractNum>
  <w:abstractNum w:abstractNumId="3">
    <w:nsid w:val="0000000A"/>
    <w:multiLevelType w:val="singleLevel"/>
    <w:tmpl w:val="0000000A"/>
    <w:lvl w:ilvl="0" w:tentative="0">
      <w:start w:val="1"/>
      <w:numFmt w:val="decimal"/>
      <w:suff w:val="nothing"/>
      <w:lvlText w:val="%1."/>
      <w:lvlJc w:val="left"/>
    </w:lvl>
  </w:abstractNum>
  <w:abstractNum w:abstractNumId="4">
    <w:nsid w:val="00000013"/>
    <w:multiLevelType w:val="singleLevel"/>
    <w:tmpl w:val="00000013"/>
    <w:lvl w:ilvl="0" w:tentative="0">
      <w:start w:val="1"/>
      <w:numFmt w:val="decimal"/>
      <w:suff w:val="nothing"/>
      <w:lvlText w:val="%1."/>
      <w:lvlJc w:val="left"/>
    </w:lvl>
  </w:abstractNum>
  <w:abstractNum w:abstractNumId="5">
    <w:nsid w:val="0000001B"/>
    <w:multiLevelType w:val="singleLevel"/>
    <w:tmpl w:val="0000001B"/>
    <w:lvl w:ilvl="0" w:tentative="0">
      <w:start w:val="1"/>
      <w:numFmt w:val="decimal"/>
      <w:suff w:val="nothing"/>
      <w:lvlText w:val="%1."/>
      <w:lvlJc w:val="left"/>
    </w:lvl>
  </w:abstractNum>
  <w:abstractNum w:abstractNumId="6">
    <w:nsid w:val="0000001E"/>
    <w:multiLevelType w:val="singleLevel"/>
    <w:tmpl w:val="0000001E"/>
    <w:lvl w:ilvl="0" w:tentative="0">
      <w:start w:val="1"/>
      <w:numFmt w:val="decimal"/>
      <w:suff w:val="nothing"/>
      <w:lvlText w:val="%1."/>
      <w:lvlJc w:val="left"/>
    </w:lvl>
  </w:abstractNum>
  <w:abstractNum w:abstractNumId="7">
    <w:nsid w:val="0B520599"/>
    <w:multiLevelType w:val="singleLevel"/>
    <w:tmpl w:val="0B520599"/>
    <w:lvl w:ilvl="0" w:tentative="0">
      <w:start w:val="1"/>
      <w:numFmt w:val="decimal"/>
      <w:lvlText w:val="%1."/>
      <w:lvlJc w:val="left"/>
      <w:pPr>
        <w:tabs>
          <w:tab w:val="left" w:pos="312"/>
        </w:tabs>
      </w:pPr>
    </w:lvl>
  </w:abstractNum>
  <w:num w:numId="1">
    <w:abstractNumId w:val="5"/>
  </w:num>
  <w:num w:numId="2">
    <w:abstractNumId w:val="2"/>
  </w:num>
  <w:num w:numId="3">
    <w:abstractNumId w:val="4"/>
  </w:num>
  <w:num w:numId="4">
    <w:abstractNumId w:val="1"/>
  </w:num>
  <w:num w:numId="5">
    <w:abstractNumId w:val="7"/>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2NDgyZjUxMjE1ZTJkOTQ2MWFjZGY2NDBjOGVhODIifQ=="/>
  </w:docVars>
  <w:rsids>
    <w:rsidRoot w:val="00B7651F"/>
    <w:rsid w:val="000023B2"/>
    <w:rsid w:val="000203E0"/>
    <w:rsid w:val="000210E0"/>
    <w:rsid w:val="00033082"/>
    <w:rsid w:val="00047270"/>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3E16"/>
    <w:rsid w:val="00130F6D"/>
    <w:rsid w:val="00143EDB"/>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3C64"/>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1C03"/>
    <w:rsid w:val="00384A1F"/>
    <w:rsid w:val="00384D60"/>
    <w:rsid w:val="00385D41"/>
    <w:rsid w:val="003861BA"/>
    <w:rsid w:val="003A1680"/>
    <w:rsid w:val="003A373C"/>
    <w:rsid w:val="003A5874"/>
    <w:rsid w:val="003B1258"/>
    <w:rsid w:val="003B4A81"/>
    <w:rsid w:val="003C61A5"/>
    <w:rsid w:val="003D1968"/>
    <w:rsid w:val="003D201A"/>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B4EFD"/>
    <w:rsid w:val="005C3A76"/>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1BC2"/>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946"/>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8B4"/>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7832"/>
    <w:rsid w:val="00D44860"/>
    <w:rsid w:val="00D47689"/>
    <w:rsid w:val="00D50C42"/>
    <w:rsid w:val="00D515DE"/>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4485C"/>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100D2"/>
    <w:rsid w:val="00F12942"/>
    <w:rsid w:val="00F14886"/>
    <w:rsid w:val="00F16421"/>
    <w:rsid w:val="00F201EE"/>
    <w:rsid w:val="00F220BF"/>
    <w:rsid w:val="00F35AA0"/>
    <w:rsid w:val="00F43C49"/>
    <w:rsid w:val="00F45C12"/>
    <w:rsid w:val="00F544A2"/>
    <w:rsid w:val="00F76CB9"/>
    <w:rsid w:val="00F77A73"/>
    <w:rsid w:val="00F80E46"/>
    <w:rsid w:val="00F96236"/>
    <w:rsid w:val="00FA10CE"/>
    <w:rsid w:val="00FA222F"/>
    <w:rsid w:val="00FA2891"/>
    <w:rsid w:val="00FA4B51"/>
    <w:rsid w:val="00FB1D90"/>
    <w:rsid w:val="00FB2DCA"/>
    <w:rsid w:val="00FB650B"/>
    <w:rsid w:val="00FB693D"/>
    <w:rsid w:val="00FB7768"/>
    <w:rsid w:val="00FC7489"/>
    <w:rsid w:val="00FD1BA8"/>
    <w:rsid w:val="00FD218F"/>
    <w:rsid w:val="00FD5663"/>
    <w:rsid w:val="00FD56C6"/>
    <w:rsid w:val="00FE3221"/>
    <w:rsid w:val="00FE571F"/>
    <w:rsid w:val="00FF47F6"/>
    <w:rsid w:val="016E63C2"/>
    <w:rsid w:val="024B0C39"/>
    <w:rsid w:val="067178EC"/>
    <w:rsid w:val="0A8128A6"/>
    <w:rsid w:val="0BF32A1B"/>
    <w:rsid w:val="0E705243"/>
    <w:rsid w:val="10BD2C22"/>
    <w:rsid w:val="139454AD"/>
    <w:rsid w:val="1A2918C3"/>
    <w:rsid w:val="22987C80"/>
    <w:rsid w:val="24192CCC"/>
    <w:rsid w:val="2C31C607"/>
    <w:rsid w:val="39A66CD4"/>
    <w:rsid w:val="3B5C7B73"/>
    <w:rsid w:val="3BAD1377"/>
    <w:rsid w:val="3CD52CE1"/>
    <w:rsid w:val="410F2E6A"/>
    <w:rsid w:val="4430136C"/>
    <w:rsid w:val="4AB0382B"/>
    <w:rsid w:val="4B8873DC"/>
    <w:rsid w:val="51431169"/>
    <w:rsid w:val="569868B5"/>
    <w:rsid w:val="56FD46ED"/>
    <w:rsid w:val="611F6817"/>
    <w:rsid w:val="66CA1754"/>
    <w:rsid w:val="6F1E65D4"/>
    <w:rsid w:val="6F266C86"/>
    <w:rsid w:val="6F5042C2"/>
    <w:rsid w:val="71991257"/>
    <w:rsid w:val="74316312"/>
    <w:rsid w:val="780F13C8"/>
    <w:rsid w:val="7C385448"/>
    <w:rsid w:val="7CB3663D"/>
    <w:rsid w:val="DBFFF7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5005</Words>
  <Characters>5259</Characters>
  <Lines>40</Lines>
  <Paragraphs>11</Paragraphs>
  <TotalTime>0</TotalTime>
  <ScaleCrop>false</ScaleCrop>
  <LinksUpToDate>false</LinksUpToDate>
  <CharactersWithSpaces>5280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2023-10-21T23:24:00Z</dcterms:created>
  <dc:creator>juvg</dc:creator>
  <cp:lastModifiedBy>田</cp:lastModifiedBy>
  <cp:lastPrinted>2023-10-23T20:11:00Z</cp:lastPrinted>
  <dcterms:modified xsi:type="dcterms:W3CDTF">2025-09-06T11:17:04Z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30B79122A1164E068DF35C53EDC1916D_12</vt:lpwstr>
  </property>
  <property fmtid="{D5CDD505-2E9C-101B-9397-08002B2CF9AE}" pid="4" name="KSOTemplateDocerSaveRecord">
    <vt:lpwstr>eyJoZGlkIjoiM2RkZTY4MTU3ZWE0MzUyMjVjNDAwNmM3MzVjNTYxOTciLCJ1c2VySWQiOiI1NzI5NTExNjEifQ==</vt:lpwstr>
  </property>
</Properties>
</file>