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w:t>
      </w:r>
      <w:r>
        <w:rPr>
          <w:rFonts w:hint="eastAsia"/>
          <w:b/>
          <w:sz w:val="28"/>
          <w:szCs w:val="30"/>
          <w:lang w:val="en-US" w:eastAsia="zh-CN"/>
        </w:rPr>
        <w:t>风险与社会保障</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【Risk </w:t>
      </w:r>
      <w:r>
        <w:rPr>
          <w:rFonts w:hint="eastAsia"/>
          <w:b/>
          <w:sz w:val="28"/>
          <w:szCs w:val="30"/>
          <w:lang w:val="en-US" w:eastAsia="zh-CN"/>
        </w:rPr>
        <w:t>A</w:t>
      </w:r>
      <w:r>
        <w:rPr>
          <w:rFonts w:hint="eastAsia"/>
          <w:b/>
          <w:sz w:val="28"/>
          <w:szCs w:val="30"/>
        </w:rPr>
        <w:t xml:space="preserve">nd </w:t>
      </w:r>
      <w:r>
        <w:rPr>
          <w:rFonts w:hint="eastAsia"/>
          <w:b/>
          <w:sz w:val="28"/>
          <w:szCs w:val="30"/>
          <w:lang w:val="en-US" w:eastAsia="zh-CN"/>
        </w:rPr>
        <w:t>S</w:t>
      </w:r>
      <w:r>
        <w:rPr>
          <w:rFonts w:hint="eastAsia"/>
          <w:b/>
          <w:sz w:val="28"/>
          <w:szCs w:val="30"/>
        </w:rPr>
        <w:t xml:space="preserve">ocial </w:t>
      </w:r>
      <w:r>
        <w:rPr>
          <w:rFonts w:hint="eastAsia"/>
          <w:b/>
          <w:sz w:val="28"/>
          <w:szCs w:val="30"/>
          <w:lang w:val="en-US" w:eastAsia="zh-CN"/>
        </w:rPr>
        <w:t>S</w:t>
      </w:r>
      <w:r>
        <w:rPr>
          <w:rFonts w:hint="eastAsia"/>
          <w:b/>
          <w:sz w:val="28"/>
          <w:szCs w:val="30"/>
        </w:rPr>
        <w:t>ecurity】</w:t>
      </w:r>
    </w:p>
    <w:p>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4" w:firstLineChars="196"/>
        <w:rPr>
          <w:color w:val="auto"/>
          <w:sz w:val="20"/>
          <w:szCs w:val="20"/>
        </w:rPr>
      </w:pPr>
      <w:r>
        <w:rPr>
          <w:b/>
          <w:bCs/>
          <w:color w:val="000000"/>
          <w:sz w:val="20"/>
          <w:szCs w:val="20"/>
        </w:rPr>
        <w:t>课程代码：</w:t>
      </w:r>
      <w:r>
        <w:rPr>
          <w:color w:val="auto"/>
          <w:sz w:val="20"/>
          <w:szCs w:val="20"/>
        </w:rPr>
        <w:t>【</w:t>
      </w:r>
      <w:r>
        <w:rPr>
          <w:rFonts w:hint="eastAsia" w:ascii="宋体" w:hAnsi="宋体" w:eastAsia="宋体"/>
          <w:sz w:val="21"/>
          <w:szCs w:val="21"/>
          <w:lang w:val="en-US" w:eastAsia="zh-CN"/>
        </w:rPr>
        <w:t>2170028</w:t>
      </w:r>
      <w:r>
        <w:rPr>
          <w:color w:val="auto"/>
          <w:sz w:val="20"/>
          <w:szCs w:val="20"/>
        </w:rPr>
        <w:t>】</w:t>
      </w:r>
    </w:p>
    <w:p>
      <w:pPr>
        <w:snapToGrid w:val="0"/>
        <w:spacing w:line="288" w:lineRule="auto"/>
        <w:ind w:firstLine="394" w:firstLineChars="196"/>
        <w:rPr>
          <w:rFonts w:asciiTheme="minorEastAsia" w:hAnsiTheme="minorEastAsia" w:eastAsiaTheme="minorEastAsia" w:cstheme="minorEastAsia"/>
          <w:color w:val="FF0000"/>
          <w:sz w:val="20"/>
          <w:szCs w:val="20"/>
        </w:rPr>
      </w:pPr>
      <w:r>
        <w:rPr>
          <w:b/>
          <w:bCs/>
          <w:color w:val="auto"/>
          <w:sz w:val="20"/>
          <w:szCs w:val="20"/>
        </w:rPr>
        <w:t>课程学分：</w:t>
      </w:r>
      <w:r>
        <w:rPr>
          <w:color w:val="auto"/>
          <w:sz w:val="20"/>
          <w:szCs w:val="20"/>
        </w:rPr>
        <w:t>【</w:t>
      </w:r>
      <w:r>
        <w:rPr>
          <w:rFonts w:hint="eastAsia"/>
          <w:color w:val="auto"/>
          <w:sz w:val="20"/>
          <w:szCs w:val="20"/>
          <w:lang w:val="en-US" w:eastAsia="zh-CN"/>
        </w:rPr>
        <w:t>2</w:t>
      </w:r>
      <w:r>
        <w:rPr>
          <w:rFonts w:hint="eastAsia" w:asciiTheme="minorEastAsia" w:hAnsiTheme="minorEastAsia" w:eastAsiaTheme="minorEastAsia" w:cstheme="minorEastAsia"/>
          <w:color w:val="auto"/>
          <w:sz w:val="20"/>
          <w:szCs w:val="20"/>
        </w:rPr>
        <w:t>.0</w:t>
      </w:r>
      <w:r>
        <w:rPr>
          <w:color w:val="auto"/>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color w:val="000000"/>
          <w:sz w:val="20"/>
          <w:szCs w:val="20"/>
          <w:lang w:val="en-US" w:eastAsia="zh-CN"/>
        </w:rPr>
        <w:t>健康管理学</w:t>
      </w:r>
      <w:r>
        <w:rPr>
          <w:color w:val="000000"/>
          <w:sz w:val="20"/>
          <w:szCs w:val="20"/>
        </w:rPr>
        <w:t>】</w:t>
      </w:r>
    </w:p>
    <w:p>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w:t>
      </w:r>
      <w:r>
        <w:rPr>
          <w:rFonts w:hint="eastAsia" w:asciiTheme="minorEastAsia" w:hAnsiTheme="minorEastAsia" w:eastAsiaTheme="minorEastAsia" w:cstheme="minorEastAsia"/>
          <w:color w:val="000000"/>
          <w:sz w:val="20"/>
          <w:szCs w:val="20"/>
          <w:lang w:val="en-US" w:eastAsia="zh-CN"/>
        </w:rPr>
        <w:t>选</w:t>
      </w:r>
      <w:r>
        <w:rPr>
          <w:rFonts w:hint="eastAsia" w:asciiTheme="minorEastAsia" w:hAnsiTheme="minorEastAsia" w:eastAsiaTheme="minorEastAsia" w:cstheme="minorEastAsia"/>
          <w:color w:val="000000"/>
          <w:sz w:val="20"/>
          <w:szCs w:val="20"/>
        </w:rPr>
        <w:t>修课</w:t>
      </w:r>
      <w:r>
        <w:rPr>
          <w:color w:val="000000"/>
          <w:sz w:val="20"/>
          <w:szCs w:val="20"/>
        </w:rPr>
        <w:t>】</w:t>
      </w:r>
    </w:p>
    <w:p>
      <w:pPr>
        <w:snapToGrid w:val="0"/>
        <w:spacing w:line="288" w:lineRule="auto"/>
        <w:ind w:firstLine="394" w:firstLineChars="196"/>
        <w:rPr>
          <w:rFonts w:hint="default" w:asciiTheme="minorEastAsia" w:hAnsiTheme="minorEastAsia" w:eastAsiaTheme="minorEastAsia" w:cstheme="minorEastAsia"/>
          <w:color w:val="000000"/>
          <w:sz w:val="20"/>
          <w:szCs w:val="20"/>
          <w:lang w:val="en-US" w:eastAsia="zh-CN"/>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w:t>
      </w:r>
      <w:r>
        <w:rPr>
          <w:rFonts w:hint="eastAsia" w:asciiTheme="minorEastAsia" w:hAnsiTheme="minorEastAsia" w:eastAsiaTheme="minorEastAsia" w:cstheme="minorEastAsia"/>
          <w:color w:val="000000"/>
          <w:sz w:val="20"/>
          <w:szCs w:val="20"/>
          <w:lang w:val="en-US" w:eastAsia="zh-CN"/>
        </w:rPr>
        <w:t>健康管理系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w:t>
      </w:r>
      <w:r>
        <w:rPr>
          <w:rFonts w:hint="eastAsia"/>
          <w:color w:val="000000"/>
          <w:sz w:val="20"/>
          <w:szCs w:val="20"/>
          <w:lang w:val="en-US" w:eastAsia="zh-CN"/>
        </w:rPr>
        <w:t>健康保障</w:t>
      </w:r>
      <w:r>
        <w:rPr>
          <w:rFonts w:hint="eastAsia"/>
          <w:color w:val="000000"/>
          <w:sz w:val="20"/>
          <w:szCs w:val="20"/>
        </w:rPr>
        <w:t>》，主编：</w:t>
      </w:r>
      <w:r>
        <w:rPr>
          <w:rFonts w:hint="eastAsia"/>
          <w:color w:val="000000"/>
          <w:sz w:val="20"/>
          <w:szCs w:val="20"/>
          <w:lang w:val="en-US" w:eastAsia="zh-CN"/>
        </w:rPr>
        <w:t>毛瑛</w:t>
      </w:r>
      <w:r>
        <w:rPr>
          <w:rFonts w:hint="eastAsia"/>
          <w:color w:val="000000"/>
          <w:sz w:val="20"/>
          <w:szCs w:val="20"/>
        </w:rPr>
        <w:t>，人民卫生出版社，201</w:t>
      </w:r>
      <w:r>
        <w:rPr>
          <w:rFonts w:hint="eastAsia"/>
          <w:color w:val="000000"/>
          <w:sz w:val="20"/>
          <w:szCs w:val="20"/>
          <w:lang w:val="en-US" w:eastAsia="zh-CN"/>
        </w:rPr>
        <w:t>9</w:t>
      </w:r>
      <w:r>
        <w:rPr>
          <w:rFonts w:hint="eastAsia"/>
          <w:color w:val="000000"/>
          <w:sz w:val="20"/>
          <w:szCs w:val="20"/>
        </w:rPr>
        <w:t>】</w:t>
      </w:r>
    </w:p>
    <w:p>
      <w:pPr>
        <w:snapToGrid w:val="0"/>
        <w:spacing w:line="288" w:lineRule="auto"/>
        <w:ind w:firstLine="800" w:firstLineChars="400"/>
        <w:rPr>
          <w:color w:val="000000"/>
          <w:sz w:val="20"/>
          <w:szCs w:val="20"/>
        </w:rPr>
      </w:pPr>
      <w:r>
        <w:rPr>
          <w:rFonts w:hint="eastAsia"/>
          <w:color w:val="000000"/>
          <w:sz w:val="20"/>
          <w:szCs w:val="20"/>
        </w:rPr>
        <w:t>参考书目【1.《</w:t>
      </w:r>
      <w:r>
        <w:rPr>
          <w:rFonts w:hint="eastAsia"/>
          <w:color w:val="000000"/>
          <w:sz w:val="20"/>
          <w:szCs w:val="20"/>
          <w:lang w:val="en-US" w:eastAsia="zh-CN"/>
        </w:rPr>
        <w:t>健康保险学</w:t>
      </w:r>
      <w:r>
        <w:rPr>
          <w:rFonts w:hint="eastAsia"/>
          <w:color w:val="000000"/>
          <w:sz w:val="20"/>
          <w:szCs w:val="20"/>
        </w:rPr>
        <w:t>》，主编：</w:t>
      </w:r>
      <w:r>
        <w:rPr>
          <w:rFonts w:hint="eastAsia"/>
          <w:color w:val="000000"/>
          <w:sz w:val="20"/>
          <w:szCs w:val="20"/>
          <w:lang w:val="en-US" w:eastAsia="zh-CN"/>
        </w:rPr>
        <w:t>卓志</w:t>
      </w:r>
      <w:r>
        <w:rPr>
          <w:rFonts w:hint="eastAsia"/>
          <w:color w:val="000000"/>
          <w:sz w:val="20"/>
          <w:szCs w:val="20"/>
        </w:rPr>
        <w:t>，</w:t>
      </w:r>
      <w:r>
        <w:rPr>
          <w:rFonts w:hint="eastAsia"/>
          <w:color w:val="000000"/>
          <w:sz w:val="20"/>
          <w:szCs w:val="20"/>
          <w:lang w:val="en-US" w:eastAsia="zh-CN"/>
        </w:rPr>
        <w:t>中国财政经济出版社</w:t>
      </w:r>
      <w:r>
        <w:rPr>
          <w:rFonts w:hint="eastAsia"/>
          <w:color w:val="000000"/>
          <w:sz w:val="20"/>
          <w:szCs w:val="20"/>
        </w:rPr>
        <w:t>，201</w:t>
      </w:r>
      <w:r>
        <w:rPr>
          <w:rFonts w:hint="eastAsia"/>
          <w:color w:val="000000"/>
          <w:sz w:val="20"/>
          <w:szCs w:val="20"/>
          <w:lang w:val="en-US" w:eastAsia="zh-CN"/>
        </w:rPr>
        <w:t>8</w:t>
      </w:r>
      <w:r>
        <w:rPr>
          <w:rFonts w:hint="eastAsia"/>
          <w:color w:val="000000"/>
          <w:sz w:val="20"/>
          <w:szCs w:val="20"/>
        </w:rPr>
        <w:t>；</w:t>
      </w:r>
    </w:p>
    <w:p>
      <w:pPr>
        <w:snapToGrid w:val="0"/>
        <w:spacing w:line="288" w:lineRule="auto"/>
        <w:rPr>
          <w:color w:val="000000"/>
          <w:sz w:val="20"/>
          <w:szCs w:val="20"/>
        </w:rPr>
      </w:pPr>
      <w:r>
        <w:rPr>
          <w:rFonts w:hint="eastAsia"/>
          <w:color w:val="000000"/>
          <w:sz w:val="20"/>
          <w:szCs w:val="20"/>
        </w:rPr>
        <w:t>2.《</w:t>
      </w:r>
      <w:r>
        <w:rPr>
          <w:rFonts w:hint="eastAsia"/>
          <w:color w:val="000000"/>
          <w:sz w:val="20"/>
          <w:szCs w:val="20"/>
          <w:lang w:val="en-US" w:eastAsia="zh-CN"/>
        </w:rPr>
        <w:t>医疗保险管理</w:t>
      </w:r>
      <w:r>
        <w:rPr>
          <w:rFonts w:hint="eastAsia"/>
          <w:color w:val="000000"/>
          <w:sz w:val="20"/>
          <w:szCs w:val="20"/>
        </w:rPr>
        <w:t>》，主编：</w:t>
      </w:r>
      <w:r>
        <w:rPr>
          <w:rFonts w:hint="eastAsia"/>
          <w:color w:val="000000"/>
          <w:sz w:val="20"/>
          <w:szCs w:val="20"/>
          <w:lang w:val="en-US" w:eastAsia="zh-CN"/>
        </w:rPr>
        <w:t>杨燕绥</w:t>
      </w:r>
      <w:r>
        <w:rPr>
          <w:rFonts w:hint="eastAsia"/>
          <w:color w:val="000000"/>
          <w:sz w:val="20"/>
          <w:szCs w:val="20"/>
        </w:rPr>
        <w:t>，</w:t>
      </w:r>
      <w:r>
        <w:rPr>
          <w:rFonts w:hint="eastAsia"/>
          <w:color w:val="000000"/>
          <w:sz w:val="20"/>
          <w:szCs w:val="20"/>
          <w:lang w:val="en-US" w:eastAsia="zh-CN"/>
        </w:rPr>
        <w:t>中国协和医科大学出版社</w:t>
      </w:r>
      <w:r>
        <w:rPr>
          <w:rFonts w:hint="eastAsia"/>
          <w:color w:val="000000"/>
          <w:sz w:val="20"/>
          <w:szCs w:val="20"/>
        </w:rPr>
        <w:t>，20</w:t>
      </w:r>
      <w:r>
        <w:rPr>
          <w:rFonts w:hint="eastAsia"/>
          <w:color w:val="000000"/>
          <w:sz w:val="20"/>
          <w:szCs w:val="20"/>
          <w:lang w:val="en-US" w:eastAsia="zh-CN"/>
        </w:rPr>
        <w:t>22</w:t>
      </w:r>
      <w:r>
        <w:rPr>
          <w:rFonts w:hint="eastAsia"/>
          <w:color w:val="000000"/>
          <w:sz w:val="20"/>
          <w:szCs w:val="20"/>
        </w:rPr>
        <w:t>；3.《</w:t>
      </w:r>
      <w:r>
        <w:rPr>
          <w:rFonts w:hint="eastAsia"/>
          <w:color w:val="000000"/>
          <w:sz w:val="20"/>
          <w:szCs w:val="20"/>
          <w:lang w:val="en-US" w:eastAsia="zh-CN"/>
        </w:rPr>
        <w:t>健康公平</w:t>
      </w:r>
      <w:r>
        <w:rPr>
          <w:rFonts w:hint="eastAsia"/>
          <w:color w:val="000000"/>
          <w:sz w:val="20"/>
          <w:szCs w:val="20"/>
        </w:rPr>
        <w:t>》，主编：</w:t>
      </w:r>
      <w:r>
        <w:rPr>
          <w:rFonts w:hint="eastAsia"/>
          <w:color w:val="000000"/>
          <w:sz w:val="20"/>
          <w:szCs w:val="20"/>
          <w:lang w:val="en-US" w:eastAsia="zh-CN"/>
        </w:rPr>
        <w:t>刘晓婷</w:t>
      </w:r>
      <w:r>
        <w:rPr>
          <w:rFonts w:hint="eastAsia"/>
          <w:color w:val="000000"/>
          <w:sz w:val="20"/>
          <w:szCs w:val="20"/>
        </w:rPr>
        <w:t>，</w:t>
      </w:r>
      <w:r>
        <w:rPr>
          <w:rFonts w:hint="eastAsia"/>
          <w:color w:val="000000"/>
          <w:sz w:val="20"/>
          <w:szCs w:val="20"/>
          <w:lang w:val="en-US" w:eastAsia="zh-CN"/>
        </w:rPr>
        <w:t>浙江大学</w:t>
      </w:r>
      <w:r>
        <w:rPr>
          <w:rFonts w:hint="eastAsia"/>
          <w:color w:val="000000"/>
          <w:sz w:val="20"/>
          <w:szCs w:val="20"/>
        </w:rPr>
        <w:t>出版社，2012.】</w:t>
      </w:r>
    </w:p>
    <w:p>
      <w:pPr>
        <w:snapToGrid w:val="0"/>
        <w:spacing w:line="288" w:lineRule="auto"/>
        <w:ind w:firstLine="394"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numPr>
          <w:ilvl w:val="0"/>
          <w:numId w:val="1"/>
        </w:numPr>
        <w:adjustRightInd w:val="0"/>
        <w:snapToGrid w:val="0"/>
        <w:spacing w:beforeLines="50" w:afterLines="50" w:line="288" w:lineRule="auto"/>
        <w:ind w:left="0" w:leftChars="0" w:firstLine="360" w:firstLineChars="150"/>
        <w:rPr>
          <w:rFonts w:ascii="黑体" w:hAnsi="宋体" w:eastAsia="黑体"/>
          <w:sz w:val="24"/>
        </w:rPr>
      </w:pPr>
      <w:r>
        <w:rPr>
          <w:rFonts w:ascii="黑体" w:hAnsi="宋体" w:eastAsia="黑体"/>
          <w:sz w:val="24"/>
        </w:rPr>
        <w:t>课程简介</w:t>
      </w:r>
    </w:p>
    <w:p>
      <w:pPr>
        <w:numPr>
          <w:ilvl w:val="0"/>
          <w:numId w:val="0"/>
        </w:numPr>
        <w:adjustRightInd w:val="0"/>
        <w:snapToGrid w:val="0"/>
        <w:spacing w:beforeLines="50" w:afterLines="50" w:line="288" w:lineRule="auto"/>
        <w:ind w:leftChars="150" w:firstLine="400" w:firstLineChars="200"/>
        <w:rPr>
          <w:rFonts w:hint="eastAsia"/>
          <w:color w:val="000000"/>
          <w:sz w:val="20"/>
          <w:szCs w:val="20"/>
          <w:lang w:val="en-US" w:eastAsia="zh-CN"/>
        </w:rPr>
      </w:pPr>
      <w:r>
        <w:rPr>
          <w:rFonts w:hint="eastAsia"/>
          <w:color w:val="000000"/>
          <w:sz w:val="20"/>
          <w:szCs w:val="20"/>
          <w:lang w:val="en-US" w:eastAsia="zh-CN"/>
        </w:rPr>
        <w:t>本教材由毛瑛、高广颖、周尚成担任主编,负责核心概念的界定、学术思想的阐释、逻辑结构的设计、理论体系的安排,写作提纲的撰写并进行工作分工和统稿。本教材共分为十一章,第一章主要介绍了健康保障的相关概念和发展历程。第二章主要介绍了健康保障体系及其理论基础,该章对健康保障体系的介绍,对第四章至第十章起到了总论作用;健康保障涉及的理论诸多,但主要与保险经济学理论、公共产品理论、新公共服务理论、福利经济学相关理论关联紧密。第三章主要介绍了健康保障法律制度,希望读者了解健康保障与其他事业一样需要有法律保障,才能建立良性的发展机制。第四章至第十章主要根据第二章的健康保障体系分别详细介绍了体系中的每一部分相关内容。第十一章健康保障体系发展趋势,主要介绍了我国从医疗保障发展为健康保障的必然趋势。</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本课程是健康管理专业的选修课程，适用于健康服务与管理专业本科书教学。在现实和学术背景下，该课程适应健康服务与管理新专业的教学需求。</w:t>
      </w:r>
    </w:p>
    <w:p>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4"/>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tabs>
                <w:tab w:val="left" w:pos="70"/>
              </w:tabs>
              <w:rPr>
                <w:rFonts w:ascii="仿宋" w:hAnsi="仿宋" w:eastAsia="仿宋" w:cs="宋体"/>
                <w:color w:val="000000"/>
                <w:kern w:val="0"/>
                <w:sz w:val="24"/>
              </w:rPr>
            </w:pPr>
            <w:r>
              <w:rPr>
                <w:rFonts w:ascii="仿宋" w:hAnsi="仿宋" w:eastAsia="仿宋" w:cs="宋体"/>
                <w:color w:val="000000"/>
                <w:kern w:val="0"/>
                <w:sz w:val="24"/>
              </w:rPr>
              <w:tab/>
            </w:r>
            <w:r>
              <w:rPr>
                <w:rFonts w:hint="eastAsia" w:ascii="仿宋" w:hAnsi="仿宋" w:eastAsia="仿宋" w:cs="宋体"/>
                <w:color w:val="000000"/>
                <w:kern w:val="0"/>
                <w:sz w:val="24"/>
                <w:szCs w:val="24"/>
              </w:rPr>
              <w:t>LO413</w:t>
            </w: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爱岗敬业：了解与专业相关的法律法规，在学习和社会实践中遵守职业规范，具备职业道德操守。</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00"/>
        <w:gridCol w:w="159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bookmarkStart w:id="0" w:name="_GoBack"/>
            <w:bookmarkEnd w:id="0"/>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0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9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掌握健康保障的概念、特征与功能，健康保障与医疗保险、医疗保障的关系</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健康保障的概念、特征与功能，健康保障与医疗保险、医疗保障的关系</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健康保障的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充分理解健康保障与医疗保险、医疗保障的关系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健康保障体系及其理论基础</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1.掌握预防服务保障体系、医疗用服务体系、康复服务保障体系、药品服务保障体系健康保险体系、长期照护服务保障体系和健康救助体系;健康保障模式分类、我国的健康障模式。</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保险经济学理论、公共产品品理论、新公共服务理论和福利经济学相关理论。</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发达国家健康保障模式及其对我国的启示</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1.能说出预防服务保障体系、医疗用服务体系、康复服务保障体系、药品服务保障体系健康保险体系、长期照护服务保障体系和健康救助体系。</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2.能说出健康保障模式分类、我国的健康障模式。</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毗邻关系。</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健康保障的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 预防服务保障体系、医疗用服务体系、康复服务保障体系、药品服务保障体系健康保险体系、长期照护服务保障体系和健康救助体系;健康保障模式分类、我国的健康障模式。</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健康保障法律制度</w:t>
            </w:r>
          </w:p>
        </w:tc>
        <w:tc>
          <w:tcPr>
            <w:tcW w:w="2426" w:type="dxa"/>
          </w:tcPr>
          <w:p>
            <w:pPr>
              <w:numPr>
                <w:ilvl w:val="0"/>
                <w:numId w:val="4"/>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掌握健康保障法的含义和特征</w:t>
            </w:r>
          </w:p>
          <w:p>
            <w:pPr>
              <w:numPr>
                <w:ilvl w:val="0"/>
                <w:numId w:val="4"/>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掌握健康保障法的基本原则</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numPr>
                <w:ilvl w:val="0"/>
                <w:numId w:val="5"/>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健康保障法的含义和特征</w:t>
            </w:r>
          </w:p>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2.能说出健康保障法的基本原则</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numPr>
                <w:ilvl w:val="0"/>
                <w:numId w:val="4"/>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掌握健康保障法的含义和特征</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预防服务保障体系</w:t>
            </w:r>
          </w:p>
        </w:tc>
        <w:tc>
          <w:tcPr>
            <w:tcW w:w="2426" w:type="dxa"/>
          </w:tcPr>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掌握预防服务的概念;三级预防策略;</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掌握预防与控制的基本内容;</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掌握卫生监督的功能;健康教育的主要内容;</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掌握突发公共事件卫生应急的运行机制;</w:t>
            </w:r>
          </w:p>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掌握环境健康管理的内容。</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能说出预防服务的概念;三级预防策略;疾病预防与控制的基本内容;卫生监督的功能;健康教育的主要内容;突发公共事件卫生应急的运行机制;环境健康管理的内容。</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预防服务的概念;三级预防策略;疾病预防与控制的基本内容;卫生监督的功能;健康教育的主要内容;突发公共事件卫生应急的运行机制;环境健康管理的内容。</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医疗服务体系</w:t>
            </w:r>
          </w:p>
        </w:tc>
        <w:tc>
          <w:tcPr>
            <w:tcW w:w="2426" w:type="dxa"/>
          </w:tcPr>
          <w:p>
            <w:pPr>
              <w:numPr>
                <w:ilvl w:val="0"/>
                <w:numId w:val="7"/>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掌握我国城市与农村三级医疗服务体系的构成</w:t>
            </w:r>
          </w:p>
          <w:p>
            <w:pPr>
              <w:numPr>
                <w:ilvl w:val="0"/>
                <w:numId w:val="7"/>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掌握各级医疗机构的概念</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1.能说出</w:t>
            </w:r>
            <w:r>
              <w:rPr>
                <w:rFonts w:hint="eastAsia" w:asciiTheme="minorEastAsia" w:hAnsiTheme="minorEastAsia" w:eastAsiaTheme="minorEastAsia" w:cstheme="minorEastAsia"/>
                <w:sz w:val="20"/>
                <w:szCs w:val="20"/>
                <w:lang w:val="en-US" w:eastAsia="zh-CN"/>
              </w:rPr>
              <w:t>掌握我国城市与农村三级医疗服务体系的构成以及各级医疗机构的概念</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充分理解我国的医疗服务体系，养成良好生活习惯</w:t>
            </w:r>
          </w:p>
        </w:tc>
        <w:tc>
          <w:tcPr>
            <w:tcW w:w="1506"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掌握我国城市与农村三级医疗服务体系的构成以及各级医疗机构的概念</w:t>
            </w:r>
          </w:p>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康复服务保障体系</w:t>
            </w:r>
          </w:p>
        </w:tc>
        <w:tc>
          <w:tcPr>
            <w:tcW w:w="242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掌握康复、全面康复的概念、康复服务的对象</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2掌握医疗康复服务、教育康复服务、职业康复服务和社会康复服务的概念和内容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掌握康复、全面康复的概念、康复服务的对象</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服务，并保护其隐私的意识。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掌握康复、全面康复的概念、康复服务的对象</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2掌握医疗康复服务、教育康复服务、职业康复服务和社会康复服务的概念和内容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药品服务保障体系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掌握药品的概念、特性;药品供应保障体系建设;药品流通的概念和特点;WHO药品采购战略目标及操作原则;基本药物的概念和目录遴选原则。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药品的分类;药品供应的内涵;短缺药品的供应保障;药品经营企业的分类及许可经营范围;我国药品流通领域的监管措施;我国基本药物制度的内涵;基本药物目录的制定。</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能说出药品的概念、特性;药品供应保障体系建设;药品流通的概念和特点;WHO药品采购战略目标及操作原则;基本药物的概念和目录遴选原则</w:t>
            </w: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对药品服务保障体系有初步了解，并坚决杜绝非法行为</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WHO药品采购战略目标及操作原则</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健康保险体系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1、掌握基本医疗保险概述的主要内容;城镇职工基本医疗保险、城镇居民基本医疗新型农村合作医疗的概念、主要内容。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大病医疗保险的内涵、主要内容;基本医疗保险的建立过程、发展趋势。.了解各种补充医疗保险形式的内涵及特点。</w:t>
            </w:r>
          </w:p>
          <w:p>
            <w:pPr>
              <w:snapToGrid w:val="0"/>
              <w:spacing w:line="288" w:lineRule="auto"/>
              <w:jc w:val="left"/>
              <w:rPr>
                <w:rFonts w:asciiTheme="minorEastAsia" w:hAnsiTheme="minorEastAsia" w:eastAsiaTheme="minorEastAsia" w:cstheme="minorEastAsia"/>
                <w:sz w:val="20"/>
                <w:szCs w:val="20"/>
              </w:rPr>
            </w:pP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能说出基本医疗保险概述的主要内容;城镇职工基本医疗保险、城镇居民基本医疗新型农村合作医疗的概念、主要内容。</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可以对医疗保险有初步了解，产生尊重生命的意识</w:t>
            </w:r>
            <w:r>
              <w:rPr>
                <w:rFonts w:hint="eastAsia" w:asciiTheme="minorEastAsia" w:hAnsiTheme="minorEastAsia" w:eastAsiaTheme="minorEastAsia" w:cstheme="minorEastAsia"/>
                <w:sz w:val="20"/>
                <w:szCs w:val="20"/>
              </w:rPr>
              <w:t>。</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 基本医疗保险概述的主要内容;城镇职工基本医疗保险、城镇居民基本医疗新型农村合作医疗的概念、主要内容。</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掌握长期照护、长期护理服务、长期护理保险的概念;长期照护服务保障体系的内涵。</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2.熟悉长期护理保险基金的基本原则、征缴对象、筹集模式;长期护理保险基金管理的原则、内容;长期护理保险的给付条件、方式;失能的定义及评定。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3.了解长期护理保险制度与长期照护服务体系的关系;医养结合的类别;医养结合与长期照护服务的关系。</w:t>
            </w:r>
          </w:p>
        </w:tc>
        <w:tc>
          <w:tcPr>
            <w:tcW w:w="210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能说出长期照护、长期护理服务、长期护理保险的概念;长期照护服务保障体系的内涵。</w:t>
            </w:r>
          </w:p>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了解长期照护的特点，以及医养结合与长期照护服务的关系，尊重服务</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掌握长期照护、长期护理服务、长期护理保险的概念;长期照护服务保障体系的内涵。</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 掌握医疗救助概念;基金筹集方式;医疗救助对象确定依据;救助内容。 </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2.熟悉医疗救助标准确定和费用测算办法;医疗优抚内容与原则。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3.了解社会慈善参与医疗保障方式。</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能说出掌握医疗救助概念;基金筹集方式;医疗救助对象确定依据;救助内容。 。</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对医疗救助有全面的了解，尊重医疗救助</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掌握医疗救助概念;基金筹集方式;医疗救助对象确定依据;救助内容</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健康保障体系发展趋势</w:t>
            </w:r>
          </w:p>
        </w:tc>
        <w:tc>
          <w:tcPr>
            <w:tcW w:w="242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掌握由医疗保障转变到健康保障的原因、长期照护服务保障体系的建立与完善</w:t>
            </w:r>
          </w:p>
        </w:tc>
        <w:tc>
          <w:tcPr>
            <w:tcW w:w="210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能说出医疗保障转变到健康保障的原因、长期照护服务保障体系的建立与完善</w:t>
            </w:r>
          </w:p>
        </w:tc>
        <w:tc>
          <w:tcPr>
            <w:tcW w:w="1590" w:type="dxa"/>
          </w:tcPr>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1506" w:type="dxa"/>
          </w:tcPr>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249"/>
        <w:gridCol w:w="4868"/>
        <w:gridCol w:w="694"/>
        <w:gridCol w:w="694"/>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健康保障法律制度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掌握健康保障法的含义和特征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预防服务保障体系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掌握突发公共事件卫生应急的运行机制;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医疗服务体系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掌握各级医疗机构的概念</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康复服务保障体系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掌握医疗康复服务、教育康复服务、职业康复服务和社会康复服务的概念和内容</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掌握药品的概念、特性;药品供应保障体系建设;药品流通的概念和特点;WHO药品采购战略目标及操作原则</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健康保险体系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掌握大病医疗保险的内涵、主要内容;基本医疗保险的建立过程、发展趋势</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掌握长期照护、长期护理服务、长期护理保险的概念;长期照护服务保障体系的内涵。</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掌握医疗救助概念;基金筹集方式;医疗救助对象确定依据;救助内容。 </w:t>
            </w:r>
          </w:p>
          <w:p>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0" w:type="auto"/>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0" w:type="auto"/>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19" w:tblpY="3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期末</w:t>
            </w:r>
            <w:r>
              <w:rPr>
                <w:rFonts w:hint="eastAsia" w:ascii="宋体" w:hAnsi="宋体"/>
                <w:bCs/>
                <w:color w:val="000000"/>
                <w:szCs w:val="20"/>
                <w:lang w:val="en-US" w:eastAsia="zh-CN"/>
              </w:rPr>
              <w:t>开卷</w:t>
            </w:r>
            <w:r>
              <w:rPr>
                <w:rFonts w:hint="eastAsia" w:ascii="宋体" w:hAnsi="宋体"/>
                <w:bCs/>
                <w:color w:val="000000"/>
                <w:szCs w:val="20"/>
              </w:rPr>
              <w:t>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平时作业1</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平时作业2</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rPr>
          <w:rFonts w:hint="eastAsia" w:ascii="宋体" w:hAnsi="宋体" w:eastAsia="宋体"/>
          <w:sz w:val="20"/>
          <w:szCs w:val="20"/>
          <w:highlight w:val="yellow"/>
          <w:lang w:eastAsia="zh-CN"/>
        </w:rPr>
      </w:pPr>
      <w:r>
        <w:drawing>
          <wp:anchor distT="0" distB="0" distL="114300" distR="114300" simplePos="0" relativeHeight="251660288" behindDoc="0" locked="0" layoutInCell="1" allowOverlap="1">
            <wp:simplePos x="0" y="0"/>
            <wp:positionH relativeFrom="column">
              <wp:posOffset>4368800</wp:posOffset>
            </wp:positionH>
            <wp:positionV relativeFrom="paragraph">
              <wp:posOffset>2079625</wp:posOffset>
            </wp:positionV>
            <wp:extent cx="803275" cy="4743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3275" cy="474345"/>
                    </a:xfrm>
                    <a:prstGeom prst="rect">
                      <a:avLst/>
                    </a:prstGeom>
                    <a:noFill/>
                    <a:ln>
                      <a:noFill/>
                    </a:ln>
                  </pic:spPr>
                </pic:pic>
              </a:graphicData>
            </a:graphic>
          </wp:anchor>
        </w:drawing>
      </w:r>
    </w:p>
    <w:p>
      <w:pPr>
        <w:snapToGrid w:val="0"/>
        <w:spacing w:line="288" w:lineRule="auto"/>
        <w:ind w:firstLine="840" w:firstLineChars="300"/>
        <w:rPr>
          <w:sz w:val="28"/>
          <w:szCs w:val="28"/>
        </w:rPr>
      </w:pPr>
      <w:r>
        <w:rPr>
          <w:rFonts w:hint="eastAsia"/>
          <w:sz w:val="28"/>
          <w:szCs w:val="28"/>
        </w:rPr>
        <w:t xml:space="preserve">撰写人：  </w:t>
      </w:r>
      <w:r>
        <w:drawing>
          <wp:inline distT="0" distB="0" distL="114300" distR="114300">
            <wp:extent cx="368300" cy="302895"/>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8300" cy="302895"/>
                    </a:xfrm>
                    <a:prstGeom prst="rect">
                      <a:avLst/>
                    </a:prstGeom>
                    <a:noFill/>
                    <a:ln>
                      <a:noFill/>
                    </a:ln>
                  </pic:spPr>
                </pic:pic>
              </a:graphicData>
            </a:graphic>
          </wp:inline>
        </w:drawing>
      </w:r>
      <w:r>
        <w:rPr>
          <w:rFonts w:hint="eastAsia"/>
          <w:sz w:val="28"/>
          <w:szCs w:val="28"/>
        </w:rPr>
        <w:t xml:space="preserve">        </w:t>
      </w:r>
      <w:r>
        <w:rPr>
          <w:rFonts w:hint="default"/>
          <w:sz w:val="28"/>
          <w:szCs w:val="28"/>
        </w:rPr>
        <w:t xml:space="preserve">   </w:t>
      </w:r>
      <w:r>
        <w:rPr>
          <w:rFonts w:hint="eastAsia"/>
          <w:sz w:val="28"/>
          <w:szCs w:val="28"/>
        </w:rPr>
        <w:t>系主任审核签名：</w:t>
      </w:r>
    </w:p>
    <w:p>
      <w:pPr>
        <w:snapToGrid w:val="0"/>
        <w:spacing w:line="288" w:lineRule="auto"/>
        <w:jc w:val="both"/>
        <w:rPr>
          <w:rFonts w:hint="eastAsia"/>
          <w:sz w:val="28"/>
          <w:szCs w:val="28"/>
        </w:rPr>
      </w:pPr>
    </w:p>
    <w:p>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w:t>
      </w:r>
      <w:r>
        <w:rPr>
          <w:rFonts w:hint="default"/>
          <w:sz w:val="28"/>
          <w:szCs w:val="28"/>
        </w:rPr>
        <w:t>202</w:t>
      </w:r>
      <w:r>
        <w:rPr>
          <w:rFonts w:hint="eastAsia"/>
          <w:sz w:val="28"/>
          <w:szCs w:val="28"/>
          <w:lang w:val="en-US" w:eastAsia="zh-CN"/>
        </w:rPr>
        <w:t>3</w:t>
      </w:r>
      <w:r>
        <w:rPr>
          <w:rFonts w:hint="eastAsia"/>
          <w:sz w:val="28"/>
          <w:szCs w:val="28"/>
          <w:lang w:val="en-US" w:eastAsia="zh-Hans"/>
        </w:rPr>
        <w:t>年</w:t>
      </w:r>
      <w:r>
        <w:rPr>
          <w:rFonts w:hint="eastAsia"/>
          <w:sz w:val="28"/>
          <w:szCs w:val="28"/>
          <w:lang w:val="en-US" w:eastAsia="zh-CN"/>
        </w:rPr>
        <w:t>02</w:t>
      </w:r>
      <w:r>
        <w:rPr>
          <w:rFonts w:hint="eastAsia"/>
          <w:sz w:val="28"/>
          <w:szCs w:val="28"/>
          <w:lang w:val="en-US" w:eastAsia="zh-Hans"/>
        </w:rPr>
        <w:t>月</w:t>
      </w:r>
      <w:r>
        <w:rPr>
          <w:rFonts w:hint="default"/>
          <w:sz w:val="28"/>
          <w:szCs w:val="28"/>
          <w:lang w:eastAsia="zh-Hans"/>
        </w:rPr>
        <w:t>19</w:t>
      </w:r>
      <w:r>
        <w:rPr>
          <w:rFonts w:hint="eastAsia"/>
          <w:sz w:val="28"/>
          <w:szCs w:val="28"/>
          <w:lang w:val="en-US" w:eastAsia="zh-Han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700B8"/>
    <w:multiLevelType w:val="singleLevel"/>
    <w:tmpl w:val="B14700B8"/>
    <w:lvl w:ilvl="0" w:tentative="0">
      <w:start w:val="1"/>
      <w:numFmt w:val="decimal"/>
      <w:suff w:val="nothing"/>
      <w:lvlText w:val="%1．"/>
      <w:lvlJc w:val="left"/>
    </w:lvl>
  </w:abstractNum>
  <w:abstractNum w:abstractNumId="1">
    <w:nsid w:val="B57AEFE5"/>
    <w:multiLevelType w:val="singleLevel"/>
    <w:tmpl w:val="B57AEFE5"/>
    <w:lvl w:ilvl="0" w:tentative="0">
      <w:start w:val="1"/>
      <w:numFmt w:val="decimal"/>
      <w:suff w:val="nothing"/>
      <w:lvlText w:val="%1．"/>
      <w:lvlJc w:val="left"/>
    </w:lvl>
  </w:abstractNum>
  <w:abstractNum w:abstractNumId="2">
    <w:nsid w:val="B8249667"/>
    <w:multiLevelType w:val="singleLevel"/>
    <w:tmpl w:val="B8249667"/>
    <w:lvl w:ilvl="0" w:tentative="0">
      <w:start w:val="4"/>
      <w:numFmt w:val="chineseCounting"/>
      <w:suff w:val="nothing"/>
      <w:lvlText w:val="%1、"/>
      <w:lvlJc w:val="left"/>
      <w:rPr>
        <w:rFonts w:hint="eastAsia"/>
      </w:rPr>
    </w:lvl>
  </w:abstractNum>
  <w:abstractNum w:abstractNumId="3">
    <w:nsid w:val="D7086AC7"/>
    <w:multiLevelType w:val="singleLevel"/>
    <w:tmpl w:val="D7086AC7"/>
    <w:lvl w:ilvl="0" w:tentative="0">
      <w:start w:val="1"/>
      <w:numFmt w:val="decimal"/>
      <w:lvlText w:val="%1."/>
      <w:lvlJc w:val="left"/>
      <w:pPr>
        <w:tabs>
          <w:tab w:val="left" w:pos="312"/>
        </w:tabs>
      </w:pPr>
    </w:lvl>
  </w:abstractNum>
  <w:abstractNum w:abstractNumId="4">
    <w:nsid w:val="1D5C1DDB"/>
    <w:multiLevelType w:val="singleLevel"/>
    <w:tmpl w:val="1D5C1DDB"/>
    <w:lvl w:ilvl="0" w:tentative="0">
      <w:start w:val="1"/>
      <w:numFmt w:val="chineseCounting"/>
      <w:suff w:val="nothing"/>
      <w:lvlText w:val="%1、"/>
      <w:lvlJc w:val="left"/>
      <w:rPr>
        <w:rFonts w:hint="eastAsia"/>
      </w:rPr>
    </w:lvl>
  </w:abstractNum>
  <w:abstractNum w:abstractNumId="5">
    <w:nsid w:val="29D8281C"/>
    <w:multiLevelType w:val="singleLevel"/>
    <w:tmpl w:val="29D8281C"/>
    <w:lvl w:ilvl="0" w:tentative="0">
      <w:start w:val="1"/>
      <w:numFmt w:val="decimal"/>
      <w:suff w:val="nothing"/>
      <w:lvlText w:val="%1．"/>
      <w:lvlJc w:val="left"/>
    </w:lvl>
  </w:abstractNum>
  <w:abstractNum w:abstractNumId="6">
    <w:nsid w:val="3001A193"/>
    <w:multiLevelType w:val="singleLevel"/>
    <w:tmpl w:val="3001A193"/>
    <w:lvl w:ilvl="0" w:tentative="0">
      <w:start w:val="6"/>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zZhOTU4YzBhNzA1ZDRjNzExNDlmNTcwNGQzNjI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A57EE6"/>
    <w:rsid w:val="01C375B9"/>
    <w:rsid w:val="01C817FD"/>
    <w:rsid w:val="024B0C39"/>
    <w:rsid w:val="028C047C"/>
    <w:rsid w:val="02B01641"/>
    <w:rsid w:val="02D44D09"/>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AFA448A"/>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3E4EF0"/>
    <w:rsid w:val="25D2461C"/>
    <w:rsid w:val="260243E4"/>
    <w:rsid w:val="262A5E9A"/>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331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4F72807"/>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3153676"/>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5FED4706"/>
    <w:rsid w:val="600433B1"/>
    <w:rsid w:val="607238AE"/>
    <w:rsid w:val="611F6817"/>
    <w:rsid w:val="62117BC1"/>
    <w:rsid w:val="623643B4"/>
    <w:rsid w:val="62870426"/>
    <w:rsid w:val="64554B9F"/>
    <w:rsid w:val="645E40D2"/>
    <w:rsid w:val="64A942E8"/>
    <w:rsid w:val="64D353B2"/>
    <w:rsid w:val="65DC19B2"/>
    <w:rsid w:val="664A064F"/>
    <w:rsid w:val="666F2FEB"/>
    <w:rsid w:val="66CA1754"/>
    <w:rsid w:val="66CF60CD"/>
    <w:rsid w:val="67066799"/>
    <w:rsid w:val="671A56EC"/>
    <w:rsid w:val="6908670E"/>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19E13FD"/>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4145</Words>
  <Characters>4306</Characters>
  <Lines>42</Lines>
  <Paragraphs>11</Paragraphs>
  <TotalTime>11</TotalTime>
  <ScaleCrop>false</ScaleCrop>
  <LinksUpToDate>false</LinksUpToDate>
  <CharactersWithSpaces>4338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zyc</cp:lastModifiedBy>
  <cp:lastPrinted>2019-03-19T11:50:00Z</cp:lastPrinted>
  <dcterms:modified xsi:type="dcterms:W3CDTF">2023-03-03T10:58:32Z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C12207382FAC489ABC439DC88DD46DC3</vt:lpwstr>
  </property>
</Properties>
</file>