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hint="eastAsia"/>
          <w:b/>
          <w:sz w:val="28"/>
          <w:szCs w:val="30"/>
        </w:rPr>
      </w:pPr>
    </w:p>
    <w:p>
      <w:pPr>
        <w:widowControl/>
        <w:snapToGrid w:val="0"/>
        <w:spacing w:line="480" w:lineRule="exact"/>
        <w:jc w:val="center"/>
        <w:rPr>
          <w:rFonts w:hint="eastAsia" w:ascii="方正小标宋简体" w:hAnsi="宋体" w:eastAsia="宋体"/>
          <w:bCs/>
          <w:kern w:val="0"/>
          <w:sz w:val="40"/>
          <w:szCs w:val="40"/>
          <w:lang w:eastAsia="zh-CN"/>
        </w:rPr>
      </w:pPr>
      <w:r>
        <w:rPr>
          <w:rFonts w:hint="eastAsia"/>
          <w:b/>
          <w:sz w:val="28"/>
          <w:szCs w:val="30"/>
          <w:lang w:eastAsia="zh-CN"/>
        </w:rPr>
        <w:t>【</w:t>
      </w:r>
      <w:r>
        <w:rPr>
          <w:rFonts w:hint="eastAsia"/>
          <w:b/>
          <w:sz w:val="28"/>
          <w:szCs w:val="30"/>
        </w:rPr>
        <w:t>护理管理</w:t>
      </w:r>
      <w:r>
        <w:rPr>
          <w:rFonts w:hint="eastAsia"/>
          <w:b/>
          <w:sz w:val="28"/>
          <w:szCs w:val="30"/>
          <w:lang w:eastAsia="zh-CN"/>
        </w:rPr>
        <w:t>】</w:t>
      </w:r>
    </w:p>
    <w:p>
      <w:pPr>
        <w:shd w:val="clear" w:color="auto" w:fill="F5F5F5"/>
        <w:jc w:val="center"/>
        <w:textAlignment w:val="top"/>
        <w:rPr>
          <w:rFonts w:hint="eastAsia" w:ascii="Arial" w:hAnsi="Arial" w:eastAsia="宋体" w:cs="Arial"/>
          <w:color w:val="888888"/>
          <w:kern w:val="0"/>
          <w:sz w:val="20"/>
          <w:szCs w:val="20"/>
          <w:lang w:eastAsia="zh-CN"/>
        </w:rPr>
      </w:pPr>
      <w:r>
        <w:rPr>
          <w:rFonts w:hint="eastAsia" w:ascii="Times New Roman" w:hAnsi="Times New Roman"/>
          <w:b/>
          <w:sz w:val="28"/>
          <w:szCs w:val="30"/>
          <w:lang w:eastAsia="zh-CN"/>
        </w:rPr>
        <w:t>【</w:t>
      </w:r>
      <w:r>
        <w:rPr>
          <w:rFonts w:ascii="Times New Roman" w:hAnsi="Times New Roman"/>
          <w:b/>
          <w:sz w:val="28"/>
          <w:szCs w:val="30"/>
        </w:rPr>
        <w:t>Nursing  Management</w:t>
      </w:r>
      <w:bookmarkStart w:id="0" w:name="a2"/>
      <w:bookmarkEnd w:id="0"/>
      <w:r>
        <w:rPr>
          <w:rFonts w:hint="eastAsia" w:ascii="Times New Roman" w:hAnsi="Times New Roman"/>
          <w:b/>
          <w:sz w:val="28"/>
          <w:szCs w:val="30"/>
          <w:lang w:eastAsia="zh-CN"/>
        </w:rPr>
        <w:t>】</w:t>
      </w:r>
    </w:p>
    <w:p>
      <w:pPr>
        <w:spacing w:beforeLines="50"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4" w:firstLineChars="196"/>
        <w:rPr>
          <w:rFonts w:hint="eastAsia" w:eastAsia="宋体"/>
          <w:color w:val="000000"/>
          <w:sz w:val="20"/>
          <w:szCs w:val="20"/>
          <w:lang w:eastAsia="zh-CN"/>
        </w:rPr>
      </w:pPr>
      <w:r>
        <w:rPr>
          <w:rFonts w:hint="eastAsia"/>
          <w:b/>
          <w:bCs/>
          <w:color w:val="000000"/>
          <w:sz w:val="20"/>
          <w:szCs w:val="20"/>
        </w:rPr>
        <w:t>课程代码：</w:t>
      </w:r>
      <w:r>
        <w:rPr>
          <w:rFonts w:hint="eastAsia"/>
          <w:b w:val="0"/>
          <w:bCs w:val="0"/>
          <w:color w:val="000000"/>
          <w:sz w:val="20"/>
          <w:szCs w:val="20"/>
          <w:lang w:eastAsia="zh-CN"/>
        </w:rPr>
        <w:t>【</w:t>
      </w:r>
      <w:r>
        <w:rPr>
          <w:rFonts w:hint="eastAsia" w:ascii="宋体" w:hAnsi="宋体"/>
          <w:szCs w:val="21"/>
        </w:rPr>
        <w:t>00</w:t>
      </w:r>
      <w:r>
        <w:rPr>
          <w:rFonts w:hint="eastAsia" w:ascii="宋体" w:hAnsi="宋体"/>
          <w:szCs w:val="21"/>
          <w:lang w:val="en-US" w:eastAsia="zh-CN"/>
        </w:rPr>
        <w:t>10055</w:t>
      </w:r>
      <w:r>
        <w:rPr>
          <w:rFonts w:hint="eastAsia"/>
          <w:b w:val="0"/>
          <w:bCs w:val="0"/>
          <w:color w:val="000000"/>
          <w:sz w:val="20"/>
          <w:szCs w:val="20"/>
          <w:lang w:eastAsia="zh-CN"/>
        </w:rPr>
        <w:t>】</w:t>
      </w:r>
    </w:p>
    <w:p>
      <w:pPr>
        <w:snapToGrid w:val="0"/>
        <w:spacing w:line="288" w:lineRule="auto"/>
        <w:ind w:firstLine="394" w:firstLineChars="196"/>
        <w:rPr>
          <w:rFonts w:hint="eastAsia" w:ascii="宋体" w:hAnsi="宋体" w:eastAsia="宋体"/>
          <w:szCs w:val="21"/>
          <w:lang w:eastAsia="zh-CN"/>
        </w:rPr>
      </w:pPr>
      <w:r>
        <w:rPr>
          <w:rFonts w:hint="eastAsia"/>
          <w:b/>
          <w:bCs/>
          <w:color w:val="000000"/>
          <w:sz w:val="20"/>
          <w:szCs w:val="20"/>
        </w:rPr>
        <w:t>课程学分：</w:t>
      </w:r>
      <w:r>
        <w:rPr>
          <w:rFonts w:hint="eastAsia"/>
          <w:b w:val="0"/>
          <w:bCs w:val="0"/>
          <w:color w:val="000000"/>
          <w:sz w:val="20"/>
          <w:szCs w:val="20"/>
          <w:lang w:eastAsia="zh-CN"/>
        </w:rPr>
        <w:t>【</w:t>
      </w:r>
      <w:r>
        <w:rPr>
          <w:rFonts w:hint="eastAsia" w:ascii="宋体" w:hAnsi="宋体"/>
          <w:szCs w:val="21"/>
        </w:rPr>
        <w:t>1.0</w:t>
      </w:r>
      <w:r>
        <w:rPr>
          <w:rFonts w:hint="eastAsia"/>
          <w:b w:val="0"/>
          <w:bCs w:val="0"/>
          <w:color w:val="000000"/>
          <w:sz w:val="20"/>
          <w:szCs w:val="20"/>
          <w:lang w:eastAsia="zh-CN"/>
        </w:rPr>
        <w:t>】</w:t>
      </w:r>
    </w:p>
    <w:p>
      <w:pPr>
        <w:snapToGrid w:val="0"/>
        <w:spacing w:line="288" w:lineRule="auto"/>
        <w:ind w:firstLine="394" w:firstLineChars="196"/>
        <w:rPr>
          <w:rFonts w:hint="eastAsia" w:eastAsia="宋体"/>
          <w:color w:val="000000"/>
          <w:szCs w:val="21"/>
          <w:lang w:eastAsia="zh-CN"/>
        </w:rPr>
      </w:pPr>
      <w:r>
        <w:rPr>
          <w:rFonts w:hint="eastAsia"/>
          <w:b/>
          <w:bCs/>
          <w:color w:val="000000"/>
          <w:sz w:val="20"/>
          <w:szCs w:val="20"/>
        </w:rPr>
        <w:t>面向专业：</w:t>
      </w:r>
      <w:r>
        <w:rPr>
          <w:rFonts w:hint="eastAsia"/>
          <w:b w:val="0"/>
          <w:bCs w:val="0"/>
          <w:color w:val="000000"/>
          <w:sz w:val="20"/>
          <w:szCs w:val="20"/>
          <w:lang w:eastAsia="zh-CN"/>
        </w:rPr>
        <w:t>【</w:t>
      </w:r>
      <w:r>
        <w:rPr>
          <w:rFonts w:hint="eastAsia"/>
          <w:color w:val="000000"/>
          <w:sz w:val="20"/>
          <w:szCs w:val="20"/>
        </w:rPr>
        <w:t>护理</w:t>
      </w:r>
      <w:r>
        <w:rPr>
          <w:rFonts w:hint="eastAsia"/>
          <w:color w:val="000000"/>
          <w:sz w:val="20"/>
          <w:szCs w:val="20"/>
          <w:lang w:eastAsia="zh-CN"/>
        </w:rPr>
        <w:t>】</w:t>
      </w:r>
    </w:p>
    <w:p>
      <w:pPr>
        <w:snapToGrid w:val="0"/>
        <w:spacing w:line="288" w:lineRule="auto"/>
        <w:ind w:firstLine="394" w:firstLineChars="196"/>
        <w:rPr>
          <w:rFonts w:hint="eastAsia" w:eastAsia="宋体"/>
          <w:color w:val="000000"/>
          <w:sz w:val="20"/>
          <w:szCs w:val="20"/>
          <w:lang w:eastAsia="zh-CN"/>
        </w:rPr>
      </w:pPr>
      <w:r>
        <w:rPr>
          <w:rFonts w:hint="eastAsia"/>
          <w:b/>
          <w:bCs/>
          <w:color w:val="000000"/>
          <w:sz w:val="20"/>
          <w:szCs w:val="20"/>
        </w:rPr>
        <w:t>课程性质：</w:t>
      </w:r>
      <w:r>
        <w:rPr>
          <w:rFonts w:hint="eastAsia"/>
          <w:b w:val="0"/>
          <w:bCs w:val="0"/>
          <w:color w:val="000000"/>
          <w:sz w:val="20"/>
          <w:szCs w:val="20"/>
          <w:lang w:eastAsia="zh-CN"/>
        </w:rPr>
        <w:t>【</w:t>
      </w:r>
      <w:r>
        <w:rPr>
          <w:rFonts w:hint="eastAsia"/>
          <w:color w:val="000000"/>
          <w:sz w:val="20"/>
          <w:szCs w:val="20"/>
          <w:lang w:eastAsia="zh-CN"/>
        </w:rPr>
        <w:t>系级必修</w:t>
      </w:r>
      <w:r>
        <w:rPr>
          <w:rFonts w:hint="eastAsia"/>
          <w:color w:val="000000"/>
          <w:sz w:val="20"/>
          <w:szCs w:val="20"/>
        </w:rPr>
        <w:t>课</w:t>
      </w:r>
      <w:r>
        <w:rPr>
          <w:rFonts w:hint="eastAsia"/>
          <w:color w:val="000000"/>
          <w:sz w:val="20"/>
          <w:szCs w:val="20"/>
          <w:lang w:eastAsia="zh-CN"/>
        </w:rPr>
        <w:t>】</w:t>
      </w:r>
    </w:p>
    <w:p>
      <w:pPr>
        <w:snapToGrid w:val="0"/>
        <w:spacing w:line="288" w:lineRule="auto"/>
        <w:ind w:firstLine="394" w:firstLineChars="196"/>
        <w:rPr>
          <w:b/>
          <w:bCs/>
          <w:color w:val="000000"/>
          <w:szCs w:val="21"/>
        </w:rPr>
      </w:pPr>
      <w:r>
        <w:rPr>
          <w:rFonts w:hint="eastAsia"/>
          <w:b/>
          <w:bCs/>
          <w:color w:val="000000"/>
          <w:sz w:val="20"/>
          <w:szCs w:val="20"/>
        </w:rPr>
        <w:t>开课院系：</w:t>
      </w:r>
      <w:r>
        <w:rPr>
          <w:rFonts w:hint="eastAsia"/>
          <w:b w:val="0"/>
          <w:bCs w:val="0"/>
          <w:color w:val="000000"/>
          <w:sz w:val="20"/>
          <w:szCs w:val="20"/>
          <w:lang w:val="en-US" w:eastAsia="zh-CN"/>
        </w:rPr>
        <w:t>健康管理学院</w:t>
      </w:r>
      <w:r>
        <w:rPr>
          <w:rFonts w:hint="eastAsia" w:ascii="Times New Roman" w:hAnsi="Times New Roman"/>
          <w:b w:val="0"/>
          <w:bCs w:val="0"/>
          <w:color w:val="000000"/>
          <w:sz w:val="20"/>
          <w:szCs w:val="20"/>
        </w:rPr>
        <w:t>护理系</w:t>
      </w:r>
    </w:p>
    <w:p>
      <w:pPr>
        <w:snapToGrid w:val="0"/>
        <w:spacing w:line="288" w:lineRule="auto"/>
        <w:ind w:firstLine="394"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rFonts w:hint="eastAsia" w:eastAsia="宋体"/>
          <w:color w:val="000000"/>
          <w:szCs w:val="21"/>
          <w:lang w:val="en-US" w:eastAsia="zh-CN"/>
        </w:rPr>
      </w:pPr>
      <w:r>
        <w:rPr>
          <w:rFonts w:hint="eastAsia"/>
          <w:color w:val="000000"/>
          <w:sz w:val="20"/>
          <w:szCs w:val="20"/>
        </w:rPr>
        <w:t>教材</w:t>
      </w:r>
      <w:r>
        <w:rPr>
          <w:rFonts w:hint="eastAsia"/>
          <w:color w:val="000000"/>
          <w:sz w:val="20"/>
          <w:szCs w:val="20"/>
          <w:lang w:eastAsia="zh-CN"/>
        </w:rPr>
        <w:t>【</w:t>
      </w:r>
      <w:r>
        <w:rPr>
          <w:rFonts w:hint="eastAsia"/>
          <w:color w:val="000000"/>
          <w:sz w:val="20"/>
          <w:szCs w:val="20"/>
        </w:rPr>
        <w:t>《护理管理</w:t>
      </w:r>
      <w:r>
        <w:rPr>
          <w:rFonts w:hint="eastAsia"/>
          <w:color w:val="000000"/>
          <w:sz w:val="20"/>
          <w:szCs w:val="20"/>
          <w:lang w:val="en-US" w:eastAsia="zh-CN"/>
        </w:rPr>
        <w:t>学基础</w:t>
      </w:r>
      <w:r>
        <w:rPr>
          <w:rFonts w:hint="eastAsia"/>
          <w:color w:val="000000"/>
          <w:sz w:val="20"/>
          <w:szCs w:val="20"/>
        </w:rPr>
        <w:t>》主编：</w:t>
      </w:r>
      <w:r>
        <w:rPr>
          <w:rFonts w:hint="eastAsia"/>
          <w:color w:val="000000"/>
          <w:sz w:val="20"/>
          <w:szCs w:val="20"/>
          <w:lang w:val="en-US" w:eastAsia="zh-CN"/>
        </w:rPr>
        <w:t>郑翠红</w:t>
      </w:r>
      <w:r>
        <w:rPr>
          <w:rFonts w:hint="eastAsia"/>
          <w:color w:val="000000"/>
          <w:sz w:val="20"/>
          <w:szCs w:val="20"/>
          <w:lang w:eastAsia="zh-CN"/>
        </w:rPr>
        <w:t>，</w:t>
      </w:r>
      <w:r>
        <w:rPr>
          <w:rFonts w:hint="eastAsia"/>
          <w:color w:val="000000"/>
          <w:sz w:val="20"/>
          <w:szCs w:val="20"/>
        </w:rPr>
        <w:t>出版社：人民卫生出版社</w:t>
      </w:r>
      <w:r>
        <w:rPr>
          <w:rFonts w:hint="eastAsia"/>
          <w:color w:val="000000"/>
          <w:sz w:val="20"/>
          <w:szCs w:val="20"/>
          <w:lang w:val="en-US" w:eastAsia="zh-CN"/>
        </w:rPr>
        <w:t>，2020】</w:t>
      </w:r>
    </w:p>
    <w:p>
      <w:pPr>
        <w:adjustRightInd w:val="0"/>
        <w:snapToGrid w:val="0"/>
        <w:spacing w:line="288" w:lineRule="auto"/>
        <w:ind w:firstLine="400" w:firstLineChars="200"/>
        <w:rPr>
          <w:color w:val="000000"/>
          <w:sz w:val="20"/>
          <w:szCs w:val="20"/>
        </w:rPr>
      </w:pPr>
      <w:r>
        <w:rPr>
          <w:rFonts w:hint="eastAsia"/>
          <w:color w:val="000000"/>
          <w:sz w:val="20"/>
          <w:szCs w:val="20"/>
        </w:rPr>
        <w:t>参考书目</w:t>
      </w:r>
      <w:r>
        <w:rPr>
          <w:rFonts w:hint="eastAsia"/>
          <w:color w:val="000000"/>
          <w:sz w:val="20"/>
          <w:szCs w:val="20"/>
          <w:lang w:eastAsia="zh-CN"/>
        </w:rPr>
        <w:t>【</w:t>
      </w:r>
      <w:r>
        <w:rPr>
          <w:rFonts w:hint="eastAsia"/>
          <w:color w:val="000000"/>
          <w:sz w:val="20"/>
          <w:szCs w:val="20"/>
        </w:rPr>
        <w:t>《护理管理学学习指导与习题集》主编：胡艳宁，北京：人民卫生出版社，2012</w:t>
      </w:r>
    </w:p>
    <w:p>
      <w:pPr>
        <w:adjustRightInd w:val="0"/>
        <w:snapToGrid w:val="0"/>
        <w:spacing w:line="288" w:lineRule="auto"/>
        <w:ind w:firstLine="400" w:firstLineChars="200"/>
        <w:rPr>
          <w:color w:val="000000"/>
          <w:sz w:val="20"/>
          <w:szCs w:val="20"/>
        </w:rPr>
      </w:pPr>
      <w:r>
        <w:rPr>
          <w:rFonts w:hint="eastAsia"/>
          <w:color w:val="000000"/>
          <w:sz w:val="20"/>
          <w:szCs w:val="20"/>
        </w:rPr>
        <w:t>《护理管理学学习指导及习题集》主编：李继平，北京：人民卫生出版社，2006</w:t>
      </w:r>
    </w:p>
    <w:p>
      <w:pPr>
        <w:adjustRightInd w:val="0"/>
        <w:snapToGrid w:val="0"/>
        <w:spacing w:line="288" w:lineRule="auto"/>
        <w:ind w:firstLine="400" w:firstLineChars="200"/>
        <w:rPr>
          <w:color w:val="000000"/>
          <w:sz w:val="20"/>
          <w:szCs w:val="20"/>
        </w:rPr>
      </w:pPr>
      <w:r>
        <w:rPr>
          <w:rFonts w:hint="eastAsia"/>
          <w:color w:val="000000"/>
          <w:sz w:val="20"/>
          <w:szCs w:val="20"/>
        </w:rPr>
        <w:t>《护理管理案例精粹》主编：刘华平，李红，北京：人民卫生出版社，2015</w:t>
      </w:r>
    </w:p>
    <w:p>
      <w:pPr>
        <w:adjustRightInd w:val="0"/>
        <w:snapToGrid w:val="0"/>
        <w:spacing w:line="288" w:lineRule="auto"/>
        <w:ind w:firstLine="400" w:firstLineChars="200"/>
        <w:rPr>
          <w:rFonts w:hint="eastAsia" w:eastAsia="宋体"/>
          <w:color w:val="000000"/>
          <w:sz w:val="20"/>
          <w:szCs w:val="20"/>
          <w:lang w:eastAsia="zh-CN"/>
        </w:rPr>
      </w:pPr>
      <w:r>
        <w:rPr>
          <w:rFonts w:hint="eastAsia"/>
          <w:color w:val="000000"/>
          <w:sz w:val="20"/>
          <w:szCs w:val="20"/>
        </w:rPr>
        <w:t>《护理管理学》主编：李继平，北京：人民卫生出版社，2006</w:t>
      </w:r>
      <w:r>
        <w:rPr>
          <w:rFonts w:hint="eastAsia"/>
          <w:color w:val="000000"/>
          <w:sz w:val="20"/>
          <w:szCs w:val="20"/>
          <w:lang w:eastAsia="zh-CN"/>
        </w:rPr>
        <w:t>】</w:t>
      </w:r>
    </w:p>
    <w:p>
      <w:pPr>
        <w:snapToGrid w:val="0"/>
        <w:spacing w:line="288" w:lineRule="auto"/>
        <w:ind w:firstLine="394" w:firstLineChars="196"/>
        <w:rPr>
          <w:rFonts w:hint="eastAsia" w:eastAsia="宋体"/>
          <w:color w:val="000000"/>
          <w:sz w:val="20"/>
          <w:szCs w:val="20"/>
          <w:highlight w:val="cyan"/>
          <w:lang w:eastAsia="zh-CN"/>
        </w:rPr>
      </w:pPr>
      <w:r>
        <w:rPr>
          <w:rFonts w:hint="eastAsia"/>
          <w:b/>
          <w:bCs/>
          <w:color w:val="000000"/>
          <w:sz w:val="20"/>
          <w:szCs w:val="20"/>
        </w:rPr>
        <w:t>课程网站网址：</w:t>
      </w:r>
      <w:r>
        <w:rPr>
          <w:rFonts w:hint="eastAsia"/>
          <w:b w:val="0"/>
          <w:bCs w:val="0"/>
          <w:color w:val="000000"/>
          <w:sz w:val="20"/>
          <w:szCs w:val="20"/>
          <w:lang w:eastAsia="zh-CN"/>
        </w:rPr>
        <w:t>【</w:t>
      </w:r>
      <w:r>
        <w:rPr>
          <w:rFonts w:hint="eastAsia"/>
          <w:bCs/>
          <w:color w:val="000000"/>
          <w:sz w:val="20"/>
          <w:szCs w:val="20"/>
        </w:rPr>
        <w:t>暂无</w:t>
      </w:r>
      <w:r>
        <w:rPr>
          <w:rFonts w:hint="eastAsia"/>
          <w:bCs/>
          <w:color w:val="000000"/>
          <w:sz w:val="20"/>
          <w:szCs w:val="20"/>
          <w:lang w:eastAsia="zh-CN"/>
        </w:rPr>
        <w:t>】</w:t>
      </w:r>
    </w:p>
    <w:p>
      <w:pPr>
        <w:adjustRightInd w:val="0"/>
        <w:snapToGrid w:val="0"/>
        <w:spacing w:line="288" w:lineRule="auto"/>
        <w:ind w:firstLine="394" w:firstLineChars="196"/>
        <w:rPr>
          <w:color w:val="000000"/>
          <w:sz w:val="20"/>
          <w:szCs w:val="20"/>
        </w:rPr>
      </w:pPr>
      <w:r>
        <w:rPr>
          <w:rFonts w:hint="eastAsia"/>
          <w:b/>
          <w:bCs/>
          <w:color w:val="000000"/>
          <w:sz w:val="20"/>
          <w:szCs w:val="20"/>
        </w:rPr>
        <w:t>先修课程：</w:t>
      </w:r>
      <w:r>
        <w:rPr>
          <w:rFonts w:hint="eastAsia"/>
          <w:b w:val="0"/>
          <w:bCs w:val="0"/>
          <w:color w:val="000000"/>
          <w:sz w:val="20"/>
          <w:szCs w:val="20"/>
          <w:lang w:eastAsia="zh-CN"/>
        </w:rPr>
        <w:t>【</w:t>
      </w:r>
      <w:r>
        <w:rPr>
          <w:rFonts w:hint="eastAsia"/>
          <w:color w:val="000000"/>
          <w:sz w:val="20"/>
          <w:szCs w:val="20"/>
        </w:rPr>
        <w:t>《护理学基础</w:t>
      </w:r>
      <w:r>
        <w:rPr>
          <w:rFonts w:hint="eastAsia"/>
          <w:color w:val="000000"/>
          <w:sz w:val="20"/>
          <w:szCs w:val="20"/>
          <w:lang w:val="en-US" w:eastAsia="zh-CN"/>
        </w:rPr>
        <w:t>1</w:t>
      </w:r>
      <w:r>
        <w:rPr>
          <w:rFonts w:hint="eastAsia"/>
          <w:color w:val="000000"/>
          <w:sz w:val="20"/>
          <w:szCs w:val="20"/>
        </w:rPr>
        <w:t>》 0070012（4）、《护理学导论》 0070033（2）、</w:t>
      </w:r>
    </w:p>
    <w:p>
      <w:pPr>
        <w:adjustRightInd w:val="0"/>
        <w:snapToGrid w:val="0"/>
        <w:spacing w:line="288" w:lineRule="auto"/>
        <w:ind w:firstLine="392" w:firstLineChars="196"/>
        <w:rPr>
          <w:rFonts w:hint="eastAsia" w:eastAsia="宋体"/>
          <w:color w:val="000000"/>
          <w:sz w:val="20"/>
          <w:szCs w:val="20"/>
          <w:lang w:eastAsia="zh-CN"/>
        </w:rPr>
      </w:pPr>
      <w:r>
        <w:rPr>
          <w:rFonts w:hint="eastAsia"/>
          <w:color w:val="000000"/>
          <w:sz w:val="20"/>
          <w:szCs w:val="20"/>
        </w:rPr>
        <w:t>《护理心理学》 0070027（1）</w:t>
      </w:r>
      <w:r>
        <w:rPr>
          <w:rFonts w:hint="eastAsia"/>
          <w:color w:val="000000"/>
          <w:sz w:val="20"/>
          <w:szCs w:val="20"/>
          <w:lang w:eastAsia="zh-CN"/>
        </w:rPr>
        <w:t>、</w:t>
      </w:r>
      <w:r>
        <w:rPr>
          <w:rFonts w:hint="eastAsia"/>
          <w:color w:val="000000"/>
          <w:sz w:val="20"/>
          <w:szCs w:val="20"/>
        </w:rPr>
        <w:t>《成人护理1》 0010027（</w:t>
      </w:r>
      <w:r>
        <w:rPr>
          <w:rFonts w:hint="eastAsia"/>
          <w:color w:val="000000"/>
          <w:sz w:val="20"/>
          <w:szCs w:val="20"/>
          <w:lang w:val="en-US" w:eastAsia="zh-CN"/>
        </w:rPr>
        <w:t>6</w:t>
      </w:r>
      <w:r>
        <w:rPr>
          <w:rFonts w:hint="eastAsia"/>
          <w:color w:val="000000"/>
          <w:sz w:val="20"/>
          <w:szCs w:val="20"/>
        </w:rPr>
        <w:t>）、《成人护理</w:t>
      </w:r>
      <w:r>
        <w:rPr>
          <w:rFonts w:hint="eastAsia"/>
          <w:color w:val="000000"/>
          <w:sz w:val="20"/>
          <w:szCs w:val="20"/>
          <w:lang w:val="en-US" w:eastAsia="zh-CN"/>
        </w:rPr>
        <w:t>2</w:t>
      </w:r>
      <w:r>
        <w:rPr>
          <w:rFonts w:hint="eastAsia"/>
          <w:color w:val="000000"/>
          <w:sz w:val="20"/>
          <w:szCs w:val="20"/>
        </w:rPr>
        <w:t>》0010028（</w:t>
      </w:r>
      <w:r>
        <w:rPr>
          <w:rFonts w:hint="eastAsia"/>
          <w:color w:val="000000"/>
          <w:sz w:val="20"/>
          <w:szCs w:val="20"/>
          <w:lang w:val="en-US" w:eastAsia="zh-CN"/>
        </w:rPr>
        <w:t>6</w:t>
      </w:r>
      <w:r>
        <w:rPr>
          <w:rFonts w:hint="eastAsia"/>
          <w:color w:val="000000"/>
          <w:sz w:val="20"/>
          <w:szCs w:val="20"/>
        </w:rPr>
        <w:t>）</w:t>
      </w:r>
      <w:r>
        <w:rPr>
          <w:rFonts w:hint="eastAsia"/>
          <w:color w:val="000000"/>
          <w:sz w:val="20"/>
          <w:szCs w:val="20"/>
          <w:lang w:eastAsia="zh-CN"/>
        </w:rPr>
        <w:t>】</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w:t>
      </w:r>
    </w:p>
    <w:p>
      <w:pPr>
        <w:adjustRightInd w:val="0"/>
        <w:snapToGrid w:val="0"/>
        <w:ind w:left="183" w:leftChars="87" w:firstLine="400" w:firstLineChars="200"/>
        <w:rPr>
          <w:rFonts w:hint="eastAsia"/>
          <w:color w:val="000000"/>
          <w:sz w:val="20"/>
          <w:szCs w:val="20"/>
        </w:rPr>
      </w:pPr>
      <w:r>
        <w:rPr>
          <w:rFonts w:hint="eastAsia"/>
          <w:color w:val="000000"/>
          <w:sz w:val="20"/>
          <w:szCs w:val="20"/>
        </w:rPr>
        <w:t>《护理管理》是护理专业学生的一门主要课程，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adjustRightInd w:val="0"/>
        <w:snapToGrid w:val="0"/>
        <w:ind w:left="183" w:leftChars="87" w:firstLine="400" w:firstLineChars="200"/>
        <w:rPr>
          <w:color w:val="000000"/>
          <w:sz w:val="20"/>
          <w:szCs w:val="20"/>
        </w:rPr>
      </w:pPr>
      <w:r>
        <w:rPr>
          <w:rFonts w:hint="eastAsia"/>
          <w:color w:val="000000"/>
          <w:sz w:val="20"/>
          <w:szCs w:val="20"/>
        </w:rPr>
        <w:t>通过学习管理的理论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adjustRightInd w:val="0"/>
        <w:snapToGrid w:val="0"/>
        <w:ind w:left="223" w:leftChars="106" w:firstLine="400" w:firstLineChars="200"/>
        <w:rPr>
          <w:color w:val="000000"/>
          <w:sz w:val="20"/>
          <w:szCs w:val="20"/>
        </w:rPr>
      </w:pPr>
      <w:r>
        <w:rPr>
          <w:rFonts w:hint="eastAsia"/>
          <w:color w:val="000000"/>
          <w:sz w:val="20"/>
          <w:szCs w:val="20"/>
        </w:rPr>
        <w:t>护理管理学是护理专业的一门人文社会科学课程，前期课为医学基础课、护理学专业课等，后期为临床实习、见习，本课程安排在第二学年第二学期。</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Spec="center" w:tblpY="242"/>
        <w:tblOverlap w:val="never"/>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636" w:type="dxa"/>
          </w:tcPr>
          <w:p>
            <w:pPr>
              <w:jc w:val="center"/>
              <w:rPr>
                <w:rFonts w:ascii="宋体" w:cs="黑体"/>
                <w:b/>
                <w:kern w:val="0"/>
                <w:sz w:val="20"/>
                <w:szCs w:val="20"/>
              </w:rPr>
            </w:pPr>
            <w:r>
              <w:rPr>
                <w:rFonts w:hint="eastAsia" w:ascii="宋体" w:hAnsi="宋体" w:cs="黑体"/>
                <w:b/>
                <w:kern w:val="0"/>
                <w:sz w:val="20"/>
                <w:szCs w:val="20"/>
              </w:rPr>
              <w:t>专业毕业要求</w:t>
            </w:r>
          </w:p>
        </w:tc>
        <w:tc>
          <w:tcPr>
            <w:tcW w:w="601" w:type="dxa"/>
            <w:vAlign w:val="center"/>
          </w:tcPr>
          <w:p>
            <w:pPr>
              <w:jc w:val="center"/>
              <w:rPr>
                <w:rFonts w:ascii="宋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636" w:type="dxa"/>
            <w:vAlign w:val="center"/>
          </w:tcPr>
          <w:p>
            <w:pPr>
              <w:rPr>
                <w:rFonts w:ascii="宋体"/>
                <w:kern w:val="0"/>
                <w:sz w:val="20"/>
                <w:szCs w:val="20"/>
              </w:rPr>
            </w:pPr>
            <w:r>
              <w:rPr>
                <w:rFonts w:ascii="宋体" w:hAnsi="宋体" w:cs="宋体"/>
                <w:color w:val="000000"/>
                <w:kern w:val="0"/>
                <w:sz w:val="20"/>
                <w:szCs w:val="20"/>
              </w:rPr>
              <w:t>LO11</w:t>
            </w:r>
            <w:r>
              <w:rPr>
                <w:rFonts w:hint="eastAsia" w:ascii="宋体" w:hAnsi="宋体"/>
                <w:color w:val="000000"/>
                <w:sz w:val="20"/>
                <w:szCs w:val="20"/>
              </w:rPr>
              <w:t>表达沟通</w:t>
            </w:r>
          </w:p>
        </w:tc>
        <w:tc>
          <w:tcPr>
            <w:tcW w:w="601" w:type="dxa"/>
            <w:vAlign w:val="center"/>
          </w:tcPr>
          <w:p>
            <w:pPr>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LO21</w:t>
            </w:r>
            <w:r>
              <w:rPr>
                <w:rFonts w:hint="eastAsia" w:ascii="宋体" w:hAnsi="宋体"/>
                <w:color w:val="000000"/>
                <w:sz w:val="20"/>
                <w:szCs w:val="20"/>
              </w:rPr>
              <w:t>自主学习</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636" w:type="dxa"/>
            <w:vAlign w:val="center"/>
          </w:tcPr>
          <w:p>
            <w:pPr>
              <w:widowControl/>
              <w:rPr>
                <w:rFonts w:ascii="宋体"/>
                <w:color w:val="000000"/>
                <w:sz w:val="20"/>
                <w:szCs w:val="20"/>
              </w:rPr>
            </w:pPr>
            <w:r>
              <w:rPr>
                <w:rFonts w:ascii="宋体" w:hAnsi="宋体" w:cs="宋体"/>
                <w:color w:val="000000"/>
                <w:kern w:val="0"/>
                <w:sz w:val="20"/>
                <w:szCs w:val="20"/>
              </w:rPr>
              <w:t>LO36</w:t>
            </w:r>
            <w:r>
              <w:rPr>
                <w:rFonts w:hint="eastAsia" w:ascii="宋体" w:hAnsi="宋体"/>
                <w:color w:val="000000"/>
                <w:sz w:val="20"/>
                <w:szCs w:val="20"/>
              </w:rPr>
              <w:t>协调管理能力：能协调护理工作中的各种人际关系</w:t>
            </w:r>
            <w:r>
              <w:rPr>
                <w:rFonts w:ascii="宋体"/>
                <w:color w:val="000000"/>
                <w:sz w:val="20"/>
                <w:szCs w:val="20"/>
              </w:rPr>
              <w:t>,</w:t>
            </w:r>
            <w:r>
              <w:rPr>
                <w:rFonts w:hint="eastAsia" w:ascii="宋体" w:hAnsi="宋体"/>
                <w:color w:val="000000"/>
                <w:sz w:val="20"/>
                <w:szCs w:val="20"/>
              </w:rPr>
              <w:t>能负责护理人员、护理物资和各种活动的安排与管理。</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LO51</w:t>
            </w:r>
            <w:r>
              <w:rPr>
                <w:rFonts w:hint="eastAsia" w:ascii="宋体" w:hAnsi="宋体"/>
                <w:color w:val="000000"/>
                <w:sz w:val="20"/>
                <w:szCs w:val="20"/>
              </w:rPr>
              <w:t>协同创新</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6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38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1</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LO111</w:t>
            </w:r>
          </w:p>
        </w:tc>
        <w:tc>
          <w:tcPr>
            <w:tcW w:w="2381" w:type="dxa"/>
            <w:shd w:val="clear" w:color="auto" w:fill="auto"/>
            <w:vAlign w:val="center"/>
          </w:tcPr>
          <w:p>
            <w:pPr>
              <w:snapToGrid w:val="0"/>
              <w:spacing w:line="288" w:lineRule="auto"/>
              <w:jc w:val="both"/>
              <w:rPr>
                <w:b/>
                <w:color w:val="000000"/>
                <w:sz w:val="20"/>
                <w:szCs w:val="20"/>
              </w:rPr>
            </w:pPr>
            <w:r>
              <w:rPr>
                <w:rFonts w:hint="eastAsia"/>
                <w:color w:val="000000"/>
                <w:sz w:val="20"/>
                <w:szCs w:val="20"/>
              </w:rPr>
              <w:t>具有密切的医护配合、护理团队合作能力和有与患者良好沟通的能力。</w:t>
            </w:r>
          </w:p>
        </w:tc>
        <w:tc>
          <w:tcPr>
            <w:tcW w:w="2199" w:type="dxa"/>
            <w:shd w:val="clear" w:color="auto" w:fill="auto"/>
            <w:vAlign w:val="center"/>
          </w:tcPr>
          <w:p>
            <w:pPr>
              <w:snapToGrid w:val="0"/>
              <w:spacing w:line="288" w:lineRule="auto"/>
              <w:jc w:val="both"/>
              <w:rPr>
                <w:rFonts w:hint="eastAsia"/>
                <w:color w:val="000000"/>
                <w:sz w:val="20"/>
                <w:szCs w:val="20"/>
              </w:rPr>
            </w:pPr>
            <w:r>
              <w:rPr>
                <w:rFonts w:hint="eastAsia"/>
                <w:color w:val="000000"/>
                <w:sz w:val="20"/>
                <w:szCs w:val="20"/>
              </w:rPr>
              <w:t>讨论法</w:t>
            </w:r>
          </w:p>
          <w:p>
            <w:pPr>
              <w:snapToGrid w:val="0"/>
              <w:spacing w:line="288" w:lineRule="auto"/>
              <w:jc w:val="both"/>
              <w:rPr>
                <w:b/>
                <w:color w:val="000000"/>
                <w:sz w:val="20"/>
                <w:szCs w:val="20"/>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288" w:lineRule="auto"/>
              <w:jc w:val="both"/>
              <w:rPr>
                <w:b/>
                <w:color w:val="000000"/>
                <w:sz w:val="20"/>
                <w:szCs w:val="20"/>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2</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LO211</w:t>
            </w:r>
          </w:p>
        </w:tc>
        <w:tc>
          <w:tcPr>
            <w:tcW w:w="2381" w:type="dxa"/>
            <w:shd w:val="clear" w:color="auto" w:fill="auto"/>
            <w:vAlign w:val="center"/>
          </w:tcPr>
          <w:p>
            <w:pPr>
              <w:snapToGrid w:val="0"/>
              <w:spacing w:line="340" w:lineRule="exact"/>
              <w:jc w:val="both"/>
              <w:rPr>
                <w:rFonts w:ascii="仿宋" w:hAnsi="仿宋" w:eastAsia="仿宋" w:cs="宋体"/>
                <w:color w:val="000000"/>
                <w:kern w:val="0"/>
                <w:sz w:val="24"/>
              </w:rPr>
            </w:pPr>
            <w:r>
              <w:rPr>
                <w:rFonts w:hint="eastAsia"/>
                <w:color w:val="000000"/>
                <w:sz w:val="20"/>
                <w:szCs w:val="20"/>
              </w:rPr>
              <w:t>能根据实际需要确定自己的学习目标，并主动通过多种方法来实现。同时，具有继续学习自我提高的能力。</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讨论法</w:t>
            </w:r>
          </w:p>
          <w:p>
            <w:pPr>
              <w:snapToGrid w:val="0"/>
              <w:spacing w:line="340" w:lineRule="exact"/>
              <w:jc w:val="both"/>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340" w:lineRule="exact"/>
              <w:jc w:val="both"/>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3</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LO36</w:t>
            </w:r>
          </w:p>
        </w:tc>
        <w:tc>
          <w:tcPr>
            <w:tcW w:w="2381"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能协调护理工作中的各种人际关系,能负责护理人员、护理物资和各种活动的安排与管理。</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讨论法</w:t>
            </w:r>
          </w:p>
          <w:p>
            <w:pPr>
              <w:snapToGrid w:val="0"/>
              <w:spacing w:line="340" w:lineRule="exact"/>
              <w:jc w:val="both"/>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340" w:lineRule="exact"/>
              <w:jc w:val="both"/>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4</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L0511</w:t>
            </w:r>
          </w:p>
        </w:tc>
        <w:tc>
          <w:tcPr>
            <w:tcW w:w="2381"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在集体活动中能主动担任自己的角色，与其他成员密切合作，共同完成任务。</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lang w:eastAsia="zh-CN"/>
              </w:rPr>
              <w:t>小组合作</w:t>
            </w:r>
            <w:r>
              <w:rPr>
                <w:rFonts w:hint="eastAsia"/>
                <w:color w:val="000000"/>
                <w:sz w:val="20"/>
                <w:szCs w:val="20"/>
              </w:rPr>
              <w:t>学习</w:t>
            </w:r>
          </w:p>
          <w:p>
            <w:pPr>
              <w:snapToGrid w:val="0"/>
              <w:spacing w:line="340" w:lineRule="exact"/>
              <w:jc w:val="both"/>
              <w:rPr>
                <w:rFonts w:hint="eastAsia"/>
                <w:color w:val="000000"/>
                <w:sz w:val="20"/>
                <w:szCs w:val="20"/>
              </w:rPr>
            </w:pPr>
            <w:r>
              <w:rPr>
                <w:rFonts w:hint="eastAsia"/>
                <w:color w:val="000000"/>
                <w:sz w:val="20"/>
                <w:szCs w:val="20"/>
              </w:rPr>
              <w:t>案例分析法</w:t>
            </w:r>
          </w:p>
          <w:p>
            <w:pPr>
              <w:snapToGrid w:val="0"/>
              <w:spacing w:line="340" w:lineRule="exact"/>
              <w:jc w:val="both"/>
              <w:rPr>
                <w:rFonts w:ascii="黑体" w:hAnsi="宋体" w:eastAsia="黑体"/>
                <w:sz w:val="24"/>
              </w:rPr>
            </w:pPr>
            <w:r>
              <w:rPr>
                <w:rFonts w:hint="eastAsia"/>
                <w:color w:val="000000"/>
                <w:sz w:val="20"/>
                <w:szCs w:val="20"/>
              </w:rPr>
              <w:t>讨论法</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观察评价</w:t>
            </w:r>
          </w:p>
          <w:p>
            <w:pPr>
              <w:snapToGrid w:val="0"/>
              <w:spacing w:line="340" w:lineRule="exact"/>
              <w:jc w:val="both"/>
              <w:rPr>
                <w:rFonts w:ascii="黑体" w:hAnsi="宋体" w:eastAsia="黑体"/>
                <w:sz w:val="24"/>
              </w:rPr>
            </w:pPr>
            <w:r>
              <w:rPr>
                <w:rFonts w:hint="eastAsia"/>
                <w:color w:val="000000"/>
                <w:sz w:val="20"/>
                <w:szCs w:val="20"/>
              </w:rPr>
              <w:t>口头评价</w:t>
            </w:r>
          </w:p>
        </w:tc>
      </w:tr>
    </w:tbl>
    <w:p>
      <w:pPr>
        <w:snapToGrid w:val="0"/>
        <w:spacing w:line="288" w:lineRule="auto"/>
        <w:ind w:left="420" w:leftChars="200"/>
        <w:rPr>
          <w:rFonts w:ascii="黑体" w:hAnsi="宋体" w:eastAsia="黑体"/>
          <w:sz w:val="24"/>
        </w:rPr>
      </w:pPr>
    </w:p>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snapToGrid w:val="0"/>
              <w:spacing w:line="288" w:lineRule="auto"/>
              <w:jc w:val="center"/>
              <w:rPr>
                <w:rFonts w:hint="eastAsia" w:ascii="宋体" w:hAnsi="宋体"/>
                <w:b w:val="0"/>
                <w:bCs/>
                <w:color w:val="000000"/>
                <w:sz w:val="20"/>
                <w:szCs w:val="20"/>
              </w:rPr>
            </w:pPr>
            <w:r>
              <w:rPr>
                <w:rFonts w:hint="eastAsia" w:ascii="宋体" w:hAnsi="宋体"/>
                <w:b w:val="0"/>
                <w:bCs/>
                <w:color w:val="000000"/>
                <w:sz w:val="20"/>
                <w:szCs w:val="20"/>
              </w:rPr>
              <w:t>1</w:t>
            </w:r>
          </w:p>
        </w:tc>
        <w:tc>
          <w:tcPr>
            <w:tcW w:w="515" w:type="dxa"/>
            <w:vAlign w:val="center"/>
          </w:tcPr>
          <w:p>
            <w:pPr>
              <w:snapToGrid w:val="0"/>
              <w:spacing w:line="288" w:lineRule="auto"/>
              <w:jc w:val="center"/>
              <w:rPr>
                <w:rFonts w:hint="default" w:ascii="宋体" w:hAnsi="宋体" w:eastAsia="宋体"/>
                <w:b w:val="0"/>
                <w:bCs/>
                <w:color w:val="000000"/>
                <w:sz w:val="20"/>
                <w:szCs w:val="20"/>
                <w:lang w:val="en-US" w:eastAsia="zh-CN"/>
              </w:rPr>
            </w:pPr>
            <w:r>
              <w:rPr>
                <w:rFonts w:hint="eastAsia" w:ascii="宋体" w:hAnsi="宋体"/>
                <w:b w:val="0"/>
                <w:bCs/>
                <w:color w:val="000000"/>
                <w:sz w:val="20"/>
                <w:szCs w:val="20"/>
                <w:lang w:val="en-US" w:eastAsia="zh-CN"/>
              </w:rPr>
              <w:t>管理与管理学基础</w:t>
            </w:r>
          </w:p>
        </w:tc>
        <w:tc>
          <w:tcPr>
            <w:tcW w:w="2127" w:type="dxa"/>
            <w:vAlign w:val="top"/>
          </w:tcPr>
          <w:p>
            <w:pPr>
              <w:numPr>
                <w:ilvl w:val="0"/>
                <w:numId w:val="1"/>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掌握：管理、管理学、护理管理的相关概念、特点及特征。</w:t>
            </w:r>
          </w:p>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科学管理理论、管理过程理论、人际关系理论的主要内容；系统原理和人本原理的主要内容</w:t>
            </w:r>
          </w:p>
          <w:p>
            <w:pPr>
              <w:numPr>
                <w:ilvl w:val="0"/>
                <w:numId w:val="0"/>
              </w:numPr>
              <w:snapToGrid w:val="0"/>
              <w:spacing w:line="288" w:lineRule="auto"/>
              <w:jc w:val="both"/>
              <w:rPr>
                <w:rFonts w:hint="eastAsia" w:ascii="宋体" w:hAnsi="宋体"/>
                <w:b w:val="0"/>
                <w:bCs/>
                <w:color w:val="000000"/>
                <w:sz w:val="20"/>
                <w:szCs w:val="20"/>
                <w:lang w:val="en-US" w:eastAsia="zh-CN"/>
              </w:rPr>
            </w:pPr>
          </w:p>
          <w:p>
            <w:pPr>
              <w:numPr>
                <w:ilvl w:val="0"/>
                <w:numId w:val="1"/>
              </w:numPr>
              <w:snapToGrid w:val="0"/>
              <w:spacing w:line="288" w:lineRule="auto"/>
              <w:ind w:left="0" w:leftChars="0" w:firstLine="0" w:firstLineChars="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熟悉：护理管理的管理方法。</w:t>
            </w:r>
          </w:p>
          <w:p>
            <w:pPr>
              <w:numPr>
                <w:ilvl w:val="0"/>
                <w:numId w:val="0"/>
              </w:numPr>
              <w:snapToGrid w:val="0"/>
              <w:spacing w:line="288" w:lineRule="auto"/>
              <w:ind w:leftChars="0"/>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 xml:space="preserve">  行政组织理论、动态原理和效益原理的主要内容。</w:t>
            </w:r>
          </w:p>
          <w:p>
            <w:pPr>
              <w:numPr>
                <w:ilvl w:val="0"/>
                <w:numId w:val="1"/>
              </w:numPr>
              <w:snapToGrid w:val="0"/>
              <w:spacing w:line="288" w:lineRule="auto"/>
              <w:ind w:left="0" w:leftChars="0" w:firstLine="0" w:firstLineChars="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了解：护理管理的发展趋势。</w:t>
            </w:r>
          </w:p>
          <w:p>
            <w:pPr>
              <w:numPr>
                <w:ilvl w:val="0"/>
                <w:numId w:val="0"/>
              </w:numPr>
              <w:snapToGrid w:val="0"/>
              <w:spacing w:line="288" w:lineRule="auto"/>
              <w:ind w:leftChars="0"/>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 xml:space="preserve">  了解：“霍桑试验”的主要内容和贡献。</w:t>
            </w:r>
          </w:p>
        </w:tc>
        <w:tc>
          <w:tcPr>
            <w:tcW w:w="1984" w:type="dxa"/>
            <w:vAlign w:val="top"/>
          </w:tcPr>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通过护理管理相关内容的学习,学会运用基础管理知识解释身边管理工作的基本情况。</w:t>
            </w:r>
          </w:p>
          <w:p>
            <w:pPr>
              <w:snapToGrid w:val="0"/>
              <w:spacing w:line="288" w:lineRule="auto"/>
              <w:jc w:val="both"/>
              <w:rPr>
                <w:rFonts w:hint="eastAsia" w:ascii="宋体" w:hAnsi="宋体"/>
                <w:b w:val="0"/>
                <w:bCs/>
                <w:color w:val="000000"/>
                <w:sz w:val="20"/>
                <w:szCs w:val="20"/>
                <w:lang w:val="en-US" w:eastAsia="zh-CN"/>
              </w:rPr>
            </w:pPr>
          </w:p>
          <w:p>
            <w:pPr>
              <w:snapToGrid w:val="0"/>
              <w:spacing w:line="288" w:lineRule="auto"/>
              <w:ind w:firstLine="400" w:firstLineChars="200"/>
              <w:jc w:val="both"/>
              <w:rPr>
                <w:rFonts w:ascii="宋体" w:hAnsi="Times New Roman"/>
                <w:b/>
                <w:color w:val="000000"/>
                <w:sz w:val="20"/>
                <w:szCs w:val="20"/>
              </w:rPr>
            </w:pPr>
            <w:r>
              <w:rPr>
                <w:rFonts w:hint="eastAsia" w:ascii="宋体" w:hAnsi="宋体"/>
                <w:b w:val="0"/>
                <w:bCs/>
                <w:color w:val="000000"/>
                <w:sz w:val="20"/>
                <w:szCs w:val="20"/>
                <w:lang w:val="en-US" w:eastAsia="zh-CN"/>
              </w:rPr>
              <w:t>学会运用科学管理理论、人际关系理论解决实际问题。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具有运用运用所学知识解决实际问题的意识</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具有运用系统原理、人本原理处理护患关系的能力。</w:t>
            </w:r>
          </w:p>
        </w:tc>
        <w:tc>
          <w:tcPr>
            <w:tcW w:w="1173" w:type="dxa"/>
            <w:vAlign w:val="top"/>
          </w:tcPr>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护理管理的管理方法</w:t>
            </w:r>
          </w:p>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科学管理理论、管理过程理论、人际关系理论的主要内容</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p>
        </w:tc>
        <w:tc>
          <w:tcPr>
            <w:tcW w:w="709" w:type="dxa"/>
            <w:vAlign w:val="top"/>
          </w:tcPr>
          <w:p>
            <w:pPr>
              <w:jc w:val="center"/>
              <w:rPr>
                <w:rFonts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jc w:val="center"/>
        </w:trPr>
        <w:tc>
          <w:tcPr>
            <w:tcW w:w="456" w:type="dxa"/>
            <w:vAlign w:val="center"/>
          </w:tcPr>
          <w:p>
            <w:pPr>
              <w:snapToGrid w:val="0"/>
              <w:spacing w:line="288" w:lineRule="auto"/>
              <w:jc w:val="center"/>
              <w:rPr>
                <w:rFonts w:hint="eastAsia" w:ascii="宋体" w:hAnsi="宋体" w:eastAsia="宋体"/>
                <w:b w:val="0"/>
                <w:bCs/>
                <w:color w:val="000000"/>
                <w:sz w:val="20"/>
                <w:szCs w:val="20"/>
                <w:lang w:val="en-US" w:eastAsia="zh-CN"/>
              </w:rPr>
            </w:pPr>
            <w:r>
              <w:rPr>
                <w:rFonts w:hint="eastAsia" w:ascii="宋体" w:hAnsi="宋体"/>
                <w:b w:val="0"/>
                <w:bCs/>
                <w:color w:val="000000"/>
                <w:sz w:val="20"/>
                <w:szCs w:val="20"/>
                <w:lang w:val="en-US" w:eastAsia="zh-CN"/>
              </w:rPr>
              <w:t>2</w:t>
            </w:r>
          </w:p>
        </w:tc>
        <w:tc>
          <w:tcPr>
            <w:tcW w:w="515" w:type="dxa"/>
            <w:vAlign w:val="center"/>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护理管理规划与决策</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1.掌握：规划的概念、目标管理的过程和特点，时间管理过程。</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2.熟悉：计划、目标管理、时间管理在护理管理中的应用。</w:t>
            </w:r>
          </w:p>
          <w:p>
            <w:pPr>
              <w:snapToGrid w:val="0"/>
              <w:spacing w:line="288" w:lineRule="auto"/>
              <w:jc w:val="both"/>
              <w:rPr>
                <w:rFonts w:hint="default"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lang w:val="en-US" w:eastAsia="zh-CN"/>
              </w:rPr>
              <w:t>3.了解：规划的形式、特性、作用；目标管理的作用，时间管理的艺术。</w:t>
            </w:r>
          </w:p>
        </w:tc>
        <w:tc>
          <w:tcPr>
            <w:tcW w:w="1984" w:type="dxa"/>
            <w:vAlign w:val="top"/>
          </w:tcPr>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学会运用ABC时间管理法处理护理工作中的实际问题。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具有结合临床护理工作实际,制定合理规划的能力。</w:t>
            </w:r>
          </w:p>
        </w:tc>
        <w:tc>
          <w:tcPr>
            <w:tcW w:w="1173" w:type="dxa"/>
            <w:vAlign w:val="top"/>
          </w:tcPr>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目标管理和时间管理的过程</w:t>
            </w:r>
          </w:p>
        </w:tc>
        <w:tc>
          <w:tcPr>
            <w:tcW w:w="709"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2</w:t>
            </w:r>
          </w:p>
        </w:tc>
        <w:tc>
          <w:tcPr>
            <w:tcW w:w="709"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0</w:t>
            </w:r>
          </w:p>
        </w:tc>
        <w:tc>
          <w:tcPr>
            <w:tcW w:w="527"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医院护理组织管理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1.掌握：正式组织与非正式组织的特点及区别、各类型组织结构的优缺点、组织设计的程序与原则、组织文化构成要素、我国医院护理组织管理层级。</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2.熟悉：组织的基本要素、组织设计的基本步骤、各种组织结构的特点、组织文化及组织变革在护理管理中的应用。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3.了解：我国卫生组织系统的组成、医院的基本功能、护理部的地位和作用及组织变革应遵循的原则与程序。</w:t>
            </w:r>
          </w:p>
        </w:tc>
        <w:tc>
          <w:tcPr>
            <w:tcW w:w="1984"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学会运用组织设计的原则与方法设计一般组织。</w:t>
            </w:r>
          </w:p>
          <w:p>
            <w:pPr>
              <w:snapToGrid w:val="0"/>
              <w:spacing w:line="288" w:lineRule="auto"/>
              <w:jc w:val="both"/>
              <w:rPr>
                <w:rFonts w:ascii="宋体" w:hAnsi="Times New Roman"/>
                <w:b/>
                <w:color w:val="000000"/>
                <w:sz w:val="20"/>
                <w:szCs w:val="20"/>
              </w:rPr>
            </w:pP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具有运用组织文化建设开展人性化管理能力及运用组织变革的观点看待组织发展问题的能力。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正式组织与非正式组织的特点及区别</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4</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护理人员招募与培养</w:t>
            </w:r>
          </w:p>
          <w:p>
            <w:pPr>
              <w:snapToGrid w:val="0"/>
              <w:spacing w:line="288" w:lineRule="auto"/>
              <w:jc w:val="center"/>
              <w:rPr>
                <w:rFonts w:hint="eastAsia" w:ascii="宋体" w:hAnsi="宋体"/>
                <w:b w:val="0"/>
                <w:bCs/>
                <w:color w:val="000000"/>
                <w:sz w:val="20"/>
                <w:szCs w:val="20"/>
                <w:lang w:val="en-US" w:eastAsia="zh-CN"/>
              </w:rPr>
            </w:pP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1.掌握：护理人力资源管理的目标和特点、护理人员编制依据、护理人员排班以及薪酬的影响因素。</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2.熟悉：护理人力资源管理的内容、护理人才绩效考核的原则和方法、护理人才培训的内容和途径。</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3.了解：职业生涯的概念、护理人员排班类型以及护理人才绩效评价的作用。</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学会计算临床护理人员配置的数量。</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运用所学知识设计个人的职业发展规划。</w:t>
            </w: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护理人员编制依据</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5</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岗位管理与个案管理模式</w:t>
            </w:r>
          </w:p>
        </w:tc>
        <w:tc>
          <w:tcPr>
            <w:tcW w:w="2127" w:type="dxa"/>
            <w:vAlign w:val="top"/>
          </w:tcPr>
          <w:p>
            <w:pPr>
              <w:numPr>
                <w:ilvl w:val="0"/>
                <w:numId w:val="2"/>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掌握护理岗位的设置、岗位评估、医院绩效管理的形式、方法</w:t>
            </w:r>
          </w:p>
          <w:p>
            <w:pPr>
              <w:numPr>
                <w:ilvl w:val="0"/>
                <w:numId w:val="2"/>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熟悉个案管理程序</w:t>
            </w:r>
          </w:p>
          <w:p>
            <w:pPr>
              <w:numPr>
                <w:ilvl w:val="0"/>
                <w:numId w:val="2"/>
              </w:num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了解医院绩效管理</w:t>
            </w:r>
          </w:p>
        </w:tc>
        <w:tc>
          <w:tcPr>
            <w:tcW w:w="1984" w:type="dxa"/>
            <w:vAlign w:val="top"/>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学会运用岗位编制原则撰写岗位说明书</w:t>
            </w:r>
          </w:p>
        </w:tc>
        <w:tc>
          <w:tcPr>
            <w:tcW w:w="1276" w:type="dxa"/>
            <w:vAlign w:val="top"/>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运用所学知识分析、制定正确的个案管理程序</w:t>
            </w:r>
          </w:p>
        </w:tc>
        <w:tc>
          <w:tcPr>
            <w:tcW w:w="1173" w:type="dxa"/>
            <w:vAlign w:val="top"/>
          </w:tcPr>
          <w:p>
            <w:pPr>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岗位设置的原则、绩效评估的方法</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6</w:t>
            </w:r>
          </w:p>
        </w:tc>
        <w:tc>
          <w:tcPr>
            <w:tcW w:w="515"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领导</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1.掌握：领导者影响力的分类及来源，授权、决策的原则，授权及创新的基本步骤。</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2.熟悉：领导者应具备的基本素质。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3.了解：领导基本理论。</w:t>
            </w:r>
          </w:p>
        </w:tc>
        <w:tc>
          <w:tcPr>
            <w:tcW w:w="1984"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学会运用领导理论、艺术分析解决实际问题。</w:t>
            </w:r>
          </w:p>
          <w:p>
            <w:pPr>
              <w:snapToGrid w:val="0"/>
              <w:spacing w:line="288" w:lineRule="auto"/>
              <w:jc w:val="both"/>
              <w:rPr>
                <w:rFonts w:ascii="宋体" w:hAnsi="Times New Roman"/>
                <w:b/>
                <w:color w:val="000000"/>
                <w:sz w:val="20"/>
                <w:szCs w:val="20"/>
              </w:rPr>
            </w:pP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具有良好护患沟通能力。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授权及创新的基本步骤</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7</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控制与护理成本管理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1.掌握：控制的概念、控制的功能、基本原则、控制的程序及控制的方式。</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2.熟悉：控制在护理安全管理中的应用。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3.了解：护理成本控制。</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学会运用控制理论解决护理安全管理中存在的问题。</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具有危机事件控制和处理的能力。</w:t>
            </w: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控制在护理安全管理中的应用</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8</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护理质量管理与持续改进</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1.掌握：护理质量管理的概念、原则；护理质量标准的类型；护理质量缺陷的原因及管理措施。</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2.熟悉：护理质量管理的任务；差错、事故的概念及分类。</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3.了解：护理差错的评定标准。</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学会运用PDCA循环、品管圈分析解决实际问题。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具有质量管理的意识和基本能力。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护理质量缺陷的原因及管理措施</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9</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护理服务与护理安全管理</w:t>
            </w:r>
          </w:p>
          <w:p>
            <w:pPr>
              <w:snapToGrid w:val="0"/>
              <w:spacing w:line="288" w:lineRule="auto"/>
              <w:jc w:val="center"/>
              <w:rPr>
                <w:rFonts w:hint="eastAsia" w:ascii="宋体" w:hAnsi="宋体"/>
                <w:b w:val="0"/>
                <w:bCs/>
                <w:color w:val="000000"/>
                <w:sz w:val="20"/>
                <w:szCs w:val="20"/>
                <w:lang w:val="en-US" w:eastAsia="zh-CN"/>
              </w:rPr>
            </w:pP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1.掌握：护理安全、护理安全管理、护理风险及突发公共卫生事件的相关概念。</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2.熟悉：引起护理风险的原因、预防和控制护理风险的措施、医源性突发公共卫生事件的护理管理。</w:t>
            </w:r>
          </w:p>
          <w:p>
            <w:pPr>
              <w:snapToGrid w:val="0"/>
              <w:spacing w:line="288" w:lineRule="auto"/>
              <w:jc w:val="both"/>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lang w:val="en-US" w:eastAsia="zh-CN"/>
              </w:rPr>
              <w:t>3.了解：医源性突发公共卫生事件的分类。</w:t>
            </w:r>
          </w:p>
        </w:tc>
        <w:tc>
          <w:tcPr>
            <w:tcW w:w="1984" w:type="dxa"/>
            <w:vAlign w:val="top"/>
          </w:tcPr>
          <w:p>
            <w:pPr>
              <w:snapToGrid w:val="0"/>
              <w:spacing w:line="288" w:lineRule="auto"/>
              <w:jc w:val="both"/>
              <w:rPr>
                <w:rFonts w:ascii="宋体" w:hAnsi="Times New Roman" w:eastAsia="宋体" w:cs="Times New Roman"/>
                <w:b/>
                <w:color w:val="000000"/>
                <w:kern w:val="2"/>
                <w:sz w:val="20"/>
                <w:szCs w:val="20"/>
                <w:lang w:val="en-US" w:eastAsia="zh-CN" w:bidi="ar-SA"/>
              </w:rPr>
            </w:pPr>
            <w:r>
              <w:rPr>
                <w:rFonts w:hint="eastAsia" w:ascii="宋体" w:hAnsi="宋体"/>
                <w:b w:val="0"/>
                <w:bCs/>
                <w:color w:val="000000"/>
                <w:sz w:val="20"/>
                <w:szCs w:val="20"/>
                <w:lang w:val="en-US" w:eastAsia="zh-CN"/>
              </w:rPr>
              <w:t>学会有效预防和控制护理风险的方法和措施。</w:t>
            </w:r>
          </w:p>
        </w:tc>
        <w:tc>
          <w:tcPr>
            <w:tcW w:w="1276" w:type="dxa"/>
            <w:vAlign w:val="top"/>
          </w:tcPr>
          <w:p>
            <w:pPr>
              <w:snapToGrid w:val="0"/>
              <w:spacing w:line="288" w:lineRule="auto"/>
              <w:jc w:val="both"/>
              <w:rPr>
                <w:rFonts w:ascii="宋体" w:hAnsi="Times New Roman" w:eastAsia="宋体" w:cs="Times New Roman"/>
                <w:b/>
                <w:color w:val="000000"/>
                <w:kern w:val="2"/>
                <w:sz w:val="20"/>
                <w:szCs w:val="20"/>
                <w:lang w:val="en-US" w:eastAsia="zh-CN" w:bidi="ar-SA"/>
              </w:rPr>
            </w:pPr>
            <w:r>
              <w:rPr>
                <w:rFonts w:hint="eastAsia" w:ascii="宋体" w:hAnsi="宋体"/>
                <w:b w:val="0"/>
                <w:bCs/>
                <w:color w:val="000000"/>
                <w:sz w:val="20"/>
                <w:szCs w:val="20"/>
                <w:lang w:val="en-US" w:eastAsia="zh-CN"/>
              </w:rPr>
              <w:t>具有预见护理风险的意识和处理护理安全问题的能力。</w:t>
            </w:r>
          </w:p>
        </w:tc>
        <w:tc>
          <w:tcPr>
            <w:tcW w:w="1173" w:type="dxa"/>
            <w:vAlign w:val="top"/>
          </w:tcPr>
          <w:p>
            <w:pPr>
              <w:jc w:val="both"/>
              <w:rPr>
                <w:rFonts w:ascii="宋体" w:hAnsi="宋体" w:eastAsia="宋体" w:cs="Times New Roman"/>
                <w:color w:val="000000"/>
                <w:kern w:val="2"/>
                <w:sz w:val="20"/>
                <w:szCs w:val="20"/>
                <w:lang w:val="en-US" w:eastAsia="zh-CN" w:bidi="ar-SA"/>
              </w:rPr>
            </w:pPr>
            <w:r>
              <w:rPr>
                <w:rFonts w:hint="eastAsia" w:ascii="宋体" w:hAnsi="宋体"/>
                <w:b w:val="0"/>
                <w:bCs/>
                <w:color w:val="000000"/>
                <w:sz w:val="20"/>
                <w:szCs w:val="20"/>
                <w:lang w:val="en-US" w:eastAsia="zh-CN"/>
              </w:rPr>
              <w:t>预防和控制护理风险的措施</w:t>
            </w:r>
          </w:p>
        </w:tc>
        <w:tc>
          <w:tcPr>
            <w:tcW w:w="709"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09"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10</w:t>
            </w:r>
          </w:p>
        </w:tc>
        <w:tc>
          <w:tcPr>
            <w:tcW w:w="515"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护理信息管理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1.掌握：信息的概念、特征；护理信息的特征、收集方法。</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2.熟悉：护理信息的分类及护理信息管理的措施。</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3.了解：医院信息系统的概念、功能及构成。</w:t>
            </w:r>
          </w:p>
          <w:p>
            <w:pPr>
              <w:snapToGrid w:val="0"/>
              <w:spacing w:line="288" w:lineRule="auto"/>
              <w:jc w:val="both"/>
              <w:rPr>
                <w:rFonts w:hint="eastAsia" w:ascii="宋体" w:hAnsi="宋体"/>
                <w:b w:val="0"/>
                <w:bCs/>
                <w:color w:val="000000"/>
                <w:sz w:val="20"/>
                <w:szCs w:val="20"/>
                <w:lang w:val="en-US" w:eastAsia="zh-CN"/>
              </w:rPr>
            </w:pP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学会操作使用护理信息系统及医院信息系统。</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具有对护理信息收集、分析、归纳、判断和运用的能力。</w:t>
            </w:r>
          </w:p>
        </w:tc>
        <w:tc>
          <w:tcPr>
            <w:tcW w:w="1173"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护理信息管理的措施</w:t>
            </w:r>
          </w:p>
          <w:p>
            <w:pPr>
              <w:jc w:val="both"/>
              <w:rPr>
                <w:rFonts w:ascii="宋体" w:hAnsi="宋体"/>
                <w:color w:val="000000"/>
                <w:sz w:val="20"/>
                <w:szCs w:val="20"/>
              </w:rPr>
            </w:pP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0.5</w:t>
            </w:r>
          </w:p>
        </w:tc>
      </w:tr>
    </w:tbl>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4"/>
        <w:tblpPr w:leftFromText="180" w:rightFromText="180" w:vertAnchor="text" w:horzAnchor="page" w:tblpX="1668" w:tblpY="398"/>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106"/>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期</w:t>
            </w:r>
            <w:r>
              <w:rPr>
                <w:rFonts w:hint="eastAsia" w:ascii="宋体" w:hAnsi="宋体"/>
                <w:bCs/>
                <w:color w:val="000000"/>
                <w:szCs w:val="20"/>
                <w:lang w:eastAsia="zh-CN"/>
              </w:rPr>
              <w:t>末</w:t>
            </w:r>
            <w:r>
              <w:rPr>
                <w:rFonts w:hint="eastAsia" w:ascii="宋体" w:hAnsi="宋体"/>
                <w:bCs/>
                <w:color w:val="000000"/>
                <w:szCs w:val="20"/>
              </w:rPr>
              <w:t>考试</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5</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平时作业</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案例分析</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平时</w:t>
            </w:r>
            <w:r>
              <w:rPr>
                <w:rFonts w:hint="eastAsia" w:ascii="宋体" w:hAnsi="宋体"/>
                <w:bCs/>
                <w:color w:val="000000"/>
                <w:szCs w:val="20"/>
              </w:rPr>
              <w:t>表现</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15%</w:t>
            </w:r>
          </w:p>
        </w:tc>
      </w:tr>
    </w:tbl>
    <w:p>
      <w:pPr>
        <w:snapToGrid w:val="0"/>
        <w:spacing w:line="288" w:lineRule="auto"/>
        <w:jc w:val="both"/>
        <w:rPr>
          <w:rFonts w:hint="eastAsia"/>
          <w:sz w:val="28"/>
          <w:szCs w:val="28"/>
        </w:rPr>
      </w:pPr>
    </w:p>
    <w:p>
      <w:pPr>
        <w:snapToGrid w:val="0"/>
        <w:spacing w:line="288" w:lineRule="auto"/>
        <w:jc w:val="both"/>
        <w:rPr>
          <w:rFonts w:hint="eastAsia"/>
          <w:sz w:val="28"/>
          <w:szCs w:val="28"/>
        </w:rPr>
      </w:pPr>
    </w:p>
    <w:p>
      <w:pPr>
        <w:snapToGrid w:val="0"/>
        <w:spacing w:line="288" w:lineRule="auto"/>
        <w:ind w:firstLine="560" w:firstLineChars="200"/>
        <w:jc w:val="both"/>
        <w:rPr>
          <w:sz w:val="28"/>
          <w:szCs w:val="28"/>
        </w:rPr>
      </w:pPr>
      <w:r>
        <w:rPr>
          <w:rFonts w:hint="eastAsia"/>
          <w:sz w:val="28"/>
          <w:szCs w:val="28"/>
        </w:rPr>
        <w:t>撰写人：</w:t>
      </w:r>
      <w:r>
        <w:rPr>
          <w:rFonts w:hint="eastAsia"/>
          <w:sz w:val="28"/>
          <w:szCs w:val="28"/>
        </w:rPr>
        <w:drawing>
          <wp:inline distT="0" distB="0" distL="114300" distR="114300">
            <wp:extent cx="1123315" cy="323850"/>
            <wp:effectExtent l="0" t="0" r="4445" b="11430"/>
            <wp:docPr id="4" name="图片 4" descr="81bdf13f73d74e8ce650bd4cb99f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bdf13f73d74e8ce650bd4cb99f562"/>
                    <pic:cNvPicPr>
                      <a:picLocks noChangeAspect="1"/>
                    </pic:cNvPicPr>
                  </pic:nvPicPr>
                  <pic:blipFill>
                    <a:blip r:embed="rId5"/>
                    <a:stretch>
                      <a:fillRect/>
                    </a:stretch>
                  </pic:blipFill>
                  <pic:spPr>
                    <a:xfrm>
                      <a:off x="0" y="0"/>
                      <a:ext cx="1123315" cy="323850"/>
                    </a:xfrm>
                    <a:prstGeom prst="rect">
                      <a:avLst/>
                    </a:prstGeom>
                  </pic:spPr>
                </pic:pic>
              </a:graphicData>
            </a:graphic>
          </wp:inline>
        </w:drawing>
      </w:r>
      <w:r>
        <w:rPr>
          <w:rFonts w:hint="eastAsia"/>
          <w:sz w:val="28"/>
          <w:szCs w:val="28"/>
          <w:lang w:val="en-US" w:eastAsia="zh-CN"/>
        </w:rPr>
        <w:t xml:space="preserve">      </w:t>
      </w:r>
      <w:r>
        <w:rPr>
          <w:rFonts w:hint="eastAsia"/>
          <w:sz w:val="28"/>
          <w:szCs w:val="28"/>
        </w:rPr>
        <w:t>系主任审核签名：</w:t>
      </w:r>
    </w:p>
    <w:p>
      <w:pPr>
        <w:snapToGrid w:val="0"/>
        <w:spacing w:line="288" w:lineRule="auto"/>
        <w:ind w:firstLine="560" w:firstLineChars="200"/>
        <w:jc w:val="both"/>
        <w:rPr>
          <w:rFonts w:hint="default" w:eastAsia="宋体"/>
          <w:sz w:val="28"/>
          <w:szCs w:val="28"/>
          <w:lang w:val="en-US" w:eastAsia="zh-CN"/>
        </w:rPr>
      </w:pPr>
      <w:r>
        <w:rPr>
          <w:rFonts w:hint="eastAsia"/>
          <w:sz w:val="28"/>
          <w:szCs w:val="28"/>
        </w:rPr>
        <w:t>审核时间：</w:t>
      </w:r>
      <w:r>
        <w:rPr>
          <w:rFonts w:hint="eastAsia"/>
          <w:sz w:val="28"/>
          <w:szCs w:val="28"/>
          <w:lang w:val="en-US" w:eastAsia="zh-CN"/>
        </w:rPr>
        <w:t xml:space="preserve">  年    月    日</w:t>
      </w:r>
    </w:p>
    <w:p>
      <w:pPr>
        <w:snapToGrid w:val="0"/>
        <w:spacing w:before="120" w:after="120" w:line="288" w:lineRule="auto"/>
        <w:ind w:firstLine="400" w:firstLineChars="200"/>
        <w:rPr>
          <w:rFonts w:ascii="宋体" w:hAnsi="宋体"/>
          <w:sz w:val="20"/>
          <w:szCs w:val="20"/>
          <w:highlight w:val="yellow"/>
        </w:rPr>
      </w:pPr>
      <w:bookmarkStart w:id="1" w:name="_GoBack"/>
      <w:bookmarkEnd w:id="1"/>
    </w:p>
    <w:p>
      <w:pPr>
        <w:snapToGrid w:val="0"/>
        <w:spacing w:before="120" w:after="120" w:line="288" w:lineRule="auto"/>
        <w:ind w:firstLine="400" w:firstLineChars="200"/>
        <w:rPr>
          <w:rFonts w:ascii="宋体" w:hAnsi="宋体"/>
          <w:sz w:val="20"/>
          <w:szCs w:val="20"/>
          <w:highlight w:val="yellow"/>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pict>
        <v:shape id="_x0000_s4097" o:spid="_x0000_s4097"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86F9CE"/>
    <w:multiLevelType w:val="singleLevel"/>
    <w:tmpl w:val="8486F9CE"/>
    <w:lvl w:ilvl="0" w:tentative="0">
      <w:start w:val="1"/>
      <w:numFmt w:val="decimal"/>
      <w:lvlText w:val="%1."/>
      <w:lvlJc w:val="left"/>
      <w:pPr>
        <w:tabs>
          <w:tab w:val="left" w:pos="312"/>
        </w:tabs>
      </w:pPr>
    </w:lvl>
  </w:abstractNum>
  <w:abstractNum w:abstractNumId="1">
    <w:nsid w:val="6D247665"/>
    <w:multiLevelType w:val="singleLevel"/>
    <w:tmpl w:val="6D24766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246A6"/>
    <w:rsid w:val="00070B08"/>
    <w:rsid w:val="001072BC"/>
    <w:rsid w:val="00122D57"/>
    <w:rsid w:val="001275CF"/>
    <w:rsid w:val="00155F11"/>
    <w:rsid w:val="0016590F"/>
    <w:rsid w:val="001C11DA"/>
    <w:rsid w:val="001E5C58"/>
    <w:rsid w:val="001F1E95"/>
    <w:rsid w:val="0020096C"/>
    <w:rsid w:val="00256B39"/>
    <w:rsid w:val="0026033C"/>
    <w:rsid w:val="002D1FEC"/>
    <w:rsid w:val="002E3721"/>
    <w:rsid w:val="00313BBA"/>
    <w:rsid w:val="0032602E"/>
    <w:rsid w:val="003367AE"/>
    <w:rsid w:val="00337282"/>
    <w:rsid w:val="003540B6"/>
    <w:rsid w:val="003B1258"/>
    <w:rsid w:val="003D6D77"/>
    <w:rsid w:val="003F6323"/>
    <w:rsid w:val="004100B0"/>
    <w:rsid w:val="00436C02"/>
    <w:rsid w:val="004E3D60"/>
    <w:rsid w:val="004F360B"/>
    <w:rsid w:val="00516F4E"/>
    <w:rsid w:val="005467DC"/>
    <w:rsid w:val="00553D03"/>
    <w:rsid w:val="005B2B6D"/>
    <w:rsid w:val="005B4B4E"/>
    <w:rsid w:val="005D5E3A"/>
    <w:rsid w:val="00624FE1"/>
    <w:rsid w:val="00635A2D"/>
    <w:rsid w:val="00673E24"/>
    <w:rsid w:val="006E3581"/>
    <w:rsid w:val="007208D6"/>
    <w:rsid w:val="0077480C"/>
    <w:rsid w:val="007C1EEA"/>
    <w:rsid w:val="007C3E83"/>
    <w:rsid w:val="00823A81"/>
    <w:rsid w:val="00892CCC"/>
    <w:rsid w:val="008B397C"/>
    <w:rsid w:val="008B47F4"/>
    <w:rsid w:val="008E74B7"/>
    <w:rsid w:val="008F3837"/>
    <w:rsid w:val="00900019"/>
    <w:rsid w:val="00900CDD"/>
    <w:rsid w:val="0095148C"/>
    <w:rsid w:val="0099063E"/>
    <w:rsid w:val="00A1778B"/>
    <w:rsid w:val="00A769B1"/>
    <w:rsid w:val="00A837D5"/>
    <w:rsid w:val="00AA149D"/>
    <w:rsid w:val="00AC4C45"/>
    <w:rsid w:val="00B46F21"/>
    <w:rsid w:val="00B50388"/>
    <w:rsid w:val="00B511A5"/>
    <w:rsid w:val="00B61B36"/>
    <w:rsid w:val="00B72B3B"/>
    <w:rsid w:val="00B736A7"/>
    <w:rsid w:val="00B7651F"/>
    <w:rsid w:val="00B84DA4"/>
    <w:rsid w:val="00BE58BF"/>
    <w:rsid w:val="00C405A5"/>
    <w:rsid w:val="00C53048"/>
    <w:rsid w:val="00C56E09"/>
    <w:rsid w:val="00C7061A"/>
    <w:rsid w:val="00CA37C1"/>
    <w:rsid w:val="00CE3BB4"/>
    <w:rsid w:val="00CF096B"/>
    <w:rsid w:val="00E16D30"/>
    <w:rsid w:val="00E27661"/>
    <w:rsid w:val="00E33169"/>
    <w:rsid w:val="00E70904"/>
    <w:rsid w:val="00E74C05"/>
    <w:rsid w:val="00E96A73"/>
    <w:rsid w:val="00EF311A"/>
    <w:rsid w:val="00EF44B1"/>
    <w:rsid w:val="00F030A2"/>
    <w:rsid w:val="00F35AA0"/>
    <w:rsid w:val="00F52964"/>
    <w:rsid w:val="00F74213"/>
    <w:rsid w:val="00FA28FA"/>
    <w:rsid w:val="00FB32DB"/>
    <w:rsid w:val="01297B43"/>
    <w:rsid w:val="016E63C2"/>
    <w:rsid w:val="01EA500E"/>
    <w:rsid w:val="024B0C39"/>
    <w:rsid w:val="02582C0D"/>
    <w:rsid w:val="02BD4B33"/>
    <w:rsid w:val="02EC3CAF"/>
    <w:rsid w:val="03626A49"/>
    <w:rsid w:val="039F00AA"/>
    <w:rsid w:val="03A301D6"/>
    <w:rsid w:val="03A74F7A"/>
    <w:rsid w:val="048F4CFE"/>
    <w:rsid w:val="052E1ED6"/>
    <w:rsid w:val="054B7ACD"/>
    <w:rsid w:val="05567159"/>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1F6EA7"/>
    <w:rsid w:val="0F2E1A7A"/>
    <w:rsid w:val="0F67797F"/>
    <w:rsid w:val="107012C4"/>
    <w:rsid w:val="10825343"/>
    <w:rsid w:val="10BD2C22"/>
    <w:rsid w:val="110F612C"/>
    <w:rsid w:val="115461E5"/>
    <w:rsid w:val="11850C02"/>
    <w:rsid w:val="11A03579"/>
    <w:rsid w:val="11B41BEA"/>
    <w:rsid w:val="1214646A"/>
    <w:rsid w:val="13496B5B"/>
    <w:rsid w:val="137D3EEF"/>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42D40"/>
    <w:rsid w:val="19D66333"/>
    <w:rsid w:val="19DF2E0B"/>
    <w:rsid w:val="1A067ECA"/>
    <w:rsid w:val="1A621C1B"/>
    <w:rsid w:val="1AF30747"/>
    <w:rsid w:val="1B2E395D"/>
    <w:rsid w:val="1BD9562F"/>
    <w:rsid w:val="1C686D53"/>
    <w:rsid w:val="1D371908"/>
    <w:rsid w:val="1D980860"/>
    <w:rsid w:val="1DC76605"/>
    <w:rsid w:val="1DD748EF"/>
    <w:rsid w:val="1E0C484F"/>
    <w:rsid w:val="1F4B55FE"/>
    <w:rsid w:val="1FCC7EB8"/>
    <w:rsid w:val="20591378"/>
    <w:rsid w:val="20743490"/>
    <w:rsid w:val="20A30041"/>
    <w:rsid w:val="20BD6548"/>
    <w:rsid w:val="20DD3C4C"/>
    <w:rsid w:val="21044D84"/>
    <w:rsid w:val="215D2AD2"/>
    <w:rsid w:val="219A226D"/>
    <w:rsid w:val="22987C80"/>
    <w:rsid w:val="22CF789E"/>
    <w:rsid w:val="230569B6"/>
    <w:rsid w:val="23891004"/>
    <w:rsid w:val="23981013"/>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7EF10E8"/>
    <w:rsid w:val="29450896"/>
    <w:rsid w:val="29C34AE8"/>
    <w:rsid w:val="29CF3F58"/>
    <w:rsid w:val="29FC453A"/>
    <w:rsid w:val="2A633571"/>
    <w:rsid w:val="2A714330"/>
    <w:rsid w:val="2A7639EE"/>
    <w:rsid w:val="2B023E3E"/>
    <w:rsid w:val="2C9A49FB"/>
    <w:rsid w:val="2C9D43FF"/>
    <w:rsid w:val="2CAA5C42"/>
    <w:rsid w:val="2CBE0E64"/>
    <w:rsid w:val="2CCF6A02"/>
    <w:rsid w:val="2CF36B7D"/>
    <w:rsid w:val="2D5C599D"/>
    <w:rsid w:val="2DB22519"/>
    <w:rsid w:val="2E2D57BC"/>
    <w:rsid w:val="2E7314F1"/>
    <w:rsid w:val="2EAE000B"/>
    <w:rsid w:val="2EB7077E"/>
    <w:rsid w:val="2EC302D5"/>
    <w:rsid w:val="2EF47BCB"/>
    <w:rsid w:val="2F1B12E2"/>
    <w:rsid w:val="2F7F63CE"/>
    <w:rsid w:val="2FC44278"/>
    <w:rsid w:val="2FFC7668"/>
    <w:rsid w:val="30B426F2"/>
    <w:rsid w:val="31007E19"/>
    <w:rsid w:val="315806CD"/>
    <w:rsid w:val="31590EB1"/>
    <w:rsid w:val="32356A82"/>
    <w:rsid w:val="32636121"/>
    <w:rsid w:val="328C6DA7"/>
    <w:rsid w:val="333D21DD"/>
    <w:rsid w:val="33A5539F"/>
    <w:rsid w:val="341D03E8"/>
    <w:rsid w:val="34302F4F"/>
    <w:rsid w:val="34514FFC"/>
    <w:rsid w:val="34F2629E"/>
    <w:rsid w:val="35121A46"/>
    <w:rsid w:val="35303891"/>
    <w:rsid w:val="35A071FE"/>
    <w:rsid w:val="35F20BF4"/>
    <w:rsid w:val="363F7F01"/>
    <w:rsid w:val="36755C65"/>
    <w:rsid w:val="368E2C9A"/>
    <w:rsid w:val="36A44DA9"/>
    <w:rsid w:val="37087433"/>
    <w:rsid w:val="373F56CD"/>
    <w:rsid w:val="398A6898"/>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41C25"/>
    <w:rsid w:val="4688513E"/>
    <w:rsid w:val="46C74440"/>
    <w:rsid w:val="46D840B4"/>
    <w:rsid w:val="479E6C53"/>
    <w:rsid w:val="47AE325C"/>
    <w:rsid w:val="483F0326"/>
    <w:rsid w:val="48491722"/>
    <w:rsid w:val="489F491C"/>
    <w:rsid w:val="492E09E2"/>
    <w:rsid w:val="49604B6A"/>
    <w:rsid w:val="49715451"/>
    <w:rsid w:val="49BA1AA3"/>
    <w:rsid w:val="49BE4589"/>
    <w:rsid w:val="49EA28AB"/>
    <w:rsid w:val="4A0412D1"/>
    <w:rsid w:val="4A077D32"/>
    <w:rsid w:val="4A112122"/>
    <w:rsid w:val="4A482EEA"/>
    <w:rsid w:val="4A4B652C"/>
    <w:rsid w:val="4A6C28F4"/>
    <w:rsid w:val="4AB0382B"/>
    <w:rsid w:val="4B5C0BDE"/>
    <w:rsid w:val="4C006E10"/>
    <w:rsid w:val="4C77605B"/>
    <w:rsid w:val="4C8942DD"/>
    <w:rsid w:val="4DAA1C0B"/>
    <w:rsid w:val="4DB42C10"/>
    <w:rsid w:val="4DEA5DDD"/>
    <w:rsid w:val="4DEF154D"/>
    <w:rsid w:val="4E061165"/>
    <w:rsid w:val="4E293C86"/>
    <w:rsid w:val="4EF85A4A"/>
    <w:rsid w:val="4F771BC4"/>
    <w:rsid w:val="50BA3E47"/>
    <w:rsid w:val="51013CD3"/>
    <w:rsid w:val="51A30BA4"/>
    <w:rsid w:val="52C5060E"/>
    <w:rsid w:val="530948F7"/>
    <w:rsid w:val="533F017F"/>
    <w:rsid w:val="535B5824"/>
    <w:rsid w:val="5379031B"/>
    <w:rsid w:val="539E1C14"/>
    <w:rsid w:val="5449130A"/>
    <w:rsid w:val="54727BD5"/>
    <w:rsid w:val="54B75844"/>
    <w:rsid w:val="550A5F01"/>
    <w:rsid w:val="553B2541"/>
    <w:rsid w:val="55912050"/>
    <w:rsid w:val="55987137"/>
    <w:rsid w:val="55A27CE0"/>
    <w:rsid w:val="55B91749"/>
    <w:rsid w:val="569868B5"/>
    <w:rsid w:val="57945AC0"/>
    <w:rsid w:val="57AB0DE3"/>
    <w:rsid w:val="57C52AB4"/>
    <w:rsid w:val="57DA3B31"/>
    <w:rsid w:val="57FF4F53"/>
    <w:rsid w:val="58117407"/>
    <w:rsid w:val="5856740A"/>
    <w:rsid w:val="5A4724E9"/>
    <w:rsid w:val="5AB90C2F"/>
    <w:rsid w:val="5B096973"/>
    <w:rsid w:val="5B3F3F69"/>
    <w:rsid w:val="5C5C6C45"/>
    <w:rsid w:val="5C9964A4"/>
    <w:rsid w:val="5D0258B2"/>
    <w:rsid w:val="5D2E568E"/>
    <w:rsid w:val="5D336CBC"/>
    <w:rsid w:val="5D5A72B2"/>
    <w:rsid w:val="5DAC3344"/>
    <w:rsid w:val="5DF97243"/>
    <w:rsid w:val="5E117507"/>
    <w:rsid w:val="5ECF0C67"/>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64428D"/>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8063377"/>
    <w:rsid w:val="68064835"/>
    <w:rsid w:val="68870227"/>
    <w:rsid w:val="69270A59"/>
    <w:rsid w:val="695B6997"/>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2237E7A"/>
    <w:rsid w:val="7340273F"/>
    <w:rsid w:val="734E72D2"/>
    <w:rsid w:val="7361695E"/>
    <w:rsid w:val="73EE11F2"/>
    <w:rsid w:val="73F319CD"/>
    <w:rsid w:val="74316312"/>
    <w:rsid w:val="74A06360"/>
    <w:rsid w:val="751B0989"/>
    <w:rsid w:val="751C67D3"/>
    <w:rsid w:val="75B14F9F"/>
    <w:rsid w:val="76AC21AC"/>
    <w:rsid w:val="76D1456B"/>
    <w:rsid w:val="774E6CD6"/>
    <w:rsid w:val="77994511"/>
    <w:rsid w:val="77A35732"/>
    <w:rsid w:val="77A44DAF"/>
    <w:rsid w:val="77FA1E88"/>
    <w:rsid w:val="780F13C8"/>
    <w:rsid w:val="78A55481"/>
    <w:rsid w:val="78FB192B"/>
    <w:rsid w:val="790A74D1"/>
    <w:rsid w:val="79964320"/>
    <w:rsid w:val="79AA43BB"/>
    <w:rsid w:val="79C234EB"/>
    <w:rsid w:val="7A262067"/>
    <w:rsid w:val="7A2B520D"/>
    <w:rsid w:val="7A4D36C7"/>
    <w:rsid w:val="7A970271"/>
    <w:rsid w:val="7B601012"/>
    <w:rsid w:val="7B75622F"/>
    <w:rsid w:val="7BD558F1"/>
    <w:rsid w:val="7C17797D"/>
    <w:rsid w:val="7C385448"/>
    <w:rsid w:val="7C5E0992"/>
    <w:rsid w:val="7CB3663D"/>
    <w:rsid w:val="7CC443DE"/>
    <w:rsid w:val="7D305E32"/>
    <w:rsid w:val="7ECC7F0A"/>
    <w:rsid w:val="7FBC4C56"/>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457</Words>
  <Characters>2608</Characters>
  <Lines>21</Lines>
  <Paragraphs>6</Paragraphs>
  <TotalTime>1</TotalTime>
  <ScaleCrop>false</ScaleCrop>
  <LinksUpToDate>false</LinksUpToDate>
  <CharactersWithSpaces>3059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陈小希</cp:lastModifiedBy>
  <cp:lastPrinted>2022-02-18T09:46:00Z</cp:lastPrinted>
  <dcterms:modified xsi:type="dcterms:W3CDTF">2022-03-02T02:07:07Z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1543A772238F4A509B9C7A576862CB3F</vt:lpwstr>
  </property>
</Properties>
</file>