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护理管理学</w:t>
      </w:r>
      <w:r>
        <w:rPr>
          <w:rFonts w:hint="eastAsia" w:ascii="黑体" w:hAnsi="黑体" w:eastAsia="黑体"/>
          <w:bCs/>
          <w:sz w:val="32"/>
          <w:szCs w:val="32"/>
        </w:rPr>
        <w:t>》本科课程教学大纲</w:t>
      </w:r>
    </w:p>
    <w:p>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护理管理学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Nursing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2070029</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专业选修课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《护理管理学》主编</w:t>
            </w:r>
            <w:r>
              <w:rPr>
                <w:color w:val="000000"/>
                <w:sz w:val="21"/>
                <w:szCs w:val="21"/>
              </w:rPr>
              <w:t>吴欣娟、王艳梅</w:t>
            </w:r>
            <w:r>
              <w:rPr>
                <w:rFonts w:hint="eastAsia"/>
                <w:color w:val="000000"/>
                <w:sz w:val="21"/>
                <w:szCs w:val="21"/>
                <w:lang w:val="en-US" w:eastAsia="zh-CN"/>
              </w:rPr>
              <w:t>I</w:t>
            </w:r>
            <w:r>
              <w:rPr>
                <w:rFonts w:hint="default"/>
                <w:color w:val="000000"/>
                <w:sz w:val="21"/>
                <w:szCs w:val="21"/>
                <w:lang w:val="en-US"/>
              </w:rPr>
              <w:t>SBN</w:t>
            </w:r>
            <w:r>
              <w:rPr>
                <w:color w:val="000000"/>
                <w:sz w:val="21"/>
                <w:szCs w:val="21"/>
              </w:rPr>
              <w:t>9787117328678 人民卫生出版社 第五版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0" w:leftChars="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7"/>
              <w:widowControl w:val="0"/>
              <w:jc w:val="both"/>
            </w:pPr>
            <w:r>
              <w:t>人体解剖学2</w:t>
            </w:r>
            <w:r>
              <w:rPr>
                <w:rFonts w:hint="eastAsia"/>
                <w:lang w:val="en-US" w:eastAsia="zh-CN"/>
              </w:rPr>
              <w:t>0</w:t>
            </w:r>
            <w:r>
              <w:t>70001（6）</w:t>
            </w:r>
            <w:r>
              <w:rPr>
                <w:rFonts w:hint="eastAsia"/>
              </w:rPr>
              <w:t>，</w:t>
            </w:r>
            <w:r>
              <w:t>组织胚胎学</w:t>
            </w:r>
            <w:r>
              <w:rPr>
                <w:rFonts w:hint="eastAsia"/>
                <w:lang w:val="en-US" w:eastAsia="zh-CN"/>
              </w:rPr>
              <w:t>0</w:t>
            </w:r>
            <w:r>
              <w:t>170002（2）</w:t>
            </w:r>
            <w:r>
              <w:rPr>
                <w:rFonts w:hint="eastAsia"/>
              </w:rPr>
              <w:t>，护士人文修养</w:t>
            </w:r>
            <w:r>
              <w:t>2170077（1）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24"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pacing w:line="360" w:lineRule="exact"/>
              <w:ind w:left="-80" w:firstLine="426" w:firstLineChars="203"/>
              <w:jc w:val="both"/>
              <w:rPr>
                <w:color w:val="000000"/>
                <w:sz w:val="21"/>
                <w:szCs w:val="21"/>
              </w:rPr>
            </w:pPr>
            <w:r>
              <w:rPr>
                <w:rFonts w:hint="eastAsia"/>
                <w:color w:val="000000"/>
                <w:sz w:val="21"/>
                <w:szCs w:val="21"/>
              </w:rPr>
              <w:t>《护理管理学》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通过学习管理的理论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20" w:firstLineChars="200"/>
              <w:jc w:val="both"/>
              <w:rPr>
                <w:color w:val="000000"/>
                <w:sz w:val="21"/>
                <w:szCs w:val="21"/>
              </w:rPr>
            </w:pPr>
            <w:r>
              <w:rPr>
                <w:rFonts w:hint="eastAsia"/>
                <w:color w:val="000000"/>
                <w:sz w:val="21"/>
                <w:szCs w:val="21"/>
              </w:rPr>
              <w:t>本课程适合护理学专业二年级本科学生授课，要求学生具有护理管理的基本知识、原理以及管理方法和技术。培养学生具有初步的护管理能力，会运用批判性思维来看待已有研究成果，运用科学思维方式分析、设计临床护理和护理管理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-5080</wp:posOffset>
                  </wp:positionH>
                  <wp:positionV relativeFrom="paragraph">
                    <wp:posOffset>61595</wp:posOffset>
                  </wp:positionV>
                  <wp:extent cx="502920" cy="255270"/>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5" cstate="print"/>
                          <a:srcRect/>
                          <a:stretch>
                            <a:fillRect/>
                          </a:stretch>
                        </pic:blipFill>
                        <pic:spPr>
                          <a:xfrm>
                            <a:off x="0" y="0"/>
                            <a:ext cx="502920" cy="255270"/>
                          </a:xfrm>
                          <a:prstGeom prst="rect">
                            <a:avLst/>
                          </a:prstGeom>
                          <a:noFill/>
                          <a:ln w="9525">
                            <a:noFill/>
                            <a:miter lim="800000"/>
                            <a:headEnd/>
                            <a:tailEnd/>
                          </a:ln>
                        </pic:spPr>
                      </pic:pic>
                    </a:graphicData>
                  </a:graphic>
                </wp:anchor>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default" w:ascii="Times New Roman" w:hAnsi="Times New Roman"/>
                <w:color w:val="000000"/>
                <w:sz w:val="21"/>
                <w:szCs w:val="21"/>
                <w:lang w:val="en-US"/>
              </w:rPr>
              <w:t>.</w:t>
            </w:r>
            <w:r>
              <w:rPr>
                <w:rFonts w:ascii="Times New Roman" w:hAnsi="Times New Roman"/>
                <w:color w:val="000000"/>
                <w:sz w:val="21"/>
                <w:szCs w:val="21"/>
              </w:rPr>
              <w:t>0</w:t>
            </w:r>
            <w:r>
              <w:rPr>
                <w:rFonts w:hint="eastAsia" w:ascii="Times New Roman" w:hAnsi="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default" w:ascii="Times New Roman" w:hAnsi="Times New Roman"/>
                <w:color w:val="000000"/>
                <w:sz w:val="21"/>
                <w:szCs w:val="21"/>
                <w:lang w:val="en-US"/>
              </w:rPr>
              <w:t>.</w:t>
            </w:r>
            <w:r>
              <w:rPr>
                <w:rFonts w:ascii="Times New Roman" w:hAnsi="Times New Roman"/>
                <w:color w:val="000000"/>
                <w:sz w:val="21"/>
                <w:szCs w:val="21"/>
              </w:rPr>
              <w:t>0</w:t>
            </w:r>
            <w:r>
              <w:rPr>
                <w:rFonts w:hint="eastAsia" w:ascii="Times New Roman" w:hAnsi="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9"/>
        <w:spacing w:before="326" w:beforeLines="100" w:line="360" w:lineRule="auto"/>
        <w:rPr>
          <w:rFonts w:ascii="黑体" w:hAnsi="宋体"/>
        </w:rPr>
      </w:pPr>
      <w:r>
        <w:rPr>
          <w:rFonts w:hint="eastAsia" w:ascii="黑体" w:hAnsi="宋体"/>
        </w:rPr>
        <w:t>二、课程目标与毕业要求</w:t>
      </w:r>
    </w:p>
    <w:p>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7"/>
              <w:jc w:val="left"/>
              <w:rPr>
                <w:rFonts w:ascii="宋体" w:hAnsi="宋体"/>
              </w:rPr>
            </w:pPr>
            <w:r>
              <w:rPr>
                <w:rFonts w:hint="eastAsia"/>
              </w:rPr>
              <w:t>理解管理的基本知识、基本原理及管理方法和技术。能知道管理的过程、组织实施的方法及步骤。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7"/>
              <w:jc w:val="left"/>
              <w:rPr>
                <w:rFonts w:ascii="宋体" w:hAnsi="宋体"/>
              </w:rPr>
            </w:pPr>
            <w:r>
              <w:rPr>
                <w:rFonts w:hint="eastAsia"/>
              </w:rPr>
              <w:t>能理解护理管理活动中的沟通方法与技巧，冲突处理的策略和技巧。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7"/>
              <w:jc w:val="left"/>
              <w:rPr>
                <w:rFonts w:ascii="宋体" w:hAnsi="宋体"/>
              </w:rPr>
            </w:pPr>
            <w:r>
              <w:rPr>
                <w:rFonts w:hint="eastAsia"/>
              </w:rPr>
              <w:t>具有质量控制意识，具备利用控制方法开展护理风险管理、安全管理和成本管理能力。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7"/>
              <w:jc w:val="left"/>
              <w:rPr>
                <w:rFonts w:ascii="宋体" w:hAnsi="宋体"/>
                <w:bCs/>
              </w:rPr>
            </w:pPr>
            <w:r>
              <w:rPr>
                <w:rFonts w:hint="eastAsia"/>
              </w:rPr>
              <w:t>会运用批判性思维来看待已有研究成果，运用科学思维方式分析、设计临床护理和护理管理工作过程，有序高效做好临床护理和护理管理工作。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7"/>
              <w:jc w:val="left"/>
              <w:rPr>
                <w:rFonts w:ascii="宋体" w:hAnsi="宋体"/>
                <w:bCs/>
              </w:rPr>
            </w:pPr>
            <w:r>
              <w:rPr>
                <w:rFonts w:hint="eastAsia"/>
              </w:rPr>
              <w:t>诚信尽责，为人诚实，信守承诺，勤奋努力，精益求精，勇于担责。具有科学精神、慎独修养、严谨求实的工作态度和符合职业道德标准的职业行为。</w:t>
            </w:r>
          </w:p>
        </w:tc>
      </w:tr>
    </w:tbl>
    <w:p>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7"/>
              <w:widowControl w:val="0"/>
              <w:jc w:val="left"/>
              <w:rPr>
                <w:rFonts w:ascii="宋体" w:hAnsi="宋体"/>
              </w:rPr>
            </w:pPr>
            <w:r>
              <w:rPr>
                <w:rFonts w:hint="eastAsia" w:ascii="宋体" w:hAnsi="宋体"/>
              </w:rPr>
              <w:t>④诚信尽责，为人诚实，信守承诺，勤奋努力，精益求精，勇于担责。</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ascii="宋体" w:hAnsi="宋体"/>
              </w:rPr>
              <w:t>LO2专业能力：具有人文科学素养，具备从事护理工作或专业的理论知识、实践能力。</w:t>
            </w:r>
          </w:p>
          <w:p>
            <w:pPr>
              <w:pStyle w:val="17"/>
              <w:widowControl w:val="0"/>
              <w:numPr>
                <w:ilvl w:val="0"/>
                <w:numId w:val="1"/>
              </w:numPr>
              <w:jc w:val="left"/>
              <w:rPr>
                <w:rFonts w:ascii="宋体" w:hAnsi="宋体"/>
              </w:rPr>
            </w:pPr>
            <w:r>
              <w:rPr>
                <w:rFonts w:hint="eastAsia" w:ascii="宋体" w:hAnsi="宋体"/>
              </w:rPr>
              <w:t xml:space="preserve">具有专业所需的人文科学素养。 </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pPr>
              <w:pStyle w:val="17"/>
              <w:widowControl w:val="0"/>
              <w:jc w:val="left"/>
              <w:rPr>
                <w:rFonts w:ascii="宋体" w:hAnsi="宋体"/>
                <w:bCs/>
              </w:rPr>
            </w:pPr>
            <w:r>
              <w:rPr>
                <w:rFonts w:hint="eastAsia" w:ascii="宋体" w:hAnsi="宋体"/>
              </w:rPr>
              <w:t>②应用书面或口头形式，阐释自己的观点，有效沟通。</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pPr>
              <w:pStyle w:val="17"/>
              <w:widowControl w:val="0"/>
              <w:numPr>
                <w:ilvl w:val="0"/>
                <w:numId w:val="1"/>
              </w:numPr>
              <w:jc w:val="left"/>
              <w:rPr>
                <w:rFonts w:ascii="宋体" w:hAnsi="宋体"/>
              </w:rPr>
            </w:pPr>
            <w:r>
              <w:rPr>
                <w:rFonts w:hint="eastAsia" w:ascii="宋体" w:hAnsi="宋体"/>
              </w:rPr>
              <w:t>能用创新的方法或者多种方法解决复杂问题或真实问题。</w:t>
            </w:r>
          </w:p>
          <w:p>
            <w:pPr>
              <w:pStyle w:val="17"/>
              <w:widowControl w:val="0"/>
              <w:jc w:val="left"/>
              <w:rPr>
                <w:rFonts w:ascii="宋体" w:hAnsi="宋体"/>
                <w:highlight w:val="yellow"/>
              </w:rPr>
            </w:pPr>
          </w:p>
        </w:tc>
      </w:tr>
    </w:tbl>
    <w:p>
      <w:pPr>
        <w:pStyle w:val="20"/>
        <w:spacing w:before="163" w:beforeLines="50"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6"/>
              <w:rPr>
                <w:szCs w:val="16"/>
              </w:rPr>
            </w:pPr>
            <w:r>
              <w:rPr>
                <w:rFonts w:hint="eastAsia"/>
                <w:szCs w:val="16"/>
              </w:rPr>
              <w:t>支撑度</w:t>
            </w:r>
          </w:p>
        </w:tc>
        <w:tc>
          <w:tcPr>
            <w:tcW w:w="4651" w:type="dxa"/>
            <w:tcBorders>
              <w:top w:val="single" w:color="auto" w:sz="12" w:space="0"/>
            </w:tcBorders>
            <w:vAlign w:val="center"/>
          </w:tcPr>
          <w:p>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6"/>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7"/>
              <w:rPr>
                <w:highlight w:val="none"/>
              </w:rPr>
            </w:pPr>
            <w:r>
              <w:rPr>
                <w:highlight w:val="none"/>
              </w:rPr>
              <w:t>L01</w:t>
            </w:r>
          </w:p>
        </w:tc>
        <w:tc>
          <w:tcPr>
            <w:tcW w:w="775" w:type="dxa"/>
            <w:tcBorders>
              <w:left w:val="single" w:color="auto" w:sz="4" w:space="0"/>
            </w:tcBorders>
            <w:vAlign w:val="center"/>
          </w:tcPr>
          <w:p>
            <w:pPr>
              <w:pStyle w:val="17"/>
              <w:rPr>
                <w:highlight w:val="none"/>
              </w:rPr>
            </w:pPr>
            <w:r>
              <w:rPr>
                <w:rFonts w:hint="eastAsia"/>
                <w:highlight w:val="none"/>
              </w:rPr>
              <w:t>④</w:t>
            </w:r>
          </w:p>
        </w:tc>
        <w:tc>
          <w:tcPr>
            <w:tcW w:w="775" w:type="dxa"/>
            <w:tcBorders>
              <w:right w:val="double" w:color="auto" w:sz="4" w:space="0"/>
            </w:tcBorders>
            <w:shd w:val="clear" w:color="auto" w:fill="auto"/>
            <w:vAlign w:val="center"/>
          </w:tcPr>
          <w:p>
            <w:pPr>
              <w:pStyle w:val="17"/>
              <w:rPr>
                <w:highlight w:val="none"/>
              </w:rPr>
            </w:pPr>
            <w:r>
              <w:rPr>
                <w:highlight w:val="none"/>
              </w:rPr>
              <w:t>M</w:t>
            </w:r>
          </w:p>
        </w:tc>
        <w:tc>
          <w:tcPr>
            <w:tcW w:w="4651" w:type="dxa"/>
            <w:vAlign w:val="center"/>
          </w:tcPr>
          <w:p>
            <w:pPr>
              <w:pStyle w:val="17"/>
              <w:jc w:val="left"/>
              <w:rPr>
                <w:highlight w:val="none"/>
              </w:rPr>
            </w:pPr>
            <w:r>
              <w:rPr>
                <w:highlight w:val="none"/>
              </w:rPr>
              <w:t>5.</w:t>
            </w:r>
            <w:r>
              <w:rPr>
                <w:rFonts w:hint="eastAsia"/>
                <w:highlight w:val="none"/>
              </w:rPr>
              <w:t>诚信尽责，为人诚实，信守承诺，勤奋努力，精益求精，勇于担责。具有科学精神、慎独修养、严谨求实的工作态度和符合职业道德标准的职业行为。</w:t>
            </w:r>
          </w:p>
        </w:tc>
        <w:tc>
          <w:tcPr>
            <w:tcW w:w="1316" w:type="dxa"/>
            <w:tcBorders>
              <w:right w:val="single" w:color="auto" w:sz="12" w:space="0"/>
            </w:tcBorders>
            <w:vAlign w:val="center"/>
          </w:tcPr>
          <w:p>
            <w:pPr>
              <w:pStyle w:val="17"/>
              <w:rPr>
                <w:highlight w:val="none"/>
              </w:rPr>
            </w:pPr>
            <w:r>
              <w:rPr>
                <w:highlight w:val="none"/>
              </w:rPr>
              <w:t>100</w:t>
            </w:r>
            <w:r>
              <w:rPr>
                <w:rFonts w:hint="eastAsia"/>
                <w:highlight w:val="none"/>
              </w:rPr>
              <w:t>%</w:t>
            </w:r>
          </w:p>
        </w:tc>
      </w:tr>
      <w:tr>
        <w:tblPrEx>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7"/>
              <w:rPr>
                <w:highlight w:val="none"/>
              </w:rPr>
            </w:pPr>
            <w:r>
              <w:rPr>
                <w:rFonts w:hint="eastAsia"/>
                <w:highlight w:val="none"/>
              </w:rPr>
              <w:t>L</w:t>
            </w:r>
            <w:r>
              <w:rPr>
                <w:highlight w:val="none"/>
              </w:rPr>
              <w:t>02</w:t>
            </w:r>
          </w:p>
        </w:tc>
        <w:tc>
          <w:tcPr>
            <w:tcW w:w="775" w:type="dxa"/>
            <w:vMerge w:val="restart"/>
            <w:tcBorders>
              <w:left w:val="single" w:color="auto" w:sz="4" w:space="0"/>
            </w:tcBorders>
            <w:vAlign w:val="center"/>
          </w:tcPr>
          <w:p>
            <w:pPr>
              <w:pStyle w:val="17"/>
              <w:rPr>
                <w:highlight w:val="none"/>
              </w:rPr>
            </w:pPr>
            <w:r>
              <w:rPr>
                <w:rFonts w:hint="eastAsia"/>
                <w:highlight w:val="none"/>
              </w:rPr>
              <w:t>①</w:t>
            </w:r>
          </w:p>
        </w:tc>
        <w:tc>
          <w:tcPr>
            <w:tcW w:w="775" w:type="dxa"/>
            <w:vMerge w:val="restart"/>
            <w:tcBorders>
              <w:right w:val="double" w:color="auto" w:sz="4" w:space="0"/>
            </w:tcBorders>
            <w:shd w:val="clear" w:color="auto" w:fill="auto"/>
            <w:vAlign w:val="center"/>
          </w:tcPr>
          <w:p>
            <w:pPr>
              <w:pStyle w:val="17"/>
              <w:rPr>
                <w:highlight w:val="none"/>
              </w:rPr>
            </w:pPr>
            <w:r>
              <w:rPr>
                <w:highlight w:val="none"/>
              </w:rPr>
              <w:t>H</w:t>
            </w:r>
          </w:p>
        </w:tc>
        <w:tc>
          <w:tcPr>
            <w:tcW w:w="4651" w:type="dxa"/>
            <w:vAlign w:val="center"/>
          </w:tcPr>
          <w:p>
            <w:pPr>
              <w:pStyle w:val="17"/>
              <w:jc w:val="left"/>
              <w:rPr>
                <w:bCs/>
                <w:highlight w:val="none"/>
              </w:rPr>
            </w:pPr>
            <w:r>
              <w:rPr>
                <w:rFonts w:hint="eastAsia"/>
                <w:highlight w:val="none"/>
              </w:rPr>
              <w:t>1</w:t>
            </w:r>
            <w:r>
              <w:rPr>
                <w:highlight w:val="none"/>
              </w:rPr>
              <w:t>.</w:t>
            </w:r>
            <w:r>
              <w:rPr>
                <w:rFonts w:hint="eastAsia"/>
                <w:highlight w:val="none"/>
              </w:rPr>
              <w:t>理解管理的基本知识、基本原理及管理方法和技术。能知道管理的过程、组织实施的方法及步骤。</w:t>
            </w:r>
          </w:p>
        </w:tc>
        <w:tc>
          <w:tcPr>
            <w:tcW w:w="1316" w:type="dxa"/>
            <w:tcBorders>
              <w:right w:val="single" w:color="auto" w:sz="12" w:space="0"/>
            </w:tcBorders>
            <w:vAlign w:val="center"/>
          </w:tcPr>
          <w:p>
            <w:pPr>
              <w:pStyle w:val="17"/>
              <w:rPr>
                <w:highlight w:val="none"/>
              </w:rPr>
            </w:pPr>
            <w:r>
              <w:rPr>
                <w:highlight w:val="none"/>
              </w:rPr>
              <w:t>60</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7"/>
              <w:rPr>
                <w:highlight w:val="none"/>
              </w:rPr>
            </w:pPr>
          </w:p>
        </w:tc>
        <w:tc>
          <w:tcPr>
            <w:tcW w:w="775" w:type="dxa"/>
            <w:vMerge w:val="continue"/>
            <w:tcBorders>
              <w:left w:val="single" w:color="auto" w:sz="4" w:space="0"/>
            </w:tcBorders>
            <w:vAlign w:val="center"/>
          </w:tcPr>
          <w:p>
            <w:pPr>
              <w:pStyle w:val="17"/>
              <w:rPr>
                <w:highlight w:val="none"/>
              </w:rPr>
            </w:pPr>
          </w:p>
        </w:tc>
        <w:tc>
          <w:tcPr>
            <w:tcW w:w="775" w:type="dxa"/>
            <w:vMerge w:val="continue"/>
            <w:tcBorders>
              <w:right w:val="double" w:color="auto" w:sz="4" w:space="0"/>
            </w:tcBorders>
            <w:shd w:val="clear" w:color="auto" w:fill="auto"/>
            <w:vAlign w:val="center"/>
          </w:tcPr>
          <w:p>
            <w:pPr>
              <w:pStyle w:val="17"/>
              <w:rPr>
                <w:highlight w:val="none"/>
              </w:rPr>
            </w:pPr>
          </w:p>
        </w:tc>
        <w:tc>
          <w:tcPr>
            <w:tcW w:w="4651" w:type="dxa"/>
            <w:vAlign w:val="center"/>
          </w:tcPr>
          <w:p>
            <w:pPr>
              <w:pStyle w:val="17"/>
              <w:jc w:val="left"/>
              <w:rPr>
                <w:highlight w:val="none"/>
              </w:rPr>
            </w:pPr>
            <w:r>
              <w:rPr>
                <w:highlight w:val="none"/>
              </w:rPr>
              <w:t>3.</w:t>
            </w:r>
            <w:r>
              <w:rPr>
                <w:rFonts w:hint="eastAsia"/>
                <w:highlight w:val="none"/>
              </w:rPr>
              <w:t>具有质量控制意识，具备利用控制方法开展护理风险管理、安全管理和成本管理能力。</w:t>
            </w:r>
          </w:p>
        </w:tc>
        <w:tc>
          <w:tcPr>
            <w:tcW w:w="1316" w:type="dxa"/>
            <w:tcBorders>
              <w:right w:val="single" w:color="auto" w:sz="12" w:space="0"/>
            </w:tcBorders>
            <w:vAlign w:val="center"/>
          </w:tcPr>
          <w:p>
            <w:pPr>
              <w:pStyle w:val="17"/>
              <w:rPr>
                <w:highlight w:val="none"/>
              </w:rPr>
            </w:pPr>
            <w:r>
              <w:rPr>
                <w:highlight w:val="none"/>
              </w:rPr>
              <w:t>40</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pPr>
              <w:pStyle w:val="17"/>
              <w:rPr>
                <w:highlight w:val="none"/>
              </w:rPr>
            </w:pPr>
            <w:r>
              <w:rPr>
                <w:rFonts w:hint="eastAsia"/>
                <w:highlight w:val="none"/>
              </w:rPr>
              <w:t>L</w:t>
            </w:r>
            <w:r>
              <w:rPr>
                <w:highlight w:val="none"/>
              </w:rPr>
              <w:t>03</w:t>
            </w:r>
          </w:p>
        </w:tc>
        <w:tc>
          <w:tcPr>
            <w:tcW w:w="775" w:type="dxa"/>
            <w:tcBorders>
              <w:left w:val="single" w:color="auto" w:sz="4" w:space="0"/>
            </w:tcBorders>
            <w:vAlign w:val="center"/>
          </w:tcPr>
          <w:p>
            <w:pPr>
              <w:pStyle w:val="17"/>
              <w:widowControl w:val="0"/>
              <w:numPr>
                <w:ilvl w:val="0"/>
                <w:numId w:val="1"/>
              </w:numPr>
              <w:jc w:val="both"/>
              <w:rPr>
                <w:highlight w:val="none"/>
              </w:rPr>
            </w:pPr>
          </w:p>
        </w:tc>
        <w:tc>
          <w:tcPr>
            <w:tcW w:w="775" w:type="dxa"/>
            <w:tcBorders>
              <w:right w:val="double" w:color="auto" w:sz="4" w:space="0"/>
            </w:tcBorders>
            <w:shd w:val="clear" w:color="auto" w:fill="auto"/>
            <w:vAlign w:val="center"/>
          </w:tcPr>
          <w:p>
            <w:pPr>
              <w:pStyle w:val="17"/>
              <w:rPr>
                <w:highlight w:val="none"/>
              </w:rPr>
            </w:pPr>
            <w:r>
              <w:rPr>
                <w:highlight w:val="none"/>
              </w:rPr>
              <w:t>M</w:t>
            </w:r>
          </w:p>
        </w:tc>
        <w:tc>
          <w:tcPr>
            <w:tcW w:w="4651" w:type="dxa"/>
            <w:vAlign w:val="center"/>
          </w:tcPr>
          <w:p>
            <w:pPr>
              <w:pStyle w:val="17"/>
              <w:jc w:val="left"/>
              <w:rPr>
                <w:highlight w:val="none"/>
              </w:rPr>
            </w:pPr>
            <w:r>
              <w:rPr>
                <w:highlight w:val="none"/>
              </w:rPr>
              <w:t>2.</w:t>
            </w:r>
            <w:r>
              <w:rPr>
                <w:rFonts w:hint="eastAsia"/>
                <w:highlight w:val="none"/>
              </w:rPr>
              <w:t>能理解护理管理活动中的沟通方法与技巧，冲突处理的策略和技巧。。</w:t>
            </w:r>
          </w:p>
        </w:tc>
        <w:tc>
          <w:tcPr>
            <w:tcW w:w="1316" w:type="dxa"/>
            <w:tcBorders>
              <w:right w:val="single" w:color="auto" w:sz="12" w:space="0"/>
            </w:tcBorders>
            <w:vAlign w:val="center"/>
          </w:tcPr>
          <w:p>
            <w:pPr>
              <w:pStyle w:val="17"/>
              <w:rPr>
                <w:highlight w:val="none"/>
              </w:rPr>
            </w:pPr>
            <w:r>
              <w:rPr>
                <w:rFonts w:hint="eastAsia"/>
                <w:highlight w:val="none"/>
              </w:rPr>
              <w:t>1</w:t>
            </w:r>
            <w:r>
              <w:rPr>
                <w:highlight w:val="none"/>
              </w:rPr>
              <w:t>00</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pPr>
              <w:pStyle w:val="17"/>
              <w:rPr>
                <w:highlight w:val="none"/>
              </w:rPr>
            </w:pPr>
            <w:r>
              <w:rPr>
                <w:rFonts w:hint="eastAsia"/>
                <w:highlight w:val="none"/>
              </w:rPr>
              <w:t>L</w:t>
            </w:r>
            <w:r>
              <w:rPr>
                <w:highlight w:val="none"/>
              </w:rPr>
              <w:t>06</w:t>
            </w:r>
          </w:p>
        </w:tc>
        <w:tc>
          <w:tcPr>
            <w:tcW w:w="775" w:type="dxa"/>
            <w:tcBorders>
              <w:left w:val="single" w:color="auto" w:sz="4" w:space="0"/>
              <w:bottom w:val="single" w:color="auto" w:sz="12" w:space="0"/>
            </w:tcBorders>
            <w:vAlign w:val="center"/>
          </w:tcPr>
          <w:p>
            <w:pPr>
              <w:pStyle w:val="17"/>
              <w:widowControl w:val="0"/>
              <w:numPr>
                <w:ilvl w:val="0"/>
                <w:numId w:val="1"/>
              </w:numPr>
              <w:jc w:val="both"/>
              <w:rPr>
                <w:highlight w:val="none"/>
              </w:rPr>
            </w:pPr>
          </w:p>
        </w:tc>
        <w:tc>
          <w:tcPr>
            <w:tcW w:w="775" w:type="dxa"/>
            <w:tcBorders>
              <w:bottom w:val="single" w:color="auto" w:sz="12" w:space="0"/>
              <w:right w:val="double" w:color="auto" w:sz="4" w:space="0"/>
            </w:tcBorders>
            <w:shd w:val="clear" w:color="auto" w:fill="auto"/>
            <w:vAlign w:val="center"/>
          </w:tcPr>
          <w:p>
            <w:pPr>
              <w:pStyle w:val="17"/>
              <w:rPr>
                <w:highlight w:val="none"/>
              </w:rPr>
            </w:pPr>
            <w:r>
              <w:rPr>
                <w:highlight w:val="none"/>
              </w:rPr>
              <w:t>L</w:t>
            </w:r>
          </w:p>
        </w:tc>
        <w:tc>
          <w:tcPr>
            <w:tcW w:w="4651" w:type="dxa"/>
            <w:tcBorders>
              <w:bottom w:val="single" w:color="auto" w:sz="12" w:space="0"/>
            </w:tcBorders>
            <w:vAlign w:val="center"/>
          </w:tcPr>
          <w:p>
            <w:pPr>
              <w:pStyle w:val="17"/>
              <w:jc w:val="left"/>
              <w:rPr>
                <w:highlight w:val="none"/>
              </w:rPr>
            </w:pPr>
            <w:r>
              <w:rPr>
                <w:highlight w:val="none"/>
              </w:rPr>
              <w:t>4.</w:t>
            </w:r>
            <w:r>
              <w:rPr>
                <w:rFonts w:hint="eastAsia"/>
                <w:highlight w:val="none"/>
              </w:rPr>
              <w:t>会运用批判性思维来看待已有研究成果，运用科学思维方式分析、设计临床护理和护理管理工作过程，有序高效做好临床护理和护理管理工作。</w:t>
            </w:r>
          </w:p>
        </w:tc>
        <w:tc>
          <w:tcPr>
            <w:tcW w:w="1316" w:type="dxa"/>
            <w:tcBorders>
              <w:bottom w:val="single" w:color="auto" w:sz="12" w:space="0"/>
              <w:right w:val="single" w:color="auto" w:sz="12" w:space="0"/>
            </w:tcBorders>
            <w:vAlign w:val="center"/>
          </w:tcPr>
          <w:p>
            <w:pPr>
              <w:pStyle w:val="17"/>
              <w:rPr>
                <w:highlight w:val="none"/>
              </w:rPr>
            </w:pPr>
            <w:r>
              <w:rPr>
                <w:rFonts w:hint="eastAsia"/>
                <w:highlight w:val="none"/>
              </w:rPr>
              <w:t>1</w:t>
            </w:r>
            <w:r>
              <w:rPr>
                <w:highlight w:val="none"/>
              </w:rPr>
              <w:t>00</w:t>
            </w:r>
            <w:r>
              <w:rPr>
                <w:rFonts w:hint="eastAsia"/>
                <w:highlight w:val="none"/>
              </w:rPr>
              <w:t>%</w:t>
            </w:r>
          </w:p>
        </w:tc>
      </w:tr>
    </w:tbl>
    <w:p>
      <w:pPr>
        <w:pStyle w:val="19"/>
        <w:spacing w:before="326" w:beforeLines="100" w:line="360" w:lineRule="auto"/>
        <w:rPr>
          <w:rFonts w:ascii="黑体" w:hAnsi="宋体"/>
          <w:highlight w:val="none"/>
        </w:rPr>
      </w:pPr>
      <w:r>
        <w:rPr>
          <w:rFonts w:hint="eastAsia" w:ascii="黑体" w:hAnsi="宋体"/>
          <w:highlight w:val="none"/>
        </w:rPr>
        <w:t>三、</w:t>
      </w:r>
      <w:r>
        <w:rPr>
          <w:rFonts w:ascii="黑体" w:hAnsi="宋体"/>
          <w:highlight w:val="none"/>
        </w:rPr>
        <w:t>课程内容</w:t>
      </w:r>
      <w:r>
        <w:rPr>
          <w:rFonts w:hint="eastAsia" w:ascii="黑体" w:hAnsi="宋体"/>
          <w:highlight w:val="none"/>
        </w:rPr>
        <w:t>与教学设计</w:t>
      </w:r>
    </w:p>
    <w:p>
      <w:pPr>
        <w:pStyle w:val="20"/>
        <w:spacing w:before="81" w:after="163"/>
      </w:pPr>
      <w:r>
        <w:rPr>
          <w:rFonts w:hint="eastAsia"/>
        </w:rPr>
        <w:t>（一）各教学单元预期学习成果与教学内容</w:t>
      </w:r>
    </w:p>
    <w:tbl>
      <w:tblPr>
        <w:tblStyle w:val="9"/>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2268"/>
        <w:gridCol w:w="198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456" w:type="dxa"/>
            <w:vAlign w:val="center"/>
          </w:tcPr>
          <w:p>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序号</w:t>
            </w:r>
          </w:p>
        </w:tc>
        <w:tc>
          <w:tcPr>
            <w:tcW w:w="673" w:type="dxa"/>
            <w:vAlign w:val="center"/>
          </w:tcPr>
          <w:p>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单元名称</w:t>
            </w:r>
          </w:p>
        </w:tc>
        <w:tc>
          <w:tcPr>
            <w:tcW w:w="2268" w:type="dxa"/>
            <w:vAlign w:val="center"/>
          </w:tcPr>
          <w:p>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知识目标</w:t>
            </w:r>
          </w:p>
        </w:tc>
        <w:tc>
          <w:tcPr>
            <w:tcW w:w="1985" w:type="dxa"/>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技能</w:t>
            </w:r>
            <w:r>
              <w:rPr>
                <w:rFonts w:cs="Times New Roman"/>
                <w:b/>
                <w:color w:val="000000"/>
                <w:kern w:val="2"/>
                <w:sz w:val="21"/>
                <w:szCs w:val="21"/>
              </w:rPr>
              <w:t>目标</w:t>
            </w:r>
          </w:p>
        </w:tc>
        <w:tc>
          <w:tcPr>
            <w:tcW w:w="1134" w:type="dxa"/>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素养</w:t>
            </w:r>
            <w:r>
              <w:rPr>
                <w:rFonts w:cs="Times New Roman"/>
                <w:b/>
                <w:color w:val="000000"/>
                <w:kern w:val="2"/>
                <w:sz w:val="21"/>
                <w:szCs w:val="21"/>
              </w:rPr>
              <w:t>目标</w:t>
            </w:r>
          </w:p>
        </w:tc>
        <w:tc>
          <w:tcPr>
            <w:tcW w:w="1276" w:type="dxa"/>
          </w:tcPr>
          <w:p>
            <w:pPr>
              <w:widowControl w:val="0"/>
              <w:snapToGrid w:val="0"/>
              <w:spacing w:line="288" w:lineRule="auto"/>
              <w:jc w:val="center"/>
              <w:rPr>
                <w:rFonts w:cs="Times New Roman"/>
                <w:b/>
                <w:color w:val="000000"/>
                <w:kern w:val="2"/>
                <w:sz w:val="21"/>
                <w:szCs w:val="21"/>
              </w:rPr>
            </w:pPr>
          </w:p>
          <w:p>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绪论</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：管理、管理学、护理管理的相关概念、特点及特征。</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2.理解：管理的内涵及基本特征、护理管理的研究内容、不同理论模式下护理管理者角色</w:t>
            </w:r>
            <w:r>
              <w:rPr>
                <w:rFonts w:hint="eastAsia" w:cs="Times New Roman"/>
                <w:bCs/>
                <w:color w:val="000000"/>
                <w:kern w:val="2"/>
                <w:sz w:val="21"/>
                <w:szCs w:val="21"/>
              </w:rPr>
              <w:t>。</w:t>
            </w:r>
          </w:p>
        </w:tc>
        <w:tc>
          <w:tcPr>
            <w:tcW w:w="1985"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能根据护理管理职能，结合临床实际，对护理管理者进行分析和评价</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能结合临床工作实际，分析影响护理管理发展的因素。</w:t>
            </w:r>
          </w:p>
          <w:p>
            <w:pPr>
              <w:widowControl w:val="0"/>
              <w:snapToGrid w:val="0"/>
              <w:spacing w:line="288" w:lineRule="auto"/>
              <w:jc w:val="both"/>
              <w:rPr>
                <w:rFonts w:cs="Times New Roman"/>
                <w:b/>
                <w:color w:val="000000"/>
                <w:kern w:val="2"/>
                <w:sz w:val="21"/>
                <w:szCs w:val="21"/>
              </w:rPr>
            </w:pPr>
          </w:p>
        </w:tc>
        <w:tc>
          <w:tcPr>
            <w:tcW w:w="113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具有运用运用所学知识解决实际问题的意识</w:t>
            </w:r>
          </w:p>
        </w:tc>
        <w:tc>
          <w:tcPr>
            <w:tcW w:w="1276" w:type="dxa"/>
          </w:tcPr>
          <w:p>
            <w:pPr>
              <w:widowControl w:val="0"/>
              <w:jc w:val="both"/>
              <w:rPr>
                <w:rFonts w:cs="Times New Roman"/>
                <w:color w:val="000000"/>
                <w:kern w:val="2"/>
                <w:sz w:val="21"/>
                <w:szCs w:val="21"/>
              </w:rPr>
            </w:pPr>
            <w:r>
              <w:rPr>
                <w:rFonts w:cs="Times New Roman"/>
                <w:bCs/>
                <w:color w:val="000000"/>
                <w:kern w:val="2"/>
                <w:sz w:val="21"/>
                <w:szCs w:val="21"/>
              </w:rPr>
              <w:t>护理管理的管理方法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2</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管理理论和原理</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：科学管理理论、管理过程理论、人际关系理论的主要内容；系统原理和人本原理的主要内容</w:t>
            </w:r>
            <w:r>
              <w:rPr>
                <w:rFonts w:hint="eastAsia" w:cs="Times New Roman"/>
                <w:bCs/>
                <w:color w:val="000000"/>
                <w:kern w:val="2"/>
                <w:sz w:val="21"/>
                <w:szCs w:val="21"/>
              </w:rPr>
              <w:t>。</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2.理解：古典管理理论、行为科学理论、现代管理理论的主要代表人物及主要贡献。现代管理理论的主要学派及主要内容。</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能结合护理管理实践，分析系统原理、人本原理、动态原理及效益原理是的主要观点。</w:t>
            </w:r>
          </w:p>
        </w:tc>
        <w:tc>
          <w:tcPr>
            <w:tcW w:w="113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具有运用系统原理、人本原理处理护患关系的能力。</w:t>
            </w:r>
          </w:p>
        </w:tc>
        <w:tc>
          <w:tcPr>
            <w:tcW w:w="1276" w:type="dxa"/>
          </w:tcPr>
          <w:p>
            <w:pPr>
              <w:widowControl w:val="0"/>
              <w:jc w:val="both"/>
              <w:rPr>
                <w:rFonts w:cs="Times New Roman"/>
                <w:color w:val="000000"/>
                <w:kern w:val="2"/>
                <w:sz w:val="21"/>
                <w:szCs w:val="21"/>
              </w:rPr>
            </w:pPr>
            <w:r>
              <w:rPr>
                <w:rFonts w:cs="Times New Roman"/>
                <w:bCs/>
                <w:color w:val="000000"/>
                <w:kern w:val="2"/>
                <w:sz w:val="21"/>
                <w:szCs w:val="21"/>
              </w:rPr>
              <w:t>科学管理理论、管理过程理论、人际关系理论的主要内容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3</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护理管理环境</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：护理管理环境的概念及内涵、组织文化的概念、管理环境分类及特点。</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2.理解：管理环境与组织的相互作用。</w:t>
            </w:r>
          </w:p>
        </w:tc>
        <w:tc>
          <w:tcPr>
            <w:tcW w:w="1985"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能结合社会现状，分析护理需求，对护理经济环境进行管理。</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能结合临床实际，举例说明护理管理中的任务管理环境。</w:t>
            </w:r>
          </w:p>
          <w:p>
            <w:pPr>
              <w:widowControl w:val="0"/>
              <w:snapToGrid w:val="0"/>
              <w:spacing w:line="288" w:lineRule="auto"/>
              <w:jc w:val="both"/>
              <w:rPr>
                <w:rFonts w:cs="Times New Roman"/>
                <w:b/>
                <w:color w:val="000000"/>
                <w:kern w:val="2"/>
                <w:sz w:val="21"/>
                <w:szCs w:val="21"/>
              </w:rPr>
            </w:pPr>
          </w:p>
        </w:tc>
        <w:tc>
          <w:tcPr>
            <w:tcW w:w="113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具有运用运用所学知识解决实际问题的意识</w:t>
            </w:r>
          </w:p>
        </w:tc>
        <w:tc>
          <w:tcPr>
            <w:tcW w:w="1276" w:type="dxa"/>
          </w:tcPr>
          <w:p>
            <w:pPr>
              <w:widowControl w:val="0"/>
              <w:jc w:val="both"/>
              <w:rPr>
                <w:rFonts w:cs="Times New Roman"/>
                <w:color w:val="000000"/>
                <w:kern w:val="2"/>
                <w:sz w:val="21"/>
                <w:szCs w:val="21"/>
              </w:rPr>
            </w:pPr>
            <w:r>
              <w:rPr>
                <w:rFonts w:cs="Times New Roman"/>
                <w:bCs/>
                <w:color w:val="000000"/>
                <w:kern w:val="2"/>
                <w:sz w:val="21"/>
                <w:szCs w:val="21"/>
              </w:rPr>
              <w:t>护理管理环境的概念及内涵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4</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计划</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：计划的概念、作用、种类及形式。目标管理的概念、特点及过程。项目管理概念、要素及过程。时间管理的概念、作用及管理方法。</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2.理解：计划在护理管理中的作用及意义。</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目标管理与项目管理的异同。</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能运用形成计划的基本步骤及方法，制定合理的护理工作计划。</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能运用时间管理方法，提升护理管理的有效性。</w:t>
            </w:r>
          </w:p>
          <w:p>
            <w:pPr>
              <w:widowControl w:val="0"/>
              <w:snapToGrid w:val="0"/>
              <w:spacing w:line="288" w:lineRule="auto"/>
              <w:jc w:val="both"/>
              <w:rPr>
                <w:rFonts w:cs="Times New Roman"/>
                <w:b/>
                <w:color w:val="000000"/>
                <w:kern w:val="2"/>
                <w:sz w:val="21"/>
                <w:szCs w:val="21"/>
              </w:rPr>
            </w:pPr>
          </w:p>
        </w:tc>
        <w:tc>
          <w:tcPr>
            <w:tcW w:w="113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具有结合临床护理工作实际,制定合理计划的能力。</w:t>
            </w:r>
          </w:p>
        </w:tc>
        <w:tc>
          <w:tcPr>
            <w:tcW w:w="1276" w:type="dxa"/>
          </w:tcPr>
          <w:p>
            <w:pPr>
              <w:widowControl w:val="0"/>
              <w:jc w:val="both"/>
              <w:rPr>
                <w:rFonts w:cs="Times New Roman"/>
                <w:color w:val="000000"/>
                <w:kern w:val="2"/>
                <w:sz w:val="21"/>
                <w:szCs w:val="21"/>
              </w:rPr>
            </w:pPr>
            <w:r>
              <w:rPr>
                <w:rFonts w:cs="Times New Roman"/>
                <w:bCs/>
                <w:color w:val="000000"/>
                <w:kern w:val="2"/>
                <w:sz w:val="21"/>
                <w:szCs w:val="21"/>
              </w:rPr>
              <w:t>计划的概念、作用、种类及形式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5</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组织</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：组织的概念及含义、组织结构的基本类型及有优缺点、组织设计的原则、组织变革的概念及内容</w:t>
            </w:r>
            <w:r>
              <w:rPr>
                <w:rFonts w:hint="eastAsia" w:cs="Times New Roman"/>
                <w:bCs/>
                <w:color w:val="000000"/>
                <w:kern w:val="2"/>
                <w:sz w:val="21"/>
                <w:szCs w:val="21"/>
              </w:rPr>
              <w:t>。</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2.理解：组织的基本要素、正式组织与非正式组织的特点及区别</w:t>
            </w:r>
            <w:r>
              <w:rPr>
                <w:rFonts w:hint="eastAsia" w:cs="Times New Roman"/>
                <w:bCs/>
                <w:color w:val="000000"/>
                <w:kern w:val="2"/>
                <w:sz w:val="21"/>
                <w:szCs w:val="21"/>
              </w:rPr>
              <w:t>。</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能结合三级医院的业务组织机构图解释各部门的相互关系。</w:t>
            </w:r>
          </w:p>
        </w:tc>
        <w:tc>
          <w:tcPr>
            <w:tcW w:w="113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具有运用运用所学知识解决实际问题的意识</w:t>
            </w:r>
          </w:p>
        </w:tc>
        <w:tc>
          <w:tcPr>
            <w:tcW w:w="1276" w:type="dxa"/>
          </w:tcPr>
          <w:p>
            <w:pPr>
              <w:widowControl w:val="0"/>
              <w:jc w:val="both"/>
              <w:rPr>
                <w:rFonts w:cs="Times New Roman"/>
                <w:bCs/>
                <w:color w:val="000000"/>
                <w:kern w:val="2"/>
                <w:sz w:val="21"/>
                <w:szCs w:val="21"/>
              </w:rPr>
            </w:pPr>
            <w:r>
              <w:rPr>
                <w:rFonts w:cs="Times New Roman"/>
                <w:bCs/>
                <w:color w:val="000000"/>
                <w:kern w:val="2"/>
                <w:sz w:val="21"/>
                <w:szCs w:val="21"/>
              </w:rPr>
              <w:t>正式组织与非正式组织的特点及区别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6</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护理人力资源管理</w:t>
            </w:r>
          </w:p>
          <w:p>
            <w:pPr>
              <w:widowControl w:val="0"/>
              <w:snapToGrid w:val="0"/>
              <w:spacing w:line="288" w:lineRule="auto"/>
              <w:jc w:val="center"/>
              <w:rPr>
                <w:rFonts w:cs="Times New Roman"/>
                <w:bCs/>
                <w:color w:val="000000"/>
                <w:kern w:val="2"/>
                <w:sz w:val="21"/>
                <w:szCs w:val="21"/>
              </w:rPr>
            </w:pP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：护理人力资源管理的目标和特点、护理人员编制依据、护理人员排班以及薪酬的影响因素。</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2.理解：护理人力资源管理的内容、护理人才绩效考核的原则和方法、护理人才培训的内容和途径。</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能运用护理人力配置原则与方法计算护士数量。</w:t>
            </w:r>
          </w:p>
        </w:tc>
        <w:tc>
          <w:tcPr>
            <w:tcW w:w="113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运用所学知识设计个人的职业发展规划。</w:t>
            </w:r>
          </w:p>
        </w:tc>
        <w:tc>
          <w:tcPr>
            <w:tcW w:w="1276" w:type="dxa"/>
          </w:tcPr>
          <w:p>
            <w:pPr>
              <w:widowControl w:val="0"/>
              <w:jc w:val="both"/>
              <w:rPr>
                <w:rFonts w:cs="Times New Roman"/>
                <w:color w:val="000000"/>
                <w:kern w:val="2"/>
                <w:sz w:val="21"/>
                <w:szCs w:val="21"/>
              </w:rPr>
            </w:pPr>
            <w:r>
              <w:rPr>
                <w:rFonts w:cs="Times New Roman"/>
                <w:bCs/>
                <w:color w:val="000000"/>
                <w:kern w:val="2"/>
                <w:sz w:val="21"/>
                <w:szCs w:val="21"/>
              </w:rPr>
              <w:t>护理人员编制依据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7</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领导</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：领导者影响力的分类及来源，激励、授权、压力管理的概念、授权及创新的基本步骤。</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2.理解：领导者应具备的基本素质、领导基本理论。</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学会运用领导理论、艺术分析解决实际问题。</w:t>
            </w:r>
          </w:p>
          <w:p>
            <w:pPr>
              <w:widowControl w:val="0"/>
              <w:snapToGrid w:val="0"/>
              <w:spacing w:line="288" w:lineRule="auto"/>
              <w:jc w:val="both"/>
              <w:rPr>
                <w:rFonts w:cs="Times New Roman"/>
                <w:b/>
                <w:color w:val="000000"/>
                <w:kern w:val="2"/>
                <w:sz w:val="21"/>
                <w:szCs w:val="21"/>
              </w:rPr>
            </w:pPr>
          </w:p>
        </w:tc>
        <w:tc>
          <w:tcPr>
            <w:tcW w:w="113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具有良好护患沟通能力。</w:t>
            </w:r>
          </w:p>
          <w:p>
            <w:pPr>
              <w:widowControl w:val="0"/>
              <w:snapToGrid w:val="0"/>
              <w:spacing w:line="288" w:lineRule="auto"/>
              <w:jc w:val="both"/>
              <w:rPr>
                <w:rFonts w:cs="Times New Roman"/>
                <w:b/>
                <w:color w:val="000000"/>
                <w:kern w:val="2"/>
                <w:sz w:val="21"/>
                <w:szCs w:val="21"/>
              </w:rPr>
            </w:pPr>
          </w:p>
        </w:tc>
        <w:tc>
          <w:tcPr>
            <w:tcW w:w="1276" w:type="dxa"/>
          </w:tcPr>
          <w:p>
            <w:pPr>
              <w:widowControl w:val="0"/>
              <w:jc w:val="both"/>
              <w:rPr>
                <w:rFonts w:cs="Times New Roman"/>
                <w:color w:val="000000"/>
                <w:kern w:val="2"/>
                <w:sz w:val="21"/>
                <w:szCs w:val="21"/>
              </w:rPr>
            </w:pPr>
            <w:r>
              <w:rPr>
                <w:rFonts w:cs="Times New Roman"/>
                <w:bCs/>
                <w:color w:val="000000"/>
                <w:kern w:val="2"/>
                <w:sz w:val="21"/>
                <w:szCs w:val="21"/>
              </w:rPr>
              <w:t>授权及创新的基本步骤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8</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管理沟通与冲突</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：管理沟通的概念及原则、管理沟通的类型、冲突的概念及分类。</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2.理解：管理沟通的目标及作用、影响沟通的因素、冲突的基本过程、冲突处理决策及方法。</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结合临床实际工作正确使用管理沟通方法及技巧。</w:t>
            </w:r>
          </w:p>
        </w:tc>
        <w:tc>
          <w:tcPr>
            <w:tcW w:w="113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具有良好的沟通能力与解决冲突的有效策略。</w:t>
            </w:r>
          </w:p>
        </w:tc>
        <w:tc>
          <w:tcPr>
            <w:tcW w:w="1276" w:type="dxa"/>
          </w:tcPr>
          <w:p>
            <w:pPr>
              <w:widowControl w:val="0"/>
              <w:jc w:val="both"/>
              <w:rPr>
                <w:rFonts w:cs="Times New Roman"/>
                <w:bCs/>
                <w:color w:val="000000"/>
                <w:kern w:val="2"/>
                <w:sz w:val="21"/>
                <w:szCs w:val="21"/>
              </w:rPr>
            </w:pPr>
            <w:r>
              <w:rPr>
                <w:rFonts w:cs="Times New Roman"/>
                <w:bCs/>
                <w:color w:val="000000"/>
                <w:kern w:val="2"/>
                <w:sz w:val="21"/>
                <w:szCs w:val="21"/>
              </w:rPr>
              <w:t>管理沟通的概念及原则、管理沟通的类型。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9</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控制</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：控制的概念、控制的功能、基本原则、控制的程序及控制的方式。</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2.理解：控制在护理安全管理中的应用。</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学会运用控制理论解决护理安全管理中存在的问题。</w:t>
            </w:r>
          </w:p>
        </w:tc>
        <w:tc>
          <w:tcPr>
            <w:tcW w:w="113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具有危机事件控制和处理的能力。</w:t>
            </w:r>
          </w:p>
        </w:tc>
        <w:tc>
          <w:tcPr>
            <w:tcW w:w="1276" w:type="dxa"/>
          </w:tcPr>
          <w:p>
            <w:pPr>
              <w:widowControl w:val="0"/>
              <w:jc w:val="both"/>
              <w:rPr>
                <w:rFonts w:cs="Times New Roman"/>
                <w:color w:val="000000"/>
                <w:kern w:val="2"/>
                <w:sz w:val="21"/>
                <w:szCs w:val="21"/>
              </w:rPr>
            </w:pPr>
            <w:r>
              <w:rPr>
                <w:rFonts w:cs="Times New Roman"/>
                <w:bCs/>
                <w:color w:val="000000"/>
                <w:kern w:val="2"/>
                <w:sz w:val="21"/>
                <w:szCs w:val="21"/>
              </w:rPr>
              <w:t>控制在护理安全管理中的应用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10</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护理质量管理</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：护理质量管理的概念、原则；护理质量标准的类型；护理质量缺陷的原因及管理措施。</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2.理解：护理质量管理的任务；差错、事故的概念及分类。</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学会运用PDCA循环、品管圈分析解决实际问题。</w:t>
            </w:r>
          </w:p>
        </w:tc>
        <w:tc>
          <w:tcPr>
            <w:tcW w:w="113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具有质量管理的意识和基本能力。</w:t>
            </w:r>
          </w:p>
          <w:p>
            <w:pPr>
              <w:widowControl w:val="0"/>
              <w:snapToGrid w:val="0"/>
              <w:spacing w:line="288" w:lineRule="auto"/>
              <w:jc w:val="both"/>
              <w:rPr>
                <w:rFonts w:cs="Times New Roman"/>
                <w:b/>
                <w:color w:val="000000"/>
                <w:kern w:val="2"/>
                <w:sz w:val="21"/>
                <w:szCs w:val="21"/>
              </w:rPr>
            </w:pPr>
          </w:p>
        </w:tc>
        <w:tc>
          <w:tcPr>
            <w:tcW w:w="1276" w:type="dxa"/>
          </w:tcPr>
          <w:p>
            <w:pPr>
              <w:widowControl w:val="0"/>
              <w:jc w:val="both"/>
              <w:rPr>
                <w:rFonts w:cs="Times New Roman"/>
                <w:color w:val="000000"/>
                <w:kern w:val="2"/>
                <w:sz w:val="21"/>
                <w:szCs w:val="21"/>
              </w:rPr>
            </w:pPr>
            <w:r>
              <w:rPr>
                <w:rFonts w:cs="Times New Roman"/>
                <w:bCs/>
                <w:color w:val="000000"/>
                <w:kern w:val="2"/>
                <w:sz w:val="21"/>
                <w:szCs w:val="21"/>
              </w:rPr>
              <w:t>护理质量缺陷的原因及管理措施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11</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护理信息管理</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：信息的概念、特征；护理信息的特征、收集方法。</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2.理解：护理信息的分类及护理信息管理的措施、医院信息系统的概念、功能及构成。</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学会操作使用护理信息系统及医院信息系统。</w:t>
            </w:r>
          </w:p>
        </w:tc>
        <w:tc>
          <w:tcPr>
            <w:tcW w:w="113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具有对护理信息收集、分析、归纳、判断和运用的能力。</w:t>
            </w:r>
          </w:p>
        </w:tc>
        <w:tc>
          <w:tcPr>
            <w:tcW w:w="1276"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护理信息管理的措施</w:t>
            </w:r>
          </w:p>
          <w:p>
            <w:pPr>
              <w:widowControl w:val="0"/>
              <w:jc w:val="both"/>
              <w:rPr>
                <w:rFonts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12</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护理管理与医疗卫生法律法规</w:t>
            </w:r>
          </w:p>
        </w:tc>
        <w:tc>
          <w:tcPr>
            <w:tcW w:w="2268"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：卫生法、医政法、护理法、药品不良反应、医疗事故等相关概念。</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2.理解：护理管理相关的法律、法规和政策。</w:t>
            </w:r>
          </w:p>
          <w:p>
            <w:pPr>
              <w:widowControl w:val="0"/>
              <w:snapToGrid w:val="0"/>
              <w:spacing w:line="288" w:lineRule="auto"/>
              <w:jc w:val="both"/>
              <w:rPr>
                <w:rFonts w:cs="Times New Roman"/>
                <w:bCs/>
                <w:color w:val="000000"/>
                <w:kern w:val="2"/>
                <w:sz w:val="21"/>
                <w:szCs w:val="21"/>
              </w:rPr>
            </w:pPr>
          </w:p>
        </w:tc>
        <w:tc>
          <w:tcPr>
            <w:tcW w:w="1985"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能将与护理管理相关的法律法规与临床护理管理中的具体案例、问题相结合，做到依法执业和安全执业。</w:t>
            </w:r>
          </w:p>
        </w:tc>
        <w:tc>
          <w:tcPr>
            <w:tcW w:w="113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遵守相关法律的责任与义务。</w:t>
            </w:r>
          </w:p>
        </w:tc>
        <w:tc>
          <w:tcPr>
            <w:tcW w:w="1276"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卫生法、医政法、护理法、药品不良反应、医疗事故等相关概念。</w:t>
            </w:r>
          </w:p>
          <w:p>
            <w:pPr>
              <w:widowControl w:val="0"/>
              <w:jc w:val="both"/>
              <w:rPr>
                <w:rFonts w:cs="Times New Roman"/>
                <w:color w:val="000000"/>
                <w:kern w:val="2"/>
                <w:sz w:val="21"/>
                <w:szCs w:val="21"/>
              </w:rPr>
            </w:pPr>
          </w:p>
        </w:tc>
      </w:tr>
    </w:tbl>
    <w:p>
      <w:pPr>
        <w:pStyle w:val="20"/>
        <w:spacing w:before="81" w:after="163"/>
      </w:pPr>
    </w:p>
    <w:p>
      <w:pPr>
        <w:pStyle w:val="20"/>
        <w:spacing w:before="81" w:after="163"/>
      </w:pPr>
      <w:r>
        <w:rPr>
          <w:rFonts w:hint="eastAsia"/>
        </w:rPr>
        <w:t>（二）教学单元对课程目标的支撑关系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1024"/>
        <w:gridCol w:w="1016"/>
        <w:gridCol w:w="992"/>
        <w:gridCol w:w="89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3379" w:type="dxa"/>
            <w:tcBorders>
              <w:top w:val="single" w:color="auto" w:sz="12" w:space="0"/>
              <w:left w:val="single" w:color="auto" w:sz="12" w:space="0"/>
              <w:tl2br w:val="single" w:color="auto" w:sz="4" w:space="0"/>
            </w:tcBorders>
          </w:tcPr>
          <w:p>
            <w:pPr>
              <w:pStyle w:val="16"/>
              <w:ind w:firstLine="489"/>
              <w:jc w:val="right"/>
              <w:rPr>
                <w:szCs w:val="16"/>
              </w:rPr>
            </w:pPr>
            <w:r>
              <w:rPr>
                <w:rFonts w:hint="eastAsia"/>
                <w:szCs w:val="16"/>
              </w:rPr>
              <w:t>课程目标</w:t>
            </w:r>
          </w:p>
          <w:p>
            <w:pPr>
              <w:pStyle w:val="16"/>
              <w:ind w:right="210"/>
              <w:jc w:val="left"/>
              <w:rPr>
                <w:szCs w:val="16"/>
              </w:rPr>
            </w:pPr>
          </w:p>
          <w:p>
            <w:pPr>
              <w:pStyle w:val="16"/>
              <w:ind w:right="210"/>
              <w:jc w:val="left"/>
              <w:rPr>
                <w:szCs w:val="16"/>
              </w:rPr>
            </w:pPr>
            <w:r>
              <w:rPr>
                <w:rFonts w:hint="eastAsia"/>
                <w:szCs w:val="16"/>
              </w:rPr>
              <w:t>教学单元</w:t>
            </w:r>
          </w:p>
        </w:tc>
        <w:tc>
          <w:tcPr>
            <w:tcW w:w="1000" w:type="dxa"/>
            <w:tcBorders>
              <w:top w:val="single" w:color="auto" w:sz="12" w:space="0"/>
            </w:tcBorders>
            <w:vAlign w:val="center"/>
          </w:tcPr>
          <w:p>
            <w:pPr>
              <w:pStyle w:val="16"/>
              <w:rPr>
                <w:szCs w:val="16"/>
              </w:rPr>
            </w:pPr>
            <w:r>
              <w:rPr>
                <w:rFonts w:hint="eastAsia"/>
                <w:szCs w:val="16"/>
              </w:rPr>
              <w:t>1</w:t>
            </w:r>
          </w:p>
        </w:tc>
        <w:tc>
          <w:tcPr>
            <w:tcW w:w="992" w:type="dxa"/>
            <w:tcBorders>
              <w:top w:val="single" w:color="auto" w:sz="12" w:space="0"/>
            </w:tcBorders>
            <w:vAlign w:val="center"/>
          </w:tcPr>
          <w:p>
            <w:pPr>
              <w:pStyle w:val="16"/>
              <w:rPr>
                <w:szCs w:val="16"/>
              </w:rPr>
            </w:pPr>
            <w:r>
              <w:rPr>
                <w:rFonts w:hint="eastAsia"/>
                <w:szCs w:val="16"/>
              </w:rPr>
              <w:t>2</w:t>
            </w:r>
          </w:p>
        </w:tc>
        <w:tc>
          <w:tcPr>
            <w:tcW w:w="969" w:type="dxa"/>
            <w:tcBorders>
              <w:top w:val="single" w:color="auto" w:sz="12" w:space="0"/>
            </w:tcBorders>
            <w:vAlign w:val="center"/>
          </w:tcPr>
          <w:p>
            <w:pPr>
              <w:pStyle w:val="16"/>
              <w:rPr>
                <w:szCs w:val="16"/>
              </w:rPr>
            </w:pPr>
            <w:r>
              <w:rPr>
                <w:rFonts w:hint="eastAsia"/>
                <w:szCs w:val="16"/>
              </w:rPr>
              <w:t>3</w:t>
            </w:r>
          </w:p>
        </w:tc>
        <w:tc>
          <w:tcPr>
            <w:tcW w:w="874" w:type="dxa"/>
            <w:tcBorders>
              <w:top w:val="single" w:color="auto" w:sz="12" w:space="0"/>
            </w:tcBorders>
            <w:vAlign w:val="center"/>
          </w:tcPr>
          <w:p>
            <w:pPr>
              <w:pStyle w:val="16"/>
              <w:rPr>
                <w:szCs w:val="16"/>
              </w:rPr>
            </w:pPr>
            <w:r>
              <w:rPr>
                <w:rFonts w:hint="eastAsia"/>
                <w:szCs w:val="16"/>
              </w:rPr>
              <w:t>4</w:t>
            </w:r>
          </w:p>
        </w:tc>
        <w:tc>
          <w:tcPr>
            <w:tcW w:w="992" w:type="dxa"/>
            <w:tcBorders>
              <w:top w:val="single" w:color="auto" w:sz="12" w:space="0"/>
              <w:right w:val="single" w:color="auto" w:sz="12" w:space="0"/>
            </w:tcBorders>
            <w:vAlign w:val="center"/>
          </w:tcPr>
          <w:p>
            <w:pPr>
              <w:pStyle w:val="16"/>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pPr>
            <w:r>
              <w:rPr>
                <w:rFonts w:hint="eastAsia"/>
              </w:rPr>
              <w:t>第一章</w:t>
            </w:r>
            <w:r>
              <w:rPr>
                <w:rFonts w:hint="eastAsia" w:ascii="宋体" w:hAnsi="宋体"/>
              </w:rPr>
              <w:t>绪论</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p>
        </w:tc>
        <w:tc>
          <w:tcPr>
            <w:tcW w:w="874" w:type="dxa"/>
          </w:tcPr>
          <w:p>
            <w:pPr>
              <w:pStyle w:val="17"/>
            </w:pP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pPr>
            <w:r>
              <w:rPr>
                <w:rFonts w:hint="eastAsia" w:ascii="宋体" w:hAnsi="宋体"/>
              </w:rPr>
              <w:t>第二章</w:t>
            </w:r>
            <w:r>
              <w:rPr>
                <w:rFonts w:hint="eastAsia" w:ascii="宋体" w:hAnsi="宋体"/>
                <w:color w:val="auto"/>
              </w:rPr>
              <w:t>管理理论和原理</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rPr>
                <w:rFonts w:ascii="宋体" w:hAnsi="宋体"/>
              </w:rPr>
            </w:pPr>
            <w:r>
              <w:rPr>
                <w:rFonts w:hint="eastAsia" w:ascii="宋体" w:hAnsi="宋体"/>
              </w:rPr>
              <w:t>第三章</w:t>
            </w:r>
            <w:r>
              <w:rPr>
                <w:rFonts w:ascii="宋体" w:hAnsi="宋体"/>
                <w:color w:val="auto"/>
              </w:rPr>
              <w:t>护理管理环境</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第四章计划</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第五章组织</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第六章</w:t>
            </w:r>
            <w:r>
              <w:rPr>
                <w:sz w:val="21"/>
                <w:szCs w:val="21"/>
              </w:rPr>
              <w:t>护理人力资源管理</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第七章领导</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第八章</w:t>
            </w:r>
            <w:r>
              <w:rPr>
                <w:sz w:val="21"/>
                <w:szCs w:val="21"/>
              </w:rPr>
              <w:t>管理沟通与冲突</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第九章控制</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pPr>
            <w:r>
              <w:rPr>
                <w:rFonts w:hint="eastAsia"/>
              </w:rPr>
              <w:t>第十章护理质量管理</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4" w:space="0"/>
            </w:tcBorders>
            <w:vAlign w:val="center"/>
          </w:tcPr>
          <w:p>
            <w:pPr>
              <w:pStyle w:val="17"/>
            </w:pPr>
            <w:r>
              <w:rPr>
                <w:rFonts w:hint="eastAsia"/>
              </w:rPr>
              <w:t>第十一章护理信息管理</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12" w:space="0"/>
            </w:tcBorders>
            <w:vAlign w:val="center"/>
          </w:tcPr>
          <w:p>
            <w:pPr>
              <w:pStyle w:val="17"/>
            </w:pPr>
            <w:r>
              <w:rPr>
                <w:rFonts w:hint="eastAsia" w:ascii="宋体" w:hAnsi="宋体"/>
                <w:color w:val="auto"/>
              </w:rPr>
              <w:t>第十二章</w:t>
            </w:r>
            <w:r>
              <w:rPr>
                <w:rFonts w:ascii="宋体" w:hAnsi="宋体"/>
                <w:color w:val="auto"/>
              </w:rPr>
              <w:t>护理管理与医疗卫生法律法规</w:t>
            </w:r>
          </w:p>
        </w:tc>
        <w:tc>
          <w:tcPr>
            <w:tcW w:w="1000" w:type="dxa"/>
            <w:tcBorders>
              <w:bottom w:val="single" w:color="auto" w:sz="12" w:space="0"/>
            </w:tcBorders>
            <w:vAlign w:val="center"/>
          </w:tcPr>
          <w:p>
            <w:pPr>
              <w:pStyle w:val="17"/>
            </w:pPr>
            <w:r>
              <w:rPr>
                <w:rFonts w:hint="eastAsia"/>
              </w:rPr>
              <w:t>√</w:t>
            </w:r>
          </w:p>
        </w:tc>
        <w:tc>
          <w:tcPr>
            <w:tcW w:w="992" w:type="dxa"/>
            <w:tcBorders>
              <w:bottom w:val="single" w:color="auto" w:sz="12" w:space="0"/>
            </w:tcBorders>
            <w:vAlign w:val="center"/>
          </w:tcPr>
          <w:p>
            <w:pPr>
              <w:pStyle w:val="17"/>
            </w:pPr>
          </w:p>
        </w:tc>
        <w:tc>
          <w:tcPr>
            <w:tcW w:w="969" w:type="dxa"/>
            <w:tcBorders>
              <w:bottom w:val="single" w:color="auto" w:sz="12" w:space="0"/>
            </w:tcBorders>
            <w:vAlign w:val="center"/>
          </w:tcPr>
          <w:p>
            <w:pPr>
              <w:pStyle w:val="17"/>
            </w:pPr>
            <w:r>
              <w:rPr>
                <w:rFonts w:hint="eastAsia"/>
              </w:rPr>
              <w:t>√</w:t>
            </w:r>
          </w:p>
        </w:tc>
        <w:tc>
          <w:tcPr>
            <w:tcW w:w="874" w:type="dxa"/>
            <w:tcBorders>
              <w:bottom w:val="single" w:color="auto" w:sz="12" w:space="0"/>
            </w:tcBorders>
            <w:vAlign w:val="center"/>
          </w:tcPr>
          <w:p>
            <w:pPr>
              <w:pStyle w:val="17"/>
            </w:pPr>
          </w:p>
        </w:tc>
        <w:tc>
          <w:tcPr>
            <w:tcW w:w="992" w:type="dxa"/>
            <w:tcBorders>
              <w:bottom w:val="single" w:color="auto" w:sz="12" w:space="0"/>
              <w:right w:val="single" w:color="auto" w:sz="12" w:space="0"/>
            </w:tcBorders>
            <w:vAlign w:val="center"/>
          </w:tcPr>
          <w:p>
            <w:pPr>
              <w:pStyle w:val="17"/>
            </w:pPr>
            <w:r>
              <w:rPr>
                <w:rFonts w:hint="eastAsia"/>
              </w:rPr>
              <w:t>√</w:t>
            </w:r>
          </w:p>
        </w:tc>
      </w:tr>
    </w:tbl>
    <w:p>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第一章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第二章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第三章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第四章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4</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第五章</w:t>
            </w:r>
          </w:p>
        </w:tc>
        <w:tc>
          <w:tcPr>
            <w:tcW w:w="2690" w:type="dxa"/>
            <w:vAlign w:val="center"/>
          </w:tcPr>
          <w:p>
            <w:pPr>
              <w:widowControl w:val="0"/>
              <w:snapToGrid w:val="0"/>
              <w:jc w:val="center"/>
              <w:rPr>
                <w:sz w:val="21"/>
                <w:szCs w:val="21"/>
              </w:rPr>
            </w:pPr>
            <w:r>
              <w:rPr>
                <w:rFonts w:hint="eastAsia"/>
                <w:sz w:val="21"/>
                <w:szCs w:val="21"/>
              </w:rPr>
              <w:t>讲述法、讨论教学法；问题导向学习</w:t>
            </w:r>
          </w:p>
        </w:tc>
        <w:tc>
          <w:tcPr>
            <w:tcW w:w="1697" w:type="dxa"/>
            <w:vAlign w:val="center"/>
          </w:tcPr>
          <w:p>
            <w:pPr>
              <w:widowControl w:val="0"/>
              <w:snapToGrid w:val="0"/>
              <w:jc w:val="center"/>
              <w:rPr>
                <w:sz w:val="21"/>
                <w:szCs w:val="21"/>
              </w:rPr>
            </w:pPr>
            <w:r>
              <w:rPr>
                <w:rFonts w:hint="eastAsia"/>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第六章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4</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第七章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sz w:val="21"/>
                <w:szCs w:val="21"/>
              </w:rPr>
              <w:t>纸笔测试</w:t>
            </w:r>
          </w:p>
        </w:tc>
        <w:tc>
          <w:tcPr>
            <w:tcW w:w="708" w:type="dxa"/>
            <w:vAlign w:val="center"/>
          </w:tcPr>
          <w:p>
            <w:pPr>
              <w:widowControl w:val="0"/>
              <w:snapToGrid w:val="0"/>
              <w:jc w:val="center"/>
              <w:rPr>
                <w:sz w:val="20"/>
                <w:szCs w:val="20"/>
              </w:rPr>
            </w:pPr>
            <w:r>
              <w:rPr>
                <w:sz w:val="20"/>
                <w:szCs w:val="20"/>
              </w:rPr>
              <w:t>4</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第八章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第九章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1"/>
                <w:szCs w:val="21"/>
              </w:rPr>
              <w:t>第十章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4</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第十一章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rFonts w:hint="eastAsia"/>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第十二章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rFonts w:hint="eastAsia"/>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6"/>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32</w:t>
            </w:r>
          </w:p>
        </w:tc>
      </w:tr>
    </w:tbl>
    <w:p>
      <w:pPr>
        <w:pStyle w:val="19"/>
        <w:spacing w:before="326" w:beforeLines="100" w:line="360" w:lineRule="auto"/>
        <w:ind w:firstLine="140" w:firstLineChars="50"/>
        <w:rPr>
          <w:rFonts w:ascii="黑体" w:hAnsi="宋体"/>
          <w:highlight w:val="yellow"/>
        </w:rPr>
      </w:pPr>
      <w:bookmarkStart w:id="0" w:name="OLE_LINK1"/>
      <w:bookmarkStart w:id="1" w:name="OLE_LINK2"/>
      <w:r>
        <w:rPr>
          <w:rFonts w:hint="eastAsia" w:ascii="黑体" w:hAnsi="宋体"/>
        </w:rPr>
        <w:t>四、课程思政教学设计</w:t>
      </w:r>
    </w:p>
    <w:bookmarkEnd w:id="0"/>
    <w:bookmarkEnd w:id="1"/>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7"/>
              <w:widowControl w:val="0"/>
              <w:ind w:firstLine="420" w:firstLineChars="200"/>
              <w:jc w:val="left"/>
            </w:pPr>
            <w:r>
              <w:rPr>
                <w:rFonts w:hint="eastAsia"/>
              </w:rPr>
              <w:t>护理管理学课程思政教学，以习近平总书记“广大医务工作者要恪守医德医风，修医德、行仁术，怀救苦之心、做苍生大医，努力为人民群众提供更加优质高效的健康服务”的讲话为核心，挖掘思政元素，融入课堂。从明确护理管理的重要意义，培养关爱生命、尊重护理对象的职业精神和态度。培养具有良好的法律意识，自觉遵纪守法、抵制不良执业行为，避免护理工作中医患纠纷发生。培养具有稳定的心理素质、良好的护理职业道德和职业情感。</w:t>
            </w:r>
          </w:p>
        </w:tc>
      </w:tr>
    </w:tbl>
    <w:p>
      <w:pPr>
        <w:pStyle w:val="19"/>
        <w:spacing w:before="326" w:beforeLines="100" w:line="360" w:lineRule="auto"/>
        <w:rPr>
          <w:rFonts w:ascii="黑体" w:hAnsi="宋体"/>
        </w:rPr>
      </w:pPr>
      <w:r>
        <w:rPr>
          <w:rFonts w:hint="eastAsia" w:ascii="黑体" w:hAnsi="宋体"/>
        </w:rPr>
        <w:t>五、课程考核</w:t>
      </w:r>
      <w:bookmarkStart w:id="2" w:name="OLE_LINK4"/>
      <w:bookmarkStart w:id="3" w:name="OLE_LINK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总评构成</w:t>
            </w:r>
          </w:p>
        </w:tc>
        <w:tc>
          <w:tcPr>
            <w:tcW w:w="758" w:type="dxa"/>
            <w:vMerge w:val="restart"/>
            <w:tcBorders>
              <w:top w:val="single" w:color="auto" w:sz="12" w:space="0"/>
            </w:tcBorders>
            <w:vAlign w:val="center"/>
          </w:tcPr>
          <w:p>
            <w:pPr>
              <w:pStyle w:val="19"/>
              <w:widowControl w:val="0"/>
              <w:spacing w:line="240" w:lineRule="auto"/>
              <w:jc w:val="center"/>
              <w:rPr>
                <w:rFonts w:hint="eastAsia" w:ascii="宋体" w:hAnsi="宋体" w:eastAsia="宋体" w:cs="宋体"/>
                <w:sz w:val="21"/>
                <w:szCs w:val="21"/>
              </w:rPr>
            </w:pPr>
            <w:r>
              <w:rPr>
                <w:rFonts w:hint="eastAsia" w:ascii="宋体" w:hAnsi="宋体" w:eastAsia="宋体" w:cs="宋体"/>
                <w:bCs/>
                <w:sz w:val="21"/>
                <w:szCs w:val="21"/>
              </w:rPr>
              <w:t>占比</w:t>
            </w:r>
          </w:p>
        </w:tc>
        <w:tc>
          <w:tcPr>
            <w:tcW w:w="2518" w:type="dxa"/>
            <w:vMerge w:val="restart"/>
            <w:tcBorders>
              <w:top w:val="single" w:color="auto" w:sz="12" w:space="0"/>
              <w:right w:val="double" w:color="auto" w:sz="4" w:space="0"/>
            </w:tcBorders>
            <w:vAlign w:val="center"/>
          </w:tcPr>
          <w:p>
            <w:pPr>
              <w:pStyle w:val="19"/>
              <w:widowControl w:val="0"/>
              <w:jc w:val="center"/>
              <w:rPr>
                <w:rFonts w:hint="eastAsia" w:ascii="宋体" w:hAnsi="宋体" w:eastAsia="宋体" w:cs="宋体"/>
                <w:bCs/>
                <w:sz w:val="21"/>
                <w:szCs w:val="21"/>
              </w:rPr>
            </w:pPr>
            <w:r>
              <w:rPr>
                <w:rFonts w:hint="eastAsia" w:ascii="宋体" w:hAnsi="宋体" w:eastAsia="宋体" w:cs="宋体"/>
                <w:bCs/>
                <w:sz w:val="21"/>
                <w:szCs w:val="21"/>
              </w:rPr>
              <w:t>考核方式</w:t>
            </w:r>
          </w:p>
        </w:tc>
        <w:tc>
          <w:tcPr>
            <w:tcW w:w="3275" w:type="dxa"/>
            <w:gridSpan w:val="5"/>
            <w:tcBorders>
              <w:top w:val="single" w:color="auto" w:sz="12" w:space="0"/>
              <w:left w:val="double" w:color="auto" w:sz="4" w:space="0"/>
            </w:tcBorders>
            <w:vAlign w:val="center"/>
          </w:tcPr>
          <w:p>
            <w:pPr>
              <w:pStyle w:val="19"/>
              <w:widowControl w:val="0"/>
              <w:spacing w:line="240" w:lineRule="auto"/>
              <w:jc w:val="center"/>
              <w:rPr>
                <w:rFonts w:hint="eastAsia" w:ascii="宋体" w:hAnsi="宋体" w:eastAsia="宋体" w:cs="宋体"/>
                <w:sz w:val="21"/>
                <w:szCs w:val="21"/>
              </w:rPr>
            </w:pPr>
            <w:r>
              <w:rPr>
                <w:rFonts w:hint="eastAsia" w:ascii="宋体" w:hAnsi="宋体" w:eastAsia="宋体" w:cs="宋体"/>
                <w:bCs/>
                <w:sz w:val="21"/>
                <w:szCs w:val="21"/>
              </w:rPr>
              <w:t>课程目标</w:t>
            </w:r>
          </w:p>
        </w:tc>
        <w:tc>
          <w:tcPr>
            <w:tcW w:w="755" w:type="dxa"/>
            <w:vMerge w:val="restart"/>
            <w:tcBorders>
              <w:top w:val="single" w:color="auto" w:sz="12" w:space="0"/>
              <w:right w:val="single" w:color="auto" w:sz="12" w:space="0"/>
            </w:tcBorders>
            <w:vAlign w:val="center"/>
          </w:tcPr>
          <w:p>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Merge w:val="continue"/>
            <w:tcBorders>
              <w:left w:val="single" w:color="auto" w:sz="12" w:space="0"/>
            </w:tcBorders>
          </w:tcPr>
          <w:p>
            <w:pPr>
              <w:widowControl w:val="0"/>
              <w:snapToGrid w:val="0"/>
              <w:jc w:val="center"/>
              <w:rPr>
                <w:rFonts w:hint="eastAsia" w:ascii="宋体" w:hAnsi="宋体" w:eastAsia="宋体" w:cs="宋体"/>
                <w:bCs/>
                <w:sz w:val="21"/>
                <w:szCs w:val="21"/>
              </w:rPr>
            </w:pPr>
          </w:p>
        </w:tc>
        <w:tc>
          <w:tcPr>
            <w:tcW w:w="758" w:type="dxa"/>
            <w:vMerge w:val="continue"/>
          </w:tcPr>
          <w:p>
            <w:pPr>
              <w:pStyle w:val="19"/>
              <w:widowControl w:val="0"/>
              <w:jc w:val="both"/>
              <w:rPr>
                <w:rFonts w:hint="eastAsia" w:ascii="宋体" w:hAnsi="宋体" w:eastAsia="宋体" w:cs="宋体"/>
                <w:bCs/>
                <w:sz w:val="21"/>
                <w:szCs w:val="21"/>
              </w:rPr>
            </w:pPr>
          </w:p>
        </w:tc>
        <w:tc>
          <w:tcPr>
            <w:tcW w:w="2518" w:type="dxa"/>
            <w:vMerge w:val="continue"/>
            <w:tcBorders>
              <w:right w:val="double" w:color="auto" w:sz="4" w:space="0"/>
            </w:tcBorders>
          </w:tcPr>
          <w:p>
            <w:pPr>
              <w:pStyle w:val="19"/>
              <w:widowControl w:val="0"/>
              <w:jc w:val="both"/>
              <w:rPr>
                <w:rFonts w:hint="eastAsia" w:ascii="宋体" w:hAnsi="宋体" w:eastAsia="宋体" w:cs="宋体"/>
                <w:bCs/>
                <w:sz w:val="21"/>
                <w:szCs w:val="21"/>
              </w:rPr>
            </w:pPr>
          </w:p>
        </w:tc>
        <w:tc>
          <w:tcPr>
            <w:tcW w:w="655" w:type="dxa"/>
            <w:tcBorders>
              <w:left w:val="double" w:color="auto" w:sz="4" w:space="0"/>
            </w:tcBorders>
            <w:vAlign w:val="center"/>
          </w:tcPr>
          <w:p>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655" w:type="dxa"/>
            <w:vAlign w:val="center"/>
          </w:tcPr>
          <w:p>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655" w:type="dxa"/>
            <w:vAlign w:val="center"/>
          </w:tcPr>
          <w:p>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655" w:type="dxa"/>
            <w:vAlign w:val="center"/>
          </w:tcPr>
          <w:p>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655" w:type="dxa"/>
            <w:vAlign w:val="center"/>
          </w:tcPr>
          <w:p>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755" w:type="dxa"/>
            <w:vMerge w:val="continue"/>
            <w:tcBorders>
              <w:right w:val="single" w:color="auto" w:sz="12" w:space="0"/>
            </w:tcBorders>
          </w:tcPr>
          <w:p>
            <w:pPr>
              <w:pStyle w:val="19"/>
              <w:widowControl w:val="0"/>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X1</w:t>
            </w:r>
          </w:p>
        </w:tc>
        <w:tc>
          <w:tcPr>
            <w:tcW w:w="758" w:type="dxa"/>
            <w:vAlign w:val="center"/>
          </w:tcPr>
          <w:p>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40%</w:t>
            </w:r>
          </w:p>
        </w:tc>
        <w:tc>
          <w:tcPr>
            <w:tcW w:w="2518" w:type="dxa"/>
            <w:tcBorders>
              <w:right w:val="double" w:color="auto" w:sz="4" w:space="0"/>
            </w:tcBorders>
            <w:vAlign w:val="center"/>
          </w:tcPr>
          <w:p>
            <w:pPr>
              <w:pStyle w:val="8"/>
              <w:keepNext w:val="0"/>
              <w:keepLines w:val="0"/>
              <w:widowControl/>
              <w:suppressLineNumbers w:val="0"/>
              <w:rPr>
                <w:rFonts w:hint="eastAsia" w:ascii="宋体" w:hAnsi="宋体" w:eastAsia="宋体" w:cs="宋体"/>
                <w:b w:val="0"/>
                <w:bCs/>
                <w:sz w:val="21"/>
                <w:szCs w:val="21"/>
              </w:rPr>
            </w:pPr>
            <w:r>
              <w:rPr>
                <w:rFonts w:hint="eastAsia" w:ascii="宋体" w:hAnsi="宋体" w:eastAsia="宋体" w:cs="宋体"/>
                <w:b w:val="0"/>
                <w:bCs/>
                <w:color w:val="000000"/>
                <w:sz w:val="21"/>
                <w:szCs w:val="21"/>
              </w:rPr>
              <w:t>期末随堂测试</w:t>
            </w:r>
          </w:p>
        </w:tc>
        <w:tc>
          <w:tcPr>
            <w:tcW w:w="655" w:type="dxa"/>
            <w:tcBorders>
              <w:left w:val="double" w:color="auto" w:sz="4" w:space="0"/>
            </w:tcBorders>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30</w:t>
            </w:r>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755" w:type="dxa"/>
            <w:tcBorders>
              <w:right w:val="single" w:color="auto" w:sz="12" w:space="0"/>
            </w:tcBorders>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X2</w:t>
            </w:r>
          </w:p>
        </w:tc>
        <w:tc>
          <w:tcPr>
            <w:tcW w:w="758" w:type="dxa"/>
            <w:vAlign w:val="center"/>
          </w:tcPr>
          <w:p>
            <w:pPr>
              <w:widowControl/>
              <w:spacing w:line="360" w:lineRule="auto"/>
              <w:jc w:val="center"/>
              <w:rPr>
                <w:rFonts w:hint="eastAsia" w:ascii="宋体" w:hAnsi="宋体" w:eastAsia="宋体" w:cs="宋体"/>
                <w:b w:val="0"/>
                <w:bCs/>
                <w:sz w:val="21"/>
                <w:szCs w:val="21"/>
              </w:rPr>
            </w:pPr>
            <w:r>
              <w:rPr>
                <w:rFonts w:hint="eastAsia" w:cs="宋体"/>
                <w:kern w:val="0"/>
                <w:sz w:val="21"/>
                <w:szCs w:val="21"/>
                <w:lang w:val="en-US" w:eastAsia="zh-CN"/>
              </w:rPr>
              <w:t>3</w:t>
            </w:r>
            <w:r>
              <w:rPr>
                <w:rFonts w:hint="eastAsia" w:ascii="宋体" w:hAnsi="宋体" w:eastAsia="宋体" w:cs="宋体"/>
                <w:kern w:val="0"/>
                <w:sz w:val="21"/>
                <w:szCs w:val="21"/>
              </w:rPr>
              <w:t>0%</w:t>
            </w:r>
          </w:p>
        </w:tc>
        <w:tc>
          <w:tcPr>
            <w:tcW w:w="2518" w:type="dxa"/>
            <w:tcBorders>
              <w:right w:val="double" w:color="auto" w:sz="4" w:space="0"/>
            </w:tcBorders>
            <w:vAlign w:val="center"/>
          </w:tcPr>
          <w:p>
            <w:pPr>
              <w:pStyle w:val="8"/>
              <w:keepNext w:val="0"/>
              <w:keepLines w:val="0"/>
              <w:widowControl/>
              <w:suppressLineNumbers w:val="0"/>
              <w:rPr>
                <w:rFonts w:hint="eastAsia" w:ascii="宋体" w:hAnsi="宋体" w:eastAsia="宋体" w:cs="宋体"/>
                <w:b w:val="0"/>
                <w:bCs/>
                <w:sz w:val="21"/>
                <w:szCs w:val="21"/>
              </w:rPr>
            </w:pPr>
            <w:r>
              <w:rPr>
                <w:rFonts w:hint="eastAsia" w:ascii="宋体" w:hAnsi="宋体" w:eastAsia="宋体" w:cs="宋体"/>
                <w:b w:val="0"/>
                <w:bCs/>
                <w:color w:val="000000"/>
                <w:sz w:val="21"/>
                <w:szCs w:val="21"/>
              </w:rPr>
              <w:t>单元测验</w:t>
            </w:r>
          </w:p>
        </w:tc>
        <w:tc>
          <w:tcPr>
            <w:tcW w:w="655" w:type="dxa"/>
            <w:tcBorders>
              <w:left w:val="double" w:color="auto" w:sz="4" w:space="0"/>
            </w:tcBorders>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40</w:t>
            </w:r>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30</w:t>
            </w:r>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30</w:t>
            </w:r>
          </w:p>
        </w:tc>
        <w:tc>
          <w:tcPr>
            <w:tcW w:w="655" w:type="dxa"/>
            <w:vAlign w:val="center"/>
          </w:tcPr>
          <w:p>
            <w:pPr>
              <w:pStyle w:val="17"/>
              <w:widowControl w:val="0"/>
              <w:rPr>
                <w:rFonts w:hint="eastAsia" w:ascii="宋体" w:hAnsi="宋体" w:eastAsia="宋体" w:cs="宋体"/>
                <w:b w:val="0"/>
                <w:bCs/>
                <w:sz w:val="21"/>
                <w:szCs w:val="21"/>
              </w:rPr>
            </w:pPr>
          </w:p>
        </w:tc>
        <w:tc>
          <w:tcPr>
            <w:tcW w:w="655" w:type="dxa"/>
            <w:vAlign w:val="center"/>
          </w:tcPr>
          <w:p>
            <w:pPr>
              <w:pStyle w:val="17"/>
              <w:widowControl w:val="0"/>
              <w:rPr>
                <w:rFonts w:hint="eastAsia" w:ascii="宋体" w:hAnsi="宋体" w:eastAsia="宋体" w:cs="宋体"/>
                <w:b w:val="0"/>
                <w:bCs/>
                <w:sz w:val="21"/>
                <w:szCs w:val="21"/>
              </w:rPr>
            </w:pPr>
          </w:p>
        </w:tc>
        <w:tc>
          <w:tcPr>
            <w:tcW w:w="755" w:type="dxa"/>
            <w:tcBorders>
              <w:right w:val="single" w:color="auto" w:sz="12" w:space="0"/>
            </w:tcBorders>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X3</w:t>
            </w:r>
          </w:p>
        </w:tc>
        <w:tc>
          <w:tcPr>
            <w:tcW w:w="758" w:type="dxa"/>
            <w:vAlign w:val="center"/>
          </w:tcPr>
          <w:p>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20%</w:t>
            </w:r>
          </w:p>
        </w:tc>
        <w:tc>
          <w:tcPr>
            <w:tcW w:w="2518" w:type="dxa"/>
            <w:tcBorders>
              <w:right w:val="double" w:color="auto" w:sz="4" w:space="0"/>
            </w:tcBorders>
            <w:vAlign w:val="center"/>
          </w:tcPr>
          <w:p>
            <w:pPr>
              <w:pStyle w:val="8"/>
              <w:keepNext w:val="0"/>
              <w:keepLines w:val="0"/>
              <w:widowControl/>
              <w:suppressLineNumbers w:val="0"/>
              <w:rPr>
                <w:rFonts w:hint="eastAsia" w:ascii="宋体" w:hAnsi="宋体" w:eastAsia="宋体" w:cs="宋体"/>
                <w:b w:val="0"/>
                <w:bCs/>
                <w:sz w:val="21"/>
                <w:szCs w:val="21"/>
              </w:rPr>
            </w:pPr>
            <w:r>
              <w:rPr>
                <w:rFonts w:hint="eastAsia" w:ascii="宋体" w:hAnsi="宋体" w:eastAsia="宋体" w:cs="宋体"/>
                <w:b w:val="0"/>
                <w:bCs/>
                <w:color w:val="000000"/>
                <w:sz w:val="21"/>
                <w:szCs w:val="21"/>
              </w:rPr>
              <w:t>案例分析</w:t>
            </w:r>
          </w:p>
        </w:tc>
        <w:tc>
          <w:tcPr>
            <w:tcW w:w="655" w:type="dxa"/>
            <w:tcBorders>
              <w:left w:val="double" w:color="auto" w:sz="4" w:space="0"/>
            </w:tcBorders>
            <w:vAlign w:val="center"/>
          </w:tcPr>
          <w:p>
            <w:pPr>
              <w:pStyle w:val="17"/>
              <w:widowControl w:val="0"/>
              <w:rPr>
                <w:rFonts w:hint="eastAsia" w:ascii="宋体" w:hAnsi="宋体" w:eastAsia="宋体" w:cs="宋体"/>
                <w:b w:val="0"/>
                <w:bCs/>
                <w:sz w:val="21"/>
                <w:szCs w:val="21"/>
              </w:rPr>
            </w:pPr>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bookmarkStart w:id="4" w:name="_GoBack"/>
            <w:bookmarkEnd w:id="4"/>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655" w:type="dxa"/>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40</w:t>
            </w:r>
          </w:p>
        </w:tc>
        <w:tc>
          <w:tcPr>
            <w:tcW w:w="755" w:type="dxa"/>
            <w:tcBorders>
              <w:right w:val="single" w:color="auto" w:sz="12" w:space="0"/>
            </w:tcBorders>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top"/>
          </w:tcPr>
          <w:p>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X</w:t>
            </w:r>
            <w:r>
              <w:rPr>
                <w:rFonts w:hint="eastAsia" w:ascii="宋体" w:hAnsi="宋体" w:eastAsia="宋体" w:cs="宋体"/>
                <w:kern w:val="0"/>
                <w:sz w:val="21"/>
                <w:szCs w:val="21"/>
                <w:lang w:val="en-US" w:eastAsia="zh-CN"/>
              </w:rPr>
              <w:t>4</w:t>
            </w:r>
          </w:p>
        </w:tc>
        <w:tc>
          <w:tcPr>
            <w:tcW w:w="758" w:type="dxa"/>
            <w:tcBorders>
              <w:bottom w:val="single" w:color="auto" w:sz="12" w:space="0"/>
            </w:tcBorders>
            <w:vAlign w:val="center"/>
          </w:tcPr>
          <w:p>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10%</w:t>
            </w:r>
          </w:p>
        </w:tc>
        <w:tc>
          <w:tcPr>
            <w:tcW w:w="2518" w:type="dxa"/>
            <w:tcBorders>
              <w:bottom w:val="single" w:color="auto" w:sz="12" w:space="0"/>
              <w:right w:val="double" w:color="auto" w:sz="4" w:space="0"/>
            </w:tcBorders>
            <w:vAlign w:val="center"/>
          </w:tcPr>
          <w:p>
            <w:pPr>
              <w:pStyle w:val="8"/>
              <w:keepNext w:val="0"/>
              <w:keepLines w:val="0"/>
              <w:widowControl/>
              <w:suppressLineNumbers w:val="0"/>
              <w:rPr>
                <w:rFonts w:hint="eastAsia" w:ascii="宋体" w:hAnsi="宋体" w:eastAsia="宋体" w:cs="宋体"/>
                <w:b w:val="0"/>
                <w:bCs/>
                <w:sz w:val="21"/>
                <w:szCs w:val="21"/>
              </w:rPr>
            </w:pPr>
            <w:r>
              <w:rPr>
                <w:rFonts w:hint="eastAsia" w:ascii="宋体" w:hAnsi="宋体" w:eastAsia="宋体" w:cs="宋体"/>
                <w:b w:val="0"/>
                <w:bCs/>
                <w:color w:val="000000"/>
                <w:sz w:val="21"/>
                <w:szCs w:val="21"/>
              </w:rPr>
              <w:t>课堂提问</w:t>
            </w:r>
          </w:p>
        </w:tc>
        <w:tc>
          <w:tcPr>
            <w:tcW w:w="655" w:type="dxa"/>
            <w:tcBorders>
              <w:left w:val="double" w:color="auto" w:sz="4" w:space="0"/>
              <w:bottom w:val="single" w:color="auto" w:sz="12" w:space="0"/>
            </w:tcBorders>
            <w:vAlign w:val="center"/>
          </w:tcPr>
          <w:p>
            <w:pPr>
              <w:pStyle w:val="17"/>
              <w:widowControl w:val="0"/>
              <w:rPr>
                <w:rFonts w:hint="eastAsia" w:ascii="宋体" w:hAnsi="宋体" w:eastAsia="宋体" w:cs="宋体"/>
                <w:b w:val="0"/>
                <w:bCs/>
                <w:sz w:val="21"/>
                <w:szCs w:val="21"/>
              </w:rPr>
            </w:pPr>
          </w:p>
        </w:tc>
        <w:tc>
          <w:tcPr>
            <w:tcW w:w="655" w:type="dxa"/>
            <w:tcBorders>
              <w:bottom w:val="single" w:color="auto" w:sz="12" w:space="0"/>
            </w:tcBorders>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30</w:t>
            </w:r>
          </w:p>
        </w:tc>
        <w:tc>
          <w:tcPr>
            <w:tcW w:w="655" w:type="dxa"/>
            <w:tcBorders>
              <w:bottom w:val="single" w:color="auto" w:sz="12" w:space="0"/>
            </w:tcBorders>
            <w:vAlign w:val="center"/>
          </w:tcPr>
          <w:p>
            <w:pPr>
              <w:pStyle w:val="17"/>
              <w:widowControl w:val="0"/>
              <w:rPr>
                <w:rFonts w:hint="eastAsia" w:ascii="宋体" w:hAnsi="宋体" w:eastAsia="宋体" w:cs="宋体"/>
                <w:b w:val="0"/>
                <w:bCs/>
                <w:sz w:val="21"/>
                <w:szCs w:val="21"/>
              </w:rPr>
            </w:pPr>
          </w:p>
        </w:tc>
        <w:tc>
          <w:tcPr>
            <w:tcW w:w="655" w:type="dxa"/>
            <w:tcBorders>
              <w:bottom w:val="single" w:color="auto" w:sz="12" w:space="0"/>
            </w:tcBorders>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30</w:t>
            </w:r>
          </w:p>
        </w:tc>
        <w:tc>
          <w:tcPr>
            <w:tcW w:w="655" w:type="dxa"/>
            <w:tcBorders>
              <w:bottom w:val="single" w:color="auto" w:sz="12" w:space="0"/>
            </w:tcBorders>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40</w:t>
            </w:r>
          </w:p>
        </w:tc>
        <w:tc>
          <w:tcPr>
            <w:tcW w:w="755" w:type="dxa"/>
            <w:tcBorders>
              <w:bottom w:val="single" w:color="auto" w:sz="12" w:space="0"/>
              <w:right w:val="single" w:color="auto" w:sz="12" w:space="0"/>
            </w:tcBorders>
            <w:vAlign w:val="center"/>
          </w:tcPr>
          <w:p>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100</w:t>
            </w:r>
          </w:p>
        </w:tc>
      </w:tr>
      <w:bookmarkEnd w:id="2"/>
      <w:bookmarkEnd w:id="3"/>
    </w:tbl>
    <w:p>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9"/>
              <w:widowControl w:val="0"/>
              <w:jc w:val="both"/>
              <w:rPr>
                <w:rFonts w:ascii="黑体" w:hAnsi="黑体"/>
                <w:bCs/>
                <w:sz w:val="21"/>
                <w:szCs w:val="21"/>
              </w:rPr>
            </w:pPr>
          </w:p>
        </w:tc>
        <w:tc>
          <w:tcPr>
            <w:tcW w:w="1403" w:type="dxa"/>
            <w:vMerge w:val="continue"/>
          </w:tcPr>
          <w:p>
            <w:pPr>
              <w:pStyle w:val="19"/>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8"/>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7"/>
              <w:widowControl w:val="0"/>
              <w:jc w:val="left"/>
              <w:rPr>
                <w:rFonts w:ascii="仿宋" w:hAnsi="仿宋" w:eastAsia="仿宋" w:cs="仿宋"/>
              </w:rPr>
            </w:pPr>
          </w:p>
          <w:p>
            <w:pPr>
              <w:pStyle w:val="17"/>
              <w:widowControl w:val="0"/>
              <w:jc w:val="left"/>
              <w:rPr>
                <w:rFonts w:ascii="宋体" w:hAnsi="宋体"/>
                <w:bCs/>
              </w:rPr>
            </w:pPr>
            <w:r>
              <w:rPr>
                <w:rFonts w:hint="eastAsia" w:ascii="宋体" w:hAnsi="宋体"/>
                <w:bCs/>
              </w:rPr>
              <w:t>无</w:t>
            </w:r>
          </w:p>
          <w:p>
            <w:pPr>
              <w:pStyle w:val="17"/>
              <w:widowControl w:val="0"/>
              <w:jc w:val="left"/>
              <w:rPr>
                <w:rFonts w:ascii="黑体"/>
              </w:rPr>
            </w:pPr>
          </w:p>
        </w:tc>
      </w:tr>
    </w:tbl>
    <w:p>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915B9"/>
    <w:multiLevelType w:val="multilevel"/>
    <w:tmpl w:val="0D2915B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DY5N2E3ZDBhZjA4MGVkNjI5MWE1YjQzN2UwNDUifQ=="/>
  </w:docVars>
  <w:rsids>
    <w:rsidRoot w:val="00B7651F"/>
    <w:rsid w:val="00006DA3"/>
    <w:rsid w:val="00017B8F"/>
    <w:rsid w:val="000203E0"/>
    <w:rsid w:val="000210E0"/>
    <w:rsid w:val="000244B1"/>
    <w:rsid w:val="00033082"/>
    <w:rsid w:val="00044088"/>
    <w:rsid w:val="000514AE"/>
    <w:rsid w:val="00053590"/>
    <w:rsid w:val="0006001D"/>
    <w:rsid w:val="0006395F"/>
    <w:rsid w:val="00066041"/>
    <w:rsid w:val="000662F5"/>
    <w:rsid w:val="00076794"/>
    <w:rsid w:val="0008122A"/>
    <w:rsid w:val="00087488"/>
    <w:rsid w:val="0009050A"/>
    <w:rsid w:val="0009476E"/>
    <w:rsid w:val="00096040"/>
    <w:rsid w:val="0009721F"/>
    <w:rsid w:val="000A4E73"/>
    <w:rsid w:val="000B1BD2"/>
    <w:rsid w:val="000B62FF"/>
    <w:rsid w:val="000C0F0D"/>
    <w:rsid w:val="000C13BC"/>
    <w:rsid w:val="000C1752"/>
    <w:rsid w:val="000D1A86"/>
    <w:rsid w:val="000D28E5"/>
    <w:rsid w:val="000D34D7"/>
    <w:rsid w:val="000E3403"/>
    <w:rsid w:val="000E3709"/>
    <w:rsid w:val="000F5A72"/>
    <w:rsid w:val="00100633"/>
    <w:rsid w:val="0010288A"/>
    <w:rsid w:val="001072BC"/>
    <w:rsid w:val="00114BD6"/>
    <w:rsid w:val="00117076"/>
    <w:rsid w:val="00122B14"/>
    <w:rsid w:val="0012396B"/>
    <w:rsid w:val="00125717"/>
    <w:rsid w:val="00130F6D"/>
    <w:rsid w:val="00133554"/>
    <w:rsid w:val="00134AAA"/>
    <w:rsid w:val="00144082"/>
    <w:rsid w:val="0016381F"/>
    <w:rsid w:val="00163A48"/>
    <w:rsid w:val="00164E36"/>
    <w:rsid w:val="001678A2"/>
    <w:rsid w:val="00183AA1"/>
    <w:rsid w:val="0018767C"/>
    <w:rsid w:val="001A135C"/>
    <w:rsid w:val="001B0D49"/>
    <w:rsid w:val="001B546F"/>
    <w:rsid w:val="001C0F80"/>
    <w:rsid w:val="001C16FC"/>
    <w:rsid w:val="001C2E3E"/>
    <w:rsid w:val="001C388D"/>
    <w:rsid w:val="001D4562"/>
    <w:rsid w:val="001E0494"/>
    <w:rsid w:val="001E1D2D"/>
    <w:rsid w:val="001E5A17"/>
    <w:rsid w:val="001F284E"/>
    <w:rsid w:val="001F332E"/>
    <w:rsid w:val="00203421"/>
    <w:rsid w:val="0020688A"/>
    <w:rsid w:val="002104B4"/>
    <w:rsid w:val="0021393C"/>
    <w:rsid w:val="00217861"/>
    <w:rsid w:val="002204E4"/>
    <w:rsid w:val="002211BF"/>
    <w:rsid w:val="002319E2"/>
    <w:rsid w:val="00233F15"/>
    <w:rsid w:val="002420F1"/>
    <w:rsid w:val="00245CC1"/>
    <w:rsid w:val="00246816"/>
    <w:rsid w:val="00253AC8"/>
    <w:rsid w:val="00256B39"/>
    <w:rsid w:val="0026033C"/>
    <w:rsid w:val="00262361"/>
    <w:rsid w:val="00264AE4"/>
    <w:rsid w:val="0027339A"/>
    <w:rsid w:val="00274E82"/>
    <w:rsid w:val="002757AB"/>
    <w:rsid w:val="0027777C"/>
    <w:rsid w:val="00277FE7"/>
    <w:rsid w:val="00285AA2"/>
    <w:rsid w:val="002877FA"/>
    <w:rsid w:val="00287C29"/>
    <w:rsid w:val="00290962"/>
    <w:rsid w:val="0029110B"/>
    <w:rsid w:val="0029259E"/>
    <w:rsid w:val="00294E36"/>
    <w:rsid w:val="002A3501"/>
    <w:rsid w:val="002A4649"/>
    <w:rsid w:val="002A7227"/>
    <w:rsid w:val="002B0773"/>
    <w:rsid w:val="002B0C48"/>
    <w:rsid w:val="002B0DB2"/>
    <w:rsid w:val="002B13CA"/>
    <w:rsid w:val="002B3650"/>
    <w:rsid w:val="002B7322"/>
    <w:rsid w:val="002C1676"/>
    <w:rsid w:val="002C58B6"/>
    <w:rsid w:val="002D0E86"/>
    <w:rsid w:val="002D3F7D"/>
    <w:rsid w:val="002D6899"/>
    <w:rsid w:val="002D7C47"/>
    <w:rsid w:val="002E33CE"/>
    <w:rsid w:val="002E3721"/>
    <w:rsid w:val="002E6F95"/>
    <w:rsid w:val="002E764D"/>
    <w:rsid w:val="002E7A06"/>
    <w:rsid w:val="002F3157"/>
    <w:rsid w:val="002F6BD5"/>
    <w:rsid w:val="003025FD"/>
    <w:rsid w:val="00302C4E"/>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47F94"/>
    <w:rsid w:val="00353F74"/>
    <w:rsid w:val="003557DE"/>
    <w:rsid w:val="00361BEB"/>
    <w:rsid w:val="00365704"/>
    <w:rsid w:val="00370184"/>
    <w:rsid w:val="00373C8A"/>
    <w:rsid w:val="00377C10"/>
    <w:rsid w:val="0038278C"/>
    <w:rsid w:val="00384A1F"/>
    <w:rsid w:val="00384D60"/>
    <w:rsid w:val="00385D41"/>
    <w:rsid w:val="003861BA"/>
    <w:rsid w:val="0039657B"/>
    <w:rsid w:val="00396A3C"/>
    <w:rsid w:val="003A1680"/>
    <w:rsid w:val="003A373C"/>
    <w:rsid w:val="003A5874"/>
    <w:rsid w:val="003B1258"/>
    <w:rsid w:val="003B4A81"/>
    <w:rsid w:val="003B732D"/>
    <w:rsid w:val="003C1F8D"/>
    <w:rsid w:val="003C61A5"/>
    <w:rsid w:val="003D1968"/>
    <w:rsid w:val="003D4994"/>
    <w:rsid w:val="003E10A5"/>
    <w:rsid w:val="003E26EF"/>
    <w:rsid w:val="003E67AE"/>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24BA5"/>
    <w:rsid w:val="00425431"/>
    <w:rsid w:val="00431829"/>
    <w:rsid w:val="00437B60"/>
    <w:rsid w:val="004405E6"/>
    <w:rsid w:val="00443C84"/>
    <w:rsid w:val="00443C89"/>
    <w:rsid w:val="004540AA"/>
    <w:rsid w:val="00456BD8"/>
    <w:rsid w:val="00456DC8"/>
    <w:rsid w:val="0046549D"/>
    <w:rsid w:val="00471668"/>
    <w:rsid w:val="00472B18"/>
    <w:rsid w:val="004743C8"/>
    <w:rsid w:val="00476A70"/>
    <w:rsid w:val="004812FA"/>
    <w:rsid w:val="00481F98"/>
    <w:rsid w:val="004852BF"/>
    <w:rsid w:val="00487A46"/>
    <w:rsid w:val="00493504"/>
    <w:rsid w:val="00494579"/>
    <w:rsid w:val="00496F07"/>
    <w:rsid w:val="00497334"/>
    <w:rsid w:val="004A4645"/>
    <w:rsid w:val="004A5DB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504DF9"/>
    <w:rsid w:val="00505EF5"/>
    <w:rsid w:val="005074E1"/>
    <w:rsid w:val="005126F1"/>
    <w:rsid w:val="00513F2F"/>
    <w:rsid w:val="0051612A"/>
    <w:rsid w:val="00517176"/>
    <w:rsid w:val="0052192E"/>
    <w:rsid w:val="00524300"/>
    <w:rsid w:val="00532FD6"/>
    <w:rsid w:val="0054115E"/>
    <w:rsid w:val="00541F72"/>
    <w:rsid w:val="00542388"/>
    <w:rsid w:val="00544523"/>
    <w:rsid w:val="005467DC"/>
    <w:rsid w:val="00546A82"/>
    <w:rsid w:val="00547C51"/>
    <w:rsid w:val="00551290"/>
    <w:rsid w:val="00551335"/>
    <w:rsid w:val="005519BB"/>
    <w:rsid w:val="005523FD"/>
    <w:rsid w:val="00553D03"/>
    <w:rsid w:val="00555BA0"/>
    <w:rsid w:val="00555E07"/>
    <w:rsid w:val="00556809"/>
    <w:rsid w:val="00556E41"/>
    <w:rsid w:val="0057496F"/>
    <w:rsid w:val="005770A6"/>
    <w:rsid w:val="0059045B"/>
    <w:rsid w:val="00592B66"/>
    <w:rsid w:val="00597EC2"/>
    <w:rsid w:val="005A13AB"/>
    <w:rsid w:val="005B1150"/>
    <w:rsid w:val="005B1FFC"/>
    <w:rsid w:val="005B2B6D"/>
    <w:rsid w:val="005B4B4E"/>
    <w:rsid w:val="005B5E42"/>
    <w:rsid w:val="005C3A76"/>
    <w:rsid w:val="005C6D52"/>
    <w:rsid w:val="005D391F"/>
    <w:rsid w:val="005D5B6F"/>
    <w:rsid w:val="005E38A5"/>
    <w:rsid w:val="005F5185"/>
    <w:rsid w:val="00620FCF"/>
    <w:rsid w:val="0062115C"/>
    <w:rsid w:val="0062265B"/>
    <w:rsid w:val="00624B5C"/>
    <w:rsid w:val="00624FE1"/>
    <w:rsid w:val="0062577D"/>
    <w:rsid w:val="00630BE7"/>
    <w:rsid w:val="0063249D"/>
    <w:rsid w:val="006331EE"/>
    <w:rsid w:val="00633858"/>
    <w:rsid w:val="006355E6"/>
    <w:rsid w:val="00637E00"/>
    <w:rsid w:val="0064038A"/>
    <w:rsid w:val="00640E49"/>
    <w:rsid w:val="0064580A"/>
    <w:rsid w:val="0065167D"/>
    <w:rsid w:val="00652D13"/>
    <w:rsid w:val="0066595A"/>
    <w:rsid w:val="00666206"/>
    <w:rsid w:val="00672788"/>
    <w:rsid w:val="00676183"/>
    <w:rsid w:val="0068060F"/>
    <w:rsid w:val="00680DA3"/>
    <w:rsid w:val="0068377F"/>
    <w:rsid w:val="00691B24"/>
    <w:rsid w:val="00695B93"/>
    <w:rsid w:val="00697C16"/>
    <w:rsid w:val="006A5A89"/>
    <w:rsid w:val="006B3BB9"/>
    <w:rsid w:val="006B4034"/>
    <w:rsid w:val="006B48AC"/>
    <w:rsid w:val="006B5977"/>
    <w:rsid w:val="006C243D"/>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1663B"/>
    <w:rsid w:val="007208D6"/>
    <w:rsid w:val="007252BA"/>
    <w:rsid w:val="0072584A"/>
    <w:rsid w:val="00726786"/>
    <w:rsid w:val="00732152"/>
    <w:rsid w:val="007428DF"/>
    <w:rsid w:val="00742BD1"/>
    <w:rsid w:val="00742E7A"/>
    <w:rsid w:val="0074424F"/>
    <w:rsid w:val="00755DB7"/>
    <w:rsid w:val="00761EE5"/>
    <w:rsid w:val="00764FD9"/>
    <w:rsid w:val="007740B2"/>
    <w:rsid w:val="00774C1F"/>
    <w:rsid w:val="0078194F"/>
    <w:rsid w:val="00790CDF"/>
    <w:rsid w:val="007934A4"/>
    <w:rsid w:val="007971F6"/>
    <w:rsid w:val="007A0AC9"/>
    <w:rsid w:val="007A1B70"/>
    <w:rsid w:val="007A57F6"/>
    <w:rsid w:val="007B4FFB"/>
    <w:rsid w:val="007C0BCE"/>
    <w:rsid w:val="007C1D1B"/>
    <w:rsid w:val="007C3566"/>
    <w:rsid w:val="007C4238"/>
    <w:rsid w:val="007C794A"/>
    <w:rsid w:val="007C7F05"/>
    <w:rsid w:val="007D5326"/>
    <w:rsid w:val="007D5A33"/>
    <w:rsid w:val="007E0700"/>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5F16"/>
    <w:rsid w:val="0083705D"/>
    <w:rsid w:val="0084242F"/>
    <w:rsid w:val="00845795"/>
    <w:rsid w:val="00847437"/>
    <w:rsid w:val="00857FA5"/>
    <w:rsid w:val="00864BC1"/>
    <w:rsid w:val="00882E15"/>
    <w:rsid w:val="00883C73"/>
    <w:rsid w:val="008874A7"/>
    <w:rsid w:val="008901A2"/>
    <w:rsid w:val="008A0344"/>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16256"/>
    <w:rsid w:val="00925F8C"/>
    <w:rsid w:val="00927324"/>
    <w:rsid w:val="00932E8B"/>
    <w:rsid w:val="00932ED7"/>
    <w:rsid w:val="00933990"/>
    <w:rsid w:val="00941B89"/>
    <w:rsid w:val="00941DEA"/>
    <w:rsid w:val="009521C2"/>
    <w:rsid w:val="0096414A"/>
    <w:rsid w:val="009656CC"/>
    <w:rsid w:val="00970E8C"/>
    <w:rsid w:val="00971671"/>
    <w:rsid w:val="00972174"/>
    <w:rsid w:val="00977128"/>
    <w:rsid w:val="00977738"/>
    <w:rsid w:val="00981A37"/>
    <w:rsid w:val="009830B2"/>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198D"/>
    <w:rsid w:val="00A029C1"/>
    <w:rsid w:val="00A04523"/>
    <w:rsid w:val="00A135A1"/>
    <w:rsid w:val="00A16159"/>
    <w:rsid w:val="00A161E6"/>
    <w:rsid w:val="00A17885"/>
    <w:rsid w:val="00A22C73"/>
    <w:rsid w:val="00A2337D"/>
    <w:rsid w:val="00A25A31"/>
    <w:rsid w:val="00A31BBE"/>
    <w:rsid w:val="00A31D34"/>
    <w:rsid w:val="00A33215"/>
    <w:rsid w:val="00A333EF"/>
    <w:rsid w:val="00A33F85"/>
    <w:rsid w:val="00A40645"/>
    <w:rsid w:val="00A44FF0"/>
    <w:rsid w:val="00A6016C"/>
    <w:rsid w:val="00A64D90"/>
    <w:rsid w:val="00A769B1"/>
    <w:rsid w:val="00A77DA3"/>
    <w:rsid w:val="00A837D5"/>
    <w:rsid w:val="00A83E04"/>
    <w:rsid w:val="00A91091"/>
    <w:rsid w:val="00A91CF7"/>
    <w:rsid w:val="00A93EE3"/>
    <w:rsid w:val="00A94BA9"/>
    <w:rsid w:val="00A9535A"/>
    <w:rsid w:val="00AA4970"/>
    <w:rsid w:val="00AA536D"/>
    <w:rsid w:val="00AA7069"/>
    <w:rsid w:val="00AB22C0"/>
    <w:rsid w:val="00AB28FC"/>
    <w:rsid w:val="00AB49E4"/>
    <w:rsid w:val="00AC1479"/>
    <w:rsid w:val="00AC2AAC"/>
    <w:rsid w:val="00AC40F1"/>
    <w:rsid w:val="00AC4C45"/>
    <w:rsid w:val="00AD1085"/>
    <w:rsid w:val="00AD3DB7"/>
    <w:rsid w:val="00AD5B40"/>
    <w:rsid w:val="00AD69FB"/>
    <w:rsid w:val="00AF0DAC"/>
    <w:rsid w:val="00AF1D10"/>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6541"/>
    <w:rsid w:val="00B605ED"/>
    <w:rsid w:val="00B714CC"/>
    <w:rsid w:val="00B71F97"/>
    <w:rsid w:val="00B72538"/>
    <w:rsid w:val="00B736A7"/>
    <w:rsid w:val="00B7651F"/>
    <w:rsid w:val="00B76730"/>
    <w:rsid w:val="00B919FA"/>
    <w:rsid w:val="00B94A16"/>
    <w:rsid w:val="00BA55AD"/>
    <w:rsid w:val="00BA6044"/>
    <w:rsid w:val="00BB13D9"/>
    <w:rsid w:val="00BB1A93"/>
    <w:rsid w:val="00BB5A2C"/>
    <w:rsid w:val="00BC14BF"/>
    <w:rsid w:val="00BC2625"/>
    <w:rsid w:val="00BC3200"/>
    <w:rsid w:val="00BC338A"/>
    <w:rsid w:val="00BD6A30"/>
    <w:rsid w:val="00BD7AB0"/>
    <w:rsid w:val="00BE7B4A"/>
    <w:rsid w:val="00BF3C20"/>
    <w:rsid w:val="00C011BC"/>
    <w:rsid w:val="00C02423"/>
    <w:rsid w:val="00C03DBA"/>
    <w:rsid w:val="00C112E7"/>
    <w:rsid w:val="00C11C78"/>
    <w:rsid w:val="00C11CD4"/>
    <w:rsid w:val="00C15061"/>
    <w:rsid w:val="00C15AB4"/>
    <w:rsid w:val="00C1713D"/>
    <w:rsid w:val="00C20D9D"/>
    <w:rsid w:val="00C2134F"/>
    <w:rsid w:val="00C24718"/>
    <w:rsid w:val="00C24FC2"/>
    <w:rsid w:val="00C2675D"/>
    <w:rsid w:val="00C30AEE"/>
    <w:rsid w:val="00C33362"/>
    <w:rsid w:val="00C353AE"/>
    <w:rsid w:val="00C4194E"/>
    <w:rsid w:val="00C4578C"/>
    <w:rsid w:val="00C516B1"/>
    <w:rsid w:val="00C5350C"/>
    <w:rsid w:val="00C56E09"/>
    <w:rsid w:val="00C61B1B"/>
    <w:rsid w:val="00C63656"/>
    <w:rsid w:val="00C66AB7"/>
    <w:rsid w:val="00C673D1"/>
    <w:rsid w:val="00C7260D"/>
    <w:rsid w:val="00C746CB"/>
    <w:rsid w:val="00C77BBF"/>
    <w:rsid w:val="00C77D64"/>
    <w:rsid w:val="00C81564"/>
    <w:rsid w:val="00C9080C"/>
    <w:rsid w:val="00C94429"/>
    <w:rsid w:val="00CA18FD"/>
    <w:rsid w:val="00CA27E5"/>
    <w:rsid w:val="00CA3570"/>
    <w:rsid w:val="00CA4897"/>
    <w:rsid w:val="00CA6928"/>
    <w:rsid w:val="00CB1793"/>
    <w:rsid w:val="00CB3D3F"/>
    <w:rsid w:val="00CB5A1A"/>
    <w:rsid w:val="00CB7C49"/>
    <w:rsid w:val="00CC3A40"/>
    <w:rsid w:val="00CC59E6"/>
    <w:rsid w:val="00CD1888"/>
    <w:rsid w:val="00CD4F7E"/>
    <w:rsid w:val="00CD5BDD"/>
    <w:rsid w:val="00CE0D56"/>
    <w:rsid w:val="00CE41E7"/>
    <w:rsid w:val="00CF096B"/>
    <w:rsid w:val="00CF10F7"/>
    <w:rsid w:val="00CF5EE3"/>
    <w:rsid w:val="00CF691F"/>
    <w:rsid w:val="00D00D99"/>
    <w:rsid w:val="00D013A4"/>
    <w:rsid w:val="00D026DC"/>
    <w:rsid w:val="00D03E88"/>
    <w:rsid w:val="00D15595"/>
    <w:rsid w:val="00D30C32"/>
    <w:rsid w:val="00D336F9"/>
    <w:rsid w:val="00D343A8"/>
    <w:rsid w:val="00D37832"/>
    <w:rsid w:val="00D44860"/>
    <w:rsid w:val="00D47689"/>
    <w:rsid w:val="00D50656"/>
    <w:rsid w:val="00D50C42"/>
    <w:rsid w:val="00D57CF5"/>
    <w:rsid w:val="00D602FB"/>
    <w:rsid w:val="00D60DEA"/>
    <w:rsid w:val="00D612BC"/>
    <w:rsid w:val="00D62F98"/>
    <w:rsid w:val="00D66FD6"/>
    <w:rsid w:val="00D8285B"/>
    <w:rsid w:val="00D862EB"/>
    <w:rsid w:val="00D86619"/>
    <w:rsid w:val="00D922E5"/>
    <w:rsid w:val="00D93E7C"/>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184C"/>
    <w:rsid w:val="00E125D9"/>
    <w:rsid w:val="00E16D30"/>
    <w:rsid w:val="00E20DE0"/>
    <w:rsid w:val="00E31E69"/>
    <w:rsid w:val="00E33169"/>
    <w:rsid w:val="00E34A7B"/>
    <w:rsid w:val="00E3751F"/>
    <w:rsid w:val="00E40973"/>
    <w:rsid w:val="00E45507"/>
    <w:rsid w:val="00E47CD1"/>
    <w:rsid w:val="00E5013C"/>
    <w:rsid w:val="00E545FF"/>
    <w:rsid w:val="00E555C8"/>
    <w:rsid w:val="00E6080E"/>
    <w:rsid w:val="00E64168"/>
    <w:rsid w:val="00E655B3"/>
    <w:rsid w:val="00E6769A"/>
    <w:rsid w:val="00E7081D"/>
    <w:rsid w:val="00E70904"/>
    <w:rsid w:val="00E71319"/>
    <w:rsid w:val="00E72715"/>
    <w:rsid w:val="00E75171"/>
    <w:rsid w:val="00E804B0"/>
    <w:rsid w:val="00E834AC"/>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C27"/>
    <w:rsid w:val="00EE1C85"/>
    <w:rsid w:val="00EE54BF"/>
    <w:rsid w:val="00EE5FFC"/>
    <w:rsid w:val="00EF21D9"/>
    <w:rsid w:val="00EF2A94"/>
    <w:rsid w:val="00EF32FB"/>
    <w:rsid w:val="00EF44B1"/>
    <w:rsid w:val="00EF4865"/>
    <w:rsid w:val="00EF5954"/>
    <w:rsid w:val="00F048B3"/>
    <w:rsid w:val="00F100D2"/>
    <w:rsid w:val="00F12942"/>
    <w:rsid w:val="00F13C41"/>
    <w:rsid w:val="00F14496"/>
    <w:rsid w:val="00F14886"/>
    <w:rsid w:val="00F16421"/>
    <w:rsid w:val="00F201EE"/>
    <w:rsid w:val="00F323FE"/>
    <w:rsid w:val="00F35AA0"/>
    <w:rsid w:val="00F43C49"/>
    <w:rsid w:val="00F454B9"/>
    <w:rsid w:val="00F45C12"/>
    <w:rsid w:val="00F53DD4"/>
    <w:rsid w:val="00F544A2"/>
    <w:rsid w:val="00F73D03"/>
    <w:rsid w:val="00F76CB9"/>
    <w:rsid w:val="00F77A73"/>
    <w:rsid w:val="00F80E46"/>
    <w:rsid w:val="00F96236"/>
    <w:rsid w:val="00F96468"/>
    <w:rsid w:val="00F972B3"/>
    <w:rsid w:val="00FA10CE"/>
    <w:rsid w:val="00FA222F"/>
    <w:rsid w:val="00FA26A4"/>
    <w:rsid w:val="00FA2891"/>
    <w:rsid w:val="00FB693D"/>
    <w:rsid w:val="00FB7768"/>
    <w:rsid w:val="00FC7489"/>
    <w:rsid w:val="00FD1BA8"/>
    <w:rsid w:val="00FD218F"/>
    <w:rsid w:val="00FD5663"/>
    <w:rsid w:val="00FD56C6"/>
    <w:rsid w:val="00FE1921"/>
    <w:rsid w:val="00FE3070"/>
    <w:rsid w:val="00FE3221"/>
    <w:rsid w:val="00FE48EA"/>
    <w:rsid w:val="00FE571F"/>
    <w:rsid w:val="00FF47F6"/>
    <w:rsid w:val="00FF5CF4"/>
    <w:rsid w:val="016E63C2"/>
    <w:rsid w:val="024B0C39"/>
    <w:rsid w:val="0A8128A6"/>
    <w:rsid w:val="0BF32A1B"/>
    <w:rsid w:val="10BD2C22"/>
    <w:rsid w:val="1CFE9B69"/>
    <w:rsid w:val="22987C80"/>
    <w:rsid w:val="24192CCC"/>
    <w:rsid w:val="39A66CD4"/>
    <w:rsid w:val="3CD52CE1"/>
    <w:rsid w:val="410F2E6A"/>
    <w:rsid w:val="4430136C"/>
    <w:rsid w:val="4967562F"/>
    <w:rsid w:val="4AB0382B"/>
    <w:rsid w:val="53B836E0"/>
    <w:rsid w:val="569868B5"/>
    <w:rsid w:val="611F6817"/>
    <w:rsid w:val="62F04295"/>
    <w:rsid w:val="66CA1754"/>
    <w:rsid w:val="6EB7E8F5"/>
    <w:rsid w:val="6F1E65D4"/>
    <w:rsid w:val="6F266C86"/>
    <w:rsid w:val="6F5042C2"/>
    <w:rsid w:val="74316312"/>
    <w:rsid w:val="780F13C8"/>
    <w:rsid w:val="7C385448"/>
    <w:rsid w:val="7CB3663D"/>
    <w:rsid w:val="D95FF37D"/>
    <w:rsid w:val="FEFD58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uiPriority w:val="99"/>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autoRedefine/>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unhideWhenUsed/>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uiPriority w:val="99"/>
    <w:rPr>
      <w:rFonts w:ascii="Times New Roman" w:hAnsi="Times New Roman" w:eastAsia="宋体" w:cs="Times New Roman"/>
      <w:kern w:val="2"/>
      <w:sz w:val="21"/>
      <w:szCs w:val="24"/>
    </w:rPr>
  </w:style>
  <w:style w:type="character" w:customStyle="1" w:styleId="24">
    <w:name w:val="editor-text-node"/>
    <w:basedOn w:val="11"/>
    <w:uiPriority w:val="0"/>
  </w:style>
  <w:style w:type="character" w:styleId="25">
    <w:name w:val="Placeholder Text"/>
    <w:basedOn w:val="11"/>
    <w:unhideWhenUsed/>
    <w:uiPriority w:val="99"/>
    <w:rPr>
      <w:color w:val="808080"/>
    </w:rPr>
  </w:style>
  <w:style w:type="character" w:customStyle="1" w:styleId="26">
    <w:name w:val="正文文本缩进 字符1"/>
    <w:link w:val="4"/>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locked/>
    <w:uiPriority w:val="0"/>
    <w:rPr>
      <w:sz w:val="18"/>
    </w:rPr>
  </w:style>
  <w:style w:type="character" w:customStyle="1" w:styleId="30">
    <w:name w:val="正文文本缩进 Char"/>
    <w:locked/>
    <w:uiPriority w:val="0"/>
    <w:rPr>
      <w:kern w:val="2"/>
      <w:sz w:val="21"/>
    </w:rPr>
  </w:style>
  <w:style w:type="character" w:customStyle="1" w:styleId="31">
    <w:name w:val="批注框文本 字符1"/>
    <w:link w:val="5"/>
    <w:semiHidden/>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 w:type="paragraph" w:customStyle="1" w:styleId="34">
    <w:name w:val="Revision"/>
    <w:autoRedefine/>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924</Words>
  <Characters>5270</Characters>
  <Lines>43</Lines>
  <Paragraphs>12</Paragraphs>
  <TotalTime>0</TotalTime>
  <ScaleCrop>false</ScaleCrop>
  <LinksUpToDate>false</LinksUpToDate>
  <CharactersWithSpaces>6182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2023-11-22T10:39:00Z</dcterms:created>
  <dc:creator>juvg</dc:creator>
  <cp:lastModifiedBy>Administrator</cp:lastModifiedBy>
  <cp:lastPrinted>2023-11-22T08:52:00Z</cp:lastPrinted>
  <dcterms:modified xsi:type="dcterms:W3CDTF">2024-03-10T08:06:49Z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146360E1A91E32F668D0C265CAE34ECA_43</vt:lpwstr>
  </property>
</Properties>
</file>