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本科课程教学大纲（理论课）</w:t>
      </w:r>
    </w:p>
    <w:p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医学统计学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Medical Statistics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7000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健康管理学院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护理、健康、养老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专业基础必修课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医学统计学．李康．ISBN：9787117266765.北京：人民卫生出版社，201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大学信息技术 2050710（2），高等数学 2050234（4）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医学统计学》是开展医学研究的重要手段，是认识和揭示医学领域里各种数量特征的科学分析方法，是使医学科研得以成功的一种重要辅助工具。科技的迅速发展，大量信息的产生要求我们面对纷乱复杂的数据世界能够正确、科学地去认识和处理，医学统计分析是医学学生教育培训必修课程，特别是中、高级医学人才的培养，应该使其懂得和掌握一些基本的医学科研设计原则或实验研究方法，能正确处理医学信息和数据，在未来的实践工作中发挥作用。医学统计是一种有力工具。它同科研的总体设计、资料采集、整理、分析直到最后做出结论都有密切关系。掌握了这个工具可以使用较少的人力、物力和时间获得比较可靠的结果。只有正确运用统计分析方法，才避免医学研究中不应有的研究缺陷或错误的结论。数据作为信息的主要载体广泛存在，我们借助统计学这个工具，在混沌中发现规律。统计学就是研究数据及其存在规律的科学。通过课程的学习，学生可以处理医学中的数据，发现医学中的规律，为医学研究奠定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0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</w:pPr>
            <w:r>
              <w:rPr>
                <w:rFonts w:hint="eastAsia"/>
                <w:color w:val="000000"/>
                <w:sz w:val="20"/>
                <w:szCs w:val="20"/>
              </w:rPr>
              <w:t>本课程适用于护理学、健康服务与管理、养老服务与管理专业的二年级或三年级本科生授课，要求学生具有一定的数理基础，计算机使用基础。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0" distR="0">
                  <wp:extent cx="648970" cy="208280"/>
                  <wp:effectExtent l="0" t="0" r="0" b="12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349" cy="228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024.8.15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6" w:name="_GoBack"/>
            <w:bookmarkEnd w:id="6"/>
            <w:r>
              <w:rPr>
                <w:position w:val="-12"/>
              </w:rPr>
              <w:drawing>
                <wp:inline distT="0" distB="0" distL="0" distR="0">
                  <wp:extent cx="606425" cy="273685"/>
                  <wp:effectExtent l="0" t="0" r="3175" b="12065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425" cy="273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024.8.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>
      <w:pPr>
        <w:spacing w:line="100" w:lineRule="exact"/>
        <w:rPr>
          <w:rFonts w:ascii="Arial" w:hAnsi="Arial" w:eastAsia="黑体"/>
        </w:rPr>
      </w:pPr>
      <w:r>
        <w:br w:type="page"/>
      </w:r>
    </w:p>
    <w:p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>
      <w:pPr>
        <w:pStyle w:val="18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0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掌握医学统计学中的基本概念(如总体和样本，医学参考值范围，置信区间，抽样误差等)，统计资料的基本类型（定量和定性），以及常用的统计指标。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>
            <w:pPr>
              <w:pStyle w:val="15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掌握医学统计学中常用的统计学方法（如t检验，方差分析，卡方检验，秩和检验）适用的条件，以及结果的解释。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自主学习能力：根据课堂的内容，会自己独立思考，并能根据课程内容进行扩展和延伸。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>
            <w:pPr>
              <w:pStyle w:val="15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应用技能：掌握统计分析技能，利用软件进行数据分析，并解读结果。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严谨的科学态度：数据收集、分析、解读过程中能做到实事求是，不弄虚作假，有着严谨的科学态度。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>
            <w:pPr>
              <w:pStyle w:val="15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团队意识和社会责任感：医学统计是一门工具性学科，在处理医学问题中需要互相协助，有团队意识，与他人沟通，承担自己的责任。</w:t>
            </w:r>
          </w:p>
        </w:tc>
      </w:tr>
    </w:tbl>
    <w:p>
      <w:pPr>
        <w:pStyle w:val="18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LO1品德修养：奉献社会，富有爱心，懂得感恩，自觉传承和弘扬雷锋精神，具有服务社会的意愿和行动，积极参加志愿者服务。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widowControl/>
              <w:tabs>
                <w:tab w:val="left" w:pos="4200"/>
              </w:tabs>
              <w:spacing w:line="440" w:lineRule="exact"/>
              <w:jc w:val="both"/>
              <w:outlineLvl w:val="0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LO2专业能力：掌握对个人或人群的健康风险因素进行全面管理的能力，开展健康管理服务。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LO4自主学习：能搜集、获取达到目标所需要的学习资源，实施学习计划、反思学习计划、持续改进，达到学习目标。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LO6协同创新：能用创新的方法或者多种方法解决复杂问题或真实问题。</w:t>
            </w:r>
          </w:p>
        </w:tc>
      </w:tr>
    </w:tbl>
    <w:p>
      <w:pPr>
        <w:pStyle w:val="18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80"/>
        <w:gridCol w:w="797"/>
        <w:gridCol w:w="797"/>
        <w:gridCol w:w="4753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L01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>
            <w:pPr>
              <w:pStyle w:val="15"/>
              <w:rPr>
                <w:rFonts w:cs="Times New Roman"/>
                <w:bCs/>
              </w:rPr>
            </w:pPr>
            <w:r>
              <w:rPr>
                <w:rFonts w:asciiTheme="minorHAnsi" w:hAnsiTheme="minorHAnsi" w:eastAsiaTheme="minorEastAsia" w:cstheme="minorEastAsia"/>
                <w:bCs/>
              </w:rPr>
              <w:t>③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H</w:t>
            </w:r>
          </w:p>
        </w:tc>
        <w:tc>
          <w:tcPr>
            <w:tcW w:w="4763" w:type="dxa"/>
            <w:vAlign w:val="center"/>
          </w:tcPr>
          <w:p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利用统计学的知识为医学科学研究服务，具有团队意识，同时承担自己的责任。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L02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15"/>
              <w:rPr>
                <w:rFonts w:cs="Times New Roman"/>
                <w:bCs/>
              </w:rPr>
            </w:pPr>
            <w:r>
              <w:rPr>
                <w:rFonts w:cs="Calibri" w:asciiTheme="minorHAnsi" w:hAnsiTheme="minorHAnsi"/>
                <w:bCs/>
              </w:rPr>
              <w:t>⑥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4763" w:type="dxa"/>
            <w:vAlign w:val="center"/>
          </w:tcPr>
          <w:p>
            <w:pPr>
              <w:pStyle w:val="15"/>
              <w:jc w:val="both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目标1：掌握医学统计学中的基本概念(如总体和样本，医学参考值范围，置信区间，抽样误差等)，定量和定性数据的统计描述指标及其相应的图表表达。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5"/>
              <w:rPr>
                <w:rFonts w:cs="Calibri" w:asciiTheme="minorHAnsi" w:hAnsiTheme="minorHAnsi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目标2：掌握医学统计学中常用的统计学方法（如t检验，方差分析，卡方检验，秩和检验，线性回归与相关）适用的条件，以及结果的解释。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5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目标3：会利用统计软件进行数据处理，包括统计指标的计算，正态分布的检验，t检验，方差分析，卡方检验，秩和检验。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pStyle w:val="15"/>
            </w:pPr>
            <w:r>
              <w:rPr>
                <w:rFonts w:hint="eastAsia"/>
              </w:rPr>
              <w:t>L04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>
            <w:pPr>
              <w:pStyle w:val="15"/>
              <w:rPr>
                <w:rFonts w:cs="Times New Roman"/>
                <w:bCs/>
              </w:rPr>
            </w:pPr>
            <w:r>
              <w:rPr>
                <w:rFonts w:ascii="Calibri" w:hAnsi="Calibri" w:cs="Calibri"/>
                <w:bCs/>
              </w:rPr>
              <w:t>②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4763" w:type="dxa"/>
            <w:vAlign w:val="center"/>
          </w:tcPr>
          <w:p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根据课堂的内容，会自己独立思考，并能根据课程内容进行扩展和延伸。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pStyle w:val="15"/>
            </w:pPr>
            <w:r>
              <w:rPr>
                <w:rFonts w:hint="eastAsia"/>
              </w:rPr>
              <w:t>L06</w:t>
            </w:r>
          </w:p>
        </w:tc>
        <w:tc>
          <w:tcPr>
            <w:tcW w:w="794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pStyle w:val="15"/>
              <w:rPr>
                <w:rFonts w:cs="Times New Roman"/>
                <w:bCs/>
              </w:rPr>
            </w:pPr>
            <w:r>
              <w:rPr>
                <w:rFonts w:ascii="Calibri" w:hAnsi="Calibri" w:cs="Calibri"/>
                <w:bCs/>
              </w:rPr>
              <w:t>③</w:t>
            </w:r>
          </w:p>
        </w:tc>
        <w:tc>
          <w:tcPr>
            <w:tcW w:w="794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4763" w:type="dxa"/>
            <w:tcBorders>
              <w:bottom w:val="single" w:color="auto" w:sz="12" w:space="0"/>
            </w:tcBorders>
            <w:vAlign w:val="center"/>
          </w:tcPr>
          <w:p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通过团队协作，利用统计分析方法，解决医学中的统计问题，发现医学中的规律和现象。</w:t>
            </w:r>
          </w:p>
        </w:tc>
        <w:tc>
          <w:tcPr>
            <w:tcW w:w="134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100%</w:t>
            </w:r>
          </w:p>
        </w:tc>
      </w:tr>
    </w:tbl>
    <w:p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>
      <w:pPr>
        <w:pStyle w:val="18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pStyle w:val="15"/>
              <w:widowControl w:val="0"/>
              <w:jc w:val="left"/>
              <w:rPr>
                <w:rFonts w:ascii="宋体" w:hAnsi="宋体"/>
                <w:b/>
              </w:rPr>
            </w:pPr>
            <w:bookmarkStart w:id="0" w:name="OLE_LINK6"/>
            <w:bookmarkStart w:id="1" w:name="OLE_LINK5"/>
            <w:r>
              <w:rPr>
                <w:rFonts w:hint="eastAsia" w:ascii="宋体" w:hAnsi="宋体"/>
                <w:b/>
              </w:rPr>
              <w:t>第一单元：绪论</w:t>
            </w:r>
          </w:p>
          <w:p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预期：能够掌握常用的统计学基本概念和数据分型；了解SPSS软件及其数据创建。</w:t>
            </w:r>
          </w:p>
          <w:p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sz w:val="20"/>
                <w:szCs w:val="20"/>
              </w:rPr>
              <w:t>核心知识点：理解统计学相关的基本概念，如总体，样本，变异和同质；</w:t>
            </w:r>
            <w:r>
              <w:rPr>
                <w:rFonts w:hint="eastAsia" w:ascii="宋体" w:hAnsi="宋体"/>
                <w:sz w:val="20"/>
                <w:szCs w:val="20"/>
              </w:rPr>
              <w:t>理解不同数据的</w:t>
            </w:r>
            <w:r>
              <w:rPr>
                <w:rFonts w:hint="eastAsia"/>
                <w:sz w:val="20"/>
                <w:szCs w:val="20"/>
              </w:rPr>
              <w:t>类型和统计中的三种误差。</w:t>
            </w:r>
          </w:p>
          <w:p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能力要求：理解常用的统计学基本概念，会判断不同数据的数据类型，会对误差类别进行判断。</w:t>
            </w:r>
          </w:p>
          <w:p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难点：统计重点概念。</w:t>
            </w:r>
          </w:p>
          <w:p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</w:p>
          <w:p>
            <w:pPr>
              <w:pStyle w:val="15"/>
              <w:widowControl w:val="0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第二单元：定量数据的统计描述</w:t>
            </w:r>
          </w:p>
          <w:p>
            <w:pPr>
              <w:pStyle w:val="15"/>
              <w:widowControl w:val="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Cs/>
              </w:rPr>
              <w:t>预期成果：</w:t>
            </w:r>
            <w:r>
              <w:rPr>
                <w:rFonts w:hint="eastAsia" w:ascii="宋体" w:hAnsi="宋体"/>
                <w:sz w:val="20"/>
                <w:szCs w:val="20"/>
              </w:rPr>
              <w:t>能够描述计量资料和定性资料的集中趋势和离散趋势统计指标。</w:t>
            </w:r>
          </w:p>
          <w:p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sz w:val="20"/>
                <w:szCs w:val="20"/>
              </w:rPr>
              <w:t>核心知识点：运用公式计算定量数据的集中趋势（均数，中位数）和离散趋势的统计指标（标准差，方差，四分位间距）；理解变异系数；知道几何均数，极差等。</w:t>
            </w:r>
          </w:p>
          <w:p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能力要求：能够根据数据特点</w:t>
            </w:r>
            <w:r>
              <w:rPr>
                <w:rFonts w:hint="eastAsia" w:ascii="宋体" w:hAnsi="宋体"/>
                <w:b/>
              </w:rPr>
              <w:t>计算</w:t>
            </w:r>
            <w:r>
              <w:rPr>
                <w:rFonts w:hint="eastAsia" w:ascii="宋体" w:hAnsi="宋体"/>
                <w:bCs/>
              </w:rPr>
              <w:t>相应的集中趋势和离散趋势统计指标。</w:t>
            </w:r>
          </w:p>
          <w:p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难点：判断不同数据类型应该使用的统计指标。</w:t>
            </w:r>
          </w:p>
          <w:p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</w:p>
          <w:p>
            <w:pPr>
              <w:pStyle w:val="15"/>
              <w:widowControl w:val="0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第三单元：正态分布与医学参考值范围</w:t>
            </w:r>
          </w:p>
          <w:p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预期成果：根据正态分布及其特性，会计算人群医学参考值范围。</w:t>
            </w:r>
          </w:p>
          <w:p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sz w:val="20"/>
                <w:szCs w:val="20"/>
              </w:rPr>
              <w:t>核心知识点：理解正态分布曲线位置参数和形状参数性质及其曲线下面积的意义；会运用公式计算人群医学参考范围；理解医学参考值范围的意义。</w:t>
            </w:r>
          </w:p>
          <w:p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能力要求：计算医学参考值范围。</w:t>
            </w:r>
          </w:p>
          <w:p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难点：正态分布曲线下的面积，医学参考值的计算。</w:t>
            </w:r>
          </w:p>
          <w:p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</w:p>
          <w:p>
            <w:pPr>
              <w:pStyle w:val="15"/>
              <w:widowControl w:val="0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第四单元：定性数据的统计描述</w:t>
            </w:r>
          </w:p>
          <w:p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预期成果：了解医学中常用的定性资料的医学指标。</w:t>
            </w:r>
          </w:p>
          <w:p>
            <w:pPr>
              <w:pStyle w:val="15"/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核心知识点：理解构成比和率的概念；知道标准化率应用的条件；知道患病率，发病率，病死率，的定义及其含义；理解相对数中的相对危险度和比值比。</w:t>
            </w:r>
          </w:p>
          <w:p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能力要求：区分构成比和率，计算各种医学中相对数指标。</w:t>
            </w:r>
          </w:p>
          <w:p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难点：标准化率、相对危险度、比值比的计算。</w:t>
            </w:r>
          </w:p>
          <w:p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</w:p>
          <w:p>
            <w:pPr>
              <w:pStyle w:val="15"/>
              <w:widowControl w:val="0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第五单元：统计表与统计图</w:t>
            </w:r>
          </w:p>
          <w:p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预期成果：可以选择合适的图形表达相应的数据；SPSS软件图表的应用。</w:t>
            </w:r>
          </w:p>
          <w:p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sz w:val="20"/>
                <w:szCs w:val="20"/>
              </w:rPr>
              <w:t>核心知识点：理解统计表和统计图的编制原则；知道直方图，线图，箱式图，误差条图，散点图，条图的特点和对应的数据形式。</w:t>
            </w:r>
          </w:p>
          <w:p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能力要求：初步具备用图表来表达数据的能力。</w:t>
            </w:r>
          </w:p>
          <w:p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难点：根据数据特点选择合适的统计图表。</w:t>
            </w:r>
          </w:p>
          <w:p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</w:p>
          <w:p>
            <w:pPr>
              <w:pStyle w:val="15"/>
              <w:widowControl w:val="0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第六单元：参数估计与假设检验</w:t>
            </w:r>
          </w:p>
          <w:p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预期成果：参数区间估计和假设检验的用途。</w:t>
            </w:r>
          </w:p>
          <w:p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sz w:val="20"/>
                <w:szCs w:val="20"/>
              </w:rPr>
              <w:t>核心知识点：理解抽样误差的概念，会运用公式计算参数的可信区间，知道假设检验的基本原理。</w:t>
            </w:r>
          </w:p>
          <w:p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能力要求：具备理解假设检验原理的能力。</w:t>
            </w:r>
          </w:p>
          <w:p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难点：参数估计原理</w:t>
            </w:r>
          </w:p>
          <w:p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</w:p>
          <w:p>
            <w:pPr>
              <w:pStyle w:val="15"/>
              <w:widowControl w:val="0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第七单元：t检验</w:t>
            </w:r>
          </w:p>
          <w:p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预期成果：会利用t检验分析定量数据两样本比较的研究设计。</w:t>
            </w:r>
          </w:p>
          <w:p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sz w:val="20"/>
                <w:szCs w:val="20"/>
              </w:rPr>
              <w:t>核心知识点：理解t检验的原理及适用的研究设计类型；会运用SPSS软件进行单样本t检验，两独立样本t检验，配对样本t检验，正态性检验。</w:t>
            </w:r>
          </w:p>
          <w:p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能力要求：利用SPSS软件进行t检验。</w:t>
            </w:r>
          </w:p>
          <w:p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难点：判断研究类型</w:t>
            </w:r>
          </w:p>
          <w:p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</w:p>
          <w:p>
            <w:pPr>
              <w:pStyle w:val="15"/>
              <w:widowControl w:val="0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第八单元：方差分析</w:t>
            </w:r>
          </w:p>
          <w:p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预期成果：会利用方差分析分析定量数据三组及以上样本比较的研究设计。</w:t>
            </w:r>
          </w:p>
          <w:p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sz w:val="20"/>
                <w:szCs w:val="20"/>
              </w:rPr>
              <w:t>核心知识点：理解方差分析的原理及适用的研究设计类型；会运用SPSS软件进行完全随机设计的方差分析，随机区组设计的方差分析。</w:t>
            </w:r>
          </w:p>
          <w:p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能力要求：利用SPSS软件进行方差分析。</w:t>
            </w:r>
          </w:p>
          <w:p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难点：方差分析的原理</w:t>
            </w:r>
          </w:p>
          <w:p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</w:p>
          <w:p>
            <w:pPr>
              <w:pStyle w:val="15"/>
              <w:widowControl w:val="0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第九单元：卡方检验</w:t>
            </w:r>
          </w:p>
          <w:p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预期成果：会利用卡方检验分析定性数据的研究设计。</w:t>
            </w:r>
          </w:p>
          <w:p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sz w:val="20"/>
                <w:szCs w:val="20"/>
              </w:rPr>
              <w:t>核心知识点：理解卡方检验的原理及适用的研究设计类型；会运用SPSS软件进行四格表资料的卡方检验、配对四格表资料的卡方检验，R×C列联表资料的卡方检验。</w:t>
            </w:r>
          </w:p>
          <w:p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能力要求：利用SPSS软件进行卡方检验</w:t>
            </w:r>
          </w:p>
          <w:p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难点：卡方检验的原理</w:t>
            </w:r>
          </w:p>
          <w:p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</w:p>
          <w:p>
            <w:pPr>
              <w:pStyle w:val="15"/>
              <w:widowControl w:val="0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第十单元：非参数秩和检验</w:t>
            </w:r>
          </w:p>
          <w:p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预期成果：会利用非参数秩和检验分析符合特点的数据</w:t>
            </w:r>
          </w:p>
          <w:p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sz w:val="20"/>
                <w:szCs w:val="20"/>
              </w:rPr>
              <w:t>核心知识点：理解秩和检验的原理及非参数检验适用的数据类型；会运用SPSS软件进行配对设计资料的符号秩和检验，两独立样本比较的秩和检验，多个独立样本比较的秩和检验。</w:t>
            </w:r>
          </w:p>
          <w:p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能力要求：利用SPSS软件进行秩和检验</w:t>
            </w:r>
          </w:p>
          <w:p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难点：秩和检验的原理</w:t>
            </w:r>
          </w:p>
          <w:p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</w:p>
          <w:p>
            <w:pPr>
              <w:pStyle w:val="15"/>
              <w:widowControl w:val="0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第十一单元：线性回归与相关</w:t>
            </w:r>
          </w:p>
          <w:p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预期成果：会利用线性回归分析相关数据。</w:t>
            </w:r>
          </w:p>
          <w:p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sz w:val="20"/>
                <w:szCs w:val="20"/>
              </w:rPr>
              <w:t>核心知识点：理解线性回归和相关的基本原理；会运用SPSS软件线性回归和相关；知道线性回归与相关的注意事项。</w:t>
            </w:r>
          </w:p>
          <w:p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能力要求：利用SPSS软件进行线性回归和相关分析</w:t>
            </w:r>
          </w:p>
          <w:p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难点：线性回归和相关的基本原理</w:t>
            </w:r>
          </w:p>
          <w:p>
            <w:pPr>
              <w:pStyle w:val="15"/>
              <w:widowControl w:val="0"/>
              <w:jc w:val="left"/>
              <w:rPr>
                <w:rFonts w:ascii="仿宋" w:hAnsi="仿宋" w:eastAsia="仿宋" w:cs="仿宋"/>
              </w:rPr>
            </w:pPr>
          </w:p>
        </w:tc>
      </w:tr>
      <w:bookmarkEnd w:id="0"/>
      <w:bookmarkEnd w:id="1"/>
    </w:tbl>
    <w:p>
      <w:pPr>
        <w:pStyle w:val="18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8"/>
        <w:tblW w:w="421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3832"/>
        <w:gridCol w:w="1102"/>
        <w:gridCol w:w="1102"/>
        <w:gridCol w:w="1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3839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>
            <w:pPr>
              <w:pStyle w:val="14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>
            <w:pPr>
              <w:pStyle w:val="14"/>
              <w:ind w:right="210"/>
              <w:jc w:val="left"/>
              <w:rPr>
                <w:szCs w:val="16"/>
              </w:rPr>
            </w:pPr>
          </w:p>
          <w:p>
            <w:pPr>
              <w:pStyle w:val="14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目标1</w:t>
            </w:r>
          </w:p>
          <w:p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（40%）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目标2</w:t>
            </w:r>
          </w:p>
          <w:p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（30%）</w:t>
            </w:r>
          </w:p>
        </w:tc>
        <w:tc>
          <w:tcPr>
            <w:tcW w:w="110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目标3</w:t>
            </w:r>
          </w:p>
          <w:p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（30%）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839" w:type="dxa"/>
            <w:tcBorders>
              <w:left w:val="single" w:color="auto" w:sz="12" w:space="0"/>
            </w:tcBorders>
          </w:tcPr>
          <w:p>
            <w:pPr>
              <w:pStyle w:val="15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第一单元：绪论</w:t>
            </w:r>
          </w:p>
        </w:tc>
        <w:tc>
          <w:tcPr>
            <w:tcW w:w="1100" w:type="dxa"/>
            <w:vAlign w:val="center"/>
          </w:tcPr>
          <w:p>
            <w:pPr>
              <w:pStyle w:val="15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>
            <w:pPr>
              <w:pStyle w:val="15"/>
            </w:pP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839" w:type="dxa"/>
            <w:tcBorders>
              <w:left w:val="single" w:color="auto" w:sz="12" w:space="0"/>
            </w:tcBorders>
          </w:tcPr>
          <w:p>
            <w:pPr>
              <w:pStyle w:val="15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第二单元：定量数据的统计描述</w:t>
            </w:r>
          </w:p>
        </w:tc>
        <w:tc>
          <w:tcPr>
            <w:tcW w:w="1100" w:type="dxa"/>
            <w:vAlign w:val="center"/>
          </w:tcPr>
          <w:p>
            <w:pPr>
              <w:pStyle w:val="15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>
            <w:pPr>
              <w:pStyle w:val="15"/>
            </w:pP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839" w:type="dxa"/>
            <w:tcBorders>
              <w:left w:val="single" w:color="auto" w:sz="12" w:space="0"/>
            </w:tcBorders>
          </w:tcPr>
          <w:p>
            <w:pPr>
              <w:pStyle w:val="15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第三单元：正态分布与医学参考值范围</w:t>
            </w:r>
          </w:p>
        </w:tc>
        <w:tc>
          <w:tcPr>
            <w:tcW w:w="1100" w:type="dxa"/>
            <w:vAlign w:val="center"/>
          </w:tcPr>
          <w:p>
            <w:pPr>
              <w:pStyle w:val="15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>
            <w:pPr>
              <w:pStyle w:val="15"/>
            </w:pP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839" w:type="dxa"/>
            <w:tcBorders>
              <w:left w:val="single" w:color="auto" w:sz="12" w:space="0"/>
            </w:tcBorders>
          </w:tcPr>
          <w:p>
            <w:pPr>
              <w:pStyle w:val="15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第四单元：定性数据的统计描述</w:t>
            </w:r>
          </w:p>
        </w:tc>
        <w:tc>
          <w:tcPr>
            <w:tcW w:w="1100" w:type="dxa"/>
            <w:vAlign w:val="center"/>
          </w:tcPr>
          <w:p>
            <w:pPr>
              <w:pStyle w:val="15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>
            <w:pPr>
              <w:pStyle w:val="15"/>
            </w:pP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839" w:type="dxa"/>
            <w:tcBorders>
              <w:left w:val="single" w:color="auto" w:sz="12" w:space="0"/>
            </w:tcBorders>
          </w:tcPr>
          <w:p>
            <w:pPr>
              <w:pStyle w:val="15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第五单元：统计表与统计图</w:t>
            </w:r>
          </w:p>
        </w:tc>
        <w:tc>
          <w:tcPr>
            <w:tcW w:w="1100" w:type="dxa"/>
            <w:vAlign w:val="center"/>
          </w:tcPr>
          <w:p>
            <w:pPr>
              <w:pStyle w:val="15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>
            <w:pPr>
              <w:pStyle w:val="15"/>
            </w:pP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839" w:type="dxa"/>
            <w:tcBorders>
              <w:left w:val="single" w:color="auto" w:sz="12" w:space="0"/>
            </w:tcBorders>
          </w:tcPr>
          <w:p>
            <w:pPr>
              <w:pStyle w:val="15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第六单元：参数估计与假设检验</w:t>
            </w:r>
          </w:p>
        </w:tc>
        <w:tc>
          <w:tcPr>
            <w:tcW w:w="1100" w:type="dxa"/>
            <w:vAlign w:val="center"/>
          </w:tcPr>
          <w:p>
            <w:pPr>
              <w:pStyle w:val="15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>
            <w:pPr>
              <w:pStyle w:val="15"/>
            </w:pP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839" w:type="dxa"/>
            <w:tcBorders>
              <w:left w:val="single" w:color="auto" w:sz="12" w:space="0"/>
            </w:tcBorders>
          </w:tcPr>
          <w:p>
            <w:pPr>
              <w:pStyle w:val="15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第七单元：t检验</w:t>
            </w:r>
          </w:p>
        </w:tc>
        <w:tc>
          <w:tcPr>
            <w:tcW w:w="1100" w:type="dxa"/>
            <w:vAlign w:val="center"/>
          </w:tcPr>
          <w:p>
            <w:pPr>
              <w:pStyle w:val="15"/>
            </w:pPr>
          </w:p>
        </w:tc>
        <w:tc>
          <w:tcPr>
            <w:tcW w:w="1100" w:type="dxa"/>
            <w:vAlign w:val="center"/>
          </w:tcPr>
          <w:p>
            <w:pPr>
              <w:pStyle w:val="15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</w:pPr>
            <w:r>
              <w:rPr>
                <w:rFonts w:ascii="Arial" w:hAnsi="Arial" w:cs="Arial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839" w:type="dxa"/>
            <w:tcBorders>
              <w:left w:val="single" w:color="auto" w:sz="12" w:space="0"/>
            </w:tcBorders>
          </w:tcPr>
          <w:p>
            <w:pPr>
              <w:pStyle w:val="15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第八单元：方差分析</w:t>
            </w:r>
          </w:p>
        </w:tc>
        <w:tc>
          <w:tcPr>
            <w:tcW w:w="1100" w:type="dxa"/>
            <w:vAlign w:val="center"/>
          </w:tcPr>
          <w:p>
            <w:pPr>
              <w:pStyle w:val="15"/>
            </w:pPr>
          </w:p>
        </w:tc>
        <w:tc>
          <w:tcPr>
            <w:tcW w:w="1100" w:type="dxa"/>
            <w:vAlign w:val="center"/>
          </w:tcPr>
          <w:p>
            <w:pPr>
              <w:pStyle w:val="15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</w:pPr>
            <w:r>
              <w:rPr>
                <w:rFonts w:ascii="Arial" w:hAnsi="Arial" w:cs="Arial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839" w:type="dxa"/>
            <w:tcBorders>
              <w:left w:val="single" w:color="auto" w:sz="12" w:space="0"/>
            </w:tcBorders>
          </w:tcPr>
          <w:p>
            <w:pPr>
              <w:pStyle w:val="15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第九单元：卡方检验</w:t>
            </w:r>
          </w:p>
        </w:tc>
        <w:tc>
          <w:tcPr>
            <w:tcW w:w="1100" w:type="dxa"/>
            <w:vAlign w:val="center"/>
          </w:tcPr>
          <w:p>
            <w:pPr>
              <w:pStyle w:val="15"/>
            </w:pPr>
          </w:p>
        </w:tc>
        <w:tc>
          <w:tcPr>
            <w:tcW w:w="1100" w:type="dxa"/>
            <w:vAlign w:val="center"/>
          </w:tcPr>
          <w:p>
            <w:pPr>
              <w:pStyle w:val="15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</w:pPr>
            <w:r>
              <w:rPr>
                <w:rFonts w:ascii="Arial" w:hAnsi="Arial" w:cs="Arial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839" w:type="dxa"/>
            <w:tcBorders>
              <w:left w:val="single" w:color="auto" w:sz="12" w:space="0"/>
            </w:tcBorders>
          </w:tcPr>
          <w:p>
            <w:pPr>
              <w:pStyle w:val="15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第十单元：非参数秩和检验</w:t>
            </w:r>
          </w:p>
        </w:tc>
        <w:tc>
          <w:tcPr>
            <w:tcW w:w="1100" w:type="dxa"/>
            <w:vAlign w:val="center"/>
          </w:tcPr>
          <w:p>
            <w:pPr>
              <w:pStyle w:val="15"/>
            </w:pPr>
          </w:p>
        </w:tc>
        <w:tc>
          <w:tcPr>
            <w:tcW w:w="1100" w:type="dxa"/>
            <w:vAlign w:val="center"/>
          </w:tcPr>
          <w:p>
            <w:pPr>
              <w:pStyle w:val="15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</w:pPr>
            <w:r>
              <w:rPr>
                <w:rFonts w:ascii="Arial" w:hAnsi="Arial" w:cs="Arial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839" w:type="dxa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pStyle w:val="15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第十一单元：线性回归与相关</w:t>
            </w: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>
            <w:pPr>
              <w:pStyle w:val="15"/>
            </w:pP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>
            <w:pPr>
              <w:pStyle w:val="15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5"/>
            </w:pPr>
          </w:p>
        </w:tc>
      </w:tr>
    </w:tbl>
    <w:p>
      <w:pPr>
        <w:pStyle w:val="18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3044"/>
        <w:gridCol w:w="1583"/>
        <w:gridCol w:w="1738"/>
        <w:gridCol w:w="725"/>
        <w:gridCol w:w="669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044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1583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4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4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044" w:type="dxa"/>
            <w:vMerge w:val="continue"/>
            <w:tcBorders>
              <w:left w:val="single" w:color="auto" w:sz="12" w:space="0"/>
            </w:tcBorders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583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044" w:type="dxa"/>
            <w:tcBorders>
              <w:left w:val="single" w:color="auto" w:sz="12" w:space="0"/>
            </w:tcBorders>
          </w:tcPr>
          <w:p>
            <w:pPr>
              <w:pStyle w:val="15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第一单元：绪论</w:t>
            </w:r>
          </w:p>
        </w:tc>
        <w:tc>
          <w:tcPr>
            <w:tcW w:w="158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理论+习题</w:t>
            </w:r>
          </w:p>
        </w:tc>
        <w:tc>
          <w:tcPr>
            <w:tcW w:w="173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考试</w:t>
            </w:r>
          </w:p>
        </w:tc>
        <w:tc>
          <w:tcPr>
            <w:tcW w:w="72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044" w:type="dxa"/>
            <w:tcBorders>
              <w:left w:val="single" w:color="auto" w:sz="12" w:space="0"/>
            </w:tcBorders>
          </w:tcPr>
          <w:p>
            <w:pPr>
              <w:pStyle w:val="15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第二单元：定量数据的统计描述</w:t>
            </w:r>
          </w:p>
        </w:tc>
        <w:tc>
          <w:tcPr>
            <w:tcW w:w="158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理论+习题</w:t>
            </w:r>
          </w:p>
        </w:tc>
        <w:tc>
          <w:tcPr>
            <w:tcW w:w="173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考试</w:t>
            </w:r>
          </w:p>
        </w:tc>
        <w:tc>
          <w:tcPr>
            <w:tcW w:w="72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044" w:type="dxa"/>
            <w:tcBorders>
              <w:left w:val="single" w:color="auto" w:sz="12" w:space="0"/>
            </w:tcBorders>
          </w:tcPr>
          <w:p>
            <w:pPr>
              <w:pStyle w:val="15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第三单元：正态分布与医学参考值范围</w:t>
            </w:r>
          </w:p>
        </w:tc>
        <w:tc>
          <w:tcPr>
            <w:tcW w:w="158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理论+习题</w:t>
            </w:r>
          </w:p>
        </w:tc>
        <w:tc>
          <w:tcPr>
            <w:tcW w:w="173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考试+作业</w:t>
            </w:r>
          </w:p>
        </w:tc>
        <w:tc>
          <w:tcPr>
            <w:tcW w:w="72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044" w:type="dxa"/>
            <w:tcBorders>
              <w:left w:val="single" w:color="auto" w:sz="12" w:space="0"/>
            </w:tcBorders>
          </w:tcPr>
          <w:p>
            <w:pPr>
              <w:pStyle w:val="15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第四单元：定性数据的统计描述</w:t>
            </w:r>
          </w:p>
        </w:tc>
        <w:tc>
          <w:tcPr>
            <w:tcW w:w="158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理论+习题</w:t>
            </w:r>
          </w:p>
        </w:tc>
        <w:tc>
          <w:tcPr>
            <w:tcW w:w="173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考试</w:t>
            </w:r>
          </w:p>
        </w:tc>
        <w:tc>
          <w:tcPr>
            <w:tcW w:w="72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044" w:type="dxa"/>
            <w:tcBorders>
              <w:left w:val="single" w:color="auto" w:sz="12" w:space="0"/>
            </w:tcBorders>
          </w:tcPr>
          <w:p>
            <w:pPr>
              <w:pStyle w:val="15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第五单元：统计表与统计图</w:t>
            </w:r>
          </w:p>
        </w:tc>
        <w:tc>
          <w:tcPr>
            <w:tcW w:w="158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理论+习题</w:t>
            </w:r>
          </w:p>
        </w:tc>
        <w:tc>
          <w:tcPr>
            <w:tcW w:w="173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考试</w:t>
            </w:r>
          </w:p>
        </w:tc>
        <w:tc>
          <w:tcPr>
            <w:tcW w:w="72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044" w:type="dxa"/>
            <w:tcBorders>
              <w:left w:val="single" w:color="auto" w:sz="12" w:space="0"/>
            </w:tcBorders>
          </w:tcPr>
          <w:p>
            <w:pPr>
              <w:pStyle w:val="15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第六单元：参数估计与假设检验</w:t>
            </w:r>
          </w:p>
        </w:tc>
        <w:tc>
          <w:tcPr>
            <w:tcW w:w="158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理论+习题</w:t>
            </w:r>
          </w:p>
        </w:tc>
        <w:tc>
          <w:tcPr>
            <w:tcW w:w="173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考试</w:t>
            </w:r>
          </w:p>
        </w:tc>
        <w:tc>
          <w:tcPr>
            <w:tcW w:w="72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044" w:type="dxa"/>
            <w:tcBorders>
              <w:left w:val="single" w:color="auto" w:sz="12" w:space="0"/>
            </w:tcBorders>
          </w:tcPr>
          <w:p>
            <w:pPr>
              <w:pStyle w:val="15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第七单元：t检验</w:t>
            </w:r>
          </w:p>
        </w:tc>
        <w:tc>
          <w:tcPr>
            <w:tcW w:w="158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理论+实践</w:t>
            </w:r>
          </w:p>
        </w:tc>
        <w:tc>
          <w:tcPr>
            <w:tcW w:w="173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考试+实训报告</w:t>
            </w:r>
          </w:p>
        </w:tc>
        <w:tc>
          <w:tcPr>
            <w:tcW w:w="72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044" w:type="dxa"/>
            <w:tcBorders>
              <w:left w:val="single" w:color="auto" w:sz="12" w:space="0"/>
            </w:tcBorders>
          </w:tcPr>
          <w:p>
            <w:pPr>
              <w:pStyle w:val="15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第八单元：方差分析</w:t>
            </w:r>
          </w:p>
        </w:tc>
        <w:tc>
          <w:tcPr>
            <w:tcW w:w="158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理论+实践</w:t>
            </w:r>
          </w:p>
        </w:tc>
        <w:tc>
          <w:tcPr>
            <w:tcW w:w="173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考试+实训报告</w:t>
            </w:r>
          </w:p>
        </w:tc>
        <w:tc>
          <w:tcPr>
            <w:tcW w:w="72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044" w:type="dxa"/>
            <w:tcBorders>
              <w:left w:val="single" w:color="auto" w:sz="12" w:space="0"/>
            </w:tcBorders>
          </w:tcPr>
          <w:p>
            <w:pPr>
              <w:pStyle w:val="15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第九单元：卡方检验</w:t>
            </w:r>
          </w:p>
        </w:tc>
        <w:tc>
          <w:tcPr>
            <w:tcW w:w="158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理论+实践</w:t>
            </w:r>
          </w:p>
        </w:tc>
        <w:tc>
          <w:tcPr>
            <w:tcW w:w="173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考试+实训报告</w:t>
            </w:r>
          </w:p>
        </w:tc>
        <w:tc>
          <w:tcPr>
            <w:tcW w:w="72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044" w:type="dxa"/>
            <w:tcBorders>
              <w:left w:val="single" w:color="auto" w:sz="12" w:space="0"/>
            </w:tcBorders>
          </w:tcPr>
          <w:p>
            <w:pPr>
              <w:pStyle w:val="15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第十单元：非参数秩和检验</w:t>
            </w:r>
          </w:p>
        </w:tc>
        <w:tc>
          <w:tcPr>
            <w:tcW w:w="158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理论+实践</w:t>
            </w:r>
          </w:p>
        </w:tc>
        <w:tc>
          <w:tcPr>
            <w:tcW w:w="173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考试+实训报告</w:t>
            </w:r>
          </w:p>
        </w:tc>
        <w:tc>
          <w:tcPr>
            <w:tcW w:w="72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044" w:type="dxa"/>
            <w:tcBorders>
              <w:left w:val="single" w:color="auto" w:sz="12" w:space="0"/>
            </w:tcBorders>
          </w:tcPr>
          <w:p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第七单元--第十单元</w:t>
            </w:r>
          </w:p>
        </w:tc>
        <w:tc>
          <w:tcPr>
            <w:tcW w:w="158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讨论</w:t>
            </w:r>
          </w:p>
        </w:tc>
        <w:tc>
          <w:tcPr>
            <w:tcW w:w="173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作业</w:t>
            </w:r>
          </w:p>
        </w:tc>
        <w:tc>
          <w:tcPr>
            <w:tcW w:w="72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044" w:type="dxa"/>
            <w:tcBorders>
              <w:left w:val="single" w:color="auto" w:sz="12" w:space="0"/>
            </w:tcBorders>
          </w:tcPr>
          <w:p>
            <w:pPr>
              <w:pStyle w:val="15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第十一单元：线性回归与相关</w:t>
            </w:r>
          </w:p>
        </w:tc>
        <w:tc>
          <w:tcPr>
            <w:tcW w:w="158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理论+习题</w:t>
            </w:r>
          </w:p>
        </w:tc>
        <w:tc>
          <w:tcPr>
            <w:tcW w:w="173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考试</w:t>
            </w:r>
          </w:p>
        </w:tc>
        <w:tc>
          <w:tcPr>
            <w:tcW w:w="72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36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25" w:type="dxa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24</w:t>
            </w:r>
          </w:p>
        </w:tc>
        <w:tc>
          <w:tcPr>
            <w:tcW w:w="669" w:type="dxa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71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32</w:t>
            </w:r>
          </w:p>
        </w:tc>
      </w:tr>
    </w:tbl>
    <w:p>
      <w:pPr>
        <w:pStyle w:val="18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2"/>
        <w:gridCol w:w="1882"/>
        <w:gridCol w:w="4055"/>
        <w:gridCol w:w="864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97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7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33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1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5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t检验</w:t>
            </w: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left"/>
            </w:pPr>
            <w:r>
              <w:rPr>
                <w:rFonts w:hint="eastAsia"/>
              </w:rPr>
              <w:t>会利用SPSS软件进行t检验，主要内容包括：两独立样本t检验，配对样本t检验，t</w:t>
            </w:r>
            <w:r>
              <w:rPr>
                <w:rFonts w:hint="eastAsia"/>
                <w:sz w:val="24"/>
                <w:szCs w:val="24"/>
                <w:vertAlign w:val="superscript"/>
              </w:rPr>
              <w:t>,</w:t>
            </w:r>
            <w:r>
              <w:rPr>
                <w:rFonts w:hint="eastAsia"/>
              </w:rPr>
              <w:t>检验。</w:t>
            </w:r>
          </w:p>
        </w:tc>
        <w:tc>
          <w:tcPr>
            <w:tcW w:w="84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</w:pPr>
            <w:r>
              <w:t>2</w:t>
            </w:r>
          </w:p>
        </w:tc>
        <w:tc>
          <w:tcPr>
            <w:tcW w:w="933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asciiTheme="minorHAnsi" w:hAnsiTheme="minorHAnsi"/>
              </w:rPr>
            </w:pPr>
            <w:r>
              <w:rPr>
                <w:rFonts w:eastAsia="微软雅黑" w:cs="微软雅黑" w:asciiTheme="minorHAnsi" w:hAnsiTheme="minorHAnsi"/>
              </w:rPr>
              <w:t>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2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5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方差分析</w:t>
            </w: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left"/>
            </w:pPr>
            <w:r>
              <w:rPr>
                <w:rFonts w:hint="eastAsia"/>
              </w:rPr>
              <w:t>会利用SPSS软件进行方差分析，主要内容包括：完全随机设计的方差分析，随机区组设计的方差分析</w:t>
            </w:r>
          </w:p>
        </w:tc>
        <w:tc>
          <w:tcPr>
            <w:tcW w:w="8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2</w:t>
            </w:r>
          </w:p>
        </w:tc>
        <w:tc>
          <w:tcPr>
            <w:tcW w:w="933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asciiTheme="minorHAnsi" w:hAnsiTheme="minorHAnsi"/>
              </w:rPr>
            </w:pPr>
            <w:r>
              <w:rPr>
                <w:rFonts w:eastAsia="微软雅黑" w:cs="微软雅黑" w:asciiTheme="minorHAnsi" w:hAnsiTheme="minorHAnsi"/>
              </w:rPr>
              <w:t>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3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5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卡方检验</w:t>
            </w: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left"/>
            </w:pPr>
            <w:r>
              <w:rPr>
                <w:rFonts w:hint="eastAsia"/>
              </w:rPr>
              <w:t>会利用SPSS软件进行卡方检验，主要内容包括：可个表资料的卡方检验，配对四格表资料的卡方检验，R×C列联表的卡方检验</w:t>
            </w:r>
          </w:p>
        </w:tc>
        <w:tc>
          <w:tcPr>
            <w:tcW w:w="84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</w:pPr>
            <w:r>
              <w:t>2</w:t>
            </w:r>
          </w:p>
        </w:tc>
        <w:tc>
          <w:tcPr>
            <w:tcW w:w="933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asciiTheme="minorHAnsi" w:hAnsiTheme="minorHAnsi"/>
              </w:rPr>
            </w:pPr>
            <w:r>
              <w:rPr>
                <w:rFonts w:eastAsia="微软雅黑" w:cs="微软雅黑" w:asciiTheme="minorHAnsi" w:hAnsiTheme="minorHAnsi"/>
              </w:rPr>
              <w:t>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4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5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非参数秩和检验</w:t>
            </w: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left"/>
            </w:pPr>
            <w:r>
              <w:rPr>
                <w:rFonts w:hint="eastAsia"/>
              </w:rPr>
              <w:t>会利用SPSS软件进行非参数的秩和检验，主要内容包括：配对设计资料的符号秩和检验，两独立样本比较的秩和检验，多个独立样本比较的秩和检验</w:t>
            </w:r>
          </w:p>
        </w:tc>
        <w:tc>
          <w:tcPr>
            <w:tcW w:w="84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2</w:t>
            </w:r>
          </w:p>
        </w:tc>
        <w:tc>
          <w:tcPr>
            <w:tcW w:w="933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asciiTheme="minorHAnsi" w:hAnsiTheme="minorHAnsi"/>
              </w:rPr>
            </w:pPr>
            <w:r>
              <w:rPr>
                <w:rFonts w:eastAsia="微软雅黑" w:cs="微软雅黑" w:asciiTheme="minorHAnsi" w:hAnsiTheme="minorHAnsi"/>
              </w:rPr>
              <w:t>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304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>
      <w:pPr>
        <w:pStyle w:val="17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2" w:name="OLE_LINK2"/>
      <w:bookmarkStart w:id="3" w:name="OLE_LINK1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</w:trPr>
        <w:tc>
          <w:tcPr>
            <w:tcW w:w="8276" w:type="dxa"/>
            <w:vAlign w:val="center"/>
          </w:tcPr>
          <w:p>
            <w:pPr>
              <w:pStyle w:val="15"/>
              <w:widowControl w:val="0"/>
              <w:jc w:val="left"/>
            </w:pPr>
            <w:r>
              <w:rPr>
                <w:rFonts w:hint="eastAsia"/>
              </w:rPr>
              <w:t>《医学统计学》是一门医学工具类学科，工作和学习过程中需要与医学工作者有团队合作，在合作过程中，需要学生有团队合作精神，本着学以致用，服务社会的心态，在团队中做好自己的本职工作。在收集数据，分析数据和数据解读过程中应该本着诚实守信，实事求是的原则，不弄虚作假，本着严谨的科学态度进行数据整理和分析。医学统计学的目的是寻找医学不确定事件的规律，因此需要学生在认真学习的基础上，更要具有一定的独立思考和变通能力，更需要有一定的创新思维，才能使统计学更好的服务与医学。</w:t>
            </w:r>
          </w:p>
        </w:tc>
      </w:tr>
    </w:tbl>
    <w:p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4"/>
      <w:bookmarkStart w:id="5" w:name="OLE_LINK3"/>
    </w:p>
    <w:bookmarkEnd w:id="4"/>
    <w:bookmarkEnd w:id="5"/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706"/>
        <w:gridCol w:w="612"/>
        <w:gridCol w:w="612"/>
        <w:gridCol w:w="612"/>
        <w:gridCol w:w="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>
            <w:pPr>
              <w:pStyle w:val="17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  <w:widowControl w:val="0"/>
            </w:pPr>
            <w:r>
              <w:rPr>
                <w:rFonts w:hint="eastAsia"/>
              </w:rPr>
              <w:t>50%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>
            <w:pPr>
              <w:pStyle w:val="15"/>
              <w:widowControl w:val="0"/>
            </w:pPr>
            <w:r>
              <w:rPr>
                <w:rFonts w:hint="eastAsia"/>
              </w:rPr>
              <w:t>期末考试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5"/>
              <w:widowControl w:val="0"/>
            </w:pPr>
            <w:r>
              <w:rPr>
                <w:rFonts w:hint="eastAsia"/>
              </w:rPr>
              <w:t>50%</w:t>
            </w: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</w:pPr>
            <w:r>
              <w:rPr>
                <w:rFonts w:hint="eastAsia"/>
              </w:rPr>
              <w:t>50%</w:t>
            </w: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</w:pP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</w:pP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</w:pP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  <w:widowControl w:val="0"/>
            </w:pPr>
            <w:r>
              <w:rPr>
                <w:rFonts w:hint="eastAsia"/>
              </w:rP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>
            <w:pPr>
              <w:pStyle w:val="15"/>
              <w:widowControl w:val="0"/>
            </w:pPr>
            <w:r>
              <w:rPr>
                <w:rFonts w:hint="eastAsia"/>
              </w:rPr>
              <w:t>实训报告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5"/>
              <w:widowControl w:val="0"/>
            </w:pP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</w:pP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</w:pPr>
            <w:r>
              <w:rPr>
                <w:rFonts w:hint="eastAsia"/>
              </w:rPr>
              <w:t>100%</w:t>
            </w: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</w:pP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</w:pP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  <w:widowControl w:val="0"/>
            </w:pPr>
            <w:r>
              <w:rPr>
                <w:rFonts w:hint="eastAsia"/>
              </w:rP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>
            <w:pPr>
              <w:pStyle w:val="15"/>
              <w:widowControl w:val="0"/>
            </w:pPr>
            <w:r>
              <w:rPr>
                <w:rFonts w:hint="eastAsia"/>
              </w:rPr>
              <w:t>作业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5"/>
              <w:widowControl w:val="0"/>
            </w:pPr>
            <w:r>
              <w:t>4</w:t>
            </w:r>
            <w:r>
              <w:rPr>
                <w:rFonts w:hint="eastAsia"/>
              </w:rPr>
              <w:t>0%</w:t>
            </w: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</w:pPr>
            <w:r>
              <w:t>4</w:t>
            </w:r>
            <w:r>
              <w:rPr>
                <w:rFonts w:hint="eastAsia"/>
              </w:rPr>
              <w:t>0%</w:t>
            </w: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0%</w:t>
            </w: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0%</w:t>
            </w: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</w:pP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  <w:widowControl w:val="0"/>
            </w:pPr>
            <w:r>
              <w:rPr>
                <w:rFonts w:hint="eastAsia"/>
              </w:rPr>
              <w:t>10%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>
            <w:pPr>
              <w:pStyle w:val="15"/>
              <w:widowControl w:val="0"/>
            </w:pPr>
            <w:r>
              <w:rPr>
                <w:rFonts w:hint="eastAsia"/>
              </w:rPr>
              <w:t>平时表现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5"/>
              <w:widowControl w:val="0"/>
            </w:pPr>
            <w:r>
              <w:rPr>
                <w:rFonts w:hint="eastAsia"/>
              </w:rPr>
              <w:t>30%</w:t>
            </w: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</w:pPr>
            <w:r>
              <w:rPr>
                <w:rFonts w:hint="eastAsia"/>
              </w:rPr>
              <w:t>40%</w:t>
            </w: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</w:pPr>
            <w:r>
              <w:rPr>
                <w:rFonts w:hint="eastAsia"/>
              </w:rPr>
              <w:t>30%</w:t>
            </w: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</w:pP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</w:pP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>
      <w:pPr>
        <w:pStyle w:val="18"/>
        <w:spacing w:before="326"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67"/>
        <w:gridCol w:w="1445"/>
        <w:gridCol w:w="1445"/>
        <w:gridCol w:w="1445"/>
        <w:gridCol w:w="1445"/>
        <w:gridCol w:w="14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restart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648" w:type="dxa"/>
            <w:vMerge w:val="restart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1403" w:type="dxa"/>
            <w:vMerge w:val="restart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5612" w:type="dxa"/>
            <w:gridSpan w:val="4"/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</w:tcPr>
          <w:p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Merge w:val="continue"/>
          </w:tcPr>
          <w:p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0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0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0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</w:tcPr>
          <w:p>
            <w:pPr>
              <w:pStyle w:val="15"/>
              <w:widowControl w:val="0"/>
              <w:jc w:val="both"/>
            </w:pPr>
          </w:p>
        </w:tc>
        <w:tc>
          <w:tcPr>
            <w:tcW w:w="1403" w:type="dxa"/>
          </w:tcPr>
          <w:p>
            <w:pPr>
              <w:pStyle w:val="15"/>
              <w:widowControl w:val="0"/>
              <w:jc w:val="both"/>
            </w:pPr>
          </w:p>
        </w:tc>
        <w:tc>
          <w:tcPr>
            <w:tcW w:w="1403" w:type="dxa"/>
          </w:tcPr>
          <w:p>
            <w:pPr>
              <w:pStyle w:val="15"/>
              <w:widowControl w:val="0"/>
              <w:jc w:val="both"/>
            </w:pPr>
          </w:p>
        </w:tc>
        <w:tc>
          <w:tcPr>
            <w:tcW w:w="1403" w:type="dxa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64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64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64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64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64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</w:tbl>
    <w:p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仿宋" w:hAnsi="仿宋" w:eastAsia="仿宋" w:cs="仿宋"/>
              </w:rPr>
              <w:t>无</w:t>
            </w:r>
          </w:p>
          <w:p>
            <w:pPr>
              <w:pStyle w:val="15"/>
              <w:widowControl w:val="0"/>
              <w:jc w:val="left"/>
              <w:rPr>
                <w:rFonts w:ascii="黑体"/>
              </w:rPr>
            </w:pPr>
          </w:p>
        </w:tc>
      </w:tr>
    </w:tbl>
    <w:p>
      <w:pPr>
        <w:pStyle w:val="17"/>
        <w:rPr>
          <w:rFonts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hZTdhZWMxOTE3MWNjMzk4MzAyNWEyNjY2MjU1Y2IifQ=="/>
  </w:docVars>
  <w:rsids>
    <w:rsidRoot w:val="00B7651F"/>
    <w:rsid w:val="00012715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6E81"/>
    <w:rsid w:val="001678A2"/>
    <w:rsid w:val="00183AA1"/>
    <w:rsid w:val="0018767C"/>
    <w:rsid w:val="001909D7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05F48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0EC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273C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4F53"/>
    <w:rsid w:val="00665068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A7793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35651"/>
    <w:rsid w:val="00941B89"/>
    <w:rsid w:val="00941DEA"/>
    <w:rsid w:val="00953837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B634A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34FC8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56F9D"/>
    <w:rsid w:val="00B605ED"/>
    <w:rsid w:val="00B71F97"/>
    <w:rsid w:val="00B72538"/>
    <w:rsid w:val="00B736A7"/>
    <w:rsid w:val="00B74348"/>
    <w:rsid w:val="00B7651F"/>
    <w:rsid w:val="00B83B76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29B8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40F5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94F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7675D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7646D91"/>
    <w:rsid w:val="0A8128A6"/>
    <w:rsid w:val="0B460AB5"/>
    <w:rsid w:val="0BF32A1B"/>
    <w:rsid w:val="10BD2C22"/>
    <w:rsid w:val="12560DC4"/>
    <w:rsid w:val="14C546F7"/>
    <w:rsid w:val="1E23455A"/>
    <w:rsid w:val="20B50C21"/>
    <w:rsid w:val="22477195"/>
    <w:rsid w:val="22987C80"/>
    <w:rsid w:val="24192CCC"/>
    <w:rsid w:val="26F4679D"/>
    <w:rsid w:val="30EB518F"/>
    <w:rsid w:val="33B15CDD"/>
    <w:rsid w:val="39132993"/>
    <w:rsid w:val="39A66CD4"/>
    <w:rsid w:val="39C91E5D"/>
    <w:rsid w:val="3CD52CE1"/>
    <w:rsid w:val="3FF30789"/>
    <w:rsid w:val="40F718CE"/>
    <w:rsid w:val="410F2E6A"/>
    <w:rsid w:val="41CE3E47"/>
    <w:rsid w:val="41E96EB6"/>
    <w:rsid w:val="4430136C"/>
    <w:rsid w:val="460654F8"/>
    <w:rsid w:val="4AB0382B"/>
    <w:rsid w:val="4D2B252B"/>
    <w:rsid w:val="4F382A60"/>
    <w:rsid w:val="537D3F15"/>
    <w:rsid w:val="569868B5"/>
    <w:rsid w:val="597B2CA5"/>
    <w:rsid w:val="5A64084A"/>
    <w:rsid w:val="611F6817"/>
    <w:rsid w:val="63A31776"/>
    <w:rsid w:val="66636F9A"/>
    <w:rsid w:val="66CA1754"/>
    <w:rsid w:val="6AE34B4E"/>
    <w:rsid w:val="6C2F3156"/>
    <w:rsid w:val="6F1E65D4"/>
    <w:rsid w:val="6F266C86"/>
    <w:rsid w:val="6F5042C2"/>
    <w:rsid w:val="72190E55"/>
    <w:rsid w:val="734D4FC3"/>
    <w:rsid w:val="74316312"/>
    <w:rsid w:val="748A7DE8"/>
    <w:rsid w:val="74CE54BD"/>
    <w:rsid w:val="780F13C8"/>
    <w:rsid w:val="78CF29B7"/>
    <w:rsid w:val="7933494E"/>
    <w:rsid w:val="7C2F7326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Body Text"/>
    <w:basedOn w:val="1"/>
    <w:qFormat/>
    <w:uiPriority w:val="1"/>
    <w:rPr>
      <w:rFonts w:ascii="黑体" w:hAnsi="黑体" w:eastAsia="黑体" w:cs="黑体"/>
      <w:sz w:val="36"/>
      <w:szCs w:val="36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customStyle="1" w:styleId="12">
    <w:name w:val="页眉 Char"/>
    <w:basedOn w:val="10"/>
    <w:link w:val="6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autoRedefine/>
    <w:semiHidden/>
    <w:qFormat/>
    <w:uiPriority w:val="99"/>
    <w:rPr>
      <w:sz w:val="18"/>
      <w:szCs w:val="18"/>
    </w:rPr>
  </w:style>
  <w:style w:type="paragraph" w:customStyle="1" w:styleId="14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5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7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8">
    <w:name w:val="二级标题DG"/>
    <w:basedOn w:val="7"/>
    <w:autoRedefine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9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0">
    <w:name w:val="标题 1 Char"/>
    <w:basedOn w:val="10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1">
    <w:name w:val="批注文字 Char"/>
    <w:basedOn w:val="10"/>
    <w:link w:val="3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2">
    <w:name w:val="editor-text-node"/>
    <w:basedOn w:val="10"/>
    <w:autoRedefine/>
    <w:qFormat/>
    <w:uiPriority w:val="0"/>
  </w:style>
  <w:style w:type="character" w:styleId="23">
    <w:name w:val="Placeholder Text"/>
    <w:basedOn w:val="10"/>
    <w:autoRedefine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C01FD5-0059-4E85-B033-CD8E08EE61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HFZQ Ltd.</Company>
  <Pages>7</Pages>
  <Words>4263</Words>
  <Characters>4478</Characters>
  <Lines>35</Lines>
  <Paragraphs>10</Paragraphs>
  <TotalTime>0</TotalTime>
  <ScaleCrop>false</ScaleCrop>
  <LinksUpToDate>false</LinksUpToDate>
  <CharactersWithSpaces>4493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2024-07-01T01:00:00Z</dcterms:created>
  <dc:creator>juvg</dc:creator>
  <cp:lastModifiedBy>郭永洪</cp:lastModifiedBy>
  <cp:lastPrinted>2023-11-21T00:52:00Z</cp:lastPrinted>
  <dcterms:modified xsi:type="dcterms:W3CDTF">2024-08-29T08:55:53Z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B8588DEF0F9F45EEA60E8230054E83AB_12</vt:lpwstr>
  </property>
</Properties>
</file>