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cstheme="minorEastAsia"/>
          <w:b/>
          <w:bCs/>
          <w:kern w:val="0"/>
          <w:szCs w:val="21"/>
        </w:rPr>
      </w:pPr>
      <w:r>
        <w:rPr>
          <w:rFonts w:asciiTheme="minorEastAsia" w:hAnsiTheme="minorEastAsia" w:eastAsiaTheme="minorEastAsia" w:cstheme="minorEastAsia"/>
          <w:b/>
          <w:bCs/>
        </w:rPr>
        <mc:AlternateContent>
          <mc:Choice Requires="wps">
            <w:drawing>
              <wp:anchor distT="0" distB="0" distL="114300" distR="114300" simplePos="0" relativeHeight="251657216"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7216;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【正常人体学基础2】</w:t>
      </w:r>
    </w:p>
    <w:p>
      <w:pPr>
        <w:shd w:val="clear" w:color="auto" w:fill="F5F5F5"/>
        <w:jc w:val="center"/>
        <w:textAlignment w:val="top"/>
        <w:rPr>
          <w:rFonts w:ascii="Arial" w:hAnsi="Arial" w:cs="Arial"/>
          <w:kern w:val="0"/>
          <w:sz w:val="20"/>
          <w:szCs w:val="20"/>
        </w:rPr>
      </w:pPr>
      <w:r>
        <w:rPr>
          <w:rFonts w:hint="eastAsia"/>
          <w:b/>
          <w:sz w:val="28"/>
          <w:szCs w:val="30"/>
        </w:rPr>
        <w:t>【Function of Normal Human】</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sz w:val="20"/>
          <w:szCs w:val="20"/>
        </w:rPr>
      </w:pPr>
      <w:r>
        <w:rPr>
          <w:b/>
          <w:bCs/>
          <w:sz w:val="20"/>
          <w:szCs w:val="20"/>
        </w:rPr>
        <w:t>课程代码：</w:t>
      </w:r>
      <w:r>
        <w:rPr>
          <w:sz w:val="20"/>
          <w:szCs w:val="20"/>
        </w:rPr>
        <w:t>【</w:t>
      </w:r>
      <w:r>
        <w:rPr>
          <w:rFonts w:hint="eastAsia"/>
          <w:sz w:val="20"/>
          <w:szCs w:val="20"/>
        </w:rPr>
        <w:t>0070039</w:t>
      </w:r>
      <w:r>
        <w:rPr>
          <w:sz w:val="20"/>
          <w:szCs w:val="20"/>
        </w:rPr>
        <w:t>】</w:t>
      </w:r>
    </w:p>
    <w:p>
      <w:pPr>
        <w:snapToGrid w:val="0"/>
        <w:spacing w:line="288" w:lineRule="auto"/>
        <w:ind w:firstLine="392" w:firstLineChars="196"/>
        <w:rPr>
          <w:szCs w:val="21"/>
        </w:rPr>
      </w:pPr>
      <w:r>
        <w:rPr>
          <w:b/>
          <w:bCs/>
          <w:sz w:val="20"/>
          <w:szCs w:val="20"/>
        </w:rPr>
        <w:t>课程学分：</w:t>
      </w:r>
      <w:r>
        <w:rPr>
          <w:sz w:val="20"/>
          <w:szCs w:val="20"/>
        </w:rPr>
        <w:t>【</w:t>
      </w:r>
      <w:r>
        <w:rPr>
          <w:rFonts w:hint="eastAsia"/>
          <w:sz w:val="20"/>
          <w:szCs w:val="20"/>
        </w:rPr>
        <w:t>4.0</w:t>
      </w:r>
      <w:r>
        <w:rPr>
          <w:sz w:val="20"/>
          <w:szCs w:val="20"/>
        </w:rPr>
        <w:t>】</w:t>
      </w:r>
    </w:p>
    <w:p>
      <w:pPr>
        <w:snapToGrid w:val="0"/>
        <w:spacing w:line="288" w:lineRule="auto"/>
        <w:ind w:firstLine="392" w:firstLineChars="196"/>
        <w:rPr>
          <w:szCs w:val="21"/>
        </w:rPr>
      </w:pPr>
      <w:r>
        <w:rPr>
          <w:b/>
          <w:bCs/>
          <w:sz w:val="20"/>
          <w:szCs w:val="20"/>
        </w:rPr>
        <w:t>面向专业：</w:t>
      </w:r>
      <w:r>
        <w:rPr>
          <w:sz w:val="20"/>
          <w:szCs w:val="20"/>
        </w:rPr>
        <w:t>【</w:t>
      </w:r>
      <w:r>
        <w:rPr>
          <w:rFonts w:hint="eastAsia"/>
          <w:sz w:val="20"/>
          <w:szCs w:val="20"/>
        </w:rPr>
        <w:t>护理</w:t>
      </w:r>
      <w:r>
        <w:rPr>
          <w:sz w:val="20"/>
          <w:szCs w:val="20"/>
        </w:rPr>
        <w:t>】</w:t>
      </w:r>
    </w:p>
    <w:p>
      <w:pPr>
        <w:snapToGrid w:val="0"/>
        <w:spacing w:line="288" w:lineRule="auto"/>
        <w:ind w:firstLine="392" w:firstLineChars="196"/>
        <w:rPr>
          <w:sz w:val="20"/>
          <w:szCs w:val="20"/>
        </w:rPr>
      </w:pPr>
      <w:r>
        <w:rPr>
          <w:b/>
          <w:bCs/>
          <w:sz w:val="20"/>
          <w:szCs w:val="20"/>
        </w:rPr>
        <w:t>课程性质：</w:t>
      </w:r>
      <w:r>
        <w:rPr>
          <w:sz w:val="20"/>
          <w:szCs w:val="20"/>
        </w:rPr>
        <w:t>【</w:t>
      </w:r>
      <w:r>
        <w:rPr>
          <w:rFonts w:hint="eastAsia"/>
          <w:sz w:val="20"/>
          <w:szCs w:val="20"/>
        </w:rPr>
        <w:t>系级选修课</w:t>
      </w:r>
      <w:r>
        <w:rPr>
          <w:sz w:val="20"/>
          <w:szCs w:val="20"/>
        </w:rPr>
        <w:t>】</w:t>
      </w:r>
    </w:p>
    <w:p>
      <w:pPr>
        <w:snapToGrid w:val="0"/>
        <w:spacing w:line="288" w:lineRule="auto"/>
        <w:ind w:firstLine="392" w:firstLineChars="196"/>
        <w:rPr>
          <w:b/>
          <w:bCs/>
          <w:szCs w:val="21"/>
        </w:rPr>
      </w:pPr>
      <w:r>
        <w:rPr>
          <w:b/>
          <w:bCs/>
          <w:sz w:val="20"/>
          <w:szCs w:val="20"/>
        </w:rPr>
        <w:t>开课院系：</w:t>
      </w:r>
      <w:r>
        <w:rPr>
          <w:rFonts w:hint="eastAsia"/>
          <w:b/>
          <w:bCs/>
          <w:sz w:val="20"/>
          <w:szCs w:val="20"/>
        </w:rPr>
        <w:t>健康管理学院护理系</w:t>
      </w:r>
    </w:p>
    <w:p>
      <w:pPr>
        <w:snapToGrid w:val="0"/>
        <w:spacing w:line="288" w:lineRule="auto"/>
        <w:ind w:firstLine="392" w:firstLineChars="196"/>
        <w:rPr>
          <w:sz w:val="20"/>
          <w:szCs w:val="20"/>
        </w:rPr>
      </w:pPr>
      <w:r>
        <w:rPr>
          <w:b/>
          <w:bCs/>
          <w:sz w:val="20"/>
          <w:szCs w:val="20"/>
        </w:rPr>
        <w:t>使用教材：</w:t>
      </w:r>
    </w:p>
    <w:p>
      <w:pPr>
        <w:snapToGrid w:val="0"/>
        <w:spacing w:line="288" w:lineRule="auto"/>
        <w:ind w:firstLine="792" w:firstLineChars="396"/>
        <w:rPr>
          <w:szCs w:val="21"/>
        </w:rPr>
      </w:pPr>
      <w:r>
        <w:rPr>
          <w:sz w:val="20"/>
          <w:szCs w:val="20"/>
        </w:rPr>
        <w:t>教材【</w:t>
      </w:r>
      <w:r>
        <w:rPr>
          <w:rFonts w:hint="eastAsia"/>
          <w:sz w:val="20"/>
          <w:szCs w:val="20"/>
        </w:rPr>
        <w:t>《正常人体功能》第4版，主编：彭波，人民卫生出版社</w:t>
      </w:r>
      <w:r>
        <w:rPr>
          <w:sz w:val="20"/>
          <w:szCs w:val="20"/>
        </w:rPr>
        <w:t>】</w:t>
      </w:r>
    </w:p>
    <w:p>
      <w:pPr>
        <w:snapToGrid w:val="0"/>
        <w:spacing w:line="288" w:lineRule="auto"/>
        <w:ind w:left="718" w:leftChars="342" w:firstLine="100" w:firstLineChars="50"/>
        <w:rPr>
          <w:sz w:val="20"/>
          <w:szCs w:val="20"/>
        </w:rPr>
      </w:pPr>
      <w:r>
        <w:rPr>
          <w:sz w:val="20"/>
          <w:szCs w:val="20"/>
        </w:rPr>
        <w:t>参考</w:t>
      </w:r>
      <w:r>
        <w:rPr>
          <w:rFonts w:hint="eastAsia"/>
          <w:sz w:val="20"/>
          <w:szCs w:val="20"/>
        </w:rPr>
        <w:t>书目</w:t>
      </w:r>
      <w:r>
        <w:rPr>
          <w:sz w:val="20"/>
          <w:szCs w:val="20"/>
        </w:rPr>
        <w:t>【</w:t>
      </w:r>
      <w:r>
        <w:rPr>
          <w:rFonts w:hint="eastAsia"/>
          <w:sz w:val="20"/>
          <w:szCs w:val="20"/>
        </w:rPr>
        <w:t>《生物化学与分子生物学》第8版，主编：查锡良、药立波，人民卫生出版</w:t>
      </w:r>
    </w:p>
    <w:p>
      <w:pPr>
        <w:snapToGrid w:val="0"/>
        <w:spacing w:line="288" w:lineRule="auto"/>
        <w:rPr>
          <w:szCs w:val="21"/>
        </w:rPr>
      </w:pPr>
      <w:r>
        <w:rPr>
          <w:rFonts w:hint="eastAsia"/>
          <w:sz w:val="20"/>
          <w:szCs w:val="20"/>
        </w:rPr>
        <w:t>社；《生理学》第8版，主编：朱大年、王庭槐，人民卫生出版社；《正常人体功能学习指导及习题集》，主编：白波.人民卫生出版社</w:t>
      </w:r>
      <w:r>
        <w:rPr>
          <w:sz w:val="20"/>
          <w:szCs w:val="20"/>
        </w:rPr>
        <w:t>】</w:t>
      </w:r>
    </w:p>
    <w:p>
      <w:pPr>
        <w:snapToGrid w:val="0"/>
        <w:spacing w:line="288" w:lineRule="auto"/>
        <w:ind w:firstLine="392" w:firstLineChars="196"/>
        <w:rPr>
          <w:sz w:val="20"/>
          <w:szCs w:val="20"/>
        </w:rPr>
      </w:pPr>
      <w:r>
        <w:rPr>
          <w:rFonts w:hint="eastAsia"/>
          <w:b/>
          <w:bCs/>
          <w:sz w:val="20"/>
          <w:szCs w:val="20"/>
        </w:rPr>
        <w:t>课程网站网址：</w:t>
      </w:r>
      <w:r>
        <w:rPr>
          <w:sz w:val="20"/>
          <w:szCs w:val="20"/>
        </w:rPr>
        <w:t>https://mooc1.chaoxing.com/course/220273403.html</w:t>
      </w:r>
    </w:p>
    <w:p>
      <w:pPr>
        <w:adjustRightInd w:val="0"/>
        <w:snapToGrid w:val="0"/>
        <w:spacing w:line="288" w:lineRule="auto"/>
        <w:ind w:firstLine="392" w:firstLineChars="196"/>
        <w:rPr>
          <w:sz w:val="20"/>
          <w:szCs w:val="20"/>
        </w:rPr>
      </w:pPr>
      <w:r>
        <w:rPr>
          <w:b/>
          <w:bCs/>
          <w:sz w:val="20"/>
          <w:szCs w:val="20"/>
        </w:rPr>
        <w:t>先修课程：</w:t>
      </w:r>
      <w:r>
        <w:rPr>
          <w:rFonts w:hint="eastAsia"/>
          <w:sz w:val="20"/>
          <w:szCs w:val="20"/>
        </w:rPr>
        <w:t>无</w:t>
      </w: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sz w:val="20"/>
          <w:szCs w:val="20"/>
        </w:rPr>
        <w:t>正常人体功能是研究人体各器官、组织、细胞功能活动及其原理的一门科学，它融合传统的“生理学”和“生物化学”等基础学科的基本内容，实现代护理学教育和医学教育中一门十分重要的基础课程。在护理学专业领域中，要求护理人员能够依据护理对象的生理、心理、行为等各种因素采取积极的措施，维护或促进健康，评述护理品质与效果，独立地对护理对象提供照顾或与医师合作共同处理护理对象的健康问题等。这些都要求专业护理人员必须有坚实的正常人体功能领域的知识和技能。</w:t>
      </w:r>
    </w:p>
    <w:p>
      <w:pPr>
        <w:snapToGrid w:val="0"/>
        <w:spacing w:line="288" w:lineRule="auto"/>
        <w:ind w:firstLine="400" w:firstLineChars="200"/>
        <w:rPr>
          <w:sz w:val="20"/>
          <w:szCs w:val="20"/>
        </w:rPr>
      </w:pPr>
      <w:r>
        <w:rPr>
          <w:rFonts w:hint="eastAsia"/>
          <w:sz w:val="20"/>
          <w:szCs w:val="20"/>
        </w:rPr>
        <w:t>学习正常人体功能要从细胞和分子水平、器官和系统水平到整体水平有机结合起来，相互关联，相互补充，全面掌握正常人体功能的基本知识和基本技能，为更好的学习和理解护理学的专业知识和专业技能奠定坚实的基础。通过学习，使学生对正常人体的功能有所掌握，为学习其它护理专业课程和临床实践奠定基础。</w:t>
      </w:r>
    </w:p>
    <w:p>
      <w:pPr>
        <w:snapToGrid w:val="0"/>
        <w:spacing w:line="288" w:lineRule="auto"/>
        <w:ind w:firstLine="400" w:firstLineChars="200"/>
        <w:rPr>
          <w:sz w:val="20"/>
          <w:szCs w:val="20"/>
        </w:rPr>
      </w:pPr>
      <w:r>
        <w:rPr>
          <w:rFonts w:hint="eastAsia"/>
          <w:sz w:val="20"/>
          <w:szCs w:val="20"/>
        </w:rPr>
        <w:t>本课程在第一学期开设，总时数为64学时。其中理论课时44学时，实验课时20学时。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sz w:val="20"/>
          <w:szCs w:val="20"/>
        </w:rPr>
      </w:pPr>
      <w:r>
        <w:rPr>
          <w:rFonts w:hint="eastAsia"/>
          <w:sz w:val="20"/>
          <w:szCs w:val="20"/>
        </w:rPr>
        <w:t>适合护理系护理专业一年级第一学期学生学习。</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Spec="center" w:tblpY="24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tcPr>
          <w:p>
            <w:pPr>
              <w:jc w:val="center"/>
              <w:rPr>
                <w:rFonts w:ascii="宋体" w:hAnsi="宋体" w:cs="宋体"/>
                <w:b/>
                <w:bCs/>
                <w:kern w:val="0"/>
                <w:szCs w:val="21"/>
              </w:rPr>
            </w:pPr>
            <w:r>
              <w:rPr>
                <w:rFonts w:hint="eastAsia" w:ascii="宋体" w:hAnsi="宋体" w:cs="宋体"/>
                <w:b/>
                <w:bCs/>
                <w:kern w:val="0"/>
                <w:szCs w:val="21"/>
              </w:rPr>
              <w:t>专业毕业要求</w:t>
            </w:r>
          </w:p>
        </w:tc>
        <w:tc>
          <w:tcPr>
            <w:tcW w:w="823" w:type="dxa"/>
          </w:tcPr>
          <w:p>
            <w:pPr>
              <w:jc w:val="center"/>
              <w:rPr>
                <w:rFonts w:ascii="宋体" w:hAnsi="宋体" w:cs="宋体"/>
                <w:b/>
                <w:bCs/>
                <w:kern w:val="0"/>
                <w:szCs w:val="21"/>
              </w:rPr>
            </w:pPr>
            <w:r>
              <w:rPr>
                <w:rFonts w:hint="eastAsia" w:ascii="宋体" w:hAnsi="宋体" w:cs="宋体"/>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vAlign w:val="center"/>
          </w:tcPr>
          <w:p>
            <w:pPr>
              <w:widowControl/>
              <w:rPr>
                <w:rFonts w:ascii="宋体" w:hAnsi="宋体" w:cs="宋体"/>
                <w:kern w:val="0"/>
                <w:szCs w:val="21"/>
              </w:rPr>
            </w:pPr>
            <w:r>
              <w:rPr>
                <w:rFonts w:hint="eastAsia" w:ascii="宋体" w:hAnsi="宋体" w:cs="宋体"/>
                <w:kern w:val="0"/>
                <w:szCs w:val="21"/>
              </w:rPr>
              <w:t>LO21：自主学习</w:t>
            </w:r>
          </w:p>
        </w:tc>
        <w:tc>
          <w:tcPr>
            <w:tcW w:w="823" w:type="dxa"/>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99" w:type="dxa"/>
            <w:vAlign w:val="center"/>
          </w:tcPr>
          <w:p>
            <w:pPr>
              <w:widowControl/>
              <w:rPr>
                <w:rFonts w:ascii="宋体" w:hAnsi="宋体" w:cs="宋体"/>
                <w:kern w:val="0"/>
                <w:szCs w:val="21"/>
              </w:rPr>
            </w:pPr>
            <w:r>
              <w:rPr>
                <w:rFonts w:hint="eastAsia" w:ascii="宋体" w:hAnsi="宋体" w:cs="宋体"/>
                <w:kern w:val="0"/>
                <w:szCs w:val="21"/>
              </w:rPr>
              <w:t>LO31：专业通用能力：能应用医学基础知识解释常见临床现象，具有一定的指导护理工作和用药指导能力。</w:t>
            </w:r>
          </w:p>
        </w:tc>
        <w:tc>
          <w:tcPr>
            <w:tcW w:w="823" w:type="dxa"/>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9" w:type="dxa"/>
            <w:vAlign w:val="center"/>
          </w:tcPr>
          <w:p>
            <w:pPr>
              <w:widowControl/>
              <w:rPr>
                <w:rFonts w:ascii="宋体" w:hAnsi="宋体" w:cs="宋体"/>
                <w:kern w:val="0"/>
                <w:szCs w:val="21"/>
              </w:rPr>
            </w:pPr>
            <w:r>
              <w:rPr>
                <w:rFonts w:hint="eastAsia" w:ascii="宋体" w:hAnsi="宋体" w:cs="宋体"/>
                <w:kern w:val="0"/>
                <w:szCs w:val="21"/>
              </w:rPr>
              <w:t>LO51：协同创新</w:t>
            </w:r>
          </w:p>
        </w:tc>
        <w:tc>
          <w:tcPr>
            <w:tcW w:w="823" w:type="dxa"/>
            <w:vAlign w:val="center"/>
          </w:tcPr>
          <w:p>
            <w:pPr>
              <w:widowControl/>
              <w:jc w:val="center"/>
              <w:rPr>
                <w:rFonts w:ascii="宋体" w:hAnsi="宋体" w:cs="宋体"/>
                <w:kern w:val="0"/>
                <w:szCs w:val="21"/>
              </w:rPr>
            </w:pPr>
            <w:r>
              <w:rPr>
                <w:rFonts w:hint="eastAsia" w:ascii="宋体" w:hAnsi="宋体" w:cs="宋体"/>
                <w:kern w:val="0"/>
                <w:szCs w:val="21"/>
              </w:rPr>
              <w:t>●</w:t>
            </w:r>
          </w:p>
        </w:tc>
      </w:tr>
    </w:tbl>
    <w:p>
      <w:pPr>
        <w:spacing w:line="360" w:lineRule="auto"/>
        <w:ind w:firstLine="480" w:firstLineChars="200"/>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Spec="center" w:tblpY="15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8"/>
        <w:gridCol w:w="2951"/>
        <w:gridCol w:w="189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6" w:type="dxa"/>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1308" w:type="dxa"/>
          </w:tcPr>
          <w:p>
            <w:pPr>
              <w:snapToGrid w:val="0"/>
              <w:spacing w:line="288" w:lineRule="auto"/>
              <w:jc w:val="center"/>
              <w:rPr>
                <w:rFonts w:ascii="宋体" w:hAnsi="宋体" w:cs="宋体"/>
                <w:b/>
                <w:szCs w:val="21"/>
              </w:rPr>
            </w:pPr>
            <w:r>
              <w:rPr>
                <w:rFonts w:hint="eastAsia" w:ascii="宋体" w:hAnsi="宋体" w:cs="宋体"/>
                <w:b/>
                <w:szCs w:val="21"/>
              </w:rPr>
              <w:t>课程预期</w:t>
            </w:r>
          </w:p>
          <w:p>
            <w:pPr>
              <w:snapToGrid w:val="0"/>
              <w:spacing w:line="288" w:lineRule="auto"/>
              <w:jc w:val="center"/>
              <w:rPr>
                <w:rFonts w:ascii="宋体" w:hAnsi="宋体" w:cs="宋体"/>
                <w:b/>
                <w:szCs w:val="21"/>
              </w:rPr>
            </w:pPr>
            <w:r>
              <w:rPr>
                <w:rFonts w:hint="eastAsia" w:ascii="宋体" w:hAnsi="宋体" w:cs="宋体"/>
                <w:b/>
                <w:szCs w:val="21"/>
              </w:rPr>
              <w:t>学习成果</w:t>
            </w:r>
          </w:p>
        </w:tc>
        <w:tc>
          <w:tcPr>
            <w:tcW w:w="2951" w:type="dxa"/>
            <w:vAlign w:val="center"/>
          </w:tcPr>
          <w:p>
            <w:pPr>
              <w:snapToGrid w:val="0"/>
              <w:spacing w:line="288" w:lineRule="auto"/>
              <w:jc w:val="center"/>
              <w:rPr>
                <w:rFonts w:ascii="宋体" w:hAnsi="宋体" w:cs="宋体"/>
                <w:b/>
                <w:szCs w:val="21"/>
              </w:rPr>
            </w:pPr>
            <w:r>
              <w:rPr>
                <w:rFonts w:hint="eastAsia" w:ascii="宋体" w:hAnsi="宋体" w:cs="宋体"/>
                <w:b/>
                <w:szCs w:val="21"/>
              </w:rPr>
              <w:t>课程目标</w:t>
            </w:r>
          </w:p>
        </w:tc>
        <w:tc>
          <w:tcPr>
            <w:tcW w:w="1894" w:type="dxa"/>
            <w:vAlign w:val="center"/>
          </w:tcPr>
          <w:p>
            <w:pPr>
              <w:snapToGrid w:val="0"/>
              <w:spacing w:line="288" w:lineRule="auto"/>
              <w:jc w:val="center"/>
              <w:rPr>
                <w:rFonts w:ascii="宋体" w:hAnsi="宋体" w:cs="宋体"/>
                <w:b/>
                <w:szCs w:val="21"/>
              </w:rPr>
            </w:pPr>
            <w:r>
              <w:rPr>
                <w:rFonts w:hint="eastAsia" w:ascii="宋体" w:hAnsi="宋体" w:cs="宋体"/>
                <w:b/>
                <w:szCs w:val="21"/>
              </w:rPr>
              <w:t>教与学方式</w:t>
            </w:r>
          </w:p>
        </w:tc>
        <w:tc>
          <w:tcPr>
            <w:tcW w:w="1773" w:type="dxa"/>
            <w:vAlign w:val="center"/>
          </w:tcPr>
          <w:p>
            <w:pPr>
              <w:snapToGrid w:val="0"/>
              <w:spacing w:line="288" w:lineRule="auto"/>
              <w:jc w:val="center"/>
              <w:rPr>
                <w:rFonts w:ascii="宋体" w:hAnsi="宋体" w:cs="宋体"/>
                <w:b/>
                <w:szCs w:val="21"/>
              </w:rPr>
            </w:pPr>
            <w:r>
              <w:rPr>
                <w:rFonts w:hint="eastAsia" w:ascii="宋体" w:hAnsi="宋体" w:cs="宋体"/>
                <w:b/>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596" w:type="dxa"/>
            <w:vAlign w:val="center"/>
          </w:tcPr>
          <w:p>
            <w:pPr>
              <w:jc w:val="center"/>
              <w:rPr>
                <w:rFonts w:ascii="宋体" w:hAnsi="宋体" w:cs="宋体"/>
                <w:szCs w:val="21"/>
              </w:rPr>
            </w:pPr>
            <w:r>
              <w:rPr>
                <w:rFonts w:hint="eastAsia" w:ascii="宋体" w:hAnsi="宋体" w:cs="宋体"/>
                <w:szCs w:val="21"/>
              </w:rPr>
              <w:t>1</w:t>
            </w:r>
          </w:p>
        </w:tc>
        <w:tc>
          <w:tcPr>
            <w:tcW w:w="1308" w:type="dxa"/>
            <w:vAlign w:val="center"/>
          </w:tcPr>
          <w:p>
            <w:pPr>
              <w:jc w:val="center"/>
              <w:rPr>
                <w:rFonts w:ascii="宋体" w:hAnsi="宋体" w:cs="宋体"/>
                <w:szCs w:val="21"/>
              </w:rPr>
            </w:pPr>
            <w:r>
              <w:rPr>
                <w:rFonts w:hint="eastAsia" w:ascii="宋体" w:hAnsi="宋体" w:cs="宋体"/>
                <w:szCs w:val="21"/>
              </w:rPr>
              <w:t>LO21</w:t>
            </w:r>
          </w:p>
        </w:tc>
        <w:tc>
          <w:tcPr>
            <w:tcW w:w="2951" w:type="dxa"/>
            <w:vAlign w:val="center"/>
          </w:tcPr>
          <w:p>
            <w:pPr>
              <w:jc w:val="center"/>
              <w:rPr>
                <w:rFonts w:ascii="宋体" w:hAnsi="宋体" w:cs="宋体"/>
                <w:szCs w:val="21"/>
              </w:rPr>
            </w:pPr>
            <w:r>
              <w:rPr>
                <w:rFonts w:hint="eastAsia" w:ascii="宋体" w:hAnsi="宋体" w:cs="宋体"/>
                <w:szCs w:val="21"/>
              </w:rPr>
              <w:t>能根据需要自己确定学习目标，并设计学习计划。</w:t>
            </w:r>
          </w:p>
        </w:tc>
        <w:tc>
          <w:tcPr>
            <w:tcW w:w="1894" w:type="dxa"/>
            <w:vAlign w:val="center"/>
          </w:tcPr>
          <w:p>
            <w:pPr>
              <w:jc w:val="center"/>
              <w:rPr>
                <w:rFonts w:ascii="宋体" w:hAnsi="宋体" w:cs="宋体"/>
                <w:szCs w:val="21"/>
              </w:rPr>
            </w:pPr>
            <w:r>
              <w:rPr>
                <w:rFonts w:hint="eastAsia" w:ascii="宋体" w:hAnsi="宋体" w:cs="宋体"/>
                <w:szCs w:val="21"/>
              </w:rPr>
              <w:t>布置学习任务</w:t>
            </w:r>
          </w:p>
        </w:tc>
        <w:tc>
          <w:tcPr>
            <w:tcW w:w="1773" w:type="dxa"/>
            <w:vAlign w:val="center"/>
          </w:tcPr>
          <w:p>
            <w:pPr>
              <w:jc w:val="center"/>
              <w:rPr>
                <w:rFonts w:ascii="宋体" w:hAnsi="宋体" w:cs="宋体"/>
                <w:kern w:val="0"/>
                <w:szCs w:val="21"/>
              </w:rPr>
            </w:pPr>
            <w:r>
              <w:rPr>
                <w:rFonts w:hint="eastAsia" w:ascii="宋体" w:hAnsi="宋体" w:cs="宋体"/>
                <w:kern w:val="0"/>
                <w:szCs w:val="21"/>
              </w:rPr>
              <w:t>PBL学习报告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596" w:type="dxa"/>
            <w:vAlign w:val="center"/>
          </w:tcPr>
          <w:p>
            <w:pPr>
              <w:jc w:val="center"/>
              <w:rPr>
                <w:rFonts w:ascii="宋体" w:hAnsi="宋体" w:cs="宋体"/>
                <w:szCs w:val="21"/>
              </w:rPr>
            </w:pPr>
            <w:r>
              <w:rPr>
                <w:rFonts w:hint="eastAsia" w:ascii="宋体" w:hAnsi="宋体" w:cs="宋体"/>
                <w:szCs w:val="21"/>
              </w:rPr>
              <w:t>2</w:t>
            </w:r>
          </w:p>
        </w:tc>
        <w:tc>
          <w:tcPr>
            <w:tcW w:w="1308" w:type="dxa"/>
            <w:vAlign w:val="center"/>
          </w:tcPr>
          <w:p>
            <w:pPr>
              <w:jc w:val="center"/>
              <w:rPr>
                <w:rFonts w:ascii="宋体" w:hAnsi="宋体" w:cs="宋体"/>
                <w:szCs w:val="21"/>
              </w:rPr>
            </w:pPr>
            <w:r>
              <w:rPr>
                <w:rFonts w:hint="eastAsia" w:ascii="宋体" w:hAnsi="宋体" w:cs="宋体"/>
                <w:szCs w:val="21"/>
              </w:rPr>
              <w:t>LO31</w:t>
            </w:r>
          </w:p>
        </w:tc>
        <w:tc>
          <w:tcPr>
            <w:tcW w:w="2951" w:type="dxa"/>
            <w:vAlign w:val="center"/>
          </w:tcPr>
          <w:p>
            <w:pPr>
              <w:jc w:val="center"/>
              <w:rPr>
                <w:rFonts w:ascii="宋体" w:hAnsi="宋体" w:cs="宋体"/>
                <w:szCs w:val="21"/>
              </w:rPr>
            </w:pPr>
            <w:r>
              <w:rPr>
                <w:rFonts w:hint="eastAsia" w:ascii="宋体" w:hAnsi="宋体" w:cs="宋体"/>
                <w:szCs w:val="21"/>
              </w:rPr>
              <w:t>能应用生理学和生物化学基础知识解释常见临床现象，具有一定的指导护理工作能力。</w:t>
            </w:r>
          </w:p>
        </w:tc>
        <w:tc>
          <w:tcPr>
            <w:tcW w:w="1894" w:type="dxa"/>
            <w:vAlign w:val="center"/>
          </w:tcPr>
          <w:p>
            <w:pPr>
              <w:jc w:val="center"/>
              <w:rPr>
                <w:rFonts w:ascii="宋体" w:hAnsi="宋体" w:cs="宋体"/>
                <w:szCs w:val="21"/>
              </w:rPr>
            </w:pPr>
            <w:r>
              <w:rPr>
                <w:rFonts w:hint="eastAsia" w:ascii="宋体" w:hAnsi="宋体" w:cs="宋体"/>
                <w:szCs w:val="21"/>
              </w:rPr>
              <w:t>理论教学</w:t>
            </w:r>
          </w:p>
          <w:p>
            <w:pPr>
              <w:jc w:val="center"/>
              <w:rPr>
                <w:rFonts w:ascii="宋体" w:hAnsi="宋体" w:cs="宋体"/>
                <w:szCs w:val="21"/>
              </w:rPr>
            </w:pPr>
            <w:r>
              <w:rPr>
                <w:rFonts w:hint="eastAsia" w:ascii="宋体" w:hAnsi="宋体" w:cs="宋体"/>
                <w:szCs w:val="21"/>
              </w:rPr>
              <w:t>PBL</w:t>
            </w:r>
          </w:p>
        </w:tc>
        <w:tc>
          <w:tcPr>
            <w:tcW w:w="1773" w:type="dxa"/>
            <w:vAlign w:val="center"/>
          </w:tcPr>
          <w:p>
            <w:pPr>
              <w:jc w:val="center"/>
              <w:rPr>
                <w:rFonts w:ascii="宋体" w:hAnsi="宋体" w:cs="宋体"/>
                <w:szCs w:val="21"/>
              </w:rPr>
            </w:pPr>
            <w:r>
              <w:rPr>
                <w:rFonts w:hint="eastAsia" w:ascii="宋体" w:hAnsi="宋体" w:cs="宋体"/>
                <w:szCs w:val="21"/>
              </w:rPr>
              <w:t>纸笔测验评价</w:t>
            </w:r>
          </w:p>
          <w:p>
            <w:pPr>
              <w:jc w:val="center"/>
              <w:rPr>
                <w:rFonts w:ascii="宋体" w:hAnsi="宋体" w:cs="宋体"/>
                <w:szCs w:val="21"/>
              </w:rPr>
            </w:pPr>
            <w:r>
              <w:rPr>
                <w:rFonts w:hint="eastAsia" w:ascii="宋体" w:hAnsi="宋体" w:cs="宋体"/>
                <w:szCs w:val="21"/>
              </w:rPr>
              <w:t>PBL学习报告</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6" w:type="dxa"/>
            <w:vAlign w:val="center"/>
          </w:tcPr>
          <w:p>
            <w:pPr>
              <w:jc w:val="center"/>
              <w:rPr>
                <w:rFonts w:ascii="宋体" w:hAnsi="宋体" w:cs="宋体"/>
                <w:szCs w:val="21"/>
              </w:rPr>
            </w:pPr>
            <w:r>
              <w:rPr>
                <w:rFonts w:ascii="宋体" w:hAnsi="宋体" w:cs="宋体"/>
                <w:szCs w:val="21"/>
              </w:rPr>
              <w:t>3</w:t>
            </w:r>
          </w:p>
        </w:tc>
        <w:tc>
          <w:tcPr>
            <w:tcW w:w="1308" w:type="dxa"/>
            <w:vAlign w:val="center"/>
          </w:tcPr>
          <w:p>
            <w:pPr>
              <w:jc w:val="center"/>
              <w:rPr>
                <w:rFonts w:ascii="宋体" w:hAnsi="宋体" w:cs="宋体"/>
                <w:szCs w:val="21"/>
              </w:rPr>
            </w:pPr>
            <w:r>
              <w:rPr>
                <w:rFonts w:hint="eastAsia" w:ascii="宋体" w:hAnsi="宋体" w:cs="宋体"/>
                <w:szCs w:val="21"/>
              </w:rPr>
              <w:t>LO51</w:t>
            </w:r>
          </w:p>
        </w:tc>
        <w:tc>
          <w:tcPr>
            <w:tcW w:w="2951" w:type="dxa"/>
            <w:vAlign w:val="center"/>
          </w:tcPr>
          <w:p>
            <w:pPr>
              <w:jc w:val="center"/>
              <w:rPr>
                <w:rFonts w:ascii="宋体" w:hAnsi="宋体" w:cs="宋体"/>
                <w:szCs w:val="21"/>
              </w:rPr>
            </w:pPr>
            <w:r>
              <w:rPr>
                <w:rFonts w:hint="eastAsia" w:ascii="宋体" w:hAnsi="宋体" w:cs="宋体"/>
                <w:szCs w:val="21"/>
              </w:rPr>
              <w:t>在小组任务中能主动担任自己的角色，与其他成员密切合作，共同完成任务。</w:t>
            </w:r>
          </w:p>
        </w:tc>
        <w:tc>
          <w:tcPr>
            <w:tcW w:w="1894" w:type="dxa"/>
            <w:vAlign w:val="center"/>
          </w:tcPr>
          <w:p>
            <w:pPr>
              <w:jc w:val="center"/>
              <w:rPr>
                <w:rFonts w:ascii="宋体" w:hAnsi="宋体" w:cs="宋体"/>
                <w:szCs w:val="21"/>
              </w:rPr>
            </w:pPr>
            <w:r>
              <w:rPr>
                <w:rFonts w:hint="eastAsia" w:ascii="宋体" w:hAnsi="宋体" w:cs="宋体"/>
                <w:szCs w:val="21"/>
              </w:rPr>
              <w:t>PBL小组任务</w:t>
            </w:r>
          </w:p>
          <w:p>
            <w:pPr>
              <w:jc w:val="center"/>
              <w:rPr>
                <w:rFonts w:hint="eastAsia" w:ascii="宋体" w:hAnsi="宋体" w:cs="宋体"/>
                <w:szCs w:val="21"/>
              </w:rPr>
            </w:pPr>
            <w:r>
              <w:rPr>
                <w:rFonts w:ascii="宋体" w:hAnsi="宋体" w:cs="宋体"/>
                <w:szCs w:val="21"/>
              </w:rPr>
              <w:t>实验教学</w:t>
            </w:r>
          </w:p>
        </w:tc>
        <w:tc>
          <w:tcPr>
            <w:tcW w:w="1773" w:type="dxa"/>
            <w:vAlign w:val="center"/>
          </w:tcPr>
          <w:p>
            <w:pPr>
              <w:jc w:val="center"/>
              <w:rPr>
                <w:rFonts w:ascii="宋体" w:hAnsi="宋体" w:cs="宋体"/>
                <w:szCs w:val="21"/>
              </w:rPr>
            </w:pPr>
            <w:r>
              <w:rPr>
                <w:rFonts w:hint="eastAsia" w:ascii="宋体" w:hAnsi="宋体" w:cs="宋体"/>
                <w:szCs w:val="21"/>
              </w:rPr>
              <w:t>PBL学习报告</w:t>
            </w:r>
          </w:p>
          <w:p>
            <w:pPr>
              <w:jc w:val="center"/>
              <w:rPr>
                <w:rFonts w:ascii="宋体" w:hAnsi="宋体" w:cs="宋体"/>
                <w:szCs w:val="21"/>
              </w:rPr>
            </w:pPr>
            <w:r>
              <w:rPr>
                <w:rFonts w:hint="eastAsia" w:ascii="宋体" w:hAnsi="宋体" w:cs="宋体"/>
                <w:szCs w:val="21"/>
              </w:rPr>
              <w:t>实验报告</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2060"/>
        <w:gridCol w:w="1865"/>
        <w:gridCol w:w="1413"/>
        <w:gridCol w:w="1583"/>
        <w:gridCol w:w="401"/>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70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单元名称</w:t>
            </w:r>
          </w:p>
        </w:tc>
        <w:tc>
          <w:tcPr>
            <w:tcW w:w="2060"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知识目标</w:t>
            </w:r>
          </w:p>
        </w:tc>
        <w:tc>
          <w:tcPr>
            <w:tcW w:w="186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能力目标</w:t>
            </w:r>
          </w:p>
        </w:tc>
        <w:tc>
          <w:tcPr>
            <w:tcW w:w="1413"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情感目标</w:t>
            </w:r>
          </w:p>
        </w:tc>
        <w:tc>
          <w:tcPr>
            <w:tcW w:w="1583"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教学重难点</w:t>
            </w:r>
          </w:p>
        </w:tc>
        <w:tc>
          <w:tcPr>
            <w:tcW w:w="401"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理论课时</w:t>
            </w:r>
          </w:p>
        </w:tc>
        <w:tc>
          <w:tcPr>
            <w:tcW w:w="42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实践课时</w:t>
            </w:r>
          </w:p>
        </w:tc>
        <w:tc>
          <w:tcPr>
            <w:tcW w:w="426"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w:t>
            </w:r>
          </w:p>
        </w:tc>
        <w:tc>
          <w:tcPr>
            <w:tcW w:w="709" w:type="dxa"/>
            <w:vAlign w:val="center"/>
          </w:tcPr>
          <w:p>
            <w:pPr>
              <w:widowControl/>
              <w:spacing w:before="156" w:beforeLines="50" w:after="156" w:afterLines="50"/>
              <w:jc w:val="left"/>
              <w:rPr>
                <w:rFonts w:ascii="宋体" w:hAnsi="宋体" w:cs="宋体"/>
                <w:sz w:val="18"/>
                <w:szCs w:val="18"/>
              </w:rPr>
            </w:pPr>
            <w:r>
              <w:rPr>
                <w:rFonts w:hint="eastAsia" w:ascii="宋体" w:hAnsi="宋体" w:cs="宋体"/>
                <w:sz w:val="18"/>
                <w:szCs w:val="18"/>
              </w:rPr>
              <w:t>绪论</w:t>
            </w:r>
          </w:p>
          <w:p>
            <w:pPr>
              <w:snapToGrid w:val="0"/>
              <w:spacing w:line="288" w:lineRule="auto"/>
              <w:jc w:val="left"/>
              <w:rPr>
                <w:rFonts w:ascii="宋体" w:hAnsi="宋体" w:cs="宋体"/>
                <w:sz w:val="18"/>
                <w:szCs w:val="18"/>
              </w:rPr>
            </w:pPr>
          </w:p>
        </w:tc>
        <w:tc>
          <w:tcPr>
            <w:tcW w:w="2060" w:type="dxa"/>
            <w:vAlign w:val="center"/>
          </w:tcPr>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知道生命活动的基本特征；机体的内环境和稳态的概念及生理意义；生理功能的反馈控制。</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知道人体功能的调节方式。</w:t>
            </w:r>
          </w:p>
          <w:p>
            <w:pPr>
              <w:numPr>
                <w:ilvl w:val="0"/>
                <w:numId w:val="1"/>
              </w:numPr>
              <w:snapToGrid w:val="0"/>
              <w:spacing w:line="288" w:lineRule="auto"/>
              <w:rPr>
                <w:rFonts w:ascii="宋体" w:hAnsi="宋体" w:cs="宋体"/>
                <w:sz w:val="18"/>
                <w:szCs w:val="18"/>
              </w:rPr>
            </w:pPr>
            <w:r>
              <w:rPr>
                <w:rFonts w:hint="eastAsia" w:ascii="宋体" w:hAnsi="宋体" w:cs="宋体"/>
                <w:sz w:val="18"/>
                <w:szCs w:val="18"/>
              </w:rPr>
              <w:t>理解正常人体功能的研究内容及与护理学的关系。</w:t>
            </w:r>
          </w:p>
        </w:tc>
        <w:tc>
          <w:tcPr>
            <w:tcW w:w="1865" w:type="dxa"/>
            <w:vAlign w:val="center"/>
          </w:tcPr>
          <w:p>
            <w:pPr>
              <w:snapToGrid w:val="0"/>
              <w:spacing w:line="288" w:lineRule="auto"/>
              <w:rPr>
                <w:rFonts w:ascii="宋体" w:hAnsi="宋体" w:cs="宋体"/>
                <w:sz w:val="18"/>
                <w:szCs w:val="18"/>
              </w:rPr>
            </w:pPr>
            <w:r>
              <w:rPr>
                <w:rFonts w:hint="eastAsia" w:ascii="宋体" w:hAnsi="宋体" w:cs="宋体"/>
                <w:sz w:val="18"/>
                <w:szCs w:val="18"/>
              </w:rPr>
              <w:t>能运用本章所学基本知识，解释相关护理操作技术（如肌内注射）和日常生活现象；养成用理论知识解决临床问题和生活实例的思维意识。</w:t>
            </w:r>
          </w:p>
        </w:tc>
        <w:tc>
          <w:tcPr>
            <w:tcW w:w="1413" w:type="dxa"/>
            <w:vAlign w:val="center"/>
          </w:tcPr>
          <w:p>
            <w:pPr>
              <w:snapToGrid w:val="0"/>
              <w:spacing w:line="288" w:lineRule="auto"/>
              <w:rPr>
                <w:rFonts w:ascii="宋体" w:hAnsi="宋体" w:cs="宋体"/>
                <w:sz w:val="18"/>
                <w:szCs w:val="18"/>
              </w:rPr>
            </w:pPr>
            <w:r>
              <w:rPr>
                <w:rFonts w:hint="eastAsia" w:ascii="宋体" w:hAnsi="宋体" w:cs="宋体"/>
                <w:sz w:val="18"/>
                <w:szCs w:val="18"/>
              </w:rPr>
              <w:t>1.激发学生对本课程的好奇心，培养学习兴趣。</w:t>
            </w:r>
          </w:p>
          <w:p>
            <w:pPr>
              <w:snapToGrid w:val="0"/>
              <w:spacing w:line="288" w:lineRule="auto"/>
              <w:rPr>
                <w:rFonts w:ascii="宋体" w:hAnsi="宋体" w:cs="宋体"/>
                <w:b/>
                <w:bCs/>
                <w:sz w:val="18"/>
                <w:szCs w:val="18"/>
              </w:rPr>
            </w:pPr>
            <w:r>
              <w:rPr>
                <w:rFonts w:hint="eastAsia" w:ascii="宋体" w:hAnsi="宋体" w:cs="宋体"/>
                <w:sz w:val="18"/>
                <w:szCs w:val="18"/>
              </w:rPr>
              <w:t>2.感悟生命的宝贵，懂得珍惜、敬畏生命。</w:t>
            </w:r>
          </w:p>
        </w:tc>
        <w:tc>
          <w:tcPr>
            <w:tcW w:w="1583" w:type="dxa"/>
            <w:vAlign w:val="center"/>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新陈代谢、兴奋性</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内环境与稳态</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负反馈</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1.人体功能的调节方式与控制系统的区别，及其与稳态的维持。</w:t>
            </w:r>
          </w:p>
        </w:tc>
        <w:tc>
          <w:tcPr>
            <w:tcW w:w="40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2</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蛋白质的结构与功能</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1.知道蛋白质的分子组成与分子结构。</w:t>
            </w:r>
          </w:p>
          <w:p>
            <w:pPr>
              <w:snapToGrid w:val="0"/>
              <w:spacing w:line="288" w:lineRule="auto"/>
              <w:rPr>
                <w:rFonts w:ascii="宋体" w:hAnsi="宋体" w:cs="宋体"/>
                <w:sz w:val="18"/>
                <w:szCs w:val="18"/>
              </w:rPr>
            </w:pPr>
            <w:r>
              <w:rPr>
                <w:rFonts w:hint="eastAsia" w:ascii="宋体" w:hAnsi="宋体" w:cs="宋体"/>
                <w:sz w:val="18"/>
                <w:szCs w:val="18"/>
              </w:rPr>
              <w:t>2.知道蛋白质结构与功能的关系。</w:t>
            </w:r>
          </w:p>
          <w:p>
            <w:pPr>
              <w:snapToGrid w:val="0"/>
              <w:spacing w:line="288" w:lineRule="auto"/>
              <w:rPr>
                <w:rFonts w:ascii="宋体" w:hAnsi="宋体" w:cs="宋体"/>
                <w:sz w:val="18"/>
                <w:szCs w:val="18"/>
              </w:rPr>
            </w:pPr>
            <w:r>
              <w:rPr>
                <w:rFonts w:hint="eastAsia" w:ascii="宋体" w:hAnsi="宋体" w:cs="宋体"/>
                <w:sz w:val="18"/>
                <w:szCs w:val="18"/>
              </w:rPr>
              <w:t>3.知道蛋白质的理化性质；理解蛋白质变性。</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知道蛋白质的合成过程。</w:t>
            </w:r>
          </w:p>
        </w:tc>
        <w:tc>
          <w:tcPr>
            <w:tcW w:w="1865" w:type="dxa"/>
          </w:tcPr>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能说出蛋白质的基本单位与连接方式。</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能运用所学知识解释豆腐的制作原理；蛋白质变性后失去原有功能的原因。</w:t>
            </w:r>
          </w:p>
        </w:tc>
        <w:tc>
          <w:tcPr>
            <w:tcW w:w="1413" w:type="dxa"/>
          </w:tcPr>
          <w:p>
            <w:pPr>
              <w:snapToGrid w:val="0"/>
              <w:spacing w:line="288" w:lineRule="auto"/>
              <w:rPr>
                <w:rFonts w:ascii="宋体" w:hAnsi="宋体" w:cs="宋体"/>
                <w:b/>
                <w:bCs/>
                <w:sz w:val="18"/>
                <w:szCs w:val="18"/>
              </w:rPr>
            </w:pPr>
            <w:r>
              <w:rPr>
                <w:rFonts w:hint="eastAsia" w:ascii="宋体" w:hAnsi="宋体" w:cs="宋体"/>
                <w:sz w:val="18"/>
                <w:szCs w:val="18"/>
              </w:rPr>
              <w:t>使学生认识到生物化学知识与生活联系紧密，从而激发兴趣，能进行主动、积极的学习。</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蛋白质的一级结构</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蛋白质的功能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蛋白质变性</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1.蛋白质结构与功能的关系</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3</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酶与酶促反应</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1.知道酶的化学本质与分子组成，知道同工酶的概念。</w:t>
            </w:r>
          </w:p>
          <w:p>
            <w:pPr>
              <w:snapToGrid w:val="0"/>
              <w:spacing w:line="288" w:lineRule="auto"/>
              <w:rPr>
                <w:rFonts w:ascii="宋体" w:hAnsi="宋体" w:cs="宋体"/>
                <w:sz w:val="18"/>
                <w:szCs w:val="18"/>
              </w:rPr>
            </w:pPr>
            <w:r>
              <w:rPr>
                <w:rFonts w:hint="eastAsia" w:ascii="宋体" w:hAnsi="宋体" w:cs="宋体"/>
                <w:sz w:val="18"/>
                <w:szCs w:val="18"/>
              </w:rPr>
              <w:t>2.知道酶的功能部位，理解酶原的存在意义。</w:t>
            </w:r>
          </w:p>
          <w:p>
            <w:pPr>
              <w:snapToGrid w:val="0"/>
              <w:spacing w:line="288" w:lineRule="auto"/>
              <w:rPr>
                <w:rFonts w:ascii="宋体" w:hAnsi="宋体" w:cs="宋体"/>
                <w:sz w:val="18"/>
                <w:szCs w:val="18"/>
              </w:rPr>
            </w:pPr>
            <w:r>
              <w:rPr>
                <w:rFonts w:hint="eastAsia" w:ascii="宋体" w:hAnsi="宋体" w:cs="宋体"/>
                <w:sz w:val="18"/>
                <w:szCs w:val="18"/>
              </w:rPr>
              <w:t>3.知道酶的作用机制与催化特点。</w:t>
            </w:r>
          </w:p>
          <w:p>
            <w:pPr>
              <w:snapToGrid w:val="0"/>
              <w:spacing w:line="288" w:lineRule="auto"/>
              <w:rPr>
                <w:rFonts w:ascii="宋体" w:hAnsi="宋体" w:cs="宋体"/>
                <w:sz w:val="18"/>
                <w:szCs w:val="18"/>
              </w:rPr>
            </w:pPr>
            <w:r>
              <w:rPr>
                <w:rFonts w:hint="eastAsia" w:ascii="宋体" w:hAnsi="宋体" w:cs="宋体"/>
                <w:sz w:val="18"/>
                <w:szCs w:val="18"/>
              </w:rPr>
              <w:t>4.知道酶促反应的特点。</w:t>
            </w:r>
          </w:p>
          <w:p>
            <w:pPr>
              <w:snapToGrid w:val="0"/>
              <w:spacing w:line="288" w:lineRule="auto"/>
              <w:rPr>
                <w:rFonts w:ascii="宋体" w:hAnsi="宋体" w:cs="宋体"/>
                <w:sz w:val="18"/>
                <w:szCs w:val="18"/>
              </w:rPr>
            </w:pPr>
            <w:r>
              <w:rPr>
                <w:rFonts w:hint="eastAsia" w:ascii="宋体" w:hAnsi="宋体" w:cs="宋体"/>
                <w:sz w:val="18"/>
                <w:szCs w:val="18"/>
              </w:rPr>
              <w:t>5.知道酶分类、命名，酶在医学中的应用。</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1.能说出酶促反应的特点、影响因素，阐述酶原的存在意义与激活原理。</w:t>
            </w:r>
          </w:p>
          <w:p>
            <w:pPr>
              <w:snapToGrid w:val="0"/>
              <w:spacing w:line="288" w:lineRule="auto"/>
              <w:rPr>
                <w:rFonts w:ascii="宋体" w:hAnsi="宋体" w:cs="宋体"/>
                <w:sz w:val="18"/>
                <w:szCs w:val="18"/>
              </w:rPr>
            </w:pPr>
            <w:r>
              <w:rPr>
                <w:rFonts w:hint="eastAsia" w:ascii="宋体" w:hAnsi="宋体" w:cs="宋体"/>
                <w:sz w:val="18"/>
                <w:szCs w:val="18"/>
              </w:rPr>
              <w:t>2.能举例说出酶学知识在疾病诊断和治疗领域的应用。</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对酶的作用及其在人体生命活动中起到的重要作用形成感性认识，从而能进行主动、积极的学习。</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酶的功能部位</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酶的作用机制与催化特点</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酶促反应的特点</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1.酶原的激活</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酶促反应的特点</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4</w:t>
            </w:r>
          </w:p>
        </w:tc>
        <w:tc>
          <w:tcPr>
            <w:tcW w:w="709" w:type="dxa"/>
            <w:vAlign w:val="center"/>
          </w:tcPr>
          <w:p>
            <w:pPr>
              <w:snapToGrid w:val="0"/>
              <w:spacing w:line="288" w:lineRule="auto"/>
              <w:jc w:val="left"/>
              <w:rPr>
                <w:color w:val="000000"/>
                <w:sz w:val="18"/>
                <w:szCs w:val="18"/>
              </w:rPr>
            </w:pPr>
            <w:r>
              <w:rPr>
                <w:rFonts w:hint="eastAsia"/>
                <w:color w:val="000000"/>
                <w:sz w:val="18"/>
                <w:szCs w:val="18"/>
              </w:rPr>
              <w:t>维生素、水和无机盐</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1.知道几种重要维的功能与缺乏症。</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知道水和无机盐的生理功能；水的摄入与排出；钠钾钙的生理功能。</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能运用本章知识，阐述维生素、微量元素缺乏对人体的危害</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领悟到水和维生素对人体的重要性，认识到健康科普的重要性</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维生素A、B族、C、D、E、K的功能</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钠钾钙的功能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水平衡</w:t>
            </w:r>
          </w:p>
        </w:tc>
        <w:tc>
          <w:tcPr>
            <w:tcW w:w="40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5</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糖代谢</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1.知道糖类物质的定义与糖的生理功能。</w:t>
            </w:r>
          </w:p>
          <w:p>
            <w:pPr>
              <w:snapToGrid w:val="0"/>
              <w:spacing w:line="288" w:lineRule="auto"/>
              <w:rPr>
                <w:rFonts w:ascii="宋体" w:hAnsi="宋体" w:cs="宋体"/>
                <w:sz w:val="18"/>
                <w:szCs w:val="18"/>
              </w:rPr>
            </w:pPr>
            <w:r>
              <w:rPr>
                <w:rFonts w:hint="eastAsia" w:ascii="宋体" w:hAnsi="宋体" w:cs="宋体"/>
                <w:sz w:val="18"/>
                <w:szCs w:val="18"/>
              </w:rPr>
              <w:t>2.知道糖的代谢途径。</w:t>
            </w:r>
          </w:p>
          <w:p>
            <w:pPr>
              <w:snapToGrid w:val="0"/>
              <w:spacing w:line="288" w:lineRule="auto"/>
              <w:rPr>
                <w:rFonts w:ascii="宋体" w:hAnsi="宋体" w:cs="宋体"/>
                <w:sz w:val="18"/>
                <w:szCs w:val="18"/>
              </w:rPr>
            </w:pPr>
            <w:r>
              <w:rPr>
                <w:rFonts w:hint="eastAsia" w:ascii="宋体" w:hAnsi="宋体" w:cs="宋体"/>
                <w:sz w:val="18"/>
                <w:szCs w:val="18"/>
              </w:rPr>
              <w:t>3.知道糖的储存形式。</w:t>
            </w:r>
          </w:p>
          <w:p>
            <w:pPr>
              <w:snapToGrid w:val="0"/>
              <w:spacing w:line="288" w:lineRule="auto"/>
              <w:rPr>
                <w:rFonts w:ascii="宋体" w:hAnsi="宋体" w:cs="宋体"/>
                <w:sz w:val="18"/>
                <w:szCs w:val="18"/>
              </w:rPr>
            </w:pPr>
            <w:r>
              <w:rPr>
                <w:rFonts w:hint="eastAsia" w:ascii="宋体" w:hAnsi="宋体" w:cs="宋体"/>
                <w:sz w:val="18"/>
                <w:szCs w:val="18"/>
              </w:rPr>
              <w:t>4.理解糖异生的生理意义，知道乳酸循环的作用。</w:t>
            </w:r>
          </w:p>
          <w:p>
            <w:pPr>
              <w:snapToGrid w:val="0"/>
              <w:spacing w:line="288" w:lineRule="auto"/>
              <w:rPr>
                <w:rFonts w:ascii="宋体" w:hAnsi="宋体" w:cs="宋体"/>
                <w:sz w:val="18"/>
                <w:szCs w:val="18"/>
              </w:rPr>
            </w:pPr>
            <w:r>
              <w:rPr>
                <w:rFonts w:hint="eastAsia" w:ascii="宋体" w:hAnsi="宋体" w:cs="宋体"/>
                <w:sz w:val="18"/>
                <w:szCs w:val="18"/>
              </w:rPr>
              <w:t>5.掌握血糖的概念，理解血糖在体内的调节。</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1.能运用本章知识，阐述主食的重要性。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能运用本章知识，解释糖尿病的产生原因。</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使学生认识到生物化学知识与生活联系紧密，学会主动学习与知识转化。</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糖的生理功能</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糖酵解与有氧氧化</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糖异生的生理意义</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1.糖的代谢途径</w:t>
            </w:r>
          </w:p>
          <w:p>
            <w:pPr>
              <w:widowControl/>
              <w:snapToGrid w:val="0"/>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糖异生</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6</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生物氧化与能量代谢</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1.知道线粒体氧化体系与呼吸链的概念。</w:t>
            </w:r>
          </w:p>
          <w:p>
            <w:pPr>
              <w:snapToGrid w:val="0"/>
              <w:spacing w:line="288" w:lineRule="auto"/>
              <w:rPr>
                <w:rFonts w:ascii="宋体" w:hAnsi="宋体" w:cs="宋体"/>
                <w:sz w:val="18"/>
                <w:szCs w:val="18"/>
              </w:rPr>
            </w:pPr>
            <w:r>
              <w:rPr>
                <w:rFonts w:hint="eastAsia" w:ascii="宋体" w:hAnsi="宋体" w:cs="宋体"/>
                <w:sz w:val="18"/>
                <w:szCs w:val="18"/>
              </w:rPr>
              <w:t>2.理解氧化磷酸化与ATP的生成。</w:t>
            </w:r>
          </w:p>
          <w:p>
            <w:pPr>
              <w:snapToGrid w:val="0"/>
              <w:spacing w:line="288" w:lineRule="auto"/>
              <w:rPr>
                <w:rFonts w:ascii="宋体" w:hAnsi="宋体" w:cs="宋体"/>
                <w:sz w:val="18"/>
                <w:szCs w:val="18"/>
              </w:rPr>
            </w:pPr>
            <w:r>
              <w:rPr>
                <w:rFonts w:hint="eastAsia" w:ascii="宋体" w:hAnsi="宋体" w:cs="宋体"/>
                <w:sz w:val="18"/>
                <w:szCs w:val="18"/>
              </w:rPr>
              <w:t>3.知道能量的来源与去路，理解能量代谢的概念与影响因素。</w:t>
            </w:r>
          </w:p>
          <w:p>
            <w:pPr>
              <w:snapToGrid w:val="0"/>
              <w:spacing w:line="288" w:lineRule="auto"/>
              <w:rPr>
                <w:rFonts w:ascii="宋体" w:hAnsi="宋体" w:cs="宋体"/>
                <w:sz w:val="18"/>
                <w:szCs w:val="18"/>
              </w:rPr>
            </w:pPr>
            <w:r>
              <w:rPr>
                <w:rFonts w:hint="eastAsia" w:ascii="宋体" w:hAnsi="宋体" w:cs="宋体"/>
                <w:sz w:val="18"/>
                <w:szCs w:val="18"/>
              </w:rPr>
              <w:t>4.掌握体温的正常值与生理波动。</w:t>
            </w:r>
          </w:p>
          <w:p>
            <w:pPr>
              <w:snapToGrid w:val="0"/>
              <w:spacing w:line="288" w:lineRule="auto"/>
              <w:rPr>
                <w:rFonts w:ascii="宋体" w:hAnsi="宋体" w:cs="宋体"/>
                <w:sz w:val="18"/>
                <w:szCs w:val="18"/>
              </w:rPr>
            </w:pPr>
            <w:r>
              <w:rPr>
                <w:rFonts w:hint="eastAsia" w:ascii="宋体" w:hAnsi="宋体" w:cs="宋体"/>
                <w:sz w:val="18"/>
                <w:szCs w:val="18"/>
              </w:rPr>
              <w:t>5.理解机体的产热与散热机制，知道体温的调节。</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能运用本章知识，解释呼吸链阻断剂对生物产生毒性的作用机制。</w:t>
            </w:r>
          </w:p>
          <w:p>
            <w:pPr>
              <w:snapToGrid w:val="0"/>
              <w:spacing w:line="288" w:lineRule="auto"/>
              <w:rPr>
                <w:rFonts w:ascii="宋体" w:hAnsi="宋体" w:cs="宋体"/>
                <w:kern w:val="0"/>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能运用本章知识，解释甲亢病人出现怕热、多汗的原因。</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使学生认识到生物氧化与能量代谢在生命活动中的重要性，学会主动学习与知识转化。</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ATP的生成</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影响能量代谢的因素</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产热与散热</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1.呼吸链的组成与功能</w:t>
            </w:r>
          </w:p>
          <w:p>
            <w:pPr>
              <w:snapToGrid w:val="0"/>
              <w:spacing w:line="288" w:lineRule="auto"/>
              <w:rPr>
                <w:rFonts w:ascii="宋体" w:hAnsi="宋体" w:cs="宋体"/>
                <w:kern w:val="0"/>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氧化磷酸化的过程与影响因素</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7</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脂质代谢</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1.知道脂质的构成、分类与功能。</w:t>
            </w:r>
          </w:p>
          <w:p>
            <w:pPr>
              <w:snapToGrid w:val="0"/>
              <w:spacing w:line="288" w:lineRule="auto"/>
              <w:rPr>
                <w:rFonts w:ascii="宋体" w:hAnsi="宋体" w:cs="宋体"/>
                <w:sz w:val="18"/>
                <w:szCs w:val="18"/>
              </w:rPr>
            </w:pPr>
            <w:r>
              <w:rPr>
                <w:rFonts w:hint="eastAsia" w:ascii="宋体" w:hAnsi="宋体" w:cs="宋体"/>
                <w:sz w:val="18"/>
                <w:szCs w:val="18"/>
              </w:rPr>
              <w:t>2.知道脂质的消化与吸收途径。</w:t>
            </w:r>
          </w:p>
          <w:p>
            <w:pPr>
              <w:snapToGrid w:val="0"/>
              <w:spacing w:line="288" w:lineRule="auto"/>
              <w:rPr>
                <w:rFonts w:ascii="宋体" w:hAnsi="宋体" w:cs="宋体"/>
                <w:sz w:val="18"/>
                <w:szCs w:val="18"/>
              </w:rPr>
            </w:pPr>
            <w:r>
              <w:rPr>
                <w:rFonts w:hint="eastAsia" w:ascii="宋体" w:hAnsi="宋体" w:cs="宋体"/>
                <w:sz w:val="18"/>
                <w:szCs w:val="18"/>
              </w:rPr>
              <w:t>3.知道甘油三酯的功能与代谢过程；理解脂肪动员、β-氧化与酮体生成</w:t>
            </w:r>
          </w:p>
          <w:p>
            <w:pPr>
              <w:snapToGrid w:val="0"/>
              <w:spacing w:line="288" w:lineRule="auto"/>
              <w:rPr>
                <w:rFonts w:ascii="宋体" w:hAnsi="宋体" w:cs="宋体"/>
                <w:sz w:val="18"/>
                <w:szCs w:val="18"/>
              </w:rPr>
            </w:pPr>
            <w:r>
              <w:rPr>
                <w:rFonts w:hint="eastAsia" w:ascii="宋体" w:hAnsi="宋体" w:cs="宋体"/>
                <w:sz w:val="18"/>
                <w:szCs w:val="18"/>
              </w:rPr>
              <w:t>4.知道胆固醇的来源与去路。</w:t>
            </w:r>
          </w:p>
          <w:p>
            <w:pPr>
              <w:numPr>
                <w:ilvl w:val="0"/>
                <w:numId w:val="2"/>
              </w:numPr>
              <w:snapToGrid w:val="0"/>
              <w:spacing w:line="288" w:lineRule="auto"/>
              <w:rPr>
                <w:rFonts w:ascii="宋体" w:hAnsi="宋体" w:cs="宋体"/>
                <w:sz w:val="18"/>
                <w:szCs w:val="18"/>
              </w:rPr>
            </w:pPr>
            <w:r>
              <w:rPr>
                <w:rFonts w:hint="eastAsia" w:ascii="宋体" w:hAnsi="宋体" w:cs="宋体"/>
                <w:sz w:val="18"/>
                <w:szCs w:val="18"/>
              </w:rPr>
              <w:t>5.知道血脂的概念，血浆脂蛋白的功能与临床意义</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1.能运用所学知识，进行科学、健康且营养均衡的膳食的宣教。</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能运用本章知识，解释脂肪肝、冠心病的产生原因，并给出膳食建议。</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使学生认识到脂类物质在生命活动中的重要性，学会主动学习与知识转化。</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β-氧化</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酮体的生成与生理意义</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胆固醇的去路</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HDL与LDL</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1.脂质的构成与分类</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β-氧化与酮体生成</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6" w:hRule="atLeast"/>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8</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基因的传递与表达</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1.知道核酸的化学组成和一级结构。</w:t>
            </w:r>
          </w:p>
          <w:p>
            <w:pPr>
              <w:snapToGrid w:val="0"/>
              <w:spacing w:line="288" w:lineRule="auto"/>
              <w:rPr>
                <w:rFonts w:ascii="宋体" w:hAnsi="宋体" w:cs="宋体"/>
                <w:sz w:val="18"/>
                <w:szCs w:val="18"/>
              </w:rPr>
            </w:pPr>
            <w:r>
              <w:rPr>
                <w:rFonts w:hint="eastAsia" w:ascii="宋体" w:hAnsi="宋体" w:cs="宋体"/>
                <w:sz w:val="18"/>
                <w:szCs w:val="18"/>
              </w:rPr>
              <w:t xml:space="preserve">2.掌握DNA的空间结构与功能。 </w:t>
            </w:r>
          </w:p>
          <w:p>
            <w:pPr>
              <w:snapToGrid w:val="0"/>
              <w:spacing w:line="288" w:lineRule="auto"/>
              <w:rPr>
                <w:rFonts w:ascii="宋体" w:hAnsi="宋体" w:cs="宋体"/>
                <w:sz w:val="18"/>
                <w:szCs w:val="18"/>
              </w:rPr>
            </w:pPr>
            <w:r>
              <w:rPr>
                <w:rFonts w:hint="eastAsia" w:ascii="宋体" w:hAnsi="宋体" w:cs="宋体"/>
                <w:sz w:val="18"/>
                <w:szCs w:val="18"/>
              </w:rPr>
              <w:t>3.知道三种RNA的空间结构和主要功能。</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知道核酸的理化性质。</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知道遗传信息的复制、转录、翻译体系。</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1.能举例说明人类接触或暴露于电离辐射下容易导致恶性疾病或胎儿畸变的原因。</w:t>
            </w:r>
          </w:p>
          <w:p>
            <w:pPr>
              <w:snapToGrid w:val="0"/>
              <w:spacing w:line="288" w:lineRule="auto"/>
              <w:rPr>
                <w:rFonts w:ascii="宋体" w:hAnsi="宋体" w:cs="宋体"/>
                <w:sz w:val="18"/>
                <w:szCs w:val="18"/>
              </w:rPr>
            </w:pPr>
          </w:p>
        </w:tc>
        <w:tc>
          <w:tcPr>
            <w:tcW w:w="141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使学生认识到基因的传递与表达在生命活动中的重要性，学会主动学习与知识转化。</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DNA的二级结构</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三种RNA的功能</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numPr>
                <w:ilvl w:val="0"/>
                <w:numId w:val="3"/>
              </w:numPr>
              <w:snapToGrid w:val="0"/>
              <w:spacing w:line="288" w:lineRule="auto"/>
              <w:rPr>
                <w:rFonts w:ascii="宋体" w:hAnsi="宋体" w:cs="宋体"/>
                <w:sz w:val="18"/>
                <w:szCs w:val="18"/>
              </w:rPr>
            </w:pPr>
            <w:r>
              <w:rPr>
                <w:rFonts w:hint="eastAsia" w:ascii="宋体" w:hAnsi="宋体" w:cs="宋体"/>
                <w:sz w:val="18"/>
                <w:szCs w:val="18"/>
              </w:rPr>
              <w:t>1.遗传信息的复制、转录、翻译体系</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9</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蛋白的营养作用与氨基酸代谢</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1.知道氮平衡的概念，必需氨基酸的营养价值。</w:t>
            </w:r>
          </w:p>
          <w:p>
            <w:pPr>
              <w:snapToGrid w:val="0"/>
              <w:spacing w:line="288" w:lineRule="auto"/>
              <w:rPr>
                <w:rFonts w:ascii="宋体" w:hAnsi="宋体" w:cs="宋体"/>
                <w:sz w:val="18"/>
                <w:szCs w:val="18"/>
              </w:rPr>
            </w:pPr>
            <w:r>
              <w:rPr>
                <w:rFonts w:hint="eastAsia" w:ascii="宋体" w:hAnsi="宋体" w:cs="宋体"/>
                <w:sz w:val="18"/>
                <w:szCs w:val="18"/>
              </w:rPr>
              <w:t>2.知道氨基酸的一般代谢过程。</w:t>
            </w:r>
          </w:p>
          <w:p>
            <w:pPr>
              <w:snapToGrid w:val="0"/>
              <w:spacing w:line="288" w:lineRule="auto"/>
              <w:rPr>
                <w:rFonts w:ascii="宋体" w:hAnsi="宋体" w:cs="宋体"/>
                <w:sz w:val="18"/>
                <w:szCs w:val="18"/>
              </w:rPr>
            </w:pPr>
            <w:r>
              <w:rPr>
                <w:rFonts w:hint="eastAsia" w:ascii="宋体" w:hAnsi="宋体" w:cs="宋体"/>
                <w:sz w:val="18"/>
                <w:szCs w:val="18"/>
              </w:rPr>
              <w:t>3.知道氨的来源和去路，知道氨中毒的危害。</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知道一碳单位的生理意义，生糖氨基酸和生酮氨基酸的概念。</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1.能运用所学知识，阐述蛋白质的营养价值。</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能运用本章知识，解释转氨酶活性能够反应肝功能的原因。</w:t>
            </w:r>
          </w:p>
        </w:tc>
        <w:tc>
          <w:tcPr>
            <w:tcW w:w="141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使学生认识到蛋白质代谢在生命活动中的重要性，学会主动学习与知识转化。</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氮平衡</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必需氨基酸</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转氨酶的作用</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jc w:val="left"/>
              <w:rPr>
                <w:rFonts w:ascii="宋体" w:hAnsi="宋体" w:cs="宋体"/>
                <w:sz w:val="18"/>
                <w:szCs w:val="18"/>
              </w:rPr>
            </w:pPr>
            <w:r>
              <w:rPr>
                <w:rFonts w:hint="eastAsia" w:ascii="宋体" w:hAnsi="宋体" w:cs="宋体"/>
                <w:sz w:val="18"/>
                <w:szCs w:val="18"/>
              </w:rPr>
              <w:t>1.氨基酸的一般代谢过程。</w:t>
            </w:r>
          </w:p>
          <w:p>
            <w:pPr>
              <w:numPr>
                <w:ilvl w:val="0"/>
                <w:numId w:val="4"/>
              </w:num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一碳单位、叶酸和VitB</w:t>
            </w:r>
            <w:r>
              <w:rPr>
                <w:rFonts w:ascii="宋体" w:hAnsi="宋体" w:cs="宋体"/>
                <w:sz w:val="18"/>
                <w:szCs w:val="18"/>
                <w:vertAlign w:val="subscript"/>
              </w:rPr>
              <w:t>12</w:t>
            </w:r>
          </w:p>
        </w:tc>
        <w:tc>
          <w:tcPr>
            <w:tcW w:w="401" w:type="dxa"/>
            <w:vAlign w:val="center"/>
          </w:tcPr>
          <w:p>
            <w:pPr>
              <w:snapToGrid w:val="0"/>
              <w:spacing w:line="288" w:lineRule="auto"/>
              <w:ind w:left="-88" w:leftChars="-42"/>
              <w:jc w:val="center"/>
              <w:rPr>
                <w:rFonts w:ascii="宋体" w:hAnsi="宋体" w:cs="宋体"/>
                <w:sz w:val="18"/>
                <w:szCs w:val="18"/>
              </w:rPr>
            </w:pPr>
            <w:r>
              <w:rPr>
                <w:rFonts w:ascii="宋体" w:hAnsi="宋体" w:cs="宋体"/>
                <w:sz w:val="18"/>
                <w:szCs w:val="18"/>
              </w:rPr>
              <w:t>0.5</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pPr>
              <w:snapToGrid w:val="0"/>
              <w:spacing w:line="288" w:lineRule="auto"/>
              <w:ind w:left="-67" w:leftChars="-32"/>
              <w:jc w:val="center"/>
              <w:rPr>
                <w:rFonts w:ascii="宋体" w:hAnsi="宋体" w:cs="宋体"/>
                <w:sz w:val="18"/>
                <w:szCs w:val="18"/>
              </w:rPr>
            </w:pPr>
            <w:r>
              <w:rPr>
                <w:rFonts w:ascii="宋体" w:hAnsi="宋体" w:cs="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10</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核苷酸代谢</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了解核苷酸的合成径与分解代谢。</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理解尿酸与痛风的产生</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能运用所学知识，解释痛风产生的原因</w:t>
            </w:r>
          </w:p>
        </w:tc>
        <w:tc>
          <w:tcPr>
            <w:tcW w:w="141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充分认识到生物化学知识在人体生命活动中的重要性。</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尿酸的生成与代谢</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tabs>
                <w:tab w:val="left" w:pos="312"/>
              </w:tabs>
              <w:snapToGrid w:val="0"/>
              <w:spacing w:line="288" w:lineRule="auto"/>
              <w:rPr>
                <w:rFonts w:ascii="宋体" w:hAnsi="宋体" w:cs="宋体"/>
                <w:sz w:val="18"/>
                <w:szCs w:val="18"/>
              </w:rPr>
            </w:pPr>
            <w:r>
              <w:rPr>
                <w:rFonts w:hint="eastAsia" w:ascii="宋体" w:hAnsi="宋体" w:cs="宋体"/>
                <w:sz w:val="18"/>
                <w:szCs w:val="18"/>
              </w:rPr>
              <w:t>1.核苷酸的合成</w:t>
            </w:r>
          </w:p>
        </w:tc>
        <w:tc>
          <w:tcPr>
            <w:tcW w:w="401" w:type="dxa"/>
            <w:vAlign w:val="center"/>
          </w:tcPr>
          <w:p>
            <w:pPr>
              <w:snapToGrid w:val="0"/>
              <w:spacing w:line="288" w:lineRule="auto"/>
              <w:ind w:left="-88" w:leftChars="-42"/>
              <w:jc w:val="center"/>
              <w:rPr>
                <w:rFonts w:ascii="宋体" w:hAnsi="宋体" w:cs="宋体"/>
                <w:sz w:val="18"/>
                <w:szCs w:val="18"/>
              </w:rPr>
            </w:pPr>
            <w:r>
              <w:rPr>
                <w:rFonts w:ascii="宋体" w:hAnsi="宋体" w:cs="宋体"/>
                <w:sz w:val="18"/>
                <w:szCs w:val="18"/>
              </w:rPr>
              <w:t>0.5</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pPr>
              <w:snapToGrid w:val="0"/>
              <w:spacing w:line="288" w:lineRule="auto"/>
              <w:ind w:left="-67" w:leftChars="-32"/>
              <w:jc w:val="center"/>
              <w:rPr>
                <w:rFonts w:ascii="宋体" w:hAnsi="宋体" w:cs="宋体"/>
                <w:sz w:val="18"/>
                <w:szCs w:val="18"/>
              </w:rPr>
            </w:pPr>
            <w:r>
              <w:rPr>
                <w:rFonts w:ascii="宋体" w:hAnsi="宋体" w:cs="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11</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代谢的整合与调节</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理解代谢的整体性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知道代谢调节的主要方式</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知道人体各组织器官的代谢特点</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能通过自学与小组合作，完成研究学习任务。</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通过PBL的开展激发学生学习兴趣。</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代谢的整体性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代谢调节方式</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人体各组织器官的代谢特点</w:t>
            </w:r>
          </w:p>
        </w:tc>
        <w:tc>
          <w:tcPr>
            <w:tcW w:w="40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6"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12</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细胞的基本功能</w:t>
            </w:r>
          </w:p>
        </w:tc>
        <w:tc>
          <w:tcPr>
            <w:tcW w:w="2060" w:type="dxa"/>
          </w:tcPr>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知道细胞膜的物质转运功能。</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了解细胞的信号转导功能。</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理解细胞的生物电现象；知道动作电位的机制</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掌握骨骼肌细胞的收缩机制，知道骨骼肌的收缩形式。</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能运用所学基本知识，解释瘫痪、肌无力的形成原理。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能运用所学知识阐述钠和钾对人体的重要性。</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使学生认识到宏观与微观具有关联性，学会主动学习与知识转化。</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1.细胞膜的物质转运</w:t>
            </w:r>
          </w:p>
          <w:p>
            <w:pPr>
              <w:snapToGrid w:val="0"/>
              <w:spacing w:line="288" w:lineRule="auto"/>
              <w:rPr>
                <w:rFonts w:ascii="宋体" w:hAnsi="宋体" w:cs="宋体"/>
                <w:sz w:val="18"/>
                <w:szCs w:val="18"/>
              </w:rPr>
            </w:pPr>
            <w:r>
              <w:rPr>
                <w:rFonts w:hint="eastAsia" w:ascii="宋体" w:hAnsi="宋体" w:cs="宋体"/>
                <w:sz w:val="18"/>
                <w:szCs w:val="18"/>
              </w:rPr>
              <w:t>2.动作电位</w:t>
            </w:r>
          </w:p>
          <w:p>
            <w:pPr>
              <w:snapToGrid w:val="0"/>
              <w:spacing w:line="288" w:lineRule="auto"/>
              <w:rPr>
                <w:rFonts w:ascii="宋体" w:hAnsi="宋体" w:cs="宋体"/>
                <w:sz w:val="18"/>
                <w:szCs w:val="18"/>
              </w:rPr>
            </w:pPr>
            <w:r>
              <w:rPr>
                <w:rFonts w:hint="eastAsia" w:ascii="宋体" w:hAnsi="宋体" w:cs="宋体"/>
                <w:sz w:val="18"/>
                <w:szCs w:val="18"/>
              </w:rPr>
              <w:t>3.肌细胞的收缩</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动作电位</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肌细胞的兴奋-收缩耦连</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13</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血液</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知道血液的组成与理化性质。</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知道血细胞的生成与生理特性。</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知道生理性止血的作用；了解抗凝与纤溶系统。</w:t>
            </w:r>
          </w:p>
          <w:p>
            <w:pPr>
              <w:numPr>
                <w:ilvl w:val="0"/>
                <w:numId w:val="5"/>
              </w:num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知道ABO与Rh血型分类；掌握输血原则</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能运用所学知识，分析临床常见的贫血原因，并说出各类贫血的预防和治疗措施</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掌握ABO血型测定的方法。</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通过学习血液、血量和输血等知识,增强珍爱生命,维持健康的理念。</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1.血浆渗透压</w:t>
            </w:r>
          </w:p>
          <w:p>
            <w:pPr>
              <w:snapToGrid w:val="0"/>
              <w:spacing w:line="288" w:lineRule="auto"/>
              <w:rPr>
                <w:rFonts w:ascii="宋体" w:hAnsi="宋体" w:cs="宋体"/>
                <w:sz w:val="18"/>
                <w:szCs w:val="18"/>
              </w:rPr>
            </w:pPr>
            <w:r>
              <w:rPr>
                <w:rFonts w:hint="eastAsia" w:ascii="宋体" w:hAnsi="宋体" w:cs="宋体"/>
                <w:sz w:val="18"/>
                <w:szCs w:val="18"/>
              </w:rPr>
              <w:t>2.红细胞生理</w:t>
            </w:r>
          </w:p>
          <w:p>
            <w:pPr>
              <w:snapToGrid w:val="0"/>
              <w:spacing w:line="288" w:lineRule="auto"/>
              <w:rPr>
                <w:rFonts w:ascii="宋体" w:hAnsi="宋体" w:cs="宋体"/>
                <w:sz w:val="18"/>
                <w:szCs w:val="18"/>
              </w:rPr>
            </w:pPr>
            <w:r>
              <w:rPr>
                <w:rFonts w:hint="eastAsia" w:ascii="宋体" w:hAnsi="宋体" w:cs="宋体"/>
                <w:sz w:val="18"/>
                <w:szCs w:val="18"/>
              </w:rPr>
              <w:t>3.生理性止血</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渗透压的原理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血液凝固</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Rh阴性女性妊娠与新生儿溶血</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14</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消化</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知道唾液的成分和作用</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知道胃液的成分和作用；理解胃的运动、胃排空特点。</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知道小肠内的消化液种类，小肠的运动形式。</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知道大肠的生理功能，肠内细菌的作用，大肠的运动和排便。</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知道吸收的部位和途径</w:t>
            </w:r>
          </w:p>
          <w:p>
            <w:pPr>
              <w:snapToGrid w:val="0"/>
              <w:spacing w:line="288" w:lineRule="auto"/>
              <w:rPr>
                <w:rFonts w:ascii="宋体" w:hAnsi="宋体" w:cs="宋体"/>
                <w:sz w:val="18"/>
                <w:szCs w:val="18"/>
              </w:rPr>
            </w:pPr>
            <w:r>
              <w:rPr>
                <w:rFonts w:hint="eastAsia" w:ascii="宋体" w:hAnsi="宋体" w:cs="宋体"/>
                <w:sz w:val="18"/>
                <w:szCs w:val="18"/>
              </w:rPr>
              <w:t>6</w:t>
            </w:r>
            <w:r>
              <w:rPr>
                <w:rFonts w:ascii="宋体" w:hAnsi="宋体" w:cs="宋体"/>
                <w:sz w:val="18"/>
                <w:szCs w:val="18"/>
              </w:rPr>
              <w:t>.</w:t>
            </w:r>
            <w:r>
              <w:rPr>
                <w:rFonts w:hint="eastAsia" w:ascii="宋体" w:hAnsi="宋体" w:cs="宋体"/>
                <w:sz w:val="18"/>
                <w:szCs w:val="18"/>
              </w:rPr>
              <w:t>理解消化器官活动的调节方式，了解胃肠激素。</w:t>
            </w:r>
          </w:p>
        </w:tc>
        <w:tc>
          <w:tcPr>
            <w:tcW w:w="1865" w:type="dxa"/>
          </w:tcPr>
          <w:p>
            <w:pPr>
              <w:rPr>
                <w:rFonts w:ascii="宋体" w:hAnsi="宋体" w:cs="宋体"/>
                <w:sz w:val="18"/>
                <w:szCs w:val="18"/>
              </w:rPr>
            </w:pPr>
            <w:r>
              <w:rPr>
                <w:rFonts w:hint="eastAsia" w:ascii="宋体" w:hAnsi="宋体" w:cs="宋体"/>
                <w:sz w:val="18"/>
                <w:szCs w:val="18"/>
              </w:rPr>
              <w:t>1.能运用本章知识，解释反流性食管炎、消化性溃疡、胆石症、的产生机制。</w:t>
            </w:r>
          </w:p>
          <w:p>
            <w:pPr>
              <w:snapToGrid w:val="0"/>
              <w:spacing w:line="288" w:lineRule="auto"/>
              <w:rPr>
                <w:rFonts w:ascii="宋体" w:hAnsi="宋体" w:cs="宋体"/>
                <w:sz w:val="18"/>
                <w:szCs w:val="18"/>
              </w:rPr>
            </w:pPr>
            <w:r>
              <w:rPr>
                <w:rFonts w:hint="eastAsia" w:ascii="宋体" w:hAnsi="宋体" w:cs="宋体"/>
                <w:sz w:val="18"/>
                <w:szCs w:val="18"/>
              </w:rPr>
              <w:t>2.能运用本章知识，解释饭后不宜剧烈运动的原理，能说出益生菌在大肠内的作用。</w:t>
            </w:r>
          </w:p>
        </w:tc>
        <w:tc>
          <w:tcPr>
            <w:tcW w:w="1413"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充分认识到消化和吸收在人体生命活动中的重要性，从而树立科学、合理膳食的观念。</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1.盐酸和胃蛋白酶的作用</w:t>
            </w:r>
          </w:p>
          <w:p>
            <w:pPr>
              <w:snapToGrid w:val="0"/>
              <w:spacing w:line="288" w:lineRule="auto"/>
              <w:rPr>
                <w:rFonts w:ascii="宋体" w:hAnsi="宋体" w:cs="宋体"/>
                <w:sz w:val="18"/>
                <w:szCs w:val="18"/>
              </w:rPr>
            </w:pPr>
            <w:r>
              <w:rPr>
                <w:rFonts w:hint="eastAsia" w:ascii="宋体" w:hAnsi="宋体" w:cs="宋体"/>
                <w:sz w:val="18"/>
                <w:szCs w:val="18"/>
              </w:rPr>
              <w:t>2.黏液-碳酸氢盐屏障</w:t>
            </w:r>
          </w:p>
          <w:p>
            <w:pPr>
              <w:snapToGrid w:val="0"/>
              <w:spacing w:line="288" w:lineRule="auto"/>
              <w:rPr>
                <w:rFonts w:ascii="宋体" w:hAnsi="宋体" w:cs="宋体"/>
                <w:sz w:val="18"/>
                <w:szCs w:val="18"/>
              </w:rPr>
            </w:pPr>
            <w:r>
              <w:rPr>
                <w:rFonts w:hint="eastAsia" w:ascii="宋体" w:hAnsi="宋体" w:cs="宋体"/>
                <w:sz w:val="18"/>
                <w:szCs w:val="18"/>
              </w:rPr>
              <w:t>3.胰液的成分</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胆汁的作用</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黏液-碳酸氢盐屏障的原理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胃肠激素的作用</w:t>
            </w:r>
          </w:p>
        </w:tc>
        <w:tc>
          <w:tcPr>
            <w:tcW w:w="401" w:type="dxa"/>
            <w:vAlign w:val="center"/>
          </w:tcPr>
          <w:p>
            <w:pPr>
              <w:snapToGrid w:val="0"/>
              <w:spacing w:line="288" w:lineRule="auto"/>
              <w:rPr>
                <w:rFonts w:ascii="宋体" w:hAnsi="宋体" w:cs="宋体"/>
                <w:sz w:val="18"/>
                <w:szCs w:val="18"/>
              </w:rPr>
            </w:pPr>
            <w:r>
              <w:rPr>
                <w:rFonts w:ascii="宋体" w:hAnsi="宋体" w:cs="宋体"/>
                <w:sz w:val="18"/>
                <w:szCs w:val="18"/>
              </w:rPr>
              <w:t>3</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呼吸</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知道呼吸的基本环节</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知道肺通气的动力、阻力以及及形成因素</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理解气体交换的原理，气体在血液中的运输形式</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知道呼吸中枢与呼吸的反射性调节</w:t>
            </w:r>
          </w:p>
        </w:tc>
        <w:tc>
          <w:tcPr>
            <w:tcW w:w="1865" w:type="dxa"/>
          </w:tcPr>
          <w:p>
            <w:pPr>
              <w:rPr>
                <w:rFonts w:ascii="宋体" w:hAnsi="宋体" w:cs="宋体"/>
                <w:sz w:val="18"/>
                <w:szCs w:val="18"/>
              </w:rPr>
            </w:pPr>
            <w:r>
              <w:rPr>
                <w:rFonts w:hint="eastAsia" w:ascii="宋体" w:hAnsi="宋体" w:cs="宋体"/>
                <w:sz w:val="18"/>
                <w:szCs w:val="18"/>
              </w:rPr>
              <w:t>1.能运用本章知识，解释人工呼吸的原理，分析呼吸系统疾病的产生机制和临床表现。</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.能运用本章知识，解释高原反应的产生机制。</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充分认识到呼吸对于生命的意义，从而能进行主动、积极的学习。</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1.胸膜腔负压</w:t>
            </w:r>
          </w:p>
          <w:p>
            <w:pPr>
              <w:snapToGrid w:val="0"/>
              <w:spacing w:line="288" w:lineRule="auto"/>
              <w:rPr>
                <w:rFonts w:ascii="宋体" w:hAnsi="宋体" w:cs="宋体"/>
                <w:sz w:val="18"/>
                <w:szCs w:val="18"/>
              </w:rPr>
            </w:pPr>
            <w:r>
              <w:rPr>
                <w:rFonts w:hint="eastAsia" w:ascii="宋体" w:hAnsi="宋体" w:cs="宋体"/>
                <w:sz w:val="18"/>
                <w:szCs w:val="18"/>
              </w:rPr>
              <w:t>2.肺泡表面活性物质的生理意义</w:t>
            </w:r>
          </w:p>
          <w:p>
            <w:pPr>
              <w:snapToGrid w:val="0"/>
              <w:spacing w:line="288" w:lineRule="auto"/>
              <w:rPr>
                <w:rFonts w:ascii="宋体" w:hAnsi="宋体" w:cs="宋体"/>
                <w:sz w:val="18"/>
                <w:szCs w:val="18"/>
              </w:rPr>
            </w:pPr>
            <w:r>
              <w:rPr>
                <w:rFonts w:hint="eastAsia" w:ascii="宋体" w:hAnsi="宋体" w:cs="宋体"/>
                <w:sz w:val="18"/>
                <w:szCs w:val="18"/>
              </w:rPr>
              <w:t>3.氧解离曲线</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气体交换的原理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氧解离曲线</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3</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709" w:type="dxa"/>
            <w:vAlign w:val="center"/>
          </w:tcPr>
          <w:p>
            <w:pPr>
              <w:snapToGrid w:val="0"/>
              <w:spacing w:line="288" w:lineRule="auto"/>
              <w:jc w:val="left"/>
              <w:rPr>
                <w:color w:val="000000"/>
                <w:sz w:val="18"/>
                <w:szCs w:val="18"/>
              </w:rPr>
            </w:pPr>
            <w:r>
              <w:rPr>
                <w:rFonts w:hint="eastAsia"/>
                <w:color w:val="000000"/>
                <w:sz w:val="18"/>
                <w:szCs w:val="18"/>
              </w:rPr>
              <w:t>尿的生成与调节</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知道尿生成的过程；理解肾小球的滤过机制和影响因素。</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知道肾小管和集合管的重吸收、分泌与排泄作用</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理解尿液浓缩与稀释的调节原理；</w:t>
            </w:r>
            <w:r>
              <w:rPr>
                <w:rFonts w:ascii="宋体" w:hAnsi="宋体" w:cs="宋体"/>
                <w:sz w:val="18"/>
                <w:szCs w:val="18"/>
              </w:rPr>
              <w:t xml:space="preserve"> </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知道排尿的机制与排尿反射。</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能运用所学知识，解释尿崩症、尿失禁、尿潴留的产生原因和机制。</w:t>
            </w:r>
          </w:p>
          <w:p>
            <w:pPr>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具有为病人做泌尿系统疾病健康指导的意识和能力。</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认识到肾的泌尿功能对生命的重要性，逐渐产生对病人的同情心与运用所学知识造福社会的服务意识。</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1.肾小球滤过</w:t>
            </w:r>
          </w:p>
          <w:p>
            <w:pPr>
              <w:snapToGrid w:val="0"/>
              <w:spacing w:line="288" w:lineRule="auto"/>
              <w:rPr>
                <w:rFonts w:ascii="宋体" w:hAnsi="宋体" w:cs="宋体"/>
                <w:sz w:val="18"/>
                <w:szCs w:val="18"/>
              </w:rPr>
            </w:pPr>
            <w:r>
              <w:rPr>
                <w:rFonts w:hint="eastAsia" w:ascii="宋体" w:hAnsi="宋体" w:cs="宋体"/>
                <w:sz w:val="18"/>
                <w:szCs w:val="18"/>
              </w:rPr>
              <w:t>2.尿的浓缩和稀释</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肾小管与集合管的重吸收、分泌和排泄</w:t>
            </w:r>
          </w:p>
          <w:p>
            <w:pPr>
              <w:snapToGrid w:val="0"/>
              <w:spacing w:line="288" w:lineRule="auto"/>
              <w:rPr>
                <w:rFonts w:ascii="宋体" w:hAnsi="宋体" w:cs="宋体"/>
                <w:b/>
                <w:bCs/>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尿生成的调节</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3</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709" w:type="dxa"/>
            <w:vAlign w:val="center"/>
          </w:tcPr>
          <w:p>
            <w:pPr>
              <w:snapToGrid w:val="0"/>
              <w:spacing w:line="288" w:lineRule="auto"/>
              <w:jc w:val="left"/>
              <w:rPr>
                <w:color w:val="000000"/>
                <w:sz w:val="18"/>
                <w:szCs w:val="18"/>
              </w:rPr>
            </w:pPr>
            <w:r>
              <w:rPr>
                <w:rFonts w:hint="eastAsia"/>
                <w:color w:val="000000"/>
                <w:sz w:val="18"/>
                <w:szCs w:val="18"/>
              </w:rPr>
              <w:t>循环系统</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理解心脏泵血的过程，知道心输出量的影响因素</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知道心肌细胞的生物电现象和生理特性。</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掌握动静脉血压的形成和影响因素。</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知道微循环的通路和微循环调节。</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知道组织液的生成和影响因素。</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理解心血管活动的调节</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能运用本章所学知识，解释常见心血管系统疾病（如心律失常、心力衰竭、高血压、冠心病等）的临床表现。</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认识到良好的心态和生活习惯是预防心血管疾病的重要因素，并增强健康宣教意识。</w:t>
            </w:r>
          </w:p>
          <w:p>
            <w:pPr>
              <w:snapToGrid w:val="0"/>
              <w:spacing w:line="288" w:lineRule="auto"/>
              <w:rPr>
                <w:rFonts w:ascii="宋体" w:hAnsi="宋体" w:cs="宋体"/>
                <w:sz w:val="18"/>
                <w:szCs w:val="18"/>
              </w:rPr>
            </w:pP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1.心泵功能</w:t>
            </w:r>
          </w:p>
          <w:p>
            <w:pPr>
              <w:snapToGrid w:val="0"/>
              <w:spacing w:line="288" w:lineRule="auto"/>
              <w:rPr>
                <w:rFonts w:ascii="宋体" w:hAnsi="宋体" w:cs="宋体"/>
                <w:sz w:val="18"/>
                <w:szCs w:val="18"/>
              </w:rPr>
            </w:pPr>
            <w:r>
              <w:rPr>
                <w:rFonts w:hint="eastAsia" w:ascii="宋体" w:hAnsi="宋体" w:cs="宋体"/>
                <w:sz w:val="18"/>
                <w:szCs w:val="18"/>
              </w:rPr>
              <w:t>2.心肌细胞的生理特性</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动脉血压</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心血管活动的调节</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心脏电生理</w:t>
            </w:r>
            <w:r>
              <w:rPr>
                <w:rFonts w:ascii="宋体" w:hAnsi="宋体" w:cs="宋体"/>
                <w:sz w:val="18"/>
                <w:szCs w:val="18"/>
              </w:rPr>
              <w:t xml:space="preserve"> </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动脉血压的形成原理</w:t>
            </w:r>
          </w:p>
          <w:p>
            <w:pPr>
              <w:snapToGrid w:val="0"/>
              <w:spacing w:line="288" w:lineRule="auto"/>
              <w:rPr>
                <w:rFonts w:ascii="宋体" w:hAnsi="宋体" w:cs="宋体"/>
                <w:b/>
                <w:bCs/>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心血管活动的调节</w:t>
            </w:r>
          </w:p>
        </w:tc>
        <w:tc>
          <w:tcPr>
            <w:tcW w:w="40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6</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6</w:t>
            </w:r>
          </w:p>
        </w:tc>
        <w:tc>
          <w:tcPr>
            <w:tcW w:w="426"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olor w:val="000000"/>
                <w:sz w:val="18"/>
                <w:szCs w:val="18"/>
              </w:rPr>
              <w:t>1</w:t>
            </w:r>
            <w:r>
              <w:rPr>
                <w:rFonts w:ascii="宋体" w:hAnsi="宋体"/>
                <w:color w:val="000000"/>
                <w:sz w:val="18"/>
                <w:szCs w:val="18"/>
              </w:rPr>
              <w:t>8</w:t>
            </w:r>
          </w:p>
        </w:tc>
        <w:tc>
          <w:tcPr>
            <w:tcW w:w="709" w:type="dxa"/>
            <w:vAlign w:val="center"/>
          </w:tcPr>
          <w:p>
            <w:pPr>
              <w:snapToGrid w:val="0"/>
              <w:spacing w:line="288" w:lineRule="auto"/>
              <w:jc w:val="left"/>
              <w:rPr>
                <w:color w:val="000000"/>
                <w:sz w:val="18"/>
                <w:szCs w:val="18"/>
              </w:rPr>
            </w:pPr>
            <w:r>
              <w:rPr>
                <w:rFonts w:hint="eastAsia"/>
                <w:color w:val="000000"/>
                <w:sz w:val="18"/>
                <w:szCs w:val="18"/>
              </w:rPr>
              <w:t>神经系统</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知道神经系统功能活动的基本原理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知道神经系统的感觉功能。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知道神经系统对躯体运动的调节。</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知道神经系统对内脏活动的调节。</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知道脑的高级功能。</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能运用所学知识，解释相关护理康复操作技术和日常一些生活现象；养成用理论知识解决临床问题和生活实例的思维意识。</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认知神经系统对人体生命活动的重要性，关注神经系统损伤对健康的影响；感悟生命的意义。</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1.神经突触、递质和受体</w:t>
            </w:r>
          </w:p>
          <w:p>
            <w:pPr>
              <w:snapToGrid w:val="0"/>
              <w:spacing w:line="288" w:lineRule="auto"/>
              <w:rPr>
                <w:rFonts w:ascii="宋体" w:hAnsi="宋体" w:cs="宋体"/>
                <w:sz w:val="18"/>
                <w:szCs w:val="18"/>
              </w:rPr>
            </w:pPr>
            <w:r>
              <w:rPr>
                <w:rFonts w:hint="eastAsia" w:ascii="宋体" w:hAnsi="宋体" w:cs="宋体"/>
                <w:sz w:val="18"/>
                <w:szCs w:val="18"/>
              </w:rPr>
              <w:t>2.内脏痛的特点</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脊髓反射与脊休克</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神经元之间的信号传递</w:t>
            </w:r>
          </w:p>
          <w:p>
            <w:pPr>
              <w:snapToGrid w:val="0"/>
              <w:spacing w:line="288" w:lineRule="auto"/>
              <w:rPr>
                <w:rFonts w:ascii="宋体" w:hAnsi="宋体" w:cs="宋体"/>
                <w:b/>
                <w:bCs/>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自主神经的功能</w:t>
            </w:r>
          </w:p>
        </w:tc>
        <w:tc>
          <w:tcPr>
            <w:tcW w:w="40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6"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ascii="宋体" w:hAnsi="宋体"/>
                <w:color w:val="000000"/>
                <w:sz w:val="18"/>
                <w:szCs w:val="18"/>
              </w:rPr>
              <w:t>19</w:t>
            </w:r>
          </w:p>
        </w:tc>
        <w:tc>
          <w:tcPr>
            <w:tcW w:w="709" w:type="dxa"/>
            <w:vAlign w:val="center"/>
          </w:tcPr>
          <w:p>
            <w:pPr>
              <w:snapToGrid w:val="0"/>
              <w:spacing w:line="288" w:lineRule="auto"/>
              <w:jc w:val="left"/>
              <w:rPr>
                <w:color w:val="000000"/>
                <w:sz w:val="18"/>
                <w:szCs w:val="18"/>
              </w:rPr>
            </w:pPr>
            <w:r>
              <w:rPr>
                <w:rFonts w:hint="eastAsia"/>
                <w:color w:val="000000"/>
                <w:sz w:val="18"/>
                <w:szCs w:val="18"/>
              </w:rPr>
              <w:t>内分泌</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知道激素的概念与激素作用的一般特征。</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知道下丘脑-垂体系统的功能。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知道各内分泌器官的功能与调节。</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知道生长激素、催乳素、甲状腺激素、甲状旁腺激素、降钙素、胰岛素、胰高血糖素、肾上腺激素、糖皮质激素的生理作用。</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学会运用本章所学知识，解释常见的甲状腺疾病、糖尿病等内分泌系统疾病的主要临床表现及产生原因。</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认识到内分泌系统是人体功能的重要调节系统，懂得尊重、关心和爱护内分泌病患者，并增强健康宣教意识。</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1.下丘脑</w:t>
            </w:r>
            <w:r>
              <w:rPr>
                <w:rFonts w:ascii="宋体" w:hAnsi="宋体" w:cs="宋体"/>
                <w:sz w:val="18"/>
                <w:szCs w:val="18"/>
              </w:rPr>
              <w:t>-</w:t>
            </w:r>
            <w:r>
              <w:rPr>
                <w:rFonts w:hint="eastAsia" w:ascii="宋体" w:hAnsi="宋体" w:cs="宋体"/>
                <w:sz w:val="18"/>
                <w:szCs w:val="18"/>
              </w:rPr>
              <w:t>垂体系统</w:t>
            </w:r>
          </w:p>
          <w:p>
            <w:pPr>
              <w:snapToGrid w:val="0"/>
              <w:spacing w:line="288" w:lineRule="auto"/>
              <w:rPr>
                <w:rFonts w:ascii="宋体" w:hAnsi="宋体" w:cs="宋体"/>
                <w:sz w:val="18"/>
                <w:szCs w:val="18"/>
              </w:rPr>
            </w:pPr>
            <w:r>
              <w:rPr>
                <w:rFonts w:hint="eastAsia" w:ascii="宋体" w:hAnsi="宋体" w:cs="宋体"/>
                <w:sz w:val="18"/>
                <w:szCs w:val="18"/>
              </w:rPr>
              <w:t>2.胰岛素、肾上腺激素、糖皮质激素的生理功能</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应急反应与应激反应的区别</w:t>
            </w:r>
          </w:p>
          <w:p>
            <w:pPr>
              <w:snapToGrid w:val="0"/>
              <w:spacing w:line="288" w:lineRule="auto"/>
              <w:rPr>
                <w:rFonts w:ascii="宋体" w:hAnsi="宋体" w:cs="宋体"/>
                <w:b/>
                <w:bCs/>
                <w:sz w:val="18"/>
                <w:szCs w:val="18"/>
              </w:rPr>
            </w:pPr>
            <w:r>
              <w:rPr>
                <w:rFonts w:ascii="宋体" w:hAnsi="宋体" w:cs="宋体"/>
                <w:sz w:val="18"/>
                <w:szCs w:val="18"/>
              </w:rPr>
              <w:t>2.</w:t>
            </w:r>
            <w:r>
              <w:rPr>
                <w:rFonts w:hint="eastAsia" w:ascii="宋体" w:hAnsi="宋体" w:cs="宋体"/>
                <w:sz w:val="18"/>
                <w:szCs w:val="18"/>
              </w:rPr>
              <w:t>糖皮质激素停药的注意事项</w:t>
            </w:r>
          </w:p>
        </w:tc>
        <w:tc>
          <w:tcPr>
            <w:tcW w:w="401"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709" w:type="dxa"/>
            <w:vAlign w:val="center"/>
          </w:tcPr>
          <w:p>
            <w:pPr>
              <w:snapToGrid w:val="0"/>
              <w:spacing w:line="288" w:lineRule="auto"/>
              <w:jc w:val="left"/>
              <w:rPr>
                <w:color w:val="000000"/>
                <w:sz w:val="18"/>
                <w:szCs w:val="18"/>
              </w:rPr>
            </w:pPr>
            <w:r>
              <w:rPr>
                <w:rFonts w:hint="eastAsia" w:ascii="宋体" w:hAnsi="宋体" w:cs="宋体"/>
                <w:sz w:val="18"/>
                <w:szCs w:val="18"/>
              </w:rPr>
              <w:t>生殖</w:t>
            </w:r>
          </w:p>
        </w:tc>
        <w:tc>
          <w:tcPr>
            <w:tcW w:w="2060" w:type="dxa"/>
          </w:tcPr>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知道睾酮、雌激素、孕激素的生理作用；月经周期概念及卵巢和子宫内膜的周期性变化。</w:t>
            </w:r>
          </w:p>
          <w:p>
            <w:pPr>
              <w:numPr>
                <w:ilvl w:val="0"/>
                <w:numId w:val="6"/>
              </w:numPr>
              <w:snapToGrid w:val="0"/>
              <w:spacing w:line="288" w:lineRule="auto"/>
              <w:rPr>
                <w:rFonts w:ascii="宋体" w:hAnsi="宋体" w:cs="宋体"/>
                <w:sz w:val="18"/>
                <w:szCs w:val="18"/>
              </w:rPr>
            </w:pPr>
            <w:r>
              <w:rPr>
                <w:rFonts w:hint="eastAsia" w:ascii="宋体" w:hAnsi="宋体" w:cs="宋体"/>
                <w:sz w:val="18"/>
                <w:szCs w:val="18"/>
              </w:rPr>
              <w:t>知道睾丸和卵巢的生理功能；月经周期形成机制。</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理解睾丸及卵巢功能的调节机制。</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能够运用本章所学知识，解释男、女两性青春期后机体变化的原因，并能正确认识自我的变化。</w:t>
            </w:r>
          </w:p>
        </w:tc>
        <w:tc>
          <w:tcPr>
            <w:tcW w:w="1413" w:type="dxa"/>
          </w:tcPr>
          <w:p>
            <w:pPr>
              <w:snapToGrid w:val="0"/>
              <w:spacing w:line="288" w:lineRule="auto"/>
              <w:rPr>
                <w:rFonts w:ascii="宋体" w:hAnsi="宋体" w:cs="宋体"/>
                <w:sz w:val="18"/>
                <w:szCs w:val="18"/>
              </w:rPr>
            </w:pPr>
            <w:r>
              <w:rPr>
                <w:rFonts w:hint="eastAsia" w:ascii="宋体" w:hAnsi="宋体" w:cs="宋体"/>
                <w:sz w:val="18"/>
                <w:szCs w:val="18"/>
              </w:rPr>
              <w:t>具有珍视生命，关注和促进生殖健康的能力。</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widowControl/>
              <w:snapToGrid w:val="0"/>
              <w:spacing w:line="360" w:lineRule="auto"/>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雌激素和孕激素的生理作用</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月经周期</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睾酮的生理作用</w:t>
            </w:r>
          </w:p>
        </w:tc>
        <w:tc>
          <w:tcPr>
            <w:tcW w:w="40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6"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sz w:val="18"/>
                <w:szCs w:val="18"/>
              </w:rPr>
            </w:pPr>
          </w:p>
        </w:tc>
        <w:tc>
          <w:tcPr>
            <w:tcW w:w="709" w:type="dxa"/>
            <w:vAlign w:val="center"/>
          </w:tcPr>
          <w:p>
            <w:pPr>
              <w:snapToGrid w:val="0"/>
              <w:spacing w:line="288" w:lineRule="auto"/>
              <w:jc w:val="left"/>
              <w:rPr>
                <w:rFonts w:ascii="宋体" w:hAnsi="宋体" w:cs="宋体"/>
                <w:sz w:val="18"/>
                <w:szCs w:val="18"/>
              </w:rPr>
            </w:pPr>
            <w:r>
              <w:rPr>
                <w:rFonts w:hint="eastAsia"/>
                <w:color w:val="000000"/>
                <w:sz w:val="18"/>
                <w:szCs w:val="18"/>
              </w:rPr>
              <w:t>生理学专题PBL</w:t>
            </w:r>
          </w:p>
        </w:tc>
        <w:tc>
          <w:tcPr>
            <w:tcW w:w="2060"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理解生命活动的整体性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知道人体各器官、系统的生理功能与相互之间的协调方式。</w:t>
            </w:r>
          </w:p>
        </w:tc>
        <w:tc>
          <w:tcPr>
            <w:tcW w:w="1865" w:type="dxa"/>
          </w:tcPr>
          <w:p>
            <w:pPr>
              <w:snapToGrid w:val="0"/>
              <w:spacing w:line="288" w:lineRule="auto"/>
              <w:rPr>
                <w:rFonts w:ascii="宋体" w:hAnsi="宋体" w:cs="宋体"/>
                <w:sz w:val="18"/>
                <w:szCs w:val="18"/>
              </w:rPr>
            </w:pPr>
            <w:r>
              <w:rPr>
                <w:rFonts w:hint="eastAsia" w:ascii="宋体" w:hAnsi="宋体" w:cs="宋体"/>
                <w:sz w:val="18"/>
                <w:szCs w:val="18"/>
              </w:rPr>
              <w:t>能运用所学知识，从宏观整体层面分析典型生理现象。</w:t>
            </w:r>
          </w:p>
        </w:tc>
        <w:tc>
          <w:tcPr>
            <w:tcW w:w="1413" w:type="dxa"/>
          </w:tcPr>
          <w:p>
            <w:pPr>
              <w:widowControl/>
              <w:snapToGrid w:val="0"/>
              <w:spacing w:line="360" w:lineRule="auto"/>
              <w:rPr>
                <w:rFonts w:ascii="宋体" w:hAnsi="宋体" w:cs="宋体"/>
                <w:kern w:val="0"/>
                <w:sz w:val="18"/>
                <w:szCs w:val="18"/>
              </w:rPr>
            </w:pPr>
            <w:r>
              <w:rPr>
                <w:rFonts w:hint="eastAsia" w:ascii="宋体" w:hAnsi="宋体" w:cs="宋体"/>
                <w:sz w:val="18"/>
                <w:szCs w:val="18"/>
              </w:rPr>
              <w:t>通过PBL的开展激发学生学习热情。</w:t>
            </w:r>
          </w:p>
        </w:tc>
        <w:tc>
          <w:tcPr>
            <w:tcW w:w="1583" w:type="dxa"/>
          </w:tcPr>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生命活动整体性的外在表现</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器官、系统间的协调方式</w:t>
            </w:r>
          </w:p>
        </w:tc>
        <w:tc>
          <w:tcPr>
            <w:tcW w:w="401"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6"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snapToGrid w:val="0"/>
              <w:spacing w:line="288" w:lineRule="auto"/>
              <w:rPr>
                <w:rFonts w:ascii="宋体" w:hAnsi="宋体" w:cs="宋体"/>
                <w:b/>
                <w:bCs/>
                <w:sz w:val="18"/>
                <w:szCs w:val="18"/>
              </w:rPr>
            </w:pPr>
            <w:r>
              <w:rPr>
                <w:rFonts w:hint="eastAsia" w:ascii="宋体" w:hAnsi="宋体" w:cs="宋体"/>
                <w:b/>
                <w:bCs/>
                <w:sz w:val="18"/>
                <w:szCs w:val="18"/>
              </w:rPr>
              <w:t>合计</w:t>
            </w:r>
          </w:p>
        </w:tc>
        <w:tc>
          <w:tcPr>
            <w:tcW w:w="709" w:type="dxa"/>
            <w:vAlign w:val="center"/>
          </w:tcPr>
          <w:p>
            <w:pPr>
              <w:snapToGrid w:val="0"/>
              <w:spacing w:line="288" w:lineRule="auto"/>
              <w:jc w:val="left"/>
              <w:rPr>
                <w:rFonts w:ascii="宋体" w:hAnsi="宋体" w:cs="宋体"/>
                <w:b/>
                <w:bCs/>
                <w:sz w:val="18"/>
                <w:szCs w:val="18"/>
              </w:rPr>
            </w:pPr>
          </w:p>
        </w:tc>
        <w:tc>
          <w:tcPr>
            <w:tcW w:w="2060" w:type="dxa"/>
            <w:vAlign w:val="center"/>
          </w:tcPr>
          <w:p>
            <w:pPr>
              <w:snapToGrid w:val="0"/>
              <w:spacing w:line="288" w:lineRule="auto"/>
              <w:rPr>
                <w:rFonts w:ascii="宋体" w:hAnsi="宋体" w:cs="宋体"/>
                <w:b/>
                <w:bCs/>
                <w:sz w:val="18"/>
                <w:szCs w:val="18"/>
              </w:rPr>
            </w:pPr>
          </w:p>
        </w:tc>
        <w:tc>
          <w:tcPr>
            <w:tcW w:w="1865" w:type="dxa"/>
            <w:vAlign w:val="center"/>
          </w:tcPr>
          <w:p>
            <w:pPr>
              <w:snapToGrid w:val="0"/>
              <w:spacing w:line="288" w:lineRule="auto"/>
              <w:rPr>
                <w:rFonts w:ascii="宋体" w:hAnsi="宋体" w:cs="宋体"/>
                <w:b/>
                <w:bCs/>
                <w:sz w:val="18"/>
                <w:szCs w:val="18"/>
              </w:rPr>
            </w:pPr>
          </w:p>
        </w:tc>
        <w:tc>
          <w:tcPr>
            <w:tcW w:w="1413" w:type="dxa"/>
            <w:vAlign w:val="center"/>
          </w:tcPr>
          <w:p>
            <w:pPr>
              <w:snapToGrid w:val="0"/>
              <w:spacing w:line="288" w:lineRule="auto"/>
              <w:rPr>
                <w:rFonts w:ascii="宋体" w:hAnsi="宋体" w:cs="宋体"/>
                <w:b/>
                <w:bCs/>
                <w:sz w:val="18"/>
                <w:szCs w:val="18"/>
              </w:rPr>
            </w:pPr>
          </w:p>
        </w:tc>
        <w:tc>
          <w:tcPr>
            <w:tcW w:w="1583" w:type="dxa"/>
            <w:vAlign w:val="center"/>
          </w:tcPr>
          <w:p>
            <w:pPr>
              <w:snapToGrid w:val="0"/>
              <w:spacing w:line="288" w:lineRule="auto"/>
              <w:rPr>
                <w:rFonts w:ascii="宋体" w:hAnsi="宋体" w:cs="宋体"/>
                <w:b/>
                <w:bCs/>
                <w:sz w:val="18"/>
                <w:szCs w:val="18"/>
              </w:rPr>
            </w:pPr>
          </w:p>
        </w:tc>
        <w:tc>
          <w:tcPr>
            <w:tcW w:w="401" w:type="dxa"/>
            <w:vAlign w:val="center"/>
          </w:tcPr>
          <w:p>
            <w:pPr>
              <w:snapToGrid w:val="0"/>
              <w:spacing w:line="288" w:lineRule="auto"/>
              <w:jc w:val="center"/>
              <w:rPr>
                <w:rFonts w:ascii="宋体" w:hAnsi="宋体" w:cs="宋体"/>
                <w:b/>
                <w:bCs/>
                <w:sz w:val="18"/>
                <w:szCs w:val="18"/>
              </w:rPr>
            </w:pPr>
            <w:r>
              <w:rPr>
                <w:rFonts w:hint="eastAsia" w:ascii="宋体" w:hAnsi="宋体" w:cs="宋体"/>
                <w:b/>
                <w:bCs/>
                <w:sz w:val="18"/>
                <w:szCs w:val="18"/>
              </w:rPr>
              <w:t>44</w:t>
            </w:r>
          </w:p>
        </w:tc>
        <w:tc>
          <w:tcPr>
            <w:tcW w:w="425" w:type="dxa"/>
            <w:vAlign w:val="center"/>
          </w:tcPr>
          <w:p>
            <w:pPr>
              <w:snapToGrid w:val="0"/>
              <w:spacing w:line="288" w:lineRule="auto"/>
              <w:jc w:val="center"/>
              <w:rPr>
                <w:rFonts w:ascii="宋体" w:hAnsi="宋体" w:cs="宋体"/>
                <w:b/>
                <w:bCs/>
                <w:sz w:val="18"/>
                <w:szCs w:val="18"/>
              </w:rPr>
            </w:pPr>
            <w:r>
              <w:rPr>
                <w:rFonts w:hint="eastAsia" w:ascii="宋体" w:hAnsi="宋体" w:cs="宋体"/>
                <w:b/>
                <w:bCs/>
                <w:sz w:val="18"/>
                <w:szCs w:val="18"/>
              </w:rPr>
              <w:t>20</w:t>
            </w:r>
          </w:p>
        </w:tc>
        <w:tc>
          <w:tcPr>
            <w:tcW w:w="426" w:type="dxa"/>
            <w:vAlign w:val="center"/>
          </w:tcPr>
          <w:p>
            <w:pPr>
              <w:snapToGrid w:val="0"/>
              <w:spacing w:line="288" w:lineRule="auto"/>
              <w:jc w:val="center"/>
              <w:rPr>
                <w:rFonts w:ascii="宋体" w:hAnsi="宋体" w:cs="宋体"/>
                <w:b/>
                <w:bCs/>
                <w:sz w:val="18"/>
                <w:szCs w:val="18"/>
              </w:rPr>
            </w:pPr>
            <w:r>
              <w:rPr>
                <w:rFonts w:hint="eastAsia" w:ascii="宋体" w:hAnsi="宋体" w:cs="宋体"/>
                <w:b/>
                <w:bCs/>
                <w:sz w:val="18"/>
                <w:szCs w:val="18"/>
              </w:rPr>
              <w:t>64</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pPr w:leftFromText="180" w:rightFromText="180" w:vertAnchor="text" w:horzAnchor="page" w:tblpX="1745" w:tblpY="27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53"/>
        <w:gridCol w:w="3222"/>
        <w:gridCol w:w="701"/>
        <w:gridCol w:w="98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imes New Roman" w:hAnsi="Times New Roman"/>
                <w:b/>
                <w:szCs w:val="21"/>
              </w:rPr>
            </w:pPr>
            <w:r>
              <w:rPr>
                <w:rFonts w:hint="eastAsia" w:ascii="Times New Roman" w:hAnsi="Times New Roman"/>
                <w:b/>
                <w:szCs w:val="21"/>
              </w:rPr>
              <w:t>序 号</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imes New Roman" w:hAnsi="Times New Roman"/>
                <w:b/>
                <w:szCs w:val="21"/>
              </w:rPr>
            </w:pPr>
            <w:r>
              <w:rPr>
                <w:rFonts w:hint="eastAsia" w:ascii="Times New Roman" w:hAnsi="Times New Roman"/>
                <w:b/>
                <w:szCs w:val="21"/>
              </w:rPr>
              <w:t>实验名称</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imes New Roman" w:hAnsi="Times New Roman"/>
                <w:b/>
                <w:szCs w:val="21"/>
              </w:rPr>
            </w:pPr>
            <w:r>
              <w:rPr>
                <w:rFonts w:hint="eastAsia" w:ascii="Times New Roman" w:hAnsi="Times New Roman"/>
                <w:b/>
                <w:szCs w:val="21"/>
              </w:rPr>
              <w:t>主要内容</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imes New Roman" w:hAnsi="Times New Roman"/>
                <w:b/>
                <w:szCs w:val="21"/>
              </w:rPr>
            </w:pPr>
            <w:r>
              <w:rPr>
                <w:rFonts w:hint="eastAsia" w:ascii="Times New Roman" w:hAnsi="Times New Roman"/>
                <w:b/>
                <w:szCs w:val="21"/>
              </w:rPr>
              <w:t>实验时数</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imes New Roman" w:hAnsi="Times New Roman"/>
                <w:b/>
                <w:szCs w:val="21"/>
              </w:rPr>
            </w:pPr>
            <w:r>
              <w:rPr>
                <w:rFonts w:hint="eastAsia" w:ascii="Times New Roman" w:hAnsi="Times New Roman"/>
                <w:b/>
                <w:szCs w:val="21"/>
              </w:rPr>
              <w:t>实验类型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imes New Roman" w:hAnsi="Times New Roman"/>
                <w:b/>
                <w:szCs w:val="21"/>
              </w:rPr>
            </w:pPr>
            <w:r>
              <w:rPr>
                <w:rFonts w:hint="eastAsia"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生物化学专题PBL</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运用所学知识完成指定的研究任务</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刺激与反应</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sz w:val="18"/>
                <w:szCs w:val="18"/>
              </w:rPr>
              <w:t>观察蛙神经肌肉刺激与反应</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ABO血型鉴定</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血型鉴定</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呼吸运动的调节</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不同药物对家兔呼吸运动的影响</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影响尿生成的因素</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不同药物对家兔尿量的影响</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人体心电图描记</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描绘并解读心电图</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人体心音听诊</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学习心音听诊顺序，能区分第一心音和第二心音</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人体动脉血压测量</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学习测量动脉血压</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哺乳动物动脉血压调节</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不同药物对家兔动脉血压的影响</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Theme="minorEastAsia" w:hAnsiTheme="minorEastAsia" w:eastAsiaTheme="minorEastAsia" w:cstheme="minorEastAsia"/>
                <w:sz w:val="20"/>
                <w:szCs w:val="20"/>
              </w:rPr>
              <w:t>0</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反射弧分析</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刺激的生成及反射弧的完整性分析</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Theme="minorEastAsia" w:hAnsiTheme="minorEastAsia" w:eastAsiaTheme="minorEastAsia" w:cstheme="minorEastAsia"/>
                <w:sz w:val="20"/>
                <w:szCs w:val="20"/>
              </w:rPr>
              <w:t>1</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生理学专题PBL</w:t>
            </w: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运用所学知识完成指定的研究任务</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8"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合计</w:t>
            </w:r>
          </w:p>
        </w:tc>
        <w:tc>
          <w:tcPr>
            <w:tcW w:w="2253"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b/>
                <w:sz w:val="20"/>
                <w:szCs w:val="20"/>
              </w:rPr>
            </w:pPr>
          </w:p>
        </w:tc>
        <w:tc>
          <w:tcPr>
            <w:tcW w:w="3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b/>
                <w:sz w:val="20"/>
                <w:szCs w:val="20"/>
              </w:rPr>
            </w:pP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20</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b/>
                <w:sz w:val="20"/>
                <w:szCs w:val="20"/>
              </w:rPr>
            </w:pPr>
          </w:p>
        </w:tc>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cstheme="minorEastAsia"/>
                <w:b/>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margin" w:tblpY="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812"/>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705" w:type="dxa"/>
            <w:shd w:val="clear" w:color="auto" w:fill="auto"/>
          </w:tcPr>
          <w:p>
            <w:pPr>
              <w:snapToGrid w:val="0"/>
              <w:spacing w:before="156" w:beforeLines="50" w:after="156" w:afterLines="50"/>
              <w:rPr>
                <w:rFonts w:ascii="宋体" w:hAnsi="宋体"/>
                <w:b/>
                <w:szCs w:val="20"/>
              </w:rPr>
            </w:pPr>
            <w:r>
              <w:rPr>
                <w:rFonts w:hint="eastAsia" w:ascii="宋体" w:hAnsi="宋体"/>
                <w:b/>
                <w:szCs w:val="20"/>
              </w:rPr>
              <w:t>总评构成（1+</w:t>
            </w:r>
            <w:r>
              <w:rPr>
                <w:rFonts w:ascii="宋体" w:hAnsi="宋体"/>
                <w:b/>
                <w:szCs w:val="20"/>
              </w:rPr>
              <w:t>X</w:t>
            </w:r>
            <w:r>
              <w:rPr>
                <w:rFonts w:hint="eastAsia" w:ascii="宋体" w:hAnsi="宋体"/>
                <w:b/>
                <w:szCs w:val="20"/>
              </w:rPr>
              <w:t>）</w:t>
            </w:r>
          </w:p>
        </w:tc>
        <w:tc>
          <w:tcPr>
            <w:tcW w:w="4812" w:type="dxa"/>
            <w:shd w:val="clear" w:color="auto" w:fill="auto"/>
          </w:tcPr>
          <w:p>
            <w:pPr>
              <w:snapToGrid w:val="0"/>
              <w:spacing w:before="156" w:beforeLines="50" w:after="156" w:afterLines="50"/>
              <w:jc w:val="center"/>
              <w:rPr>
                <w:rFonts w:ascii="宋体" w:hAnsi="宋体"/>
                <w:b/>
                <w:szCs w:val="20"/>
              </w:rPr>
            </w:pPr>
            <w:r>
              <w:rPr>
                <w:rFonts w:hint="eastAsia" w:ascii="宋体" w:hAnsi="宋体"/>
                <w:b/>
                <w:szCs w:val="20"/>
              </w:rPr>
              <w:t>评价方式</w:t>
            </w:r>
          </w:p>
        </w:tc>
        <w:tc>
          <w:tcPr>
            <w:tcW w:w="2005" w:type="dxa"/>
            <w:shd w:val="clear" w:color="auto" w:fill="auto"/>
          </w:tcPr>
          <w:p>
            <w:pPr>
              <w:snapToGrid w:val="0"/>
              <w:spacing w:before="156" w:beforeLines="50" w:after="156" w:afterLines="50"/>
              <w:jc w:val="center"/>
              <w:rPr>
                <w:rFonts w:ascii="宋体" w:hAnsi="宋体"/>
                <w:b/>
                <w:szCs w:val="20"/>
              </w:rPr>
            </w:pPr>
            <w:r>
              <w:rPr>
                <w:rFonts w:hint="eastAsia" w:ascii="宋体" w:hAnsi="宋体"/>
                <w:b/>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p>
        </w:tc>
        <w:tc>
          <w:tcPr>
            <w:tcW w:w="4812"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期末闭卷考试</w:t>
            </w:r>
          </w:p>
        </w:tc>
        <w:tc>
          <w:tcPr>
            <w:tcW w:w="2005"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4812"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过程考试</w:t>
            </w:r>
          </w:p>
        </w:tc>
        <w:tc>
          <w:tcPr>
            <w:tcW w:w="2005" w:type="dxa"/>
            <w:shd w:val="clear" w:color="auto" w:fill="auto"/>
          </w:tcPr>
          <w:p>
            <w:pPr>
              <w:widowControl/>
              <w:spacing w:line="360" w:lineRule="auto"/>
              <w:jc w:val="center"/>
              <w:rPr>
                <w:rFonts w:ascii="宋体" w:hAnsi="宋体" w:cs="Arial"/>
                <w:kern w:val="0"/>
                <w:sz w:val="20"/>
                <w:szCs w:val="20"/>
              </w:rPr>
            </w:pPr>
            <w:r>
              <w:rPr>
                <w:rFonts w:ascii="宋体" w:hAnsi="宋体" w:cs="Arial"/>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X2</w:t>
            </w:r>
          </w:p>
        </w:tc>
        <w:tc>
          <w:tcPr>
            <w:tcW w:w="4812"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实验报告</w:t>
            </w:r>
          </w:p>
        </w:tc>
        <w:tc>
          <w:tcPr>
            <w:tcW w:w="2005"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r>
              <w:rPr>
                <w:rFonts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4812"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PBL学习报告</w:t>
            </w:r>
          </w:p>
        </w:tc>
        <w:tc>
          <w:tcPr>
            <w:tcW w:w="2005"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r>
              <w:rPr>
                <w:rFonts w:ascii="宋体" w:hAnsi="宋体" w:cs="Arial"/>
                <w:kern w:val="0"/>
                <w:sz w:val="20"/>
                <w:szCs w:val="20"/>
              </w:rPr>
              <w:t>0</w:t>
            </w:r>
            <w:r>
              <w:rPr>
                <w:rFonts w:hint="eastAsia" w:ascii="宋体" w:hAnsi="宋体" w:cs="Arial"/>
                <w:kern w:val="0"/>
                <w:sz w:val="20"/>
                <w:szCs w:val="20"/>
              </w:rPr>
              <w:t>%</w:t>
            </w:r>
          </w:p>
        </w:tc>
      </w:tr>
    </w:tbl>
    <w:p>
      <w:pPr>
        <w:widowControl/>
        <w:spacing w:before="156" w:beforeLines="50" w:after="156" w:afterLines="50" w:line="288" w:lineRule="auto"/>
        <w:jc w:val="left"/>
        <w:rPr>
          <w:sz w:val="28"/>
          <w:szCs w:val="28"/>
        </w:rPr>
      </w:pPr>
      <w:r>
        <w:rPr>
          <w:sz w:val="28"/>
          <w:szCs w:val="28"/>
        </w:rPr>
        <w:drawing>
          <wp:anchor distT="0" distB="0" distL="114300" distR="114300" simplePos="0" relativeHeight="251657216" behindDoc="0" locked="0" layoutInCell="1" allowOverlap="1">
            <wp:simplePos x="0" y="0"/>
            <wp:positionH relativeFrom="column">
              <wp:posOffset>628650</wp:posOffset>
            </wp:positionH>
            <wp:positionV relativeFrom="paragraph">
              <wp:posOffset>1758950</wp:posOffset>
            </wp:positionV>
            <wp:extent cx="1003300" cy="399415"/>
            <wp:effectExtent l="0" t="0" r="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3300" cy="399200"/>
                    </a:xfrm>
                    <a:prstGeom prst="rect">
                      <a:avLst/>
                    </a:prstGeom>
                    <a:noFill/>
                    <a:ln>
                      <a:noFill/>
                    </a:ln>
                  </pic:spPr>
                </pic:pic>
              </a:graphicData>
            </a:graphic>
          </wp:anchor>
        </w:drawing>
      </w:r>
      <w:r>
        <w:rPr>
          <w:rFonts w:hint="eastAsia"/>
          <w:sz w:val="28"/>
          <w:szCs w:val="28"/>
        </w:rPr>
        <w:t xml:space="preserve">撰写人：         </w:t>
      </w:r>
      <w:r>
        <w:rPr>
          <w:sz w:val="28"/>
          <w:szCs w:val="28"/>
        </w:rPr>
        <w:t xml:space="preserve">        </w:t>
      </w:r>
      <w:r>
        <w:rPr>
          <w:rFonts w:hint="eastAsia"/>
          <w:sz w:val="28"/>
          <w:szCs w:val="28"/>
        </w:rPr>
        <w:t>系主任审核签名：</w:t>
      </w:r>
      <w:r>
        <w:rPr>
          <w:sz w:val="28"/>
          <w:szCs w:val="28"/>
        </w:rPr>
        <w:drawing>
          <wp:inline distT="0" distB="0" distL="114300" distR="114300">
            <wp:extent cx="718185" cy="309245"/>
            <wp:effectExtent l="0" t="0" r="18415" b="2095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5"/>
                    <a:stretch>
                      <a:fillRect/>
                    </a:stretch>
                  </pic:blipFill>
                  <pic:spPr>
                    <a:xfrm>
                      <a:off x="0" y="0"/>
                      <a:ext cx="718185" cy="309245"/>
                    </a:xfrm>
                    <a:prstGeom prst="rect">
                      <a:avLst/>
                    </a:prstGeom>
                  </pic:spPr>
                </pic:pic>
              </a:graphicData>
            </a:graphic>
          </wp:inline>
        </w:drawing>
      </w:r>
      <w:bookmarkStart w:id="1" w:name="_GoBack"/>
      <w:bookmarkEnd w:id="1"/>
    </w:p>
    <w:p>
      <w:pPr>
        <w:snapToGrid w:val="0"/>
        <w:spacing w:line="288" w:lineRule="auto"/>
        <w:rPr>
          <w:sz w:val="28"/>
          <w:szCs w:val="28"/>
        </w:rPr>
      </w:pPr>
      <w:r>
        <w:rPr>
          <w:rFonts w:hint="eastAsia"/>
          <w:sz w:val="28"/>
          <w:szCs w:val="28"/>
        </w:rPr>
        <w:t>审核时间：2</w:t>
      </w:r>
      <w:r>
        <w:rPr>
          <w:sz w:val="28"/>
          <w:szCs w:val="28"/>
        </w:rPr>
        <w:t>022.9.25</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D5D56"/>
    <w:multiLevelType w:val="singleLevel"/>
    <w:tmpl w:val="94AD5D56"/>
    <w:lvl w:ilvl="0" w:tentative="0">
      <w:start w:val="1"/>
      <w:numFmt w:val="decimal"/>
      <w:suff w:val="space"/>
      <w:lvlText w:val="%1."/>
      <w:lvlJc w:val="left"/>
    </w:lvl>
  </w:abstractNum>
  <w:abstractNum w:abstractNumId="1">
    <w:nsid w:val="989B5E3D"/>
    <w:multiLevelType w:val="singleLevel"/>
    <w:tmpl w:val="989B5E3D"/>
    <w:lvl w:ilvl="0" w:tentative="0">
      <w:start w:val="1"/>
      <w:numFmt w:val="decimal"/>
      <w:suff w:val="space"/>
      <w:lvlText w:val="%1."/>
      <w:lvlJc w:val="left"/>
    </w:lvl>
  </w:abstractNum>
  <w:abstractNum w:abstractNumId="2">
    <w:nsid w:val="B71504D0"/>
    <w:multiLevelType w:val="singleLevel"/>
    <w:tmpl w:val="B71504D0"/>
    <w:lvl w:ilvl="0" w:tentative="0">
      <w:start w:val="1"/>
      <w:numFmt w:val="decimal"/>
      <w:lvlText w:val="%1."/>
      <w:lvlJc w:val="left"/>
      <w:pPr>
        <w:tabs>
          <w:tab w:val="left" w:pos="312"/>
        </w:tabs>
      </w:pPr>
    </w:lvl>
  </w:abstractNum>
  <w:abstractNum w:abstractNumId="3">
    <w:nsid w:val="E95935B4"/>
    <w:multiLevelType w:val="singleLevel"/>
    <w:tmpl w:val="E95935B4"/>
    <w:lvl w:ilvl="0" w:tentative="0">
      <w:start w:val="1"/>
      <w:numFmt w:val="decimal"/>
      <w:suff w:val="space"/>
      <w:lvlText w:val="%1."/>
      <w:lvlJc w:val="left"/>
    </w:lvl>
  </w:abstractNum>
  <w:abstractNum w:abstractNumId="4">
    <w:nsid w:val="26154C4E"/>
    <w:multiLevelType w:val="singleLevel"/>
    <w:tmpl w:val="26154C4E"/>
    <w:lvl w:ilvl="0" w:tentative="0">
      <w:start w:val="1"/>
      <w:numFmt w:val="decimal"/>
      <w:suff w:val="space"/>
      <w:lvlText w:val="%1."/>
      <w:lvlJc w:val="left"/>
    </w:lvl>
  </w:abstractNum>
  <w:abstractNum w:abstractNumId="5">
    <w:nsid w:val="5DD05A51"/>
    <w:multiLevelType w:val="singleLevel"/>
    <w:tmpl w:val="5DD05A51"/>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47AA8"/>
    <w:rsid w:val="000A228E"/>
    <w:rsid w:val="000E7105"/>
    <w:rsid w:val="001072BC"/>
    <w:rsid w:val="001241BE"/>
    <w:rsid w:val="00132B5D"/>
    <w:rsid w:val="00165249"/>
    <w:rsid w:val="00192285"/>
    <w:rsid w:val="002419B4"/>
    <w:rsid w:val="00256B39"/>
    <w:rsid w:val="0026033C"/>
    <w:rsid w:val="00261767"/>
    <w:rsid w:val="002B1B52"/>
    <w:rsid w:val="002E3721"/>
    <w:rsid w:val="002E4CD3"/>
    <w:rsid w:val="003053B1"/>
    <w:rsid w:val="00313BBA"/>
    <w:rsid w:val="00315F27"/>
    <w:rsid w:val="00323DB8"/>
    <w:rsid w:val="0032602E"/>
    <w:rsid w:val="003367AE"/>
    <w:rsid w:val="003665EB"/>
    <w:rsid w:val="003A21BD"/>
    <w:rsid w:val="003B0F5F"/>
    <w:rsid w:val="003B1258"/>
    <w:rsid w:val="003B5C2C"/>
    <w:rsid w:val="004100B0"/>
    <w:rsid w:val="00410412"/>
    <w:rsid w:val="004147E8"/>
    <w:rsid w:val="0042467B"/>
    <w:rsid w:val="00430529"/>
    <w:rsid w:val="004B2F7E"/>
    <w:rsid w:val="004C0591"/>
    <w:rsid w:val="00511CD4"/>
    <w:rsid w:val="005214E6"/>
    <w:rsid w:val="005467DC"/>
    <w:rsid w:val="00553D03"/>
    <w:rsid w:val="00586EB0"/>
    <w:rsid w:val="005B2B6D"/>
    <w:rsid w:val="005B4B4E"/>
    <w:rsid w:val="006042CD"/>
    <w:rsid w:val="00610192"/>
    <w:rsid w:val="00624FE1"/>
    <w:rsid w:val="00643711"/>
    <w:rsid w:val="00645CFB"/>
    <w:rsid w:val="0069579B"/>
    <w:rsid w:val="006B4519"/>
    <w:rsid w:val="00703731"/>
    <w:rsid w:val="0071270F"/>
    <w:rsid w:val="007208D6"/>
    <w:rsid w:val="007A3E88"/>
    <w:rsid w:val="007B49F4"/>
    <w:rsid w:val="007F4B1A"/>
    <w:rsid w:val="00856870"/>
    <w:rsid w:val="008A479B"/>
    <w:rsid w:val="008A6A55"/>
    <w:rsid w:val="008B2E6A"/>
    <w:rsid w:val="008B397C"/>
    <w:rsid w:val="008B3A78"/>
    <w:rsid w:val="008B47F4"/>
    <w:rsid w:val="00900019"/>
    <w:rsid w:val="00932CA3"/>
    <w:rsid w:val="00933B9D"/>
    <w:rsid w:val="0099063E"/>
    <w:rsid w:val="009977D9"/>
    <w:rsid w:val="00A46680"/>
    <w:rsid w:val="00A769B1"/>
    <w:rsid w:val="00A837D5"/>
    <w:rsid w:val="00A92251"/>
    <w:rsid w:val="00A9624B"/>
    <w:rsid w:val="00AC4C45"/>
    <w:rsid w:val="00B46F21"/>
    <w:rsid w:val="00B511A5"/>
    <w:rsid w:val="00B53082"/>
    <w:rsid w:val="00B62BD7"/>
    <w:rsid w:val="00B736A7"/>
    <w:rsid w:val="00B7651F"/>
    <w:rsid w:val="00B952FC"/>
    <w:rsid w:val="00BB3FFF"/>
    <w:rsid w:val="00BC683B"/>
    <w:rsid w:val="00BF468B"/>
    <w:rsid w:val="00C56E09"/>
    <w:rsid w:val="00C7277B"/>
    <w:rsid w:val="00CB19A8"/>
    <w:rsid w:val="00CE1600"/>
    <w:rsid w:val="00CF096B"/>
    <w:rsid w:val="00CF0F21"/>
    <w:rsid w:val="00D12429"/>
    <w:rsid w:val="00D27D8C"/>
    <w:rsid w:val="00D6150B"/>
    <w:rsid w:val="00DB12D3"/>
    <w:rsid w:val="00DC27AF"/>
    <w:rsid w:val="00DC3AE3"/>
    <w:rsid w:val="00DD07CA"/>
    <w:rsid w:val="00DD6B61"/>
    <w:rsid w:val="00E06FC5"/>
    <w:rsid w:val="00E12859"/>
    <w:rsid w:val="00E16D30"/>
    <w:rsid w:val="00E22D3F"/>
    <w:rsid w:val="00E33169"/>
    <w:rsid w:val="00E40E25"/>
    <w:rsid w:val="00E70904"/>
    <w:rsid w:val="00EA696B"/>
    <w:rsid w:val="00EB7DF8"/>
    <w:rsid w:val="00ED38D8"/>
    <w:rsid w:val="00EF44B1"/>
    <w:rsid w:val="00F35AA0"/>
    <w:rsid w:val="00FD06EC"/>
    <w:rsid w:val="016E63C2"/>
    <w:rsid w:val="024B0C39"/>
    <w:rsid w:val="0A8128A6"/>
    <w:rsid w:val="0BF32A1B"/>
    <w:rsid w:val="10BD2C22"/>
    <w:rsid w:val="162E388E"/>
    <w:rsid w:val="208D57C1"/>
    <w:rsid w:val="22987C80"/>
    <w:rsid w:val="24192CCC"/>
    <w:rsid w:val="2F09379D"/>
    <w:rsid w:val="31AF5016"/>
    <w:rsid w:val="36AA47C0"/>
    <w:rsid w:val="39A66CD4"/>
    <w:rsid w:val="3ADD0D37"/>
    <w:rsid w:val="3C8D52FF"/>
    <w:rsid w:val="3CD52CE1"/>
    <w:rsid w:val="410F2E6A"/>
    <w:rsid w:val="4430136C"/>
    <w:rsid w:val="4549472E"/>
    <w:rsid w:val="4AB0382B"/>
    <w:rsid w:val="4C0864A2"/>
    <w:rsid w:val="569868B5"/>
    <w:rsid w:val="5AD42B9F"/>
    <w:rsid w:val="5B579D19"/>
    <w:rsid w:val="5EF9110C"/>
    <w:rsid w:val="611F6817"/>
    <w:rsid w:val="66CA1754"/>
    <w:rsid w:val="6A32196C"/>
    <w:rsid w:val="6DE10AE2"/>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5"/>
    <w:link w:val="4"/>
    <w:semiHidden/>
    <w:qFormat/>
    <w:uiPriority w:val="99"/>
    <w:rPr>
      <w:sz w:val="18"/>
      <w:szCs w:val="18"/>
    </w:rPr>
  </w:style>
  <w:style w:type="character" w:customStyle="1" w:styleId="9">
    <w:name w:val="页脚 字符"/>
    <w:basedOn w:val="5"/>
    <w:link w:val="3"/>
    <w:semiHidden/>
    <w:qFormat/>
    <w:uiPriority w:val="99"/>
    <w:rPr>
      <w:sz w:val="18"/>
      <w:szCs w:val="18"/>
    </w:rPr>
  </w:style>
  <w:style w:type="character" w:customStyle="1" w:styleId="10">
    <w:name w:val="批注框文本 字符"/>
    <w:basedOn w:val="5"/>
    <w:link w:val="2"/>
    <w:semiHidden/>
    <w:qFormat/>
    <w:uiPriority w:val="99"/>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7</Pages>
  <Words>1004</Words>
  <Characters>5728</Characters>
  <Lines>47</Lines>
  <Paragraphs>13</Paragraphs>
  <TotalTime>0</TotalTime>
  <ScaleCrop>false</ScaleCrop>
  <LinksUpToDate>false</LinksUpToDate>
  <CharactersWithSpaces>6719</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2022-08-04T18:53:00Z</dcterms:created>
  <dc:creator>juvg</dc:creator>
  <cp:lastModifiedBy>apple</cp:lastModifiedBy>
  <cp:lastPrinted>2019-09-12T09:38:00Z</cp:lastPrinted>
  <dcterms:modified xsi:type="dcterms:W3CDTF">2022-10-08T19:08:27Z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