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68469">
      <w:pPr>
        <w:jc w:val="center"/>
        <w:rPr>
          <w:rFonts w:hint="eastAsia" w:ascii="黑体" w:hAnsi="黑体" w:eastAsia="黑体"/>
          <w:bCs/>
          <w:sz w:val="32"/>
          <w:szCs w:val="32"/>
        </w:rPr>
      </w:pPr>
      <w:r>
        <w:rPr>
          <w:rFonts w:hint="eastAsia" w:ascii="黑体" w:hAnsi="黑体" w:eastAsia="黑体"/>
          <w:bCs/>
          <w:sz w:val="32"/>
          <w:szCs w:val="32"/>
        </w:rPr>
        <w:t>《病理学与病理生理学》本科课程教学大纲</w:t>
      </w:r>
    </w:p>
    <w:p w14:paraId="6ECD5700">
      <w:pPr>
        <w:pStyle w:val="17"/>
        <w:spacing w:before="326" w:beforeLines="100" w:line="360" w:lineRule="auto"/>
        <w:rPr>
          <w:rFonts w:hint="eastAsia"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1F3F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vAlign w:val="center"/>
          </w:tcPr>
          <w:p w14:paraId="630D10A8">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6609C107">
            <w:pPr>
              <w:widowControl w:val="0"/>
              <w:jc w:val="center"/>
              <w:rPr>
                <w:rFonts w:hint="eastAsia"/>
                <w:color w:val="000000"/>
                <w:sz w:val="21"/>
                <w:szCs w:val="21"/>
              </w:rPr>
            </w:pPr>
            <w:r>
              <w:rPr>
                <w:rFonts w:hint="eastAsia"/>
                <w:color w:val="000000"/>
                <w:sz w:val="21"/>
                <w:szCs w:val="21"/>
              </w:rPr>
              <w:t>病理学与病理生理学</w:t>
            </w:r>
          </w:p>
        </w:tc>
      </w:tr>
      <w:tr w14:paraId="58C5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vAlign w:val="center"/>
          </w:tcPr>
          <w:p w14:paraId="3DB206D0">
            <w:pPr>
              <w:widowControl w:val="0"/>
              <w:jc w:val="center"/>
              <w:rPr>
                <w:rFonts w:hint="eastAsia"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71BC1D85">
            <w:pPr>
              <w:widowControl w:val="0"/>
              <w:jc w:val="center"/>
              <w:rPr>
                <w:rFonts w:hint="eastAsia"/>
                <w:color w:val="000000"/>
                <w:sz w:val="20"/>
                <w:szCs w:val="20"/>
              </w:rPr>
            </w:pPr>
            <w:r>
              <w:rPr>
                <w:rFonts w:ascii="Times New Roman" w:hAnsi="Times New Roman" w:cs="Times New Roman"/>
                <w:color w:val="000000"/>
                <w:sz w:val="20"/>
                <w:szCs w:val="20"/>
              </w:rPr>
              <w:t>Pathology and pathopysiology</w:t>
            </w:r>
          </w:p>
        </w:tc>
      </w:tr>
      <w:tr w14:paraId="4EA4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568F871F">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3042D1E0">
            <w:pPr>
              <w:widowControl w:val="0"/>
              <w:jc w:val="center"/>
              <w:rPr>
                <w:rFonts w:hint="eastAsia"/>
                <w:color w:val="000000"/>
                <w:sz w:val="21"/>
                <w:szCs w:val="21"/>
              </w:rPr>
            </w:pPr>
            <w:r>
              <w:rPr>
                <w:rFonts w:hint="eastAsia"/>
                <w:color w:val="000000"/>
                <w:sz w:val="21"/>
                <w:szCs w:val="21"/>
              </w:rPr>
              <w:t>21</w:t>
            </w:r>
            <w:r>
              <w:rPr>
                <w:color w:val="000000"/>
                <w:sz w:val="21"/>
                <w:szCs w:val="21"/>
              </w:rPr>
              <w:t>70089</w:t>
            </w:r>
          </w:p>
        </w:tc>
        <w:tc>
          <w:tcPr>
            <w:tcW w:w="2126" w:type="dxa"/>
            <w:gridSpan w:val="2"/>
            <w:vAlign w:val="center"/>
          </w:tcPr>
          <w:p w14:paraId="066EC977">
            <w:pPr>
              <w:widowControl w:val="0"/>
              <w:jc w:val="center"/>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6333A096">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r>
              <w:rPr>
                <w:color w:val="000000" w:themeColor="text1"/>
                <w:sz w:val="21"/>
                <w:szCs w:val="21"/>
                <w14:textFill>
                  <w14:solidFill>
                    <w14:schemeClr w14:val="tx1"/>
                  </w14:solidFill>
                </w14:textFill>
              </w:rPr>
              <w:t>.0</w:t>
            </w:r>
          </w:p>
        </w:tc>
      </w:tr>
      <w:tr w14:paraId="644B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1045B68D">
            <w:pPr>
              <w:widowControl w:val="0"/>
              <w:jc w:val="center"/>
              <w:rPr>
                <w:rFonts w:hint="eastAsia"/>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5D7905F4">
            <w:pPr>
              <w:widowControl w:val="0"/>
              <w:jc w:val="center"/>
              <w:rPr>
                <w:rFonts w:hint="eastAsia"/>
                <w:color w:val="000000"/>
                <w:sz w:val="21"/>
                <w:szCs w:val="21"/>
              </w:rPr>
            </w:pPr>
            <w:r>
              <w:rPr>
                <w:rFonts w:hint="eastAsia"/>
                <w:color w:val="000000"/>
                <w:sz w:val="21"/>
                <w:szCs w:val="21"/>
              </w:rPr>
              <w:t>3</w:t>
            </w:r>
            <w:r>
              <w:rPr>
                <w:color w:val="000000"/>
                <w:sz w:val="21"/>
                <w:szCs w:val="21"/>
              </w:rPr>
              <w:t>2</w:t>
            </w:r>
          </w:p>
        </w:tc>
        <w:tc>
          <w:tcPr>
            <w:tcW w:w="1272" w:type="dxa"/>
            <w:vAlign w:val="center"/>
          </w:tcPr>
          <w:p w14:paraId="6C855154">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518DF9D4">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r>
              <w:rPr>
                <w:color w:val="000000" w:themeColor="text1"/>
                <w:sz w:val="21"/>
                <w:szCs w:val="21"/>
                <w14:textFill>
                  <w14:solidFill>
                    <w14:schemeClr w14:val="tx1"/>
                  </w14:solidFill>
                </w14:textFill>
              </w:rPr>
              <w:t>4</w:t>
            </w:r>
          </w:p>
        </w:tc>
        <w:tc>
          <w:tcPr>
            <w:tcW w:w="1413" w:type="dxa"/>
            <w:gridSpan w:val="2"/>
            <w:vAlign w:val="center"/>
          </w:tcPr>
          <w:p w14:paraId="4EB60CA9">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4C369051">
            <w:pPr>
              <w:widowControl w:val="0"/>
              <w:jc w:val="center"/>
              <w:rPr>
                <w:rFonts w:hint="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w:t>
            </w:r>
          </w:p>
        </w:tc>
      </w:tr>
      <w:tr w14:paraId="00C7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5FBEEB05">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68D61AD7">
            <w:pPr>
              <w:widowControl w:val="0"/>
              <w:jc w:val="center"/>
              <w:rPr>
                <w:rFonts w:hint="eastAsia"/>
                <w:color w:val="000000"/>
                <w:sz w:val="21"/>
                <w:szCs w:val="21"/>
              </w:rPr>
            </w:pPr>
            <w:r>
              <w:rPr>
                <w:rFonts w:hint="eastAsia"/>
                <w:color w:val="000000"/>
                <w:sz w:val="21"/>
                <w:szCs w:val="21"/>
              </w:rPr>
              <w:t>健康管理学院</w:t>
            </w:r>
          </w:p>
        </w:tc>
        <w:tc>
          <w:tcPr>
            <w:tcW w:w="2126" w:type="dxa"/>
            <w:gridSpan w:val="2"/>
            <w:vAlign w:val="center"/>
          </w:tcPr>
          <w:p w14:paraId="74D55064">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0CAECED5">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护理学本科二年级</w:t>
            </w:r>
          </w:p>
          <w:p w14:paraId="3679FC0C">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第一学期</w:t>
            </w:r>
          </w:p>
        </w:tc>
      </w:tr>
      <w:tr w14:paraId="0376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2C2CF26C">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2EDF262B">
            <w:pPr>
              <w:widowControl w:val="0"/>
              <w:jc w:val="center"/>
              <w:rPr>
                <w:rFonts w:hint="eastAsia"/>
                <w:color w:val="000000"/>
                <w:sz w:val="21"/>
                <w:szCs w:val="21"/>
              </w:rPr>
            </w:pPr>
            <w:r>
              <w:rPr>
                <w:rFonts w:hint="eastAsia"/>
                <w:color w:val="000000"/>
                <w:sz w:val="21"/>
                <w:szCs w:val="21"/>
              </w:rPr>
              <w:t>学科基础课程/</w:t>
            </w:r>
          </w:p>
          <w:p w14:paraId="2B14C90E">
            <w:pPr>
              <w:widowControl w:val="0"/>
              <w:jc w:val="center"/>
              <w:rPr>
                <w:rFonts w:hint="eastAsia"/>
                <w:color w:val="000000"/>
                <w:sz w:val="21"/>
                <w:szCs w:val="21"/>
              </w:rPr>
            </w:pPr>
            <w:r>
              <w:rPr>
                <w:rFonts w:hint="eastAsia"/>
                <w:color w:val="000000"/>
                <w:sz w:val="21"/>
                <w:szCs w:val="21"/>
              </w:rPr>
              <w:t>专业基础必修课</w:t>
            </w:r>
          </w:p>
        </w:tc>
        <w:tc>
          <w:tcPr>
            <w:tcW w:w="2126" w:type="dxa"/>
            <w:gridSpan w:val="2"/>
            <w:vAlign w:val="center"/>
          </w:tcPr>
          <w:p w14:paraId="4AAB6BFC">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2D5A7CE9">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考试</w:t>
            </w:r>
          </w:p>
        </w:tc>
      </w:tr>
      <w:tr w14:paraId="4385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007F32D8">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07769783">
            <w:pPr>
              <w:widowControl w:val="0"/>
              <w:jc w:val="both"/>
              <w:rPr>
                <w:rFonts w:ascii="Times New Roman" w:hAnsi="Times New Roman"/>
                <w:color w:val="000000" w:themeColor="text1"/>
                <w:sz w:val="21"/>
                <w:szCs w:val="21"/>
                <w14:textFill>
                  <w14:solidFill>
                    <w14:schemeClr w14:val="tx1"/>
                  </w14:solidFill>
                </w14:textFill>
              </w:rPr>
            </w:pPr>
            <w:r>
              <w:rPr>
                <w:rFonts w:hint="eastAsia"/>
                <w:color w:val="000000"/>
                <w:sz w:val="21"/>
                <w:szCs w:val="21"/>
              </w:rPr>
              <w:t>《病理学与病理生理学》步宏、王雯主编，I</w:t>
            </w:r>
            <w:r>
              <w:rPr>
                <w:color w:val="000000"/>
                <w:sz w:val="21"/>
                <w:szCs w:val="21"/>
              </w:rPr>
              <w:t>SBN:978-7-117-32740-4,</w:t>
            </w:r>
            <w:r>
              <w:rPr>
                <w:rFonts w:hint="eastAsia"/>
                <w:color w:val="000000"/>
                <w:sz w:val="21"/>
                <w:szCs w:val="21"/>
              </w:rPr>
              <w:t>人民卫生出版社，20</w:t>
            </w:r>
            <w:r>
              <w:rPr>
                <w:color w:val="000000"/>
                <w:sz w:val="21"/>
                <w:szCs w:val="21"/>
              </w:rPr>
              <w:t>22</w:t>
            </w:r>
            <w:r>
              <w:rPr>
                <w:rFonts w:hint="eastAsia"/>
                <w:color w:val="000000"/>
                <w:sz w:val="21"/>
                <w:szCs w:val="21"/>
              </w:rPr>
              <w:t>年第五版</w:t>
            </w:r>
          </w:p>
        </w:tc>
        <w:tc>
          <w:tcPr>
            <w:tcW w:w="1413" w:type="dxa"/>
            <w:gridSpan w:val="2"/>
            <w:vAlign w:val="center"/>
          </w:tcPr>
          <w:p w14:paraId="25D25D83">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310C358A">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2ACE32F4">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1C56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vAlign w:val="center"/>
          </w:tcPr>
          <w:p w14:paraId="7B5B0D85">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6F229263">
            <w:pPr>
              <w:pStyle w:val="15"/>
              <w:widowControl w:val="0"/>
              <w:spacing w:line="260" w:lineRule="exact"/>
              <w:ind w:firstLine="210" w:firstLineChars="100"/>
              <w:jc w:val="both"/>
            </w:pPr>
            <w:r>
              <w:rPr>
                <w:rFonts w:hint="eastAsia"/>
              </w:rPr>
              <w:t>人体解剖学2</w:t>
            </w:r>
            <w:r>
              <w:t>070001</w:t>
            </w:r>
            <w:r>
              <w:rPr>
                <w:rFonts w:hint="eastAsia"/>
              </w:rPr>
              <w:t>（6）、组织胚胎学2</w:t>
            </w:r>
            <w:r>
              <w:t>070002</w:t>
            </w:r>
            <w:r>
              <w:rPr>
                <w:rFonts w:hint="eastAsia"/>
              </w:rPr>
              <w:t>（2）、生理学2</w:t>
            </w:r>
            <w:r>
              <w:t>070003</w:t>
            </w:r>
            <w:r>
              <w:rPr>
                <w:rFonts w:hint="eastAsia"/>
              </w:rPr>
              <w:t>（4）、生物化学2</w:t>
            </w:r>
            <w:r>
              <w:t>170093</w:t>
            </w:r>
            <w:r>
              <w:rPr>
                <w:rFonts w:hint="eastAsia"/>
              </w:rPr>
              <w:t>（2）</w:t>
            </w:r>
          </w:p>
        </w:tc>
      </w:tr>
      <w:tr w14:paraId="1C8B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241" w:hRule="atLeast"/>
        </w:trPr>
        <w:tc>
          <w:tcPr>
            <w:tcW w:w="1691" w:type="dxa"/>
            <w:tcBorders>
              <w:left w:val="single" w:color="auto" w:sz="12" w:space="0"/>
            </w:tcBorders>
            <w:vAlign w:val="center"/>
          </w:tcPr>
          <w:p w14:paraId="49648014">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7021DC66">
            <w:pPr>
              <w:widowControl w:val="0"/>
              <w:snapToGrid w:val="0"/>
              <w:spacing w:line="260" w:lineRule="exact"/>
              <w:ind w:firstLine="420" w:firstLineChars="200"/>
              <w:jc w:val="both"/>
              <w:rPr>
                <w:rFonts w:hint="eastAsia"/>
                <w:color w:val="000000"/>
                <w:sz w:val="21"/>
                <w:szCs w:val="21"/>
              </w:rPr>
            </w:pPr>
            <w:r>
              <w:rPr>
                <w:rFonts w:hint="eastAsia"/>
                <w:color w:val="000000"/>
                <w:sz w:val="21"/>
                <w:szCs w:val="21"/>
              </w:rPr>
              <w:t>《病理学与病理生理学》课程包括病理学与病理生理学两部分内容。两部分内容联系紧密，难以分割。</w:t>
            </w:r>
          </w:p>
          <w:p w14:paraId="2F9259C8">
            <w:pPr>
              <w:widowControl w:val="0"/>
              <w:snapToGrid w:val="0"/>
              <w:spacing w:line="260" w:lineRule="exact"/>
              <w:ind w:firstLine="420" w:firstLineChars="200"/>
              <w:jc w:val="both"/>
              <w:rPr>
                <w:rFonts w:hint="eastAsia"/>
                <w:color w:val="000000"/>
                <w:sz w:val="21"/>
                <w:szCs w:val="21"/>
              </w:rPr>
            </w:pPr>
            <w:r>
              <w:rPr>
                <w:color w:val="000000"/>
                <w:sz w:val="21"/>
                <w:szCs w:val="21"/>
              </w:rPr>
              <w:t>病理学是一门研究疾病的病因、发病机制、病理变化、结局和转归的医学基础学科，是一门联系基础医学和临床医学之间的桥梁学科。病理学分为总论和各论两部分。总论主要研究和阐述疾病共同病变及其发生的共同规律，属普通病理学；各</w:t>
            </w:r>
            <w:r>
              <w:rPr>
                <w:rFonts w:hint="eastAsia"/>
                <w:color w:val="000000"/>
                <w:sz w:val="21"/>
                <w:szCs w:val="21"/>
              </w:rPr>
              <w:t>章</w:t>
            </w:r>
            <w:r>
              <w:rPr>
                <w:color w:val="000000"/>
                <w:sz w:val="21"/>
                <w:szCs w:val="21"/>
              </w:rPr>
              <w:t>主要讲述人体各系统器官主要疾病的具体病理变化及其规律，属于系统病理学，总论和各论之间存在着密切的联系。病理生理学是研究疾病发生发展过程中功能和代谢变化的机制及规律的一门医学基础学科。病理生理学内容分为疾病概论、基本病理过程和系统器官病理生理学三部分。病理生理学学习的目的,是通过对上述内容的学习,揭示疾病的本质,为疾病的预防和诊断治疗提供理论和实验依据。</w:t>
            </w:r>
          </w:p>
        </w:tc>
      </w:tr>
      <w:tr w14:paraId="4D30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414" w:hRule="atLeast"/>
        </w:trPr>
        <w:tc>
          <w:tcPr>
            <w:tcW w:w="1691" w:type="dxa"/>
            <w:tcBorders>
              <w:left w:val="single" w:color="auto" w:sz="12" w:space="0"/>
              <w:bottom w:val="double" w:color="auto" w:sz="4" w:space="0"/>
            </w:tcBorders>
            <w:vAlign w:val="center"/>
          </w:tcPr>
          <w:p w14:paraId="1E242B17">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6C95E2F3">
            <w:pPr>
              <w:widowControl w:val="0"/>
              <w:snapToGrid w:val="0"/>
              <w:spacing w:line="260" w:lineRule="exact"/>
              <w:ind w:firstLine="420" w:firstLineChars="200"/>
              <w:jc w:val="both"/>
              <w:rPr>
                <w:rFonts w:hint="eastAsia"/>
                <w:color w:val="000000"/>
                <w:sz w:val="21"/>
                <w:szCs w:val="21"/>
              </w:rPr>
            </w:pPr>
            <w:r>
              <w:rPr>
                <w:rFonts w:hint="eastAsia"/>
                <w:color w:val="000000"/>
                <w:sz w:val="21"/>
                <w:szCs w:val="21"/>
              </w:rPr>
              <w:t>本课程适合护理学本科专业方向的二年级第一学期本科生授课。要求学生具有病理学与病理生理学的基础知识，能运用知识理解分析组织细胞的适应和损伤、炎症、发热、肿瘤、酸碱平衡紊乱、水电解质离子紊乱、心血管系统疾病、消化系统、呼吸系统、泌尿系统、全身多器官衰竭等疾病。</w:t>
            </w:r>
          </w:p>
        </w:tc>
      </w:tr>
      <w:tr w14:paraId="3B9F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vAlign w:val="center"/>
          </w:tcPr>
          <w:p w14:paraId="583AA128">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5C456D45">
            <w:pPr>
              <w:widowControl w:val="0"/>
              <w:jc w:val="right"/>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sz w:val="21"/>
                <w:szCs w:val="21"/>
              </w:rPr>
              <w:drawing>
                <wp:anchor distT="0" distB="0" distL="114300" distR="114300" simplePos="0" relativeHeight="251659264" behindDoc="1" locked="0" layoutInCell="1" allowOverlap="1">
                  <wp:simplePos x="0" y="0"/>
                  <wp:positionH relativeFrom="column">
                    <wp:posOffset>-609600</wp:posOffset>
                  </wp:positionH>
                  <wp:positionV relativeFrom="paragraph">
                    <wp:posOffset>-151765</wp:posOffset>
                  </wp:positionV>
                  <wp:extent cx="668020" cy="266065"/>
                  <wp:effectExtent l="0" t="0" r="0" b="635"/>
                  <wp:wrapTight wrapText="bothSides">
                    <wp:wrapPolygon>
                      <wp:start x="0" y="0"/>
                      <wp:lineTo x="0" y="20105"/>
                      <wp:lineTo x="20943" y="20105"/>
                      <wp:lineTo x="20943" y="0"/>
                      <wp:lineTo x="0" y="0"/>
                    </wp:wrapPolygon>
                  </wp:wrapTight>
                  <wp:docPr id="6362762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276247"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668020" cy="266065"/>
                          </a:xfrm>
                          <a:prstGeom prst="rect">
                            <a:avLst/>
                          </a:prstGeom>
                          <a:noFill/>
                          <a:ln>
                            <a:noFill/>
                          </a:ln>
                        </pic:spPr>
                      </pic:pic>
                    </a:graphicData>
                  </a:graphic>
                </wp:anchor>
              </w:drawing>
            </w:r>
          </w:p>
        </w:tc>
        <w:tc>
          <w:tcPr>
            <w:tcW w:w="1425" w:type="dxa"/>
            <w:gridSpan w:val="2"/>
            <w:tcBorders>
              <w:top w:val="double" w:color="auto" w:sz="4" w:space="0"/>
            </w:tcBorders>
            <w:vAlign w:val="center"/>
          </w:tcPr>
          <w:p w14:paraId="37592E28">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6EEAAA95">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.9</w:t>
            </w:r>
          </w:p>
        </w:tc>
      </w:tr>
      <w:tr w14:paraId="0717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vAlign w:val="center"/>
          </w:tcPr>
          <w:p w14:paraId="6014990A">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114000FB">
            <w:pPr>
              <w:widowControl w:val="0"/>
              <w:jc w:val="right"/>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sz w:val="21"/>
                <w:szCs w:val="21"/>
              </w:rPr>
              <w:drawing>
                <wp:anchor distT="0" distB="0" distL="114300" distR="114300" simplePos="0" relativeHeight="251660288" behindDoc="1" locked="0" layoutInCell="1" allowOverlap="1">
                  <wp:simplePos x="0" y="0"/>
                  <wp:positionH relativeFrom="column">
                    <wp:posOffset>-654050</wp:posOffset>
                  </wp:positionH>
                  <wp:positionV relativeFrom="paragraph">
                    <wp:posOffset>-50165</wp:posOffset>
                  </wp:positionV>
                  <wp:extent cx="668020" cy="266065"/>
                  <wp:effectExtent l="0" t="0" r="0" b="635"/>
                  <wp:wrapTight wrapText="bothSides">
                    <wp:wrapPolygon>
                      <wp:start x="0" y="0"/>
                      <wp:lineTo x="0" y="20105"/>
                      <wp:lineTo x="20943" y="20105"/>
                      <wp:lineTo x="20943" y="0"/>
                      <wp:lineTo x="0" y="0"/>
                    </wp:wrapPolygon>
                  </wp:wrapTight>
                  <wp:docPr id="10308579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857939"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668020" cy="266065"/>
                          </a:xfrm>
                          <a:prstGeom prst="rect">
                            <a:avLst/>
                          </a:prstGeom>
                          <a:noFill/>
                          <a:ln>
                            <a:noFill/>
                          </a:ln>
                        </pic:spPr>
                      </pic:pic>
                    </a:graphicData>
                  </a:graphic>
                </wp:anchor>
              </w:drawing>
            </w:r>
            <w:r>
              <w:rPr>
                <w:rFonts w:hint="eastAsia"/>
                <w:sz w:val="21"/>
                <w:szCs w:val="21"/>
              </w:rPr>
              <w:t>（签名）</w:t>
            </w:r>
          </w:p>
        </w:tc>
        <w:tc>
          <w:tcPr>
            <w:tcW w:w="1425" w:type="dxa"/>
            <w:gridSpan w:val="2"/>
            <w:vAlign w:val="center"/>
          </w:tcPr>
          <w:p w14:paraId="418025EC">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434D49DF">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.9</w:t>
            </w:r>
          </w:p>
        </w:tc>
      </w:tr>
      <w:tr w14:paraId="4928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vAlign w:val="center"/>
          </w:tcPr>
          <w:p w14:paraId="37487AA0">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729524EA">
            <w:pPr>
              <w:widowControl w:val="0"/>
              <w:jc w:val="right"/>
              <w:rPr>
                <w:rFonts w:hint="eastAsia" w:ascii="黑体" w:hAnsi="黑体" w:eastAsia="黑体"/>
                <w:color w:val="000000" w:themeColor="text1"/>
                <w:sz w:val="21"/>
                <w:szCs w:val="21"/>
                <w14:textFill>
                  <w14:solidFill>
                    <w14:schemeClr w14:val="tx1"/>
                  </w14:solidFill>
                </w14:textFill>
              </w:rPr>
            </w:pPr>
            <w:r>
              <w:rPr>
                <w:sz w:val="21"/>
                <w:szCs w:val="21"/>
              </w:rPr>
              <w:drawing>
                <wp:inline distT="0" distB="0" distL="0" distR="0">
                  <wp:extent cx="542290" cy="368300"/>
                  <wp:effectExtent l="0" t="0" r="0" b="0"/>
                  <wp:docPr id="18883790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79038"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57879" cy="378868"/>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6F4A3339">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0865EC58">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bookmarkStart w:id="4" w:name="_GoBack"/>
            <w:bookmarkEnd w:id="4"/>
            <w:r>
              <w:rPr>
                <w:rFonts w:hint="eastAsia" w:ascii="Times New Roman" w:hAnsi="Times New Roman"/>
                <w:color w:val="000000"/>
                <w:sz w:val="21"/>
                <w:szCs w:val="21"/>
              </w:rPr>
              <w:t>.9</w:t>
            </w:r>
          </w:p>
        </w:tc>
      </w:tr>
    </w:tbl>
    <w:p w14:paraId="0E671D4E">
      <w:pPr>
        <w:spacing w:line="100" w:lineRule="exact"/>
        <w:rPr>
          <w:rFonts w:ascii="Arial" w:hAnsi="Arial" w:eastAsia="黑体"/>
        </w:rPr>
      </w:pPr>
      <w:r>
        <w:br w:type="page"/>
      </w:r>
    </w:p>
    <w:p w14:paraId="33F2E72F">
      <w:pPr>
        <w:pStyle w:val="17"/>
        <w:spacing w:before="326" w:beforeLines="100" w:line="360" w:lineRule="auto"/>
        <w:rPr>
          <w:rFonts w:hint="eastAsia" w:ascii="黑体" w:hAnsi="宋体"/>
        </w:rPr>
      </w:pPr>
      <w:r>
        <w:rPr>
          <w:rFonts w:hint="eastAsia" w:ascii="黑体" w:hAnsi="宋体"/>
        </w:rPr>
        <w:t>二、课程目标与毕业要求</w:t>
      </w:r>
    </w:p>
    <w:p w14:paraId="4FA1CB46">
      <w:pPr>
        <w:pStyle w:val="18"/>
        <w:spacing w:before="81" w:after="163"/>
      </w:pPr>
      <w:r>
        <w:rPr>
          <w:rFonts w:hint="eastAsia"/>
        </w:rPr>
        <w:t xml:space="preserve">（一）课程目标 </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6"/>
      </w:tblGrid>
      <w:tr w14:paraId="00BD76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3187CE91">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类型</w:t>
            </w:r>
          </w:p>
        </w:tc>
        <w:tc>
          <w:tcPr>
            <w:tcW w:w="764" w:type="dxa"/>
            <w:vAlign w:val="center"/>
          </w:tcPr>
          <w:p w14:paraId="420C5A2E">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6EEC77D1">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内容</w:t>
            </w:r>
          </w:p>
        </w:tc>
      </w:tr>
      <w:tr w14:paraId="718409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7F72240C">
            <w:pPr>
              <w:snapToGrid w:val="0"/>
              <w:jc w:val="center"/>
              <w:rPr>
                <w:rFonts w:hint="eastAsia"/>
              </w:rPr>
            </w:pPr>
            <w:r>
              <w:rPr>
                <w:rFonts w:hint="eastAsia" w:ascii="黑体" w:hAnsi="黑体" w:eastAsia="黑体"/>
                <w:bCs/>
                <w:color w:val="000000"/>
                <w:sz w:val="21"/>
                <w:szCs w:val="18"/>
              </w:rPr>
              <w:t>知识目标</w:t>
            </w:r>
          </w:p>
        </w:tc>
        <w:tc>
          <w:tcPr>
            <w:tcW w:w="764" w:type="dxa"/>
            <w:vAlign w:val="center"/>
          </w:tcPr>
          <w:p w14:paraId="58DDD9E5">
            <w:pPr>
              <w:snapToGrid w:val="0"/>
              <w:spacing w:line="260" w:lineRule="exact"/>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51FCFD08">
            <w:pPr>
              <w:pStyle w:val="15"/>
              <w:spacing w:line="260" w:lineRule="exact"/>
              <w:jc w:val="left"/>
              <w:rPr>
                <w:rFonts w:hint="eastAsia" w:ascii="宋体" w:hAnsi="宋体"/>
                <w:bCs/>
              </w:rPr>
            </w:pPr>
            <w:r>
              <w:rPr>
                <w:sz w:val="20"/>
                <w:szCs w:val="20"/>
              </w:rPr>
              <w:t>掌握基本的</w:t>
            </w:r>
            <w:r>
              <w:rPr>
                <w:rFonts w:hint="eastAsia"/>
                <w:sz w:val="20"/>
                <w:szCs w:val="20"/>
              </w:rPr>
              <w:t>病理学与病理生理学知识，了解与本学科相关的前沿医疗技术如</w:t>
            </w:r>
            <w:r>
              <w:rPr>
                <w:sz w:val="20"/>
                <w:szCs w:val="20"/>
              </w:rPr>
              <w:t>AI</w:t>
            </w:r>
            <w:r>
              <w:rPr>
                <w:rFonts w:hint="eastAsia"/>
                <w:sz w:val="20"/>
                <w:szCs w:val="20"/>
              </w:rPr>
              <w:t>技术等。</w:t>
            </w:r>
          </w:p>
        </w:tc>
      </w:tr>
      <w:tr w14:paraId="30B147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4FB4ADEE">
            <w:pPr>
              <w:snapToGrid w:val="0"/>
              <w:jc w:val="center"/>
              <w:rPr>
                <w:rFonts w:hint="eastAsia"/>
              </w:rPr>
            </w:pPr>
            <w:r>
              <w:rPr>
                <w:rFonts w:hint="eastAsia" w:ascii="黑体" w:hAnsi="黑体" w:eastAsia="黑体"/>
                <w:bCs/>
                <w:color w:val="000000"/>
                <w:sz w:val="21"/>
                <w:szCs w:val="18"/>
              </w:rPr>
              <w:t>技能目标</w:t>
            </w:r>
          </w:p>
        </w:tc>
        <w:tc>
          <w:tcPr>
            <w:tcW w:w="764" w:type="dxa"/>
            <w:vAlign w:val="center"/>
          </w:tcPr>
          <w:p w14:paraId="61816AA3">
            <w:pPr>
              <w:snapToGrid w:val="0"/>
              <w:spacing w:line="260" w:lineRule="exact"/>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3CE4CDA0">
            <w:pPr>
              <w:pStyle w:val="15"/>
              <w:spacing w:line="260" w:lineRule="exact"/>
              <w:jc w:val="left"/>
              <w:rPr>
                <w:rFonts w:hint="eastAsia" w:ascii="宋体" w:hAnsi="宋体"/>
                <w:bCs/>
              </w:rPr>
            </w:pPr>
            <w:r>
              <w:rPr>
                <w:rFonts w:hint="eastAsia"/>
                <w:sz w:val="20"/>
                <w:szCs w:val="20"/>
              </w:rPr>
              <w:t>具有自主学习的基本能力</w:t>
            </w:r>
          </w:p>
        </w:tc>
      </w:tr>
      <w:tr w14:paraId="36B250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1C1EFA33">
            <w:pPr>
              <w:pStyle w:val="15"/>
              <w:rPr>
                <w:rFonts w:hint="eastAsia" w:ascii="宋体" w:hAnsi="宋体"/>
              </w:rPr>
            </w:pPr>
          </w:p>
        </w:tc>
        <w:tc>
          <w:tcPr>
            <w:tcW w:w="764" w:type="dxa"/>
            <w:vAlign w:val="center"/>
          </w:tcPr>
          <w:p w14:paraId="6B71353D">
            <w:pPr>
              <w:snapToGrid w:val="0"/>
              <w:spacing w:line="260" w:lineRule="exact"/>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711466A2">
            <w:pPr>
              <w:pStyle w:val="15"/>
              <w:spacing w:line="260" w:lineRule="exact"/>
              <w:jc w:val="left"/>
              <w:rPr>
                <w:rFonts w:hint="eastAsia" w:ascii="宋体" w:hAnsi="宋体"/>
                <w:bCs/>
              </w:rPr>
            </w:pPr>
            <w:r>
              <w:rPr>
                <w:rFonts w:hint="eastAsia" w:asciiTheme="minorEastAsia" w:hAnsiTheme="minorEastAsia" w:eastAsiaTheme="minorEastAsia"/>
                <w:sz w:val="20"/>
                <w:szCs w:val="20"/>
              </w:rPr>
              <w:t>能搜集、获取达到目标所需要的学习资源，实施学习计划、反思学习计划、持续改进，达到学习目标。</w:t>
            </w:r>
          </w:p>
        </w:tc>
      </w:tr>
      <w:tr w14:paraId="43AA4C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0AFC370E">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417F1853">
            <w:pPr>
              <w:snapToGrid w:val="0"/>
              <w:jc w:val="center"/>
              <w:rPr>
                <w:rFonts w:hint="eastAsia"/>
              </w:rP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vAlign w:val="center"/>
          </w:tcPr>
          <w:p w14:paraId="43D4EFA2">
            <w:pPr>
              <w:snapToGrid w:val="0"/>
              <w:spacing w:line="260" w:lineRule="exact"/>
              <w:jc w:val="center"/>
              <w:rPr>
                <w:rFonts w:ascii="Arial" w:hAnsi="Arial" w:eastAsia="黑体" w:cs="Arial"/>
                <w:bCs/>
                <w:color w:val="000000"/>
                <w:sz w:val="21"/>
                <w:szCs w:val="18"/>
              </w:rPr>
            </w:pPr>
            <w:r>
              <w:rPr>
                <w:rFonts w:ascii="Arial" w:hAnsi="Arial" w:eastAsia="黑体" w:cs="Arial"/>
                <w:bCs/>
                <w:color w:val="000000"/>
                <w:sz w:val="21"/>
                <w:szCs w:val="18"/>
              </w:rPr>
              <w:t>4</w:t>
            </w:r>
          </w:p>
        </w:tc>
        <w:tc>
          <w:tcPr>
            <w:tcW w:w="6306" w:type="dxa"/>
            <w:vAlign w:val="center"/>
          </w:tcPr>
          <w:p w14:paraId="5AF9FEA1">
            <w:pPr>
              <w:pStyle w:val="15"/>
              <w:spacing w:line="260" w:lineRule="exact"/>
              <w:jc w:val="left"/>
              <w:rPr>
                <w:rFonts w:hint="eastAsia" w:ascii="宋体" w:hAnsi="宋体"/>
                <w:bCs/>
              </w:rPr>
            </w:pPr>
            <w:r>
              <w:rPr>
                <w:rFonts w:hint="eastAsia"/>
                <w:sz w:val="20"/>
                <w:szCs w:val="20"/>
              </w:rPr>
              <w:t>建立职业使命感和责任感</w:t>
            </w:r>
          </w:p>
        </w:tc>
      </w:tr>
    </w:tbl>
    <w:p w14:paraId="089BD5FC">
      <w:pPr>
        <w:pStyle w:val="18"/>
        <w:spacing w:before="163" w:beforeLines="50" w:after="163"/>
      </w:pPr>
      <w:r>
        <w:rPr>
          <w:rFonts w:hint="eastAsia"/>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37A9614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67608C36">
            <w:pPr>
              <w:widowControl w:val="0"/>
              <w:tabs>
                <w:tab w:val="left" w:pos="4200"/>
              </w:tabs>
              <w:spacing w:line="300" w:lineRule="exact"/>
              <w:ind w:firstLine="422" w:firstLineChars="200"/>
              <w:jc w:val="both"/>
              <w:rPr>
                <w:rFonts w:hint="eastAsia"/>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党的领导，坚定理想信念，自觉涵养和积极弘扬社会主义核心价值观，增强政治认同、厚植家国情怀、遵守法律法规、传承雷锋精神，践行</w:t>
            </w:r>
            <w:r>
              <w:rPr>
                <w:rFonts w:hint="eastAsia"/>
                <w:bCs/>
                <w:sz w:val="21"/>
                <w:szCs w:val="21"/>
              </w:rPr>
              <w:t>“感恩、回报、爱心、责任”</w:t>
            </w:r>
            <w:r>
              <w:rPr>
                <w:bCs/>
                <w:sz w:val="21"/>
                <w:szCs w:val="21"/>
              </w:rPr>
              <w:t>八字校训，积极服务他人、服务社会、诚信尽责、爱岗敬业。</w:t>
            </w:r>
          </w:p>
          <w:p w14:paraId="299E4427">
            <w:pPr>
              <w:widowControl w:val="0"/>
              <w:tabs>
                <w:tab w:val="left" w:pos="4200"/>
              </w:tabs>
              <w:spacing w:line="300" w:lineRule="exact"/>
              <w:ind w:firstLine="420" w:firstLineChars="200"/>
              <w:jc w:val="both"/>
              <w:rPr>
                <w:rFonts w:hint="eastAsia"/>
                <w:bCs/>
                <w:sz w:val="21"/>
                <w:szCs w:val="21"/>
              </w:rPr>
            </w:pPr>
            <w:r>
              <w:rPr>
                <w:rFonts w:hint="eastAsia"/>
                <w:bCs/>
                <w:sz w:val="21"/>
                <w:szCs w:val="21"/>
              </w:rPr>
              <w:t>⑤</w:t>
            </w:r>
            <w:r>
              <w:rPr>
                <w:bCs/>
                <w:sz w:val="21"/>
                <w:szCs w:val="21"/>
              </w:rPr>
              <w:t>爱岗敬业，热爱所学专业，勤学多练，锤炼技能。熟悉本专业相关的法律法规，在实习实践中自觉遵守职业规范，具备职业道德操守。</w:t>
            </w:r>
          </w:p>
        </w:tc>
      </w:tr>
      <w:tr w14:paraId="18B64A2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7806148B">
            <w:pPr>
              <w:widowControl w:val="0"/>
              <w:tabs>
                <w:tab w:val="left" w:pos="4200"/>
              </w:tabs>
              <w:spacing w:line="300" w:lineRule="exact"/>
              <w:ind w:firstLine="422" w:firstLineChars="200"/>
              <w:jc w:val="both"/>
              <w:rPr>
                <w:rFonts w:hint="eastAsia"/>
                <w:bCs/>
                <w:sz w:val="21"/>
                <w:szCs w:val="21"/>
              </w:rPr>
            </w:pPr>
            <w:r>
              <w:rPr>
                <w:b/>
                <w:sz w:val="21"/>
                <w:szCs w:val="21"/>
              </w:rPr>
              <w:t>LO2专业能力</w:t>
            </w:r>
            <w:r>
              <w:rPr>
                <w:bCs/>
                <w:sz w:val="21"/>
                <w:szCs w:val="21"/>
              </w:rPr>
              <w:t>：</w:t>
            </w:r>
            <w:r>
              <w:rPr>
                <w:rFonts w:hint="eastAsia"/>
                <w:bCs/>
                <w:sz w:val="21"/>
                <w:szCs w:val="21"/>
              </w:rPr>
              <w:t>具有人文科学素养，具备从事护理工作或专业的理论知识、实践能力。</w:t>
            </w:r>
          </w:p>
          <w:p w14:paraId="11C6F51E">
            <w:pPr>
              <w:widowControl w:val="0"/>
              <w:tabs>
                <w:tab w:val="left" w:pos="4200"/>
              </w:tabs>
              <w:spacing w:line="300" w:lineRule="exact"/>
              <w:ind w:firstLine="420" w:firstLineChars="200"/>
              <w:jc w:val="both"/>
              <w:rPr>
                <w:rFonts w:hint="eastAsia"/>
                <w:bCs/>
                <w:sz w:val="21"/>
                <w:szCs w:val="21"/>
              </w:rPr>
            </w:pPr>
            <w:r>
              <w:rPr>
                <w:rFonts w:hint="eastAsia"/>
                <w:bCs/>
                <w:sz w:val="21"/>
                <w:szCs w:val="21"/>
              </w:rPr>
              <w:t xml:space="preserve">②专业基础能力：掌握人体正常结构、功能、人的心理状态及其发展变化的知识；掌握基本的药理知识和临床用药及药品管理知识；掌握护理学基础理论和基本知识。 </w:t>
            </w:r>
          </w:p>
        </w:tc>
      </w:tr>
      <w:tr w14:paraId="56C8DBE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76" w:type="dxa"/>
          </w:tcPr>
          <w:p w14:paraId="78E31B71">
            <w:pPr>
              <w:widowControl w:val="0"/>
              <w:tabs>
                <w:tab w:val="left" w:pos="4200"/>
              </w:tabs>
              <w:spacing w:line="300" w:lineRule="exact"/>
              <w:ind w:firstLine="422" w:firstLineChars="200"/>
              <w:jc w:val="both"/>
              <w:rPr>
                <w:rFonts w:hint="eastAsia"/>
                <w:bCs/>
                <w:sz w:val="21"/>
                <w:szCs w:val="21"/>
              </w:rPr>
            </w:pPr>
            <w:r>
              <w:rPr>
                <w:b/>
                <w:sz w:val="21"/>
                <w:szCs w:val="21"/>
              </w:rPr>
              <w:t>LO4自主学习</w:t>
            </w:r>
            <w:r>
              <w:rPr>
                <w:bCs/>
                <w:sz w:val="21"/>
                <w:szCs w:val="21"/>
              </w:rPr>
              <w:t>：能根据环境需要确定自己的学习目标，并主动地通过搜集信息、分析信息、讨论、实践、质疑、创造等方法来实现学习目标。</w:t>
            </w:r>
          </w:p>
          <w:p w14:paraId="3BA0C6CC">
            <w:pPr>
              <w:widowControl w:val="0"/>
              <w:tabs>
                <w:tab w:val="left" w:pos="4200"/>
              </w:tabs>
              <w:spacing w:line="300" w:lineRule="exact"/>
              <w:ind w:firstLine="420" w:firstLineChars="200"/>
              <w:jc w:val="both"/>
              <w:rPr>
                <w:rFonts w:hint="eastAsia"/>
                <w:bCs/>
                <w:sz w:val="21"/>
                <w:szCs w:val="21"/>
              </w:rPr>
            </w:pPr>
            <w:r>
              <w:rPr>
                <w:rFonts w:hint="eastAsia"/>
                <w:bCs/>
                <w:sz w:val="21"/>
                <w:szCs w:val="21"/>
              </w:rPr>
              <w:t>①</w:t>
            </w:r>
            <w:r>
              <w:rPr>
                <w:bCs/>
                <w:sz w:val="21"/>
                <w:szCs w:val="21"/>
              </w:rPr>
              <w:t>能根据需要确定学习目标，并设计学习计划。</w:t>
            </w:r>
          </w:p>
          <w:p w14:paraId="265CF251">
            <w:pPr>
              <w:widowControl w:val="0"/>
              <w:tabs>
                <w:tab w:val="left" w:pos="4200"/>
              </w:tabs>
              <w:spacing w:line="300" w:lineRule="exact"/>
              <w:ind w:firstLine="420" w:firstLineChars="200"/>
              <w:jc w:val="both"/>
              <w:rPr>
                <w:rFonts w:hint="eastAsia"/>
                <w:bCs/>
                <w:sz w:val="21"/>
                <w:szCs w:val="21"/>
              </w:rPr>
            </w:pPr>
            <w:r>
              <w:rPr>
                <w:rFonts w:hint="eastAsia"/>
                <w:bCs/>
                <w:sz w:val="21"/>
                <w:szCs w:val="21"/>
              </w:rPr>
              <w:t>②</w:t>
            </w:r>
            <w:r>
              <w:rPr>
                <w:bCs/>
                <w:sz w:val="21"/>
                <w:szCs w:val="21"/>
              </w:rPr>
              <w:t>能搜集、获取达到目标所需要的学习资源，实施学习计划、反思学习计划、持续改进，达到学习目标。</w:t>
            </w:r>
          </w:p>
        </w:tc>
      </w:tr>
    </w:tbl>
    <w:p w14:paraId="6A27BE0A">
      <w:pPr>
        <w:pStyle w:val="18"/>
        <w:spacing w:before="163" w:beforeLines="50" w:after="163"/>
      </w:pPr>
      <w:r>
        <w:rPr>
          <w:rFonts w:hint="eastAsia"/>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1"/>
        <w:gridCol w:w="777"/>
        <w:gridCol w:w="777"/>
        <w:gridCol w:w="4662"/>
        <w:gridCol w:w="1319"/>
      </w:tblGrid>
      <w:tr w14:paraId="323E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59" w:type="dxa"/>
            <w:tcBorders>
              <w:top w:val="single" w:color="auto" w:sz="12" w:space="0"/>
              <w:left w:val="single" w:color="auto" w:sz="12" w:space="0"/>
              <w:right w:val="single" w:color="auto" w:sz="4" w:space="0"/>
            </w:tcBorders>
            <w:vAlign w:val="center"/>
          </w:tcPr>
          <w:p w14:paraId="484B0D79">
            <w:pPr>
              <w:pStyle w:val="14"/>
              <w:rPr>
                <w:szCs w:val="16"/>
              </w:rPr>
            </w:pPr>
            <w:r>
              <w:rPr>
                <w:rFonts w:hint="eastAsia" w:ascii="黑体" w:hAnsi="黑体"/>
                <w:szCs w:val="18"/>
              </w:rPr>
              <w:t>毕业要求</w:t>
            </w:r>
          </w:p>
        </w:tc>
        <w:tc>
          <w:tcPr>
            <w:tcW w:w="775" w:type="dxa"/>
            <w:tcBorders>
              <w:top w:val="single" w:color="auto" w:sz="12" w:space="0"/>
              <w:left w:val="single" w:color="auto" w:sz="4" w:space="0"/>
            </w:tcBorders>
            <w:vAlign w:val="center"/>
          </w:tcPr>
          <w:p w14:paraId="0250B94C">
            <w:pPr>
              <w:pStyle w:val="14"/>
              <w:rPr>
                <w:szCs w:val="16"/>
              </w:rPr>
            </w:pPr>
            <w:r>
              <w:rPr>
                <w:rFonts w:hint="eastAsia"/>
                <w:szCs w:val="16"/>
              </w:rPr>
              <w:t>指标点</w:t>
            </w:r>
          </w:p>
        </w:tc>
        <w:tc>
          <w:tcPr>
            <w:tcW w:w="775" w:type="dxa"/>
            <w:tcBorders>
              <w:top w:val="single" w:color="auto" w:sz="12" w:space="0"/>
              <w:right w:val="double" w:color="auto" w:sz="4" w:space="0"/>
            </w:tcBorders>
            <w:vAlign w:val="center"/>
          </w:tcPr>
          <w:p w14:paraId="6DE14005">
            <w:pPr>
              <w:pStyle w:val="14"/>
              <w:rPr>
                <w:szCs w:val="16"/>
              </w:rPr>
            </w:pPr>
            <w:r>
              <w:rPr>
                <w:rFonts w:hint="eastAsia"/>
                <w:szCs w:val="16"/>
              </w:rPr>
              <w:t>支撑度</w:t>
            </w:r>
          </w:p>
        </w:tc>
        <w:tc>
          <w:tcPr>
            <w:tcW w:w="4651" w:type="dxa"/>
            <w:tcBorders>
              <w:top w:val="single" w:color="auto" w:sz="12" w:space="0"/>
            </w:tcBorders>
            <w:vAlign w:val="center"/>
          </w:tcPr>
          <w:p w14:paraId="2D9AEFC2">
            <w:pPr>
              <w:pStyle w:val="14"/>
              <w:rPr>
                <w:szCs w:val="16"/>
              </w:rPr>
            </w:pPr>
            <w:r>
              <w:rPr>
                <w:rFonts w:hint="eastAsia"/>
                <w:szCs w:val="16"/>
              </w:rPr>
              <w:t>课程目标</w:t>
            </w:r>
          </w:p>
        </w:tc>
        <w:tc>
          <w:tcPr>
            <w:tcW w:w="1316" w:type="dxa"/>
            <w:tcBorders>
              <w:top w:val="single" w:color="auto" w:sz="12" w:space="0"/>
              <w:right w:val="single" w:color="auto" w:sz="12" w:space="0"/>
            </w:tcBorders>
            <w:vAlign w:val="center"/>
          </w:tcPr>
          <w:p w14:paraId="2BECB08E">
            <w:pPr>
              <w:pStyle w:val="14"/>
              <w:rPr>
                <w:szCs w:val="16"/>
              </w:rPr>
            </w:pPr>
            <w:r>
              <w:rPr>
                <w:rFonts w:hint="eastAsia"/>
                <w:szCs w:val="16"/>
              </w:rPr>
              <w:t>对指标点的贡献度</w:t>
            </w:r>
          </w:p>
        </w:tc>
      </w:tr>
      <w:tr w14:paraId="5866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vAlign w:val="center"/>
          </w:tcPr>
          <w:p w14:paraId="194D883D">
            <w:pPr>
              <w:pStyle w:val="15"/>
            </w:pPr>
            <w:r>
              <w:rPr>
                <w:rFonts w:hint="eastAsia" w:eastAsia="仿宋"/>
                <w:sz w:val="20"/>
                <w:szCs w:val="20"/>
              </w:rPr>
              <w:t>L</w:t>
            </w:r>
            <w:r>
              <w:rPr>
                <w:rFonts w:eastAsia="仿宋"/>
                <w:sz w:val="20"/>
                <w:szCs w:val="20"/>
              </w:rPr>
              <w:t>01</w:t>
            </w:r>
          </w:p>
        </w:tc>
        <w:tc>
          <w:tcPr>
            <w:tcW w:w="775" w:type="dxa"/>
            <w:tcBorders>
              <w:left w:val="single" w:color="auto" w:sz="4" w:space="0"/>
            </w:tcBorders>
            <w:vAlign w:val="center"/>
          </w:tcPr>
          <w:p w14:paraId="4E705B22">
            <w:pPr>
              <w:pStyle w:val="15"/>
              <w:rPr>
                <w:rFonts w:cs="Times New Roman"/>
                <w:bCs/>
              </w:rPr>
            </w:pPr>
            <w:r>
              <w:rPr>
                <w:rFonts w:hint="eastAsia" w:asciiTheme="minorEastAsia" w:hAnsiTheme="minorEastAsia" w:eastAsiaTheme="minorEastAsia"/>
              </w:rPr>
              <w:t>⑤</w:t>
            </w:r>
          </w:p>
        </w:tc>
        <w:tc>
          <w:tcPr>
            <w:tcW w:w="775" w:type="dxa"/>
            <w:tcBorders>
              <w:right w:val="double" w:color="auto" w:sz="4" w:space="0"/>
            </w:tcBorders>
            <w:vAlign w:val="center"/>
          </w:tcPr>
          <w:p w14:paraId="4765126D">
            <w:pPr>
              <w:pStyle w:val="15"/>
              <w:rPr>
                <w:rFonts w:hint="eastAsia" w:ascii="宋体" w:hAnsi="宋体"/>
              </w:rPr>
            </w:pPr>
            <w:r>
              <w:rPr>
                <w:rFonts w:ascii="宋体" w:hAnsi="宋体"/>
              </w:rPr>
              <w:t>M</w:t>
            </w:r>
          </w:p>
        </w:tc>
        <w:tc>
          <w:tcPr>
            <w:tcW w:w="4651" w:type="dxa"/>
            <w:vAlign w:val="center"/>
          </w:tcPr>
          <w:p w14:paraId="61D5CC33">
            <w:pPr>
              <w:pStyle w:val="15"/>
              <w:rPr>
                <w:rFonts w:hint="eastAsia" w:ascii="宋体" w:hAnsi="宋体"/>
                <w:bCs/>
              </w:rPr>
            </w:pPr>
            <w:r>
              <w:rPr>
                <w:rFonts w:hint="eastAsia"/>
                <w:sz w:val="20"/>
                <w:szCs w:val="20"/>
              </w:rPr>
              <w:t>建立职业使命感和责任感</w:t>
            </w:r>
          </w:p>
        </w:tc>
        <w:tc>
          <w:tcPr>
            <w:tcW w:w="1316" w:type="dxa"/>
            <w:tcBorders>
              <w:right w:val="single" w:color="auto" w:sz="12" w:space="0"/>
            </w:tcBorders>
            <w:vAlign w:val="center"/>
          </w:tcPr>
          <w:p w14:paraId="62079831">
            <w:pPr>
              <w:pStyle w:val="15"/>
              <w:rPr>
                <w:rFonts w:hint="eastAsia" w:ascii="宋体" w:hAnsi="宋体"/>
                <w:bCs/>
              </w:rPr>
            </w:pPr>
            <w:r>
              <w:rPr>
                <w:rFonts w:ascii="宋体" w:hAnsi="宋体"/>
                <w:bCs/>
              </w:rPr>
              <w:t>100</w:t>
            </w:r>
            <w:r>
              <w:rPr>
                <w:rFonts w:hint="eastAsia" w:ascii="宋体" w:hAnsi="宋体"/>
                <w:bCs/>
              </w:rPr>
              <w:t>%</w:t>
            </w:r>
          </w:p>
        </w:tc>
      </w:tr>
      <w:tr w14:paraId="6D99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vAlign w:val="center"/>
          </w:tcPr>
          <w:p w14:paraId="75C2C345">
            <w:pPr>
              <w:pStyle w:val="15"/>
            </w:pPr>
            <w:r>
              <w:rPr>
                <w:rFonts w:hint="eastAsia"/>
              </w:rPr>
              <w:t>L</w:t>
            </w:r>
            <w:r>
              <w:t>02</w:t>
            </w:r>
          </w:p>
        </w:tc>
        <w:tc>
          <w:tcPr>
            <w:tcW w:w="775" w:type="dxa"/>
            <w:tcBorders>
              <w:left w:val="single" w:color="auto" w:sz="4" w:space="0"/>
            </w:tcBorders>
            <w:vAlign w:val="center"/>
          </w:tcPr>
          <w:p w14:paraId="4BCA33D0">
            <w:pPr>
              <w:pStyle w:val="15"/>
              <w:rPr>
                <w:rFonts w:cs="Times New Roman"/>
                <w:bCs/>
              </w:rPr>
            </w:pPr>
            <w:r>
              <w:rPr>
                <w:rFonts w:hint="eastAsia" w:asciiTheme="minorEastAsia" w:hAnsiTheme="minorEastAsia" w:eastAsiaTheme="minorEastAsia"/>
              </w:rPr>
              <w:t>②</w:t>
            </w:r>
          </w:p>
        </w:tc>
        <w:tc>
          <w:tcPr>
            <w:tcW w:w="775" w:type="dxa"/>
            <w:tcBorders>
              <w:right w:val="double" w:color="auto" w:sz="4" w:space="0"/>
            </w:tcBorders>
            <w:vAlign w:val="center"/>
          </w:tcPr>
          <w:p w14:paraId="2732953F">
            <w:pPr>
              <w:pStyle w:val="15"/>
              <w:rPr>
                <w:rFonts w:hint="eastAsia" w:ascii="宋体" w:hAnsi="宋体"/>
              </w:rPr>
            </w:pPr>
            <w:r>
              <w:rPr>
                <w:rFonts w:ascii="宋体" w:hAnsi="宋体"/>
              </w:rPr>
              <w:t>H</w:t>
            </w:r>
          </w:p>
        </w:tc>
        <w:tc>
          <w:tcPr>
            <w:tcW w:w="4651" w:type="dxa"/>
            <w:vAlign w:val="center"/>
          </w:tcPr>
          <w:p w14:paraId="067AA3D9">
            <w:pPr>
              <w:pStyle w:val="15"/>
              <w:rPr>
                <w:rFonts w:hint="eastAsia" w:ascii="宋体" w:hAnsi="宋体"/>
                <w:bCs/>
              </w:rPr>
            </w:pPr>
            <w:r>
              <w:rPr>
                <w:sz w:val="20"/>
                <w:szCs w:val="20"/>
              </w:rPr>
              <w:t>掌握基本的</w:t>
            </w:r>
            <w:r>
              <w:rPr>
                <w:rFonts w:hint="eastAsia"/>
                <w:sz w:val="20"/>
                <w:szCs w:val="20"/>
              </w:rPr>
              <w:t>病理学与病理生理学知识。</w:t>
            </w:r>
          </w:p>
        </w:tc>
        <w:tc>
          <w:tcPr>
            <w:tcW w:w="1316" w:type="dxa"/>
            <w:tcBorders>
              <w:right w:val="single" w:color="auto" w:sz="12" w:space="0"/>
            </w:tcBorders>
            <w:vAlign w:val="center"/>
          </w:tcPr>
          <w:p w14:paraId="29EC698A">
            <w:pPr>
              <w:pStyle w:val="15"/>
              <w:rPr>
                <w:rFonts w:hint="eastAsia" w:ascii="宋体" w:hAnsi="宋体"/>
                <w:bCs/>
              </w:rPr>
            </w:pPr>
            <w:r>
              <w:rPr>
                <w:rFonts w:ascii="宋体" w:hAnsi="宋体"/>
                <w:bCs/>
              </w:rPr>
              <w:t>100</w:t>
            </w:r>
            <w:r>
              <w:rPr>
                <w:rFonts w:hint="eastAsia" w:ascii="宋体" w:hAnsi="宋体"/>
                <w:bCs/>
              </w:rPr>
              <w:t>%</w:t>
            </w:r>
          </w:p>
        </w:tc>
      </w:tr>
      <w:tr w14:paraId="51D5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tcPr>
          <w:p w14:paraId="220E51A9">
            <w:pPr>
              <w:pStyle w:val="15"/>
            </w:pPr>
          </w:p>
          <w:p w14:paraId="4818F6D6">
            <w:pPr>
              <w:pStyle w:val="15"/>
            </w:pPr>
            <w:r>
              <w:rPr>
                <w:rFonts w:hint="eastAsia"/>
              </w:rPr>
              <w:t>L</w:t>
            </w:r>
            <w:r>
              <w:t>04</w:t>
            </w:r>
          </w:p>
          <w:p w14:paraId="44549119">
            <w:pPr>
              <w:pStyle w:val="15"/>
            </w:pPr>
          </w:p>
        </w:tc>
        <w:tc>
          <w:tcPr>
            <w:tcW w:w="775" w:type="dxa"/>
            <w:tcBorders>
              <w:left w:val="single" w:color="auto" w:sz="4" w:space="0"/>
            </w:tcBorders>
          </w:tcPr>
          <w:p w14:paraId="7B4F4F5C">
            <w:pPr>
              <w:pStyle w:val="15"/>
              <w:rPr>
                <w:rFonts w:cs="Times New Roman"/>
                <w:bCs/>
              </w:rPr>
            </w:pPr>
            <w:r>
              <w:rPr>
                <w:rFonts w:hint="eastAsia" w:asciiTheme="minorEastAsia" w:hAnsiTheme="minorEastAsia" w:eastAsiaTheme="minorEastAsia"/>
              </w:rPr>
              <w:t>①</w:t>
            </w:r>
          </w:p>
        </w:tc>
        <w:tc>
          <w:tcPr>
            <w:tcW w:w="775" w:type="dxa"/>
            <w:tcBorders>
              <w:right w:val="double" w:color="auto" w:sz="4" w:space="0"/>
            </w:tcBorders>
            <w:vAlign w:val="center"/>
          </w:tcPr>
          <w:p w14:paraId="2CA4701D">
            <w:pPr>
              <w:pStyle w:val="15"/>
              <w:rPr>
                <w:rFonts w:hint="eastAsia" w:ascii="宋体" w:hAnsi="宋体"/>
              </w:rPr>
            </w:pPr>
            <w:r>
              <w:rPr>
                <w:rFonts w:ascii="宋体" w:hAnsi="宋体"/>
              </w:rPr>
              <w:t>H</w:t>
            </w:r>
          </w:p>
        </w:tc>
        <w:tc>
          <w:tcPr>
            <w:tcW w:w="4651" w:type="dxa"/>
            <w:vAlign w:val="center"/>
          </w:tcPr>
          <w:p w14:paraId="7E6D72C1">
            <w:pPr>
              <w:pStyle w:val="15"/>
              <w:rPr>
                <w:rFonts w:hint="eastAsia" w:ascii="宋体" w:hAnsi="宋体"/>
                <w:bCs/>
              </w:rPr>
            </w:pPr>
            <w:r>
              <w:rPr>
                <w:rFonts w:hint="eastAsia" w:ascii="宋体" w:hAnsi="宋体"/>
                <w:bCs/>
              </w:rPr>
              <w:t>具有自主学习的能力</w:t>
            </w:r>
          </w:p>
        </w:tc>
        <w:tc>
          <w:tcPr>
            <w:tcW w:w="1316" w:type="dxa"/>
            <w:tcBorders>
              <w:right w:val="single" w:color="auto" w:sz="12" w:space="0"/>
            </w:tcBorders>
            <w:vAlign w:val="center"/>
          </w:tcPr>
          <w:p w14:paraId="47D858DD">
            <w:pPr>
              <w:pStyle w:val="15"/>
              <w:rPr>
                <w:rFonts w:hint="eastAsia" w:ascii="宋体" w:hAnsi="宋体"/>
                <w:bCs/>
              </w:rPr>
            </w:pPr>
            <w:r>
              <w:rPr>
                <w:rFonts w:ascii="宋体" w:hAnsi="宋体"/>
                <w:bCs/>
              </w:rPr>
              <w:t>75</w:t>
            </w:r>
            <w:r>
              <w:rPr>
                <w:rFonts w:hint="eastAsia" w:ascii="宋体" w:hAnsi="宋体"/>
                <w:bCs/>
              </w:rPr>
              <w:t>%</w:t>
            </w:r>
          </w:p>
        </w:tc>
      </w:tr>
      <w:tr w14:paraId="5999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19" w:hRule="atLeast"/>
          <w:jc w:val="center"/>
        </w:trPr>
        <w:tc>
          <w:tcPr>
            <w:tcW w:w="759" w:type="dxa"/>
            <w:vMerge w:val="continue"/>
            <w:tcBorders>
              <w:left w:val="single" w:color="auto" w:sz="12" w:space="0"/>
              <w:bottom w:val="single" w:color="auto" w:sz="12" w:space="0"/>
              <w:right w:val="single" w:color="auto" w:sz="4" w:space="0"/>
            </w:tcBorders>
          </w:tcPr>
          <w:p w14:paraId="3A4BF33E">
            <w:pPr>
              <w:pStyle w:val="15"/>
            </w:pPr>
          </w:p>
        </w:tc>
        <w:tc>
          <w:tcPr>
            <w:tcW w:w="775" w:type="dxa"/>
            <w:tcBorders>
              <w:left w:val="single" w:color="auto" w:sz="4" w:space="0"/>
              <w:bottom w:val="single" w:color="auto" w:sz="12" w:space="0"/>
            </w:tcBorders>
          </w:tcPr>
          <w:p w14:paraId="0EBF6F43">
            <w:pPr>
              <w:pStyle w:val="15"/>
              <w:rPr>
                <w:rFonts w:cs="Times New Roman"/>
                <w:bCs/>
              </w:rPr>
            </w:pPr>
            <w:r>
              <w:rPr>
                <w:rFonts w:hint="eastAsia" w:asciiTheme="minorEastAsia" w:hAnsiTheme="minorEastAsia" w:eastAsiaTheme="minorEastAsia"/>
              </w:rPr>
              <w:t>②</w:t>
            </w:r>
          </w:p>
        </w:tc>
        <w:tc>
          <w:tcPr>
            <w:tcW w:w="775" w:type="dxa"/>
            <w:tcBorders>
              <w:bottom w:val="single" w:color="auto" w:sz="12" w:space="0"/>
              <w:right w:val="double" w:color="auto" w:sz="4" w:space="0"/>
            </w:tcBorders>
            <w:vAlign w:val="center"/>
          </w:tcPr>
          <w:p w14:paraId="611C19BB">
            <w:pPr>
              <w:pStyle w:val="15"/>
              <w:rPr>
                <w:rFonts w:hint="eastAsia" w:ascii="宋体" w:hAnsi="宋体"/>
              </w:rPr>
            </w:pPr>
            <w:r>
              <w:rPr>
                <w:rFonts w:ascii="宋体" w:hAnsi="宋体"/>
              </w:rPr>
              <w:t>M</w:t>
            </w:r>
          </w:p>
        </w:tc>
        <w:tc>
          <w:tcPr>
            <w:tcW w:w="4651" w:type="dxa"/>
            <w:tcBorders>
              <w:bottom w:val="single" w:color="auto" w:sz="12" w:space="0"/>
            </w:tcBorders>
            <w:vAlign w:val="center"/>
          </w:tcPr>
          <w:p w14:paraId="0E140436">
            <w:pPr>
              <w:pStyle w:val="15"/>
              <w:jc w:val="both"/>
              <w:rPr>
                <w:rFonts w:hint="eastAsia" w:ascii="宋体" w:hAnsi="宋体"/>
                <w:bCs/>
              </w:rPr>
            </w:pPr>
            <w:r>
              <w:rPr>
                <w:rFonts w:hint="eastAsia" w:ascii="宋体" w:hAnsi="宋体"/>
                <w:bCs/>
              </w:rPr>
              <w:t>能搜集、获取达到目标所需要的学习资源，实施学习计划、反思学习计划、持续改进，达到学习目标</w:t>
            </w:r>
          </w:p>
        </w:tc>
        <w:tc>
          <w:tcPr>
            <w:tcW w:w="1316" w:type="dxa"/>
            <w:tcBorders>
              <w:bottom w:val="single" w:color="auto" w:sz="12" w:space="0"/>
              <w:right w:val="single" w:color="auto" w:sz="12" w:space="0"/>
            </w:tcBorders>
            <w:vAlign w:val="center"/>
          </w:tcPr>
          <w:p w14:paraId="30F246F6">
            <w:pPr>
              <w:pStyle w:val="15"/>
              <w:rPr>
                <w:rFonts w:hint="eastAsia" w:ascii="宋体" w:hAnsi="宋体"/>
                <w:bCs/>
              </w:rPr>
            </w:pPr>
            <w:r>
              <w:rPr>
                <w:rFonts w:hint="eastAsia" w:ascii="宋体" w:hAnsi="宋体"/>
                <w:bCs/>
              </w:rPr>
              <w:t>2</w:t>
            </w:r>
            <w:r>
              <w:rPr>
                <w:rFonts w:ascii="宋体" w:hAnsi="宋体"/>
                <w:bCs/>
              </w:rPr>
              <w:t>5</w:t>
            </w:r>
            <w:r>
              <w:rPr>
                <w:rFonts w:hint="eastAsia" w:ascii="宋体" w:hAnsi="宋体"/>
                <w:bCs/>
              </w:rPr>
              <w:t>%</w:t>
            </w:r>
          </w:p>
        </w:tc>
      </w:tr>
    </w:tbl>
    <w:p w14:paraId="26C79895">
      <w:pPr>
        <w:pStyle w:val="17"/>
        <w:spacing w:before="326" w:beforeLines="100" w:line="360" w:lineRule="auto"/>
        <w:rPr>
          <w:rFonts w:hint="eastAsia" w:ascii="黑体" w:hAnsi="宋体"/>
        </w:rPr>
      </w:pPr>
      <w:r>
        <w:rPr>
          <w:rFonts w:hint="eastAsia" w:ascii="黑体" w:hAnsi="宋体"/>
        </w:rPr>
        <w:t>三、</w:t>
      </w:r>
      <w:r>
        <w:rPr>
          <w:rFonts w:ascii="黑体" w:hAnsi="宋体"/>
        </w:rPr>
        <w:t>课程内容</w:t>
      </w:r>
      <w:r>
        <w:rPr>
          <w:rFonts w:hint="eastAsia" w:ascii="黑体" w:hAnsi="宋体"/>
        </w:rPr>
        <w:t>与教学设计</w:t>
      </w:r>
    </w:p>
    <w:p w14:paraId="3DE4CAB0">
      <w:pPr>
        <w:pStyle w:val="18"/>
        <w:spacing w:before="81" w:after="163"/>
      </w:pPr>
      <w:r>
        <w:rPr>
          <w:rFonts w:hint="eastAsia"/>
        </w:rPr>
        <w:t>（一）各教学单元预期学习成果与教学内容</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678"/>
        <w:gridCol w:w="1276"/>
        <w:gridCol w:w="2265"/>
        <w:gridCol w:w="1737"/>
        <w:gridCol w:w="1737"/>
      </w:tblGrid>
      <w:tr w14:paraId="7827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83" w:type="dxa"/>
            <w:tcBorders>
              <w:top w:val="single" w:color="auto" w:sz="12" w:space="0"/>
              <w:left w:val="single" w:color="auto" w:sz="12" w:space="0"/>
              <w:right w:val="single" w:color="auto" w:sz="4" w:space="0"/>
            </w:tcBorders>
          </w:tcPr>
          <w:p w14:paraId="20BE228A">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序号</w:t>
            </w:r>
          </w:p>
        </w:tc>
        <w:tc>
          <w:tcPr>
            <w:tcW w:w="678" w:type="dxa"/>
            <w:tcBorders>
              <w:top w:val="single" w:color="auto" w:sz="12" w:space="0"/>
              <w:left w:val="single" w:color="auto" w:sz="4" w:space="0"/>
            </w:tcBorders>
          </w:tcPr>
          <w:p w14:paraId="010354A9">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单元名称</w:t>
            </w:r>
          </w:p>
        </w:tc>
        <w:tc>
          <w:tcPr>
            <w:tcW w:w="1276" w:type="dxa"/>
            <w:tcBorders>
              <w:top w:val="single" w:color="auto" w:sz="12" w:space="0"/>
            </w:tcBorders>
          </w:tcPr>
          <w:p w14:paraId="77D38C97">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预期学习成果</w:t>
            </w:r>
          </w:p>
        </w:tc>
        <w:tc>
          <w:tcPr>
            <w:tcW w:w="2265" w:type="dxa"/>
            <w:tcBorders>
              <w:top w:val="single" w:color="auto" w:sz="12" w:space="0"/>
              <w:right w:val="single" w:color="auto" w:sz="4" w:space="0"/>
            </w:tcBorders>
          </w:tcPr>
          <w:p w14:paraId="09C57BB7">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核心知识点</w:t>
            </w:r>
          </w:p>
        </w:tc>
        <w:tc>
          <w:tcPr>
            <w:tcW w:w="1737" w:type="dxa"/>
            <w:tcBorders>
              <w:top w:val="single" w:color="auto" w:sz="12" w:space="0"/>
              <w:left w:val="single" w:color="auto" w:sz="4" w:space="0"/>
              <w:right w:val="single" w:color="auto" w:sz="4" w:space="0"/>
            </w:tcBorders>
          </w:tcPr>
          <w:p w14:paraId="0AEBB91E">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能力目标</w:t>
            </w:r>
          </w:p>
        </w:tc>
        <w:tc>
          <w:tcPr>
            <w:tcW w:w="1737" w:type="dxa"/>
            <w:tcBorders>
              <w:top w:val="single" w:color="auto" w:sz="12" w:space="0"/>
              <w:left w:val="single" w:color="auto" w:sz="4" w:space="0"/>
              <w:right w:val="single" w:color="auto" w:sz="12" w:space="0"/>
            </w:tcBorders>
          </w:tcPr>
          <w:p w14:paraId="6E951186">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教学难点</w:t>
            </w:r>
          </w:p>
        </w:tc>
      </w:tr>
      <w:tr w14:paraId="08F8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5E8B7024">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1</w:t>
            </w:r>
          </w:p>
        </w:tc>
        <w:tc>
          <w:tcPr>
            <w:tcW w:w="678" w:type="dxa"/>
            <w:tcBorders>
              <w:left w:val="single" w:color="auto" w:sz="4" w:space="0"/>
            </w:tcBorders>
          </w:tcPr>
          <w:p w14:paraId="2932EA93">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绪论、应激</w:t>
            </w:r>
          </w:p>
        </w:tc>
        <w:tc>
          <w:tcPr>
            <w:tcW w:w="1276" w:type="dxa"/>
          </w:tcPr>
          <w:p w14:paraId="74A73036">
            <w:pPr>
              <w:widowControl w:val="0"/>
              <w:snapToGrid w:val="0"/>
              <w:spacing w:line="300" w:lineRule="exact"/>
              <w:jc w:val="both"/>
              <w:rPr>
                <w:rFonts w:hint="eastAsia"/>
                <w:sz w:val="21"/>
                <w:szCs w:val="21"/>
              </w:rPr>
            </w:pPr>
            <w:r>
              <w:rPr>
                <w:rFonts w:hint="eastAsia"/>
                <w:sz w:val="21"/>
                <w:szCs w:val="21"/>
              </w:rPr>
              <w:t>L</w:t>
            </w:r>
            <w:r>
              <w:rPr>
                <w:sz w:val="21"/>
                <w:szCs w:val="21"/>
              </w:rPr>
              <w:t>01</w:t>
            </w:r>
            <w:r>
              <w:rPr>
                <w:rFonts w:hint="eastAsia"/>
                <w:sz w:val="21"/>
                <w:szCs w:val="21"/>
              </w:rPr>
              <w:t>⑤、</w:t>
            </w:r>
          </w:p>
          <w:p w14:paraId="4CF18340">
            <w:pPr>
              <w:widowControl w:val="0"/>
              <w:snapToGrid w:val="0"/>
              <w:spacing w:line="300" w:lineRule="exact"/>
              <w:jc w:val="both"/>
              <w:rPr>
                <w:rFonts w:hint="eastAsia"/>
                <w:sz w:val="21"/>
                <w:szCs w:val="21"/>
              </w:rPr>
            </w:pPr>
            <w:r>
              <w:rPr>
                <w:rFonts w:hint="eastAsia"/>
                <w:sz w:val="21"/>
                <w:szCs w:val="21"/>
              </w:rPr>
              <w:t>L</w:t>
            </w:r>
            <w:r>
              <w:rPr>
                <w:sz w:val="21"/>
                <w:szCs w:val="21"/>
              </w:rPr>
              <w:t>02</w:t>
            </w:r>
            <w:r>
              <w:rPr>
                <w:rFonts w:hint="eastAsia"/>
                <w:sz w:val="21"/>
                <w:szCs w:val="21"/>
              </w:rPr>
              <w:t>②、</w:t>
            </w:r>
          </w:p>
          <w:p w14:paraId="6844FCFF">
            <w:pPr>
              <w:widowControl w:val="0"/>
              <w:snapToGrid w:val="0"/>
              <w:spacing w:line="300" w:lineRule="exact"/>
              <w:jc w:val="both"/>
              <w:rPr>
                <w:rFonts w:hint="eastAsia"/>
                <w:sz w:val="21"/>
                <w:szCs w:val="21"/>
              </w:rPr>
            </w:pPr>
            <w:r>
              <w:rPr>
                <w:rFonts w:hint="eastAsia"/>
                <w:sz w:val="21"/>
                <w:szCs w:val="21"/>
              </w:rPr>
              <w:t>L</w:t>
            </w:r>
            <w:r>
              <w:rPr>
                <w:sz w:val="21"/>
                <w:szCs w:val="21"/>
              </w:rPr>
              <w:t>04</w:t>
            </w:r>
            <w:r>
              <w:rPr>
                <w:rFonts w:hint="eastAsia"/>
                <w:sz w:val="21"/>
                <w:szCs w:val="21"/>
              </w:rPr>
              <w:t>①、</w:t>
            </w:r>
          </w:p>
          <w:p w14:paraId="215DDE73">
            <w:pPr>
              <w:widowControl w:val="0"/>
              <w:snapToGrid w:val="0"/>
              <w:spacing w:line="300" w:lineRule="exact"/>
              <w:jc w:val="both"/>
              <w:rPr>
                <w:rFonts w:hint="eastAsia" w:asciiTheme="minorEastAsia" w:hAnsiTheme="minorEastAsia" w:eastAsiaTheme="minorEastAsia"/>
                <w:b/>
                <w:bCs/>
                <w:sz w:val="21"/>
                <w:szCs w:val="21"/>
              </w:rPr>
            </w:pPr>
            <w:r>
              <w:rPr>
                <w:rFonts w:hint="eastAsia"/>
                <w:sz w:val="21"/>
                <w:szCs w:val="21"/>
              </w:rPr>
              <w:t>L</w:t>
            </w:r>
            <w:r>
              <w:rPr>
                <w:sz w:val="21"/>
                <w:szCs w:val="21"/>
              </w:rPr>
              <w:t>04</w:t>
            </w:r>
            <w:r>
              <w:rPr>
                <w:rFonts w:hint="eastAsia"/>
                <w:sz w:val="21"/>
                <w:szCs w:val="21"/>
              </w:rPr>
              <w:t>②</w:t>
            </w:r>
          </w:p>
        </w:tc>
        <w:tc>
          <w:tcPr>
            <w:tcW w:w="2265" w:type="dxa"/>
            <w:tcBorders>
              <w:right w:val="single" w:color="auto" w:sz="4" w:space="0"/>
            </w:tcBorders>
          </w:tcPr>
          <w:p w14:paraId="53BE105C">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w:t>
            </w:r>
            <w:r>
              <w:rPr>
                <w:rFonts w:hint="eastAsia" w:asciiTheme="minorEastAsia" w:hAnsiTheme="minorEastAsia" w:eastAsiaTheme="minorEastAsia"/>
                <w:sz w:val="21"/>
                <w:szCs w:val="21"/>
              </w:rPr>
              <w:t>知道疾病、死亡、脑死亡的概念</w:t>
            </w:r>
          </w:p>
          <w:p w14:paraId="3D868DDC">
            <w:pPr>
              <w:widowControl w:val="0"/>
              <w:snapToGrid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理解病理过程的概念；疾病发生的原因、条件；疾病发生的一般规律；疾病发生的基本机制；疾病的转归</w:t>
            </w:r>
          </w:p>
          <w:p w14:paraId="6DFD1519">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3</w:t>
            </w:r>
            <w:r>
              <w:rPr>
                <w:rFonts w:asciiTheme="minorEastAsia" w:hAnsiTheme="minorEastAsia" w:eastAsiaTheme="minorEastAsia"/>
                <w:sz w:val="21"/>
                <w:szCs w:val="21"/>
              </w:rPr>
              <w:t>.</w:t>
            </w:r>
            <w:r>
              <w:rPr>
                <w:rFonts w:hint="eastAsia" w:asciiTheme="minorEastAsia" w:hAnsiTheme="minorEastAsia" w:eastAsiaTheme="minorEastAsia"/>
                <w:sz w:val="21"/>
                <w:szCs w:val="21"/>
              </w:rPr>
              <w:t>知道病理学与病理生理学的任务、地位和内容；病理学与病理生理学的研究方法。</w:t>
            </w:r>
          </w:p>
          <w:p w14:paraId="211F5AAB">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4</w:t>
            </w:r>
            <w:r>
              <w:rPr>
                <w:rFonts w:asciiTheme="minorEastAsia" w:hAnsiTheme="minorEastAsia" w:eastAsiaTheme="minorEastAsia"/>
                <w:sz w:val="21"/>
                <w:szCs w:val="21"/>
              </w:rPr>
              <w:t>.</w:t>
            </w:r>
            <w:r>
              <w:rPr>
                <w:rFonts w:hint="eastAsia" w:asciiTheme="minorEastAsia" w:hAnsiTheme="minorEastAsia" w:eastAsiaTheme="minorEastAsia"/>
                <w:sz w:val="21"/>
                <w:szCs w:val="21"/>
              </w:rPr>
              <w:t>知道应激、全身适应综合征、应激性溃疡的概念</w:t>
            </w:r>
          </w:p>
          <w:p w14:paraId="4AE60BE4">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5</w:t>
            </w:r>
            <w:r>
              <w:rPr>
                <w:rFonts w:asciiTheme="minorEastAsia" w:hAnsiTheme="minorEastAsia" w:eastAsiaTheme="minorEastAsia"/>
                <w:sz w:val="21"/>
                <w:szCs w:val="21"/>
              </w:rPr>
              <w:t>.</w:t>
            </w:r>
            <w:r>
              <w:rPr>
                <w:rFonts w:hint="eastAsia" w:asciiTheme="minorEastAsia" w:hAnsiTheme="minorEastAsia" w:eastAsiaTheme="minorEastAsia"/>
                <w:sz w:val="21"/>
                <w:szCs w:val="21"/>
              </w:rPr>
              <w:t>理解应激使的神经、体液及细胞反应</w:t>
            </w:r>
          </w:p>
          <w:p w14:paraId="292B9B79">
            <w:pPr>
              <w:widowControl w:val="0"/>
              <w:snapToGrid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6</w:t>
            </w:r>
            <w:r>
              <w:rPr>
                <w:rFonts w:asciiTheme="minorEastAsia" w:hAnsiTheme="minorEastAsia" w:eastAsiaTheme="minorEastAsia"/>
                <w:sz w:val="21"/>
                <w:szCs w:val="21"/>
              </w:rPr>
              <w:t>.</w:t>
            </w:r>
            <w:r>
              <w:rPr>
                <w:rFonts w:hint="eastAsia" w:asciiTheme="minorEastAsia" w:hAnsiTheme="minorEastAsia" w:eastAsiaTheme="minorEastAsia"/>
                <w:sz w:val="21"/>
                <w:szCs w:val="21"/>
              </w:rPr>
              <w:t>理解应激和疾病的关系</w:t>
            </w:r>
          </w:p>
        </w:tc>
        <w:tc>
          <w:tcPr>
            <w:tcW w:w="1737" w:type="dxa"/>
            <w:tcBorders>
              <w:left w:val="single" w:color="auto" w:sz="4" w:space="0"/>
              <w:right w:val="single" w:color="auto" w:sz="4" w:space="0"/>
            </w:tcBorders>
          </w:tcPr>
          <w:p w14:paraId="1B3E69E4">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1.应用</w:t>
            </w:r>
            <w:r>
              <w:rPr>
                <w:rFonts w:hint="eastAsia" w:asciiTheme="minorEastAsia" w:hAnsiTheme="minorEastAsia" w:eastAsiaTheme="minorEastAsia"/>
                <w:sz w:val="21"/>
                <w:szCs w:val="21"/>
              </w:rPr>
              <w:t>健康、亚健康、疾病等</w:t>
            </w:r>
            <w:r>
              <w:rPr>
                <w:rFonts w:asciiTheme="minorEastAsia" w:hAnsiTheme="minorEastAsia" w:eastAsiaTheme="minorEastAsia"/>
                <w:sz w:val="21"/>
                <w:szCs w:val="21"/>
              </w:rPr>
              <w:t>病理知识分析、解释相关的临床表现问题。</w:t>
            </w:r>
          </w:p>
          <w:p w14:paraId="1FFF5915">
            <w:pPr>
              <w:widowControl w:val="0"/>
              <w:snapToGrid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2.培养积极对待和正确认识</w:t>
            </w:r>
            <w:r>
              <w:rPr>
                <w:rFonts w:hint="eastAsia" w:asciiTheme="minorEastAsia" w:hAnsiTheme="minorEastAsia" w:eastAsiaTheme="minorEastAsia"/>
                <w:sz w:val="21"/>
                <w:szCs w:val="21"/>
              </w:rPr>
              <w:t>疾病、健康、亚健康、应激</w:t>
            </w:r>
            <w:r>
              <w:rPr>
                <w:rFonts w:asciiTheme="minorEastAsia" w:hAnsiTheme="minorEastAsia" w:eastAsiaTheme="minorEastAsia"/>
                <w:sz w:val="21"/>
                <w:szCs w:val="21"/>
              </w:rPr>
              <w:t>，具有对机体</w:t>
            </w:r>
            <w:r>
              <w:rPr>
                <w:rFonts w:hint="eastAsia" w:asciiTheme="minorEastAsia" w:hAnsiTheme="minorEastAsia" w:eastAsiaTheme="minorEastAsia"/>
                <w:sz w:val="21"/>
                <w:szCs w:val="21"/>
              </w:rPr>
              <w:t>疾病和应激</w:t>
            </w:r>
            <w:r>
              <w:rPr>
                <w:rFonts w:asciiTheme="minorEastAsia" w:hAnsiTheme="minorEastAsia" w:eastAsiaTheme="minorEastAsia"/>
                <w:sz w:val="21"/>
                <w:szCs w:val="21"/>
              </w:rPr>
              <w:t>病理问题的认知能力</w:t>
            </w:r>
          </w:p>
        </w:tc>
        <w:tc>
          <w:tcPr>
            <w:tcW w:w="1737" w:type="dxa"/>
            <w:tcBorders>
              <w:left w:val="single" w:color="auto" w:sz="4" w:space="0"/>
              <w:right w:val="single" w:color="auto" w:sz="12" w:space="0"/>
            </w:tcBorders>
          </w:tcPr>
          <w:p w14:paraId="6B94D15F">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亚健康的概念，应激的神经体液反应，应激的常见病理表现</w:t>
            </w:r>
          </w:p>
        </w:tc>
      </w:tr>
      <w:tr w14:paraId="68A68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6737709D">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2</w:t>
            </w:r>
          </w:p>
        </w:tc>
        <w:tc>
          <w:tcPr>
            <w:tcW w:w="678" w:type="dxa"/>
            <w:tcBorders>
              <w:left w:val="single" w:color="auto" w:sz="4" w:space="0"/>
            </w:tcBorders>
          </w:tcPr>
          <w:p w14:paraId="5A6590EB">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细胞、组织的适应和损伤</w:t>
            </w:r>
            <w:r>
              <w:rPr>
                <w:rFonts w:hint="eastAsia" w:asciiTheme="minorEastAsia" w:hAnsiTheme="minorEastAsia" w:eastAsiaTheme="minorEastAsia"/>
                <w:sz w:val="21"/>
                <w:szCs w:val="21"/>
              </w:rPr>
              <w:t>，修复</w:t>
            </w:r>
          </w:p>
          <w:p w14:paraId="37910ED6">
            <w:pPr>
              <w:pStyle w:val="18"/>
              <w:widowControl w:val="0"/>
              <w:spacing w:before="81" w:after="163" w:line="300" w:lineRule="exact"/>
              <w:jc w:val="both"/>
              <w:rPr>
                <w:rFonts w:hint="eastAsia" w:asciiTheme="minorEastAsia" w:hAnsiTheme="minorEastAsia" w:eastAsiaTheme="minorEastAsia"/>
                <w:b w:val="0"/>
                <w:sz w:val="21"/>
                <w:szCs w:val="21"/>
              </w:rPr>
            </w:pPr>
          </w:p>
        </w:tc>
        <w:tc>
          <w:tcPr>
            <w:tcW w:w="1276" w:type="dxa"/>
          </w:tcPr>
          <w:p w14:paraId="52F4D035">
            <w:pPr>
              <w:widowControl w:val="0"/>
              <w:snapToGrid w:val="0"/>
              <w:spacing w:line="300" w:lineRule="exact"/>
              <w:jc w:val="both"/>
              <w:rPr>
                <w:rFonts w:hint="eastAsia"/>
                <w:sz w:val="21"/>
                <w:szCs w:val="21"/>
              </w:rPr>
            </w:pPr>
            <w:r>
              <w:rPr>
                <w:rFonts w:hint="eastAsia"/>
                <w:sz w:val="21"/>
                <w:szCs w:val="21"/>
              </w:rPr>
              <w:t>L</w:t>
            </w:r>
            <w:r>
              <w:rPr>
                <w:sz w:val="21"/>
                <w:szCs w:val="21"/>
              </w:rPr>
              <w:t>01</w:t>
            </w:r>
            <w:r>
              <w:rPr>
                <w:rFonts w:hint="eastAsia"/>
                <w:sz w:val="21"/>
                <w:szCs w:val="21"/>
              </w:rPr>
              <w:t>⑤、</w:t>
            </w:r>
          </w:p>
          <w:p w14:paraId="14E45FD1">
            <w:pPr>
              <w:widowControl w:val="0"/>
              <w:snapToGrid w:val="0"/>
              <w:spacing w:line="300" w:lineRule="exact"/>
              <w:jc w:val="both"/>
              <w:rPr>
                <w:rFonts w:hint="eastAsia"/>
                <w:sz w:val="21"/>
                <w:szCs w:val="21"/>
              </w:rPr>
            </w:pPr>
            <w:r>
              <w:rPr>
                <w:rFonts w:hint="eastAsia"/>
                <w:sz w:val="21"/>
                <w:szCs w:val="21"/>
              </w:rPr>
              <w:t>L</w:t>
            </w:r>
            <w:r>
              <w:rPr>
                <w:sz w:val="21"/>
                <w:szCs w:val="21"/>
              </w:rPr>
              <w:t>02</w:t>
            </w:r>
            <w:r>
              <w:rPr>
                <w:rFonts w:hint="eastAsia"/>
                <w:sz w:val="21"/>
                <w:szCs w:val="21"/>
              </w:rPr>
              <w:t>②、</w:t>
            </w:r>
          </w:p>
          <w:p w14:paraId="52F2EEB3">
            <w:pPr>
              <w:widowControl w:val="0"/>
              <w:snapToGrid w:val="0"/>
              <w:spacing w:line="300" w:lineRule="exact"/>
              <w:jc w:val="both"/>
              <w:rPr>
                <w:rFonts w:hint="eastAsia" w:asciiTheme="minorEastAsia" w:hAnsiTheme="minorEastAsia" w:eastAsiaTheme="minorEastAsia"/>
                <w:b/>
                <w:sz w:val="21"/>
                <w:szCs w:val="21"/>
              </w:rPr>
            </w:pPr>
            <w:r>
              <w:rPr>
                <w:rFonts w:hint="eastAsia"/>
                <w:sz w:val="21"/>
                <w:szCs w:val="21"/>
              </w:rPr>
              <w:t>L</w:t>
            </w:r>
            <w:r>
              <w:rPr>
                <w:sz w:val="21"/>
                <w:szCs w:val="21"/>
              </w:rPr>
              <w:t>04</w:t>
            </w:r>
            <w:r>
              <w:rPr>
                <w:rFonts w:hint="eastAsia"/>
                <w:sz w:val="21"/>
                <w:szCs w:val="21"/>
              </w:rPr>
              <w:t>①、L</w:t>
            </w:r>
            <w:r>
              <w:rPr>
                <w:sz w:val="21"/>
                <w:szCs w:val="21"/>
              </w:rPr>
              <w:t>04</w:t>
            </w:r>
            <w:r>
              <w:rPr>
                <w:rFonts w:hint="eastAsia"/>
                <w:sz w:val="21"/>
                <w:szCs w:val="21"/>
              </w:rPr>
              <w:t>②</w:t>
            </w:r>
          </w:p>
        </w:tc>
        <w:tc>
          <w:tcPr>
            <w:tcW w:w="2265" w:type="dxa"/>
            <w:tcBorders>
              <w:right w:val="single" w:color="auto" w:sz="4" w:space="0"/>
            </w:tcBorders>
          </w:tcPr>
          <w:p w14:paraId="5AD7CC21">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知道</w:t>
            </w:r>
            <w:r>
              <w:rPr>
                <w:rFonts w:asciiTheme="minorEastAsia" w:hAnsiTheme="minorEastAsia" w:eastAsiaTheme="minorEastAsia"/>
                <w:sz w:val="21"/>
                <w:szCs w:val="21"/>
              </w:rPr>
              <w:t>适应、萎缩、肥大、增生、化生、变性、细胞水肿、脂肪变性、玻璃样变性、坏疽、机化、肉芽组织和瘢痕组织概念；坏死的病理变化及类型；肉芽组织形态和功能。</w:t>
            </w:r>
          </w:p>
          <w:p w14:paraId="23BEEE0C">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病理性钙化、糜烂、溃疡、窦道、瘘管、空洞、修复、再生和纤维性修复概念；萎缩、肥大和增生的类型及原因、病理变化；化生变性的病理变化；坏死的结局；肉芽组织的结局；细胞的再生能力；修复的完成；皮肤创伤愈合的类型；骨折愈合的过程。</w:t>
            </w:r>
          </w:p>
          <w:p w14:paraId="4CBC2364">
            <w:pPr>
              <w:widowControl w:val="0"/>
              <w:snapToGrid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创伤愈合概念；萎缩、肥大和增生的影响及结局；病理性钙化的类型、病理变化；细胞水肿、脂肪变性的原因及机制、影响及结局；瘢痕组织的形态及作用;皮肤创伤愈合的过程;影响损伤修复的因素。</w:t>
            </w:r>
          </w:p>
        </w:tc>
        <w:tc>
          <w:tcPr>
            <w:tcW w:w="1737" w:type="dxa"/>
            <w:tcBorders>
              <w:left w:val="single" w:color="auto" w:sz="4" w:space="0"/>
              <w:right w:val="single" w:color="auto" w:sz="4" w:space="0"/>
            </w:tcBorders>
          </w:tcPr>
          <w:p w14:paraId="0945408E">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运</w:t>
            </w:r>
            <w:r>
              <w:rPr>
                <w:rFonts w:asciiTheme="minorEastAsia" w:hAnsiTheme="minorEastAsia" w:eastAsiaTheme="minorEastAsia"/>
                <w:sz w:val="21"/>
                <w:szCs w:val="21"/>
              </w:rPr>
              <w:t>用适应、损仿与修复病理知识分析、解释相关的临床表现问题。</w:t>
            </w:r>
          </w:p>
          <w:p w14:paraId="58C6EA9D">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能够</w:t>
            </w:r>
            <w:r>
              <w:rPr>
                <w:rFonts w:asciiTheme="minorEastAsia" w:hAnsiTheme="minorEastAsia" w:eastAsiaTheme="minorEastAsia"/>
                <w:sz w:val="21"/>
                <w:szCs w:val="21"/>
              </w:rPr>
              <w:t>积极对待和正确认识适应、损伤与修复，具有对机体适应与损伤变化及修复病理问题的认知能力。</w:t>
            </w:r>
          </w:p>
        </w:tc>
        <w:tc>
          <w:tcPr>
            <w:tcW w:w="1737" w:type="dxa"/>
            <w:tcBorders>
              <w:left w:val="single" w:color="auto" w:sz="4" w:space="0"/>
              <w:right w:val="single" w:color="auto" w:sz="12" w:space="0"/>
            </w:tcBorders>
          </w:tcPr>
          <w:p w14:paraId="40966BC8">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适应、萎缩、肥大、增生、化生、变性、细胞水肿、脂肪变性、玻璃样变性、坏疽、机化、肉芽组织和瘢痕组织概念；坏死的病理变化及类型；肉芽组织形态和功能。</w:t>
            </w:r>
          </w:p>
        </w:tc>
      </w:tr>
      <w:tr w14:paraId="1CD3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684BF6FB">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3</w:t>
            </w:r>
          </w:p>
        </w:tc>
        <w:tc>
          <w:tcPr>
            <w:tcW w:w="678" w:type="dxa"/>
            <w:tcBorders>
              <w:left w:val="single" w:color="auto" w:sz="4" w:space="0"/>
            </w:tcBorders>
          </w:tcPr>
          <w:p w14:paraId="58D8B869">
            <w:pPr>
              <w:widowControl w:val="0"/>
              <w:spacing w:line="300" w:lineRule="exact"/>
              <w:jc w:val="both"/>
              <w:rPr>
                <w:rFonts w:hint="eastAsia" w:asciiTheme="minorEastAsia" w:hAnsiTheme="minorEastAsia" w:eastAsiaTheme="minorEastAsia"/>
                <w:b/>
                <w:sz w:val="21"/>
                <w:szCs w:val="21"/>
              </w:rPr>
            </w:pPr>
            <w:r>
              <w:rPr>
                <w:rFonts w:asciiTheme="minorEastAsia" w:hAnsiTheme="minorEastAsia" w:eastAsiaTheme="minorEastAsia"/>
                <w:sz w:val="21"/>
                <w:szCs w:val="21"/>
              </w:rPr>
              <w:t>局部血液循环障碍</w:t>
            </w:r>
          </w:p>
        </w:tc>
        <w:tc>
          <w:tcPr>
            <w:tcW w:w="1276" w:type="dxa"/>
          </w:tcPr>
          <w:p w14:paraId="652C0B42">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65B8D098">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0D278B5C">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09F01462">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1.知道</w:t>
            </w:r>
            <w:r>
              <w:rPr>
                <w:rFonts w:asciiTheme="minorEastAsia" w:hAnsiTheme="minorEastAsia" w:eastAsiaTheme="minorEastAsia"/>
                <w:sz w:val="21"/>
                <w:szCs w:val="21"/>
              </w:rPr>
              <w:t>淤血、血栓形成、血栓、栓塞、栓子和梗死概念;淤血的原因；血栓形成的发生条件及机制；栓子的运行途径。</w:t>
            </w:r>
          </w:p>
          <w:p w14:paraId="5A4AA128">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知道</w:t>
            </w:r>
            <w:r>
              <w:rPr>
                <w:rFonts w:asciiTheme="minorEastAsia" w:hAnsiTheme="minorEastAsia" w:eastAsiaTheme="minorEastAsia"/>
                <w:sz w:val="21"/>
                <w:szCs w:val="21"/>
              </w:rPr>
              <w:t>充血、发绀、心衰细胞和槟榔肝概念；充血的病理变化;淤血的病理变化、影响及结局和重要器官淤血；出血的病理变化；血栓形成过程、形态类型、转归及结局和对机体的影响；栓塞的类型及后果；梗死的形态特征及类型。</w:t>
            </w:r>
          </w:p>
          <w:p w14:paraId="7C156627">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肺褐色硬化概念；充血的类型及原因、影响及结局；出血的类型及原因、影响及结局；梗死的原因及对机体的影响。</w:t>
            </w:r>
          </w:p>
          <w:p w14:paraId="4119FB86">
            <w:pPr>
              <w:widowControl w:val="0"/>
              <w:spacing w:line="300" w:lineRule="exact"/>
              <w:jc w:val="both"/>
              <w:rPr>
                <w:rFonts w:hint="eastAsia" w:asciiTheme="minorEastAsia" w:hAnsiTheme="minorEastAsia" w:eastAsiaTheme="minorEastAsia"/>
                <w:sz w:val="21"/>
                <w:szCs w:val="21"/>
              </w:rPr>
            </w:pPr>
          </w:p>
        </w:tc>
        <w:tc>
          <w:tcPr>
            <w:tcW w:w="1737" w:type="dxa"/>
            <w:tcBorders>
              <w:left w:val="single" w:color="auto" w:sz="4" w:space="0"/>
              <w:right w:val="single" w:color="auto" w:sz="4" w:space="0"/>
            </w:tcBorders>
          </w:tcPr>
          <w:p w14:paraId="01846198">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能够运用</w:t>
            </w:r>
            <w:r>
              <w:rPr>
                <w:rFonts w:asciiTheme="minorEastAsia" w:hAnsiTheme="minorEastAsia" w:eastAsiaTheme="minorEastAsia"/>
                <w:sz w:val="21"/>
                <w:szCs w:val="21"/>
              </w:rPr>
              <w:t>局部血液循环障碍病理知识分析、解释相关的临床表现问题。</w:t>
            </w:r>
          </w:p>
          <w:p w14:paraId="4EA0AB68">
            <w:pPr>
              <w:widowControl w:val="0"/>
              <w:snapToGrid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2.积极对待和正确认识充血、淤血、出血、血栓形成、栓塞及梗死，具有对淤血、出血、血栓形成、栓塞及梗死病理问题的预见意识和科学认知分析及预防指导能力。</w:t>
            </w:r>
          </w:p>
          <w:p w14:paraId="04DC8E8D">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运用</w:t>
            </w:r>
            <w:r>
              <w:rPr>
                <w:rFonts w:asciiTheme="minorEastAsia" w:hAnsiTheme="minorEastAsia" w:eastAsiaTheme="minorEastAsia"/>
                <w:sz w:val="21"/>
                <w:szCs w:val="21"/>
              </w:rPr>
              <w:t>炎症病理知识分析、解释相关的临床表现问题及相关实验室检查结果。</w:t>
            </w:r>
          </w:p>
          <w:p w14:paraId="1C556708">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4.积极对待和正确认识机体的炎症，具有对炎症病理问题的预见意识和科学认知分析能力。</w:t>
            </w:r>
          </w:p>
          <w:p w14:paraId="02D43A35">
            <w:pPr>
              <w:widowControl w:val="0"/>
              <w:spacing w:line="300" w:lineRule="exact"/>
              <w:jc w:val="both"/>
              <w:rPr>
                <w:rFonts w:hint="eastAsia" w:asciiTheme="minorEastAsia" w:hAnsiTheme="minorEastAsia" w:eastAsiaTheme="minorEastAsia"/>
                <w:sz w:val="21"/>
                <w:szCs w:val="21"/>
              </w:rPr>
            </w:pPr>
          </w:p>
        </w:tc>
        <w:tc>
          <w:tcPr>
            <w:tcW w:w="1737" w:type="dxa"/>
            <w:tcBorders>
              <w:left w:val="single" w:color="auto" w:sz="4" w:space="0"/>
              <w:right w:val="single" w:color="auto" w:sz="12" w:space="0"/>
            </w:tcBorders>
          </w:tcPr>
          <w:p w14:paraId="21EF9CFF">
            <w:pPr>
              <w:widowControl w:val="0"/>
              <w:snapToGrid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淤血、血栓形成、血栓、栓塞、栓子和梗死概念;淤血的原因；血栓形成的发生条件及机制；栓子的运行途径。</w:t>
            </w:r>
          </w:p>
          <w:p w14:paraId="6CCDC87D">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炎症、变质、渗出、增生、炎细胞浸润、假膜性炎、脓肿、蜂窝织炎、炎性息肉、炎性假瘤和肉芽肿性炎概念；炎症基本病理变化；炎症局部表现；急性炎症过程中的白细胞反应；急性炎症病理学类型。</w:t>
            </w:r>
          </w:p>
        </w:tc>
      </w:tr>
      <w:tr w14:paraId="7DDE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38E8D625">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4</w:t>
            </w:r>
          </w:p>
        </w:tc>
        <w:tc>
          <w:tcPr>
            <w:tcW w:w="678" w:type="dxa"/>
            <w:tcBorders>
              <w:left w:val="single" w:color="auto" w:sz="4" w:space="0"/>
            </w:tcBorders>
          </w:tcPr>
          <w:p w14:paraId="576C206F">
            <w:pPr>
              <w:widowControl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炎症</w:t>
            </w:r>
          </w:p>
        </w:tc>
        <w:tc>
          <w:tcPr>
            <w:tcW w:w="1276" w:type="dxa"/>
          </w:tcPr>
          <w:p w14:paraId="3DCC14FB">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594DA91D">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6A2517BD">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6B9D708C">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炎症、变质、渗出、增生、炎细胞浸润、假膜性炎、脓肿、蜂窝织炎、炎性息肉、炎性假瘤和肉芽肿性炎概念；炎症基本病理变化；炎症局部表现；急性炎症过程中的白细胞反应；急性炎症病理学类型。</w:t>
            </w:r>
          </w:p>
          <w:p w14:paraId="11F3A944">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假膜性炎、卡他性炎和慢性炎症概念；炎症全身反应；炎症意义；急性炎症过程中的血管反应；急性炎症结局；慢性炎症原因及类型；一般慢性炎症病理交化</w:t>
            </w:r>
          </w:p>
          <w:p w14:paraId="4BB159AA">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特点。</w:t>
            </w:r>
          </w:p>
          <w:p w14:paraId="2C0CB090">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炎症原因、分类；类症介质作用；肉芽肿性炎的机制及原因、病理交化特点。</w:t>
            </w:r>
          </w:p>
        </w:tc>
        <w:tc>
          <w:tcPr>
            <w:tcW w:w="1737" w:type="dxa"/>
            <w:tcBorders>
              <w:left w:val="single" w:color="auto" w:sz="4" w:space="0"/>
              <w:right w:val="single" w:color="auto" w:sz="4" w:space="0"/>
            </w:tcBorders>
          </w:tcPr>
          <w:p w14:paraId="25DCFA65">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运</w:t>
            </w:r>
            <w:r>
              <w:rPr>
                <w:rFonts w:asciiTheme="minorEastAsia" w:hAnsiTheme="minorEastAsia" w:eastAsiaTheme="minorEastAsia"/>
                <w:sz w:val="21"/>
                <w:szCs w:val="21"/>
              </w:rPr>
              <w:t>用炎症病理知识分析、解释相关的临床表现问题及相关实验室检查结果。</w:t>
            </w:r>
          </w:p>
          <w:p w14:paraId="297EB475">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2.积极对待和正确认识机体的炎症，具有对炎症病理问题的预见意识和科学认知分析能力。</w:t>
            </w:r>
          </w:p>
          <w:p w14:paraId="2D4C0E71">
            <w:pPr>
              <w:widowControl w:val="0"/>
              <w:spacing w:line="300" w:lineRule="exact"/>
              <w:jc w:val="both"/>
              <w:rPr>
                <w:rFonts w:hint="eastAsia" w:asciiTheme="minorEastAsia" w:hAnsiTheme="minorEastAsia" w:eastAsiaTheme="minorEastAsia"/>
                <w:sz w:val="21"/>
                <w:szCs w:val="21"/>
              </w:rPr>
            </w:pPr>
          </w:p>
        </w:tc>
        <w:tc>
          <w:tcPr>
            <w:tcW w:w="1737" w:type="dxa"/>
            <w:tcBorders>
              <w:left w:val="single" w:color="auto" w:sz="4" w:space="0"/>
              <w:right w:val="single" w:color="auto" w:sz="12" w:space="0"/>
            </w:tcBorders>
          </w:tcPr>
          <w:p w14:paraId="3A1DD872">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炎症、变质、渗出、增生、炎细胞浸润、假膜性炎、脓肿、蜂窝织炎、炎性息肉、炎性假瘤和肉芽肿性炎概念；炎症基本病理变化；炎症局部表现；急性炎症过程中的白细胞反应；急性炎症病理学类型。</w:t>
            </w:r>
          </w:p>
        </w:tc>
      </w:tr>
      <w:tr w14:paraId="69BB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00348BFB">
            <w:pPr>
              <w:pStyle w:val="18"/>
              <w:widowControl w:val="0"/>
              <w:spacing w:before="81" w:after="163" w:line="300" w:lineRule="exact"/>
              <w:jc w:val="both"/>
              <w:rPr>
                <w:rFonts w:hint="eastAsia" w:asciiTheme="minorEastAsia" w:hAnsiTheme="minorEastAsia" w:eastAsiaTheme="minorEastAsia"/>
                <w:b w:val="0"/>
                <w:sz w:val="21"/>
                <w:szCs w:val="21"/>
              </w:rPr>
            </w:pPr>
            <w:r>
              <w:rPr>
                <w:rFonts w:asciiTheme="minorEastAsia" w:hAnsiTheme="minorEastAsia" w:eastAsiaTheme="minorEastAsia"/>
                <w:b w:val="0"/>
                <w:sz w:val="21"/>
                <w:szCs w:val="21"/>
              </w:rPr>
              <w:t>5</w:t>
            </w:r>
          </w:p>
        </w:tc>
        <w:tc>
          <w:tcPr>
            <w:tcW w:w="678" w:type="dxa"/>
            <w:tcBorders>
              <w:left w:val="single" w:color="auto" w:sz="4" w:space="0"/>
            </w:tcBorders>
          </w:tcPr>
          <w:p w14:paraId="696E1101">
            <w:pPr>
              <w:pStyle w:val="18"/>
              <w:widowControl w:val="0"/>
              <w:spacing w:before="81" w:after="163" w:line="300" w:lineRule="exact"/>
              <w:jc w:val="both"/>
              <w:rPr>
                <w:rFonts w:hint="eastAsia" w:asciiTheme="minorEastAsia" w:hAnsiTheme="minorEastAsia" w:eastAsiaTheme="minorEastAsia"/>
                <w:b w:val="0"/>
                <w:bCs/>
                <w:sz w:val="21"/>
                <w:szCs w:val="21"/>
              </w:rPr>
            </w:pPr>
            <w:r>
              <w:rPr>
                <w:rFonts w:asciiTheme="minorEastAsia" w:hAnsiTheme="minorEastAsia" w:eastAsiaTheme="minorEastAsia"/>
                <w:b w:val="0"/>
                <w:bCs/>
                <w:sz w:val="21"/>
                <w:szCs w:val="21"/>
              </w:rPr>
              <w:t>肿瘤</w:t>
            </w:r>
          </w:p>
        </w:tc>
        <w:tc>
          <w:tcPr>
            <w:tcW w:w="1276" w:type="dxa"/>
          </w:tcPr>
          <w:p w14:paraId="2881B242">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12A05769">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3E8F4614">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2128A3EA">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知道</w:t>
            </w:r>
            <w:r>
              <w:rPr>
                <w:rFonts w:asciiTheme="minorEastAsia" w:hAnsiTheme="minorEastAsia" w:eastAsiaTheme="minorEastAsia"/>
                <w:sz w:val="21"/>
                <w:szCs w:val="21"/>
              </w:rPr>
              <w:t>肿瘤、分化、异型性、种植性转移、癌、肉瘤、癌前疾病(病变)、异型增生和原位癌概念；肿瘤的形态；肿瘤的生长；肿瘤的扩散；肿瘤的一般命名原则；良、恶性肿瘤的区别；常见的癌前疾病(病变)。</w:t>
            </w:r>
          </w:p>
          <w:p w14:paraId="2F250E11">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肿瘤的异型性表现；肿瘤对机体的影响；肿的异型增生。</w:t>
            </w:r>
          </w:p>
          <w:p w14:paraId="19804AA1">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肿瘤的特殊命名原则；肿瘤的分类；癌与内瘤的区别；肿瘤的原因及发生机制。</w:t>
            </w:r>
          </w:p>
        </w:tc>
        <w:tc>
          <w:tcPr>
            <w:tcW w:w="1737" w:type="dxa"/>
            <w:tcBorders>
              <w:left w:val="single" w:color="auto" w:sz="4" w:space="0"/>
              <w:right w:val="single" w:color="auto" w:sz="4" w:space="0"/>
            </w:tcBorders>
          </w:tcPr>
          <w:p w14:paraId="6BEBF472">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运</w:t>
            </w:r>
            <w:r>
              <w:rPr>
                <w:rFonts w:asciiTheme="minorEastAsia" w:hAnsiTheme="minorEastAsia" w:eastAsiaTheme="minorEastAsia"/>
                <w:sz w:val="21"/>
                <w:szCs w:val="21"/>
              </w:rPr>
              <w:t>用肿瘤病理知识分析、解释相关的临床表现问题,能结合肿瘤的生物学特点进行健康教育。</w:t>
            </w:r>
          </w:p>
          <w:p w14:paraId="560DA7EF">
            <w:pPr>
              <w:widowControl w:val="0"/>
              <w:snapToGrid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2.积极对待和正确认识机体的肿瘤，具有对肿瘤病理问题的预见意识和科学认知分析能力。</w:t>
            </w:r>
          </w:p>
          <w:p w14:paraId="0537369F">
            <w:pPr>
              <w:widowControl w:val="0"/>
              <w:spacing w:line="300" w:lineRule="exact"/>
              <w:jc w:val="both"/>
              <w:rPr>
                <w:rFonts w:hint="eastAsia" w:asciiTheme="minorEastAsia" w:hAnsiTheme="minorEastAsia" w:eastAsiaTheme="minorEastAsia"/>
                <w:sz w:val="21"/>
                <w:szCs w:val="21"/>
              </w:rPr>
            </w:pPr>
          </w:p>
        </w:tc>
        <w:tc>
          <w:tcPr>
            <w:tcW w:w="1737" w:type="dxa"/>
            <w:tcBorders>
              <w:left w:val="single" w:color="auto" w:sz="4" w:space="0"/>
              <w:right w:val="single" w:color="auto" w:sz="12" w:space="0"/>
            </w:tcBorders>
          </w:tcPr>
          <w:p w14:paraId="654C25EB">
            <w:pPr>
              <w:widowControl w:val="0"/>
              <w:snapToGrid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肿瘤、分化、异型性、种植性转移、癌、肉瘤、癌前疾病(病变)、异型增生和原位癌概念；肿瘤的形态；肿瘤的生长；肿瘤的扩散；肿瘤的一般命名原则；良、恶性肿瘤的区别；常见的癌前疾病(病变)。</w:t>
            </w:r>
          </w:p>
          <w:p w14:paraId="375725CC">
            <w:pPr>
              <w:widowControl w:val="0"/>
              <w:spacing w:line="300" w:lineRule="exact"/>
              <w:jc w:val="both"/>
              <w:rPr>
                <w:rFonts w:hint="eastAsia" w:asciiTheme="minorEastAsia" w:hAnsiTheme="minorEastAsia" w:eastAsiaTheme="minorEastAsia"/>
                <w:sz w:val="21"/>
                <w:szCs w:val="21"/>
              </w:rPr>
            </w:pPr>
          </w:p>
        </w:tc>
      </w:tr>
      <w:tr w14:paraId="7844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74180D0F">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6</w:t>
            </w:r>
          </w:p>
        </w:tc>
        <w:tc>
          <w:tcPr>
            <w:tcW w:w="678" w:type="dxa"/>
            <w:tcBorders>
              <w:left w:val="single" w:color="auto" w:sz="4" w:space="0"/>
            </w:tcBorders>
          </w:tcPr>
          <w:p w14:paraId="0C22F494">
            <w:pPr>
              <w:widowControl w:val="0"/>
              <w:snapToGrid w:val="0"/>
              <w:spacing w:line="300" w:lineRule="exact"/>
              <w:jc w:val="both"/>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水、电解质代谢紊乱；</w:t>
            </w:r>
          </w:p>
          <w:p w14:paraId="59B9DDD3">
            <w:pPr>
              <w:pStyle w:val="18"/>
              <w:widowControl w:val="0"/>
              <w:spacing w:before="81" w:after="163" w:line="300" w:lineRule="exact"/>
              <w:jc w:val="both"/>
              <w:rPr>
                <w:rFonts w:hint="eastAsia" w:asciiTheme="minorEastAsia" w:hAnsiTheme="minorEastAsia" w:eastAsiaTheme="minorEastAsia"/>
                <w:b w:val="0"/>
                <w:bCs/>
                <w:sz w:val="21"/>
                <w:szCs w:val="21"/>
              </w:rPr>
            </w:pPr>
          </w:p>
        </w:tc>
        <w:tc>
          <w:tcPr>
            <w:tcW w:w="1276" w:type="dxa"/>
          </w:tcPr>
          <w:p w14:paraId="0F64EE48">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2E15E985">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4A7FDEB7">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67B34EE1">
            <w:pPr>
              <w:widowControl w:val="0"/>
              <w:spacing w:line="300" w:lineRule="exact"/>
              <w:jc w:val="left"/>
              <w:rPr>
                <w:rFonts w:hint="eastAsia" w:asciiTheme="minorEastAsia" w:hAnsiTheme="minorEastAsia" w:eastAsiaTheme="minorEastAsia"/>
                <w:color w:val="000000"/>
                <w:sz w:val="21"/>
                <w:szCs w:val="21"/>
              </w:rPr>
            </w:pPr>
            <w:r>
              <w:rPr>
                <w:rFonts w:asciiTheme="minorEastAsia" w:hAnsiTheme="minorEastAsia" w:eastAsiaTheme="minorEastAsia"/>
                <w:color w:val="000000"/>
                <w:sz w:val="21"/>
                <w:szCs w:val="21"/>
              </w:rPr>
              <w:t>1.</w:t>
            </w:r>
            <w:r>
              <w:rPr>
                <w:rFonts w:hint="eastAsia" w:asciiTheme="minorEastAsia" w:hAnsiTheme="minorEastAsia" w:eastAsiaTheme="minorEastAsia"/>
                <w:color w:val="000000"/>
                <w:sz w:val="21"/>
                <w:szCs w:val="21"/>
              </w:rPr>
              <w:t>理解脱水、水肿、低钾血症和高钾血症概念。</w:t>
            </w:r>
          </w:p>
          <w:p w14:paraId="64E5F3A4">
            <w:pPr>
              <w:widowControl w:val="0"/>
              <w:spacing w:line="300" w:lineRule="exact"/>
              <w:jc w:val="left"/>
              <w:rPr>
                <w:rFonts w:hint="eastAsia" w:asciiTheme="minorEastAsia" w:hAnsiTheme="minorEastAsia" w:eastAsiaTheme="minorEastAsia"/>
                <w:color w:val="000000"/>
                <w:sz w:val="21"/>
                <w:szCs w:val="21"/>
              </w:rPr>
            </w:pPr>
            <w:r>
              <w:rPr>
                <w:rFonts w:asciiTheme="minorEastAsia" w:hAnsiTheme="minorEastAsia" w:eastAsiaTheme="minorEastAsia"/>
                <w:color w:val="000000"/>
                <w:sz w:val="21"/>
                <w:szCs w:val="21"/>
              </w:rPr>
              <w:t>2.</w:t>
            </w:r>
            <w:r>
              <w:rPr>
                <w:rFonts w:hint="eastAsia" w:asciiTheme="minorEastAsia" w:hAnsiTheme="minorEastAsia" w:eastAsiaTheme="minorEastAsia"/>
                <w:color w:val="000000"/>
                <w:sz w:val="21"/>
                <w:szCs w:val="21"/>
              </w:rPr>
              <w:t>知道各型脱水临床表现；水肿发生原因及基本机制；低钾血症和高钾血症对机体的影响。</w:t>
            </w:r>
          </w:p>
          <w:p w14:paraId="268FDE03">
            <w:pPr>
              <w:widowControl w:val="0"/>
              <w:spacing w:line="300" w:lineRule="exact"/>
              <w:jc w:val="both"/>
              <w:rPr>
                <w:rFonts w:hint="eastAsia" w:asciiTheme="minorEastAsia" w:hAnsiTheme="minorEastAsia" w:eastAsiaTheme="minorEastAsia"/>
                <w:color w:val="000000"/>
                <w:sz w:val="21"/>
                <w:szCs w:val="21"/>
              </w:rPr>
            </w:pPr>
            <w:r>
              <w:rPr>
                <w:rFonts w:asciiTheme="minorEastAsia" w:hAnsiTheme="minorEastAsia" w:eastAsiaTheme="minorEastAsia"/>
                <w:color w:val="000000"/>
                <w:sz w:val="21"/>
                <w:szCs w:val="21"/>
              </w:rPr>
              <w:t>3.</w:t>
            </w:r>
            <w:r>
              <w:rPr>
                <w:rFonts w:hint="eastAsia" w:asciiTheme="minorEastAsia" w:hAnsiTheme="minorEastAsia" w:eastAsiaTheme="minorEastAsia"/>
                <w:color w:val="000000"/>
                <w:sz w:val="21"/>
                <w:szCs w:val="21"/>
              </w:rPr>
              <w:t>理解各型脱水、低钾血症和高钾血症原因及其防治病理生理学基础。</w:t>
            </w:r>
          </w:p>
        </w:tc>
        <w:tc>
          <w:tcPr>
            <w:tcW w:w="1737" w:type="dxa"/>
            <w:tcBorders>
              <w:left w:val="single" w:color="auto" w:sz="4" w:space="0"/>
              <w:right w:val="single" w:color="auto" w:sz="4" w:space="0"/>
            </w:tcBorders>
          </w:tcPr>
          <w:p w14:paraId="0749A2D2">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w:t>
            </w:r>
            <w:r>
              <w:rPr>
                <w:rFonts w:hint="eastAsia" w:asciiTheme="minorEastAsia" w:hAnsiTheme="minorEastAsia" w:eastAsiaTheme="minorEastAsia"/>
                <w:sz w:val="21"/>
                <w:szCs w:val="21"/>
              </w:rPr>
              <w:t>运用</w:t>
            </w:r>
            <w:r>
              <w:rPr>
                <w:rFonts w:asciiTheme="minorEastAsia" w:hAnsiTheme="minorEastAsia" w:eastAsiaTheme="minorEastAsia"/>
                <w:sz w:val="21"/>
                <w:szCs w:val="21"/>
              </w:rPr>
              <w:t>高渗性脱水、低渗性脱水、等渗性脱水、水肿、低钾血症和高钾血症病理生理学知识分析、判断水电解质代谢紊乱类型和分析、解释相关的临床表现问题。</w:t>
            </w:r>
          </w:p>
          <w:p w14:paraId="0A377458">
            <w:pPr>
              <w:widowControl w:val="0"/>
              <w:spacing w:line="300" w:lineRule="exact"/>
              <w:jc w:val="both"/>
              <w:rPr>
                <w:rFonts w:hint="eastAsia" w:asciiTheme="minorEastAsia" w:hAnsiTheme="minorEastAsia" w:eastAsiaTheme="minorEastAsia"/>
                <w:color w:val="000000"/>
                <w:sz w:val="21"/>
                <w:szCs w:val="21"/>
              </w:rPr>
            </w:pPr>
            <w:r>
              <w:rPr>
                <w:rFonts w:asciiTheme="minorEastAsia" w:hAnsiTheme="minorEastAsia" w:eastAsiaTheme="minorEastAsia"/>
                <w:sz w:val="21"/>
                <w:szCs w:val="21"/>
              </w:rPr>
              <w:t>2.培养积极对待和正确认识水、电解质在生命活动中的重要性和机体水、电解质代谢紊乱，具有对高渗性脱水、低渗性脱水、等渗性脱水、水肿、低钾血症和高钾血症病理过程的预见意识和科学认知分析能力。</w:t>
            </w:r>
          </w:p>
        </w:tc>
        <w:tc>
          <w:tcPr>
            <w:tcW w:w="1737" w:type="dxa"/>
            <w:tcBorders>
              <w:left w:val="single" w:color="auto" w:sz="4" w:space="0"/>
              <w:right w:val="single" w:color="auto" w:sz="12" w:space="0"/>
            </w:tcBorders>
          </w:tcPr>
          <w:p w14:paraId="4DFE25D3">
            <w:pPr>
              <w:widowControl w:val="0"/>
              <w:spacing w:line="300" w:lineRule="exact"/>
              <w:jc w:val="both"/>
              <w:rPr>
                <w:rFonts w:hint="eastAsia" w:asciiTheme="minorEastAsia" w:hAnsiTheme="minorEastAsia" w:eastAsiaTheme="minorEastAsia"/>
                <w:color w:val="000000"/>
                <w:sz w:val="21"/>
                <w:szCs w:val="21"/>
              </w:rPr>
            </w:pPr>
            <w:r>
              <w:rPr>
                <w:rFonts w:asciiTheme="minorEastAsia" w:hAnsiTheme="minorEastAsia" w:eastAsiaTheme="minorEastAsia"/>
                <w:sz w:val="21"/>
                <w:szCs w:val="21"/>
              </w:rPr>
              <w:t>脱水、水肿、低钾血症和高钾血症概念。</w:t>
            </w:r>
          </w:p>
        </w:tc>
      </w:tr>
      <w:tr w14:paraId="4CE3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5387C998">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7</w:t>
            </w:r>
          </w:p>
        </w:tc>
        <w:tc>
          <w:tcPr>
            <w:tcW w:w="678" w:type="dxa"/>
            <w:tcBorders>
              <w:left w:val="single" w:color="auto" w:sz="4" w:space="0"/>
            </w:tcBorders>
          </w:tcPr>
          <w:p w14:paraId="1B4DAA1B">
            <w:pPr>
              <w:pStyle w:val="18"/>
              <w:widowControl w:val="0"/>
              <w:spacing w:before="81" w:after="163" w:line="300" w:lineRule="exact"/>
              <w:jc w:val="both"/>
              <w:rPr>
                <w:rFonts w:hint="eastAsia" w:asciiTheme="minorEastAsia" w:hAnsiTheme="minorEastAsia" w:eastAsiaTheme="minorEastAsia"/>
                <w:b w:val="0"/>
                <w:bCs/>
                <w:sz w:val="21"/>
                <w:szCs w:val="21"/>
              </w:rPr>
            </w:pPr>
            <w:r>
              <w:rPr>
                <w:rFonts w:asciiTheme="minorEastAsia" w:hAnsiTheme="minorEastAsia" w:eastAsiaTheme="minorEastAsia"/>
                <w:b w:val="0"/>
                <w:bCs/>
                <w:sz w:val="21"/>
                <w:szCs w:val="21"/>
              </w:rPr>
              <w:t>发热</w:t>
            </w:r>
          </w:p>
        </w:tc>
        <w:tc>
          <w:tcPr>
            <w:tcW w:w="1276" w:type="dxa"/>
          </w:tcPr>
          <w:p w14:paraId="0C394265">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0BB4D126">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0D839824">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19DF7E80">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发热概念；分期和热代谢特点。</w:t>
            </w:r>
          </w:p>
          <w:p w14:paraId="2E04A74E">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知道</w:t>
            </w:r>
            <w:r>
              <w:rPr>
                <w:rFonts w:asciiTheme="minorEastAsia" w:hAnsiTheme="minorEastAsia" w:eastAsiaTheme="minorEastAsia"/>
                <w:sz w:val="21"/>
                <w:szCs w:val="21"/>
              </w:rPr>
              <w:t>发热原因、分型。</w:t>
            </w:r>
          </w:p>
          <w:p w14:paraId="0C7057C0">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发热发生机制、机体代谢和功能变化和防治病理生理基础。</w:t>
            </w:r>
          </w:p>
        </w:tc>
        <w:tc>
          <w:tcPr>
            <w:tcW w:w="1737" w:type="dxa"/>
            <w:tcBorders>
              <w:left w:val="single" w:color="auto" w:sz="4" w:space="0"/>
              <w:right w:val="single" w:color="auto" w:sz="4" w:space="0"/>
            </w:tcBorders>
          </w:tcPr>
          <w:p w14:paraId="43B62039">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运用</w:t>
            </w:r>
            <w:r>
              <w:rPr>
                <w:rFonts w:asciiTheme="minorEastAsia" w:hAnsiTheme="minorEastAsia" w:eastAsiaTheme="minorEastAsia"/>
                <w:sz w:val="21"/>
                <w:szCs w:val="21"/>
              </w:rPr>
              <w:t>发热病理生理知识分析、解释相关的临床表现问题。</w:t>
            </w:r>
          </w:p>
          <w:p w14:paraId="4B406AC9">
            <w:pPr>
              <w:widowControl w:val="0"/>
              <w:spacing w:line="300" w:lineRule="exact"/>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2.培养积极对待和正确认识机体发热，具有对发热病理过程的预见意识和科学认知分析能力。</w:t>
            </w:r>
          </w:p>
        </w:tc>
        <w:tc>
          <w:tcPr>
            <w:tcW w:w="1737" w:type="dxa"/>
            <w:tcBorders>
              <w:left w:val="single" w:color="auto" w:sz="4" w:space="0"/>
              <w:right w:val="single" w:color="auto" w:sz="12" w:space="0"/>
            </w:tcBorders>
          </w:tcPr>
          <w:p w14:paraId="0BD10583">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发热</w:t>
            </w:r>
            <w:r>
              <w:rPr>
                <w:rFonts w:hint="eastAsia" w:asciiTheme="minorEastAsia" w:hAnsiTheme="minorEastAsia" w:eastAsiaTheme="minorEastAsia"/>
                <w:sz w:val="21"/>
                <w:szCs w:val="21"/>
              </w:rPr>
              <w:t>的</w:t>
            </w:r>
            <w:r>
              <w:rPr>
                <w:rFonts w:asciiTheme="minorEastAsia" w:hAnsiTheme="minorEastAsia" w:eastAsiaTheme="minorEastAsia"/>
                <w:sz w:val="21"/>
                <w:szCs w:val="21"/>
              </w:rPr>
              <w:t>概念；分期和热代谢特点。</w:t>
            </w:r>
          </w:p>
        </w:tc>
      </w:tr>
      <w:tr w14:paraId="2775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1B86CB15">
            <w:pPr>
              <w:widowControl w:val="0"/>
              <w:snapToGrid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8</w:t>
            </w:r>
          </w:p>
        </w:tc>
        <w:tc>
          <w:tcPr>
            <w:tcW w:w="678" w:type="dxa"/>
            <w:tcBorders>
              <w:left w:val="single" w:color="auto" w:sz="4" w:space="0"/>
            </w:tcBorders>
          </w:tcPr>
          <w:p w14:paraId="631DC0EF">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缺氧</w:t>
            </w:r>
          </w:p>
        </w:tc>
        <w:tc>
          <w:tcPr>
            <w:tcW w:w="1276" w:type="dxa"/>
          </w:tcPr>
          <w:p w14:paraId="46502648">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0BD97ED0">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077F70A9">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60D804E6">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1.知道</w:t>
            </w:r>
            <w:r>
              <w:rPr>
                <w:rFonts w:asciiTheme="minorEastAsia" w:hAnsiTheme="minorEastAsia" w:eastAsiaTheme="minorEastAsia"/>
                <w:sz w:val="21"/>
                <w:szCs w:val="21"/>
              </w:rPr>
              <w:t>缺氧的概念、各种类型缺氧的原因、发生机制和血氧变化特点。</w:t>
            </w:r>
          </w:p>
          <w:p w14:paraId="5A40D44E">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2.理解</w:t>
            </w:r>
            <w:r>
              <w:rPr>
                <w:rFonts w:asciiTheme="minorEastAsia" w:hAnsiTheme="minorEastAsia" w:eastAsiaTheme="minorEastAsia"/>
                <w:sz w:val="21"/>
                <w:szCs w:val="21"/>
              </w:rPr>
              <w:t>缺氧时机体功能和代谢变化；缺氧防治与护理的病理生理学基础。</w:t>
            </w:r>
          </w:p>
          <w:p w14:paraId="3F11C315">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3.理解</w:t>
            </w:r>
            <w:r>
              <w:rPr>
                <w:rFonts w:asciiTheme="minorEastAsia" w:hAnsiTheme="minorEastAsia" w:eastAsiaTheme="minorEastAsia"/>
                <w:sz w:val="21"/>
                <w:szCs w:val="21"/>
              </w:rPr>
              <w:t>影响机体对缺氧耐受性的因素。</w:t>
            </w:r>
          </w:p>
        </w:tc>
        <w:tc>
          <w:tcPr>
            <w:tcW w:w="1737" w:type="dxa"/>
            <w:tcBorders>
              <w:left w:val="single" w:color="auto" w:sz="4" w:space="0"/>
              <w:right w:val="single" w:color="auto" w:sz="4" w:space="0"/>
            </w:tcBorders>
          </w:tcPr>
          <w:p w14:paraId="07CC43E0">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.运</w:t>
            </w:r>
            <w:r>
              <w:rPr>
                <w:rFonts w:asciiTheme="minorEastAsia" w:hAnsiTheme="minorEastAsia" w:eastAsiaTheme="minorEastAsia"/>
                <w:sz w:val="21"/>
                <w:szCs w:val="21"/>
              </w:rPr>
              <w:t>用缺氧</w:t>
            </w:r>
            <w:r>
              <w:rPr>
                <w:rFonts w:hint="eastAsia" w:asciiTheme="minorEastAsia" w:hAnsiTheme="minorEastAsia" w:eastAsiaTheme="minorEastAsia"/>
                <w:sz w:val="21"/>
                <w:szCs w:val="21"/>
              </w:rPr>
              <w:t>、休克的</w:t>
            </w:r>
            <w:r>
              <w:rPr>
                <w:rFonts w:asciiTheme="minorEastAsia" w:hAnsiTheme="minorEastAsia" w:eastAsiaTheme="minorEastAsia"/>
                <w:sz w:val="21"/>
                <w:szCs w:val="21"/>
              </w:rPr>
              <w:t>病理生理知识分析、解释相关的临床表现问题。</w:t>
            </w:r>
          </w:p>
          <w:p w14:paraId="4254928F">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2.培养积极对待和正确认识机体</w:t>
            </w:r>
            <w:r>
              <w:rPr>
                <w:rFonts w:hint="eastAsia" w:asciiTheme="minorEastAsia" w:hAnsiTheme="minorEastAsia" w:eastAsiaTheme="minorEastAsia"/>
                <w:sz w:val="21"/>
                <w:szCs w:val="21"/>
              </w:rPr>
              <w:t>缺氧、</w:t>
            </w:r>
            <w:r>
              <w:rPr>
                <w:rFonts w:asciiTheme="minorEastAsia" w:hAnsiTheme="minorEastAsia" w:eastAsiaTheme="minorEastAsia"/>
                <w:sz w:val="21"/>
                <w:szCs w:val="21"/>
              </w:rPr>
              <w:t>休克。</w:t>
            </w:r>
          </w:p>
          <w:p w14:paraId="17579A1A">
            <w:pPr>
              <w:widowControl w:val="0"/>
              <w:spacing w:line="300" w:lineRule="exact"/>
              <w:jc w:val="both"/>
              <w:rPr>
                <w:rFonts w:hint="eastAsia" w:asciiTheme="minorEastAsia" w:hAnsiTheme="minorEastAsia" w:eastAsiaTheme="minorEastAsia"/>
                <w:sz w:val="21"/>
                <w:szCs w:val="21"/>
              </w:rPr>
            </w:pPr>
          </w:p>
        </w:tc>
        <w:tc>
          <w:tcPr>
            <w:tcW w:w="1737" w:type="dxa"/>
            <w:tcBorders>
              <w:left w:val="single" w:color="auto" w:sz="4" w:space="0"/>
              <w:right w:val="single" w:color="auto" w:sz="12" w:space="0"/>
            </w:tcBorders>
          </w:tcPr>
          <w:p w14:paraId="144B9696">
            <w:pPr>
              <w:widowControl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缺氧的概念，缺氧的四种类型</w:t>
            </w:r>
          </w:p>
        </w:tc>
      </w:tr>
      <w:tr w14:paraId="46BF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60A30B22">
            <w:pPr>
              <w:widowControl w:val="0"/>
              <w:snapToGrid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9</w:t>
            </w:r>
          </w:p>
        </w:tc>
        <w:tc>
          <w:tcPr>
            <w:tcW w:w="678" w:type="dxa"/>
            <w:tcBorders>
              <w:left w:val="single" w:color="auto" w:sz="4" w:space="0"/>
            </w:tcBorders>
          </w:tcPr>
          <w:p w14:paraId="70F63124">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休克</w:t>
            </w:r>
          </w:p>
        </w:tc>
        <w:tc>
          <w:tcPr>
            <w:tcW w:w="1276" w:type="dxa"/>
          </w:tcPr>
          <w:p w14:paraId="0FA24042">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5E87D4FA">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2FC81702">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3766194A">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知道</w:t>
            </w:r>
            <w:r>
              <w:rPr>
                <w:rFonts w:asciiTheme="minorEastAsia" w:hAnsiTheme="minorEastAsia" w:eastAsiaTheme="minorEastAsia"/>
                <w:sz w:val="21"/>
                <w:szCs w:val="21"/>
              </w:rPr>
              <w:t>休克概念；微循环缺血期、微循环淤血期和微循环衰竭期变化特点。</w:t>
            </w:r>
          </w:p>
          <w:p w14:paraId="62E4F623">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休克原因、分类；微循环缺血期、微循环淤血期和微循环衰竭期发生机制、对机体意义和病理临床联系。</w:t>
            </w:r>
          </w:p>
          <w:p w14:paraId="2A2774FB">
            <w:pPr>
              <w:widowControl w:val="0"/>
              <w:snapToGrid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休克代谢及功能变化和防治病理生理基础。</w:t>
            </w:r>
          </w:p>
        </w:tc>
        <w:tc>
          <w:tcPr>
            <w:tcW w:w="1737" w:type="dxa"/>
            <w:tcBorders>
              <w:left w:val="single" w:color="auto" w:sz="4" w:space="0"/>
              <w:right w:val="single" w:color="auto" w:sz="4" w:space="0"/>
            </w:tcBorders>
          </w:tcPr>
          <w:p w14:paraId="5CA52318">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w:t>
            </w:r>
            <w:r>
              <w:rPr>
                <w:rFonts w:hint="eastAsia" w:asciiTheme="minorEastAsia" w:hAnsiTheme="minorEastAsia" w:eastAsiaTheme="minorEastAsia"/>
                <w:sz w:val="21"/>
                <w:szCs w:val="21"/>
              </w:rPr>
              <w:t>运用</w:t>
            </w:r>
            <w:r>
              <w:rPr>
                <w:rFonts w:asciiTheme="minorEastAsia" w:hAnsiTheme="minorEastAsia" w:eastAsiaTheme="minorEastAsia"/>
                <w:sz w:val="21"/>
                <w:szCs w:val="21"/>
              </w:rPr>
              <w:t>缺氧</w:t>
            </w:r>
            <w:r>
              <w:rPr>
                <w:rFonts w:hint="eastAsia" w:asciiTheme="minorEastAsia" w:hAnsiTheme="minorEastAsia" w:eastAsiaTheme="minorEastAsia"/>
                <w:sz w:val="21"/>
                <w:szCs w:val="21"/>
              </w:rPr>
              <w:t>、休克的</w:t>
            </w:r>
            <w:r>
              <w:rPr>
                <w:rFonts w:asciiTheme="minorEastAsia" w:hAnsiTheme="minorEastAsia" w:eastAsiaTheme="minorEastAsia"/>
                <w:sz w:val="21"/>
                <w:szCs w:val="21"/>
              </w:rPr>
              <w:t>病理生理知识分析、解释相关的临床表现问题。</w:t>
            </w:r>
          </w:p>
          <w:p w14:paraId="46402F1A">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2.培养积极对待和正确认识机体</w:t>
            </w:r>
            <w:r>
              <w:rPr>
                <w:rFonts w:hint="eastAsia" w:asciiTheme="minorEastAsia" w:hAnsiTheme="minorEastAsia" w:eastAsiaTheme="minorEastAsia"/>
                <w:sz w:val="21"/>
                <w:szCs w:val="21"/>
              </w:rPr>
              <w:t>缺氧、</w:t>
            </w:r>
            <w:r>
              <w:rPr>
                <w:rFonts w:asciiTheme="minorEastAsia" w:hAnsiTheme="minorEastAsia" w:eastAsiaTheme="minorEastAsia"/>
                <w:sz w:val="21"/>
                <w:szCs w:val="21"/>
              </w:rPr>
              <w:t>休克。</w:t>
            </w:r>
          </w:p>
          <w:p w14:paraId="4E35B1EA">
            <w:pPr>
              <w:widowControl w:val="0"/>
              <w:spacing w:line="300" w:lineRule="exact"/>
              <w:jc w:val="both"/>
              <w:rPr>
                <w:rFonts w:hint="eastAsia" w:asciiTheme="minorEastAsia" w:hAnsiTheme="minorEastAsia" w:eastAsiaTheme="minorEastAsia"/>
                <w:sz w:val="21"/>
                <w:szCs w:val="21"/>
              </w:rPr>
            </w:pPr>
          </w:p>
        </w:tc>
        <w:tc>
          <w:tcPr>
            <w:tcW w:w="1737" w:type="dxa"/>
            <w:tcBorders>
              <w:left w:val="single" w:color="auto" w:sz="4" w:space="0"/>
              <w:right w:val="single" w:color="auto" w:sz="12" w:space="0"/>
            </w:tcBorders>
          </w:tcPr>
          <w:p w14:paraId="563420F9">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休克概念；微循环缺血期、微循环淤血期和微循环衰竭期变化特点</w:t>
            </w:r>
          </w:p>
        </w:tc>
      </w:tr>
      <w:tr w14:paraId="0346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6FB0715B">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0</w:t>
            </w:r>
          </w:p>
        </w:tc>
        <w:tc>
          <w:tcPr>
            <w:tcW w:w="678" w:type="dxa"/>
            <w:tcBorders>
              <w:left w:val="single" w:color="auto" w:sz="4" w:space="0"/>
            </w:tcBorders>
          </w:tcPr>
          <w:p w14:paraId="0FAF53FD">
            <w:pPr>
              <w:widowControl w:val="0"/>
              <w:snapToGrid w:val="0"/>
              <w:spacing w:line="300" w:lineRule="exact"/>
              <w:jc w:val="both"/>
              <w:rPr>
                <w:rFonts w:hint="eastAsia" w:asciiTheme="minorEastAsia" w:hAnsiTheme="minorEastAsia" w:eastAsiaTheme="minorEastAsia"/>
                <w:color w:val="000000"/>
                <w:sz w:val="21"/>
                <w:szCs w:val="21"/>
              </w:rPr>
            </w:pPr>
            <w:r>
              <w:rPr>
                <w:rStyle w:val="24"/>
                <w:rFonts w:hint="default" w:asciiTheme="minorEastAsia" w:hAnsiTheme="minorEastAsia" w:eastAsiaTheme="minorEastAsia"/>
                <w:sz w:val="21"/>
                <w:szCs w:val="21"/>
              </w:rPr>
              <w:t>酸碱平衡和酸碱平衡紊乱</w:t>
            </w:r>
          </w:p>
          <w:p w14:paraId="5EF9A0C0">
            <w:pPr>
              <w:widowControl w:val="0"/>
              <w:snapToGrid w:val="0"/>
              <w:spacing w:line="300" w:lineRule="exact"/>
              <w:jc w:val="both"/>
              <w:rPr>
                <w:rFonts w:hint="eastAsia" w:asciiTheme="minorEastAsia" w:hAnsiTheme="minorEastAsia" w:eastAsiaTheme="minorEastAsia"/>
                <w:sz w:val="21"/>
                <w:szCs w:val="21"/>
              </w:rPr>
            </w:pPr>
          </w:p>
        </w:tc>
        <w:tc>
          <w:tcPr>
            <w:tcW w:w="1276" w:type="dxa"/>
          </w:tcPr>
          <w:p w14:paraId="66ECBA2C">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22AF1D3A">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2998C6C9">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650EC91C">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color w:val="000000"/>
                <w:sz w:val="21"/>
                <w:szCs w:val="21"/>
              </w:rPr>
              <w:t>1.</w:t>
            </w:r>
            <w:r>
              <w:rPr>
                <w:rFonts w:hint="eastAsia" w:asciiTheme="minorEastAsia" w:hAnsiTheme="minorEastAsia" w:eastAsiaTheme="minorEastAsia"/>
                <w:color w:val="000000"/>
                <w:sz w:val="21"/>
                <w:szCs w:val="21"/>
              </w:rPr>
              <w:t>理解</w:t>
            </w:r>
            <w:r>
              <w:rPr>
                <w:rFonts w:asciiTheme="minorEastAsia" w:hAnsiTheme="minorEastAsia" w:eastAsiaTheme="minorEastAsia"/>
                <w:color w:val="000000"/>
                <w:sz w:val="21"/>
                <w:szCs w:val="21"/>
              </w:rPr>
              <w:t>酸碱平衡紊乱的概念</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反映酸碱平衡状况的常用指标及其意义</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四型单纯性酸碱</w:t>
            </w:r>
            <w:r>
              <w:rPr>
                <w:rFonts w:hint="eastAsia" w:asciiTheme="minorEastAsia" w:hAnsiTheme="minorEastAsia" w:eastAsiaTheme="minorEastAsia"/>
                <w:color w:val="000000"/>
                <w:sz w:val="21"/>
                <w:szCs w:val="21"/>
              </w:rPr>
              <w:br w:type="textWrapping"/>
            </w:r>
            <w:r>
              <w:rPr>
                <w:rFonts w:asciiTheme="minorEastAsia" w:hAnsiTheme="minorEastAsia" w:eastAsiaTheme="minorEastAsia"/>
                <w:color w:val="000000"/>
                <w:sz w:val="21"/>
                <w:szCs w:val="21"/>
              </w:rPr>
              <w:t>中毒的概念、 原因、 机制以及对机体的主要影响；</w:t>
            </w:r>
            <w:r>
              <w:rPr>
                <w:rFonts w:hint="eastAsia" w:asciiTheme="minorEastAsia" w:hAnsiTheme="minorEastAsia" w:eastAsiaTheme="minorEastAsia"/>
                <w:color w:val="000000"/>
                <w:sz w:val="21"/>
                <w:szCs w:val="21"/>
              </w:rPr>
              <w:br w:type="textWrapping"/>
            </w:r>
            <w:r>
              <w:rPr>
                <w:rFonts w:asciiTheme="minorEastAsia" w:hAnsiTheme="minorEastAsia" w:eastAsiaTheme="minorEastAsia"/>
                <w:color w:val="000000"/>
                <w:sz w:val="21"/>
                <w:szCs w:val="21"/>
              </w:rPr>
              <w:t>2.理解四种单纯性酸碱中毒的代偿调节</w:t>
            </w:r>
            <w:r>
              <w:rPr>
                <w:rFonts w:hint="eastAsia" w:asciiTheme="minorEastAsia" w:hAnsiTheme="minorEastAsia" w:eastAsiaTheme="minorEastAsia"/>
                <w:color w:val="000000"/>
                <w:sz w:val="21"/>
                <w:szCs w:val="21"/>
              </w:rPr>
              <w:br w:type="textWrapping"/>
            </w:r>
            <w:r>
              <w:rPr>
                <w:rFonts w:asciiTheme="minorEastAsia" w:hAnsiTheme="minorEastAsia" w:eastAsiaTheme="minorEastAsia"/>
                <w:color w:val="000000"/>
                <w:sz w:val="21"/>
                <w:szCs w:val="21"/>
              </w:rPr>
              <w:t>3.</w:t>
            </w:r>
            <w:r>
              <w:rPr>
                <w:rFonts w:hint="eastAsia" w:asciiTheme="minorEastAsia" w:hAnsiTheme="minorEastAsia" w:eastAsiaTheme="minorEastAsia"/>
                <w:color w:val="000000"/>
                <w:sz w:val="21"/>
                <w:szCs w:val="21"/>
              </w:rPr>
              <w:t>知道</w:t>
            </w:r>
            <w:r>
              <w:rPr>
                <w:rFonts w:asciiTheme="minorEastAsia" w:hAnsiTheme="minorEastAsia" w:eastAsiaTheme="minorEastAsia"/>
                <w:color w:val="000000"/>
                <w:sz w:val="21"/>
                <w:szCs w:val="21"/>
              </w:rPr>
              <w:t>体液酸碱物质的来源</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各型酸碱中毒的防治原则。</w:t>
            </w:r>
          </w:p>
        </w:tc>
        <w:tc>
          <w:tcPr>
            <w:tcW w:w="1737" w:type="dxa"/>
            <w:tcBorders>
              <w:left w:val="single" w:color="auto" w:sz="4" w:space="0"/>
              <w:right w:val="single" w:color="auto" w:sz="4" w:space="0"/>
            </w:tcBorders>
          </w:tcPr>
          <w:p w14:paraId="348671A0">
            <w:pPr>
              <w:widowControl w:val="0"/>
              <w:spacing w:line="300" w:lineRule="exact"/>
              <w:jc w:val="both"/>
              <w:rPr>
                <w:rFonts w:hint="eastAsia" w:asciiTheme="minorEastAsia" w:hAnsiTheme="minorEastAsia" w:eastAsiaTheme="minorEastAsia"/>
                <w:color w:val="000000"/>
                <w:sz w:val="21"/>
                <w:szCs w:val="21"/>
              </w:rPr>
            </w:pPr>
            <w:r>
              <w:rPr>
                <w:rFonts w:asciiTheme="minorEastAsia" w:hAnsiTheme="minorEastAsia" w:eastAsiaTheme="minorEastAsia"/>
                <w:color w:val="000000"/>
                <w:sz w:val="21"/>
                <w:szCs w:val="21"/>
              </w:rPr>
              <w:t>1.</w:t>
            </w:r>
            <w:r>
              <w:rPr>
                <w:rFonts w:hint="eastAsia" w:asciiTheme="minorEastAsia" w:hAnsiTheme="minorEastAsia" w:eastAsiaTheme="minorEastAsia"/>
                <w:color w:val="000000"/>
                <w:sz w:val="21"/>
                <w:szCs w:val="21"/>
              </w:rPr>
              <w:t>运用</w:t>
            </w:r>
            <w:r>
              <w:rPr>
                <w:rFonts w:asciiTheme="minorEastAsia" w:hAnsiTheme="minorEastAsia" w:eastAsiaTheme="minorEastAsia"/>
                <w:color w:val="000000"/>
                <w:sz w:val="21"/>
                <w:szCs w:val="21"/>
              </w:rPr>
              <w:t>酸碱平衡紊乱的分类及常用检测指标</w:t>
            </w:r>
            <w:r>
              <w:rPr>
                <w:rFonts w:hint="eastAsia" w:asciiTheme="minorEastAsia" w:hAnsiTheme="minorEastAsia" w:eastAsiaTheme="minorEastAsia"/>
                <w:color w:val="000000"/>
                <w:sz w:val="21"/>
                <w:szCs w:val="21"/>
              </w:rPr>
              <w:t>进行病情分析</w:t>
            </w:r>
            <w:r>
              <w:rPr>
                <w:rFonts w:hint="eastAsia" w:asciiTheme="minorEastAsia" w:hAnsiTheme="minorEastAsia" w:eastAsiaTheme="minorEastAsia"/>
                <w:color w:val="000000"/>
                <w:sz w:val="21"/>
                <w:szCs w:val="21"/>
              </w:rPr>
              <w:br w:type="textWrapping"/>
            </w:r>
            <w:r>
              <w:rPr>
                <w:rFonts w:asciiTheme="minorEastAsia" w:hAnsiTheme="minorEastAsia" w:eastAsiaTheme="minorEastAsia"/>
                <w:color w:val="000000"/>
                <w:sz w:val="21"/>
                <w:szCs w:val="21"/>
              </w:rPr>
              <w:t>2.</w:t>
            </w:r>
            <w:r>
              <w:rPr>
                <w:rFonts w:hint="eastAsia" w:asciiTheme="minorEastAsia" w:hAnsiTheme="minorEastAsia" w:eastAsiaTheme="minorEastAsia"/>
                <w:color w:val="000000"/>
                <w:sz w:val="21"/>
                <w:szCs w:val="21"/>
              </w:rPr>
              <w:t>理解</w:t>
            </w:r>
            <w:r>
              <w:rPr>
                <w:rFonts w:asciiTheme="minorEastAsia" w:hAnsiTheme="minorEastAsia" w:eastAsiaTheme="minorEastAsia"/>
                <w:color w:val="000000"/>
                <w:sz w:val="21"/>
                <w:szCs w:val="21"/>
              </w:rPr>
              <w:t>代谢性酸中毒</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呼吸性酸中毒</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代谢性碱中毒</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呼吸性碱中毒发生的原因</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机制</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代偿调节</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对机体的影响和防治护理原则。</w:t>
            </w:r>
          </w:p>
        </w:tc>
        <w:tc>
          <w:tcPr>
            <w:tcW w:w="1737" w:type="dxa"/>
            <w:tcBorders>
              <w:left w:val="single" w:color="auto" w:sz="4" w:space="0"/>
              <w:right w:val="single" w:color="auto" w:sz="12" w:space="0"/>
            </w:tcBorders>
          </w:tcPr>
          <w:p w14:paraId="79EF4DB5">
            <w:pPr>
              <w:widowControl w:val="0"/>
              <w:spacing w:line="300" w:lineRule="exact"/>
              <w:jc w:val="both"/>
              <w:rPr>
                <w:rFonts w:hint="eastAsia" w:asciiTheme="minorEastAsia" w:hAnsiTheme="minorEastAsia" w:eastAsiaTheme="minorEastAsia"/>
                <w:color w:val="000000"/>
                <w:sz w:val="21"/>
                <w:szCs w:val="21"/>
              </w:rPr>
            </w:pPr>
            <w:r>
              <w:rPr>
                <w:rFonts w:asciiTheme="minorEastAsia" w:hAnsiTheme="minorEastAsia" w:eastAsiaTheme="minorEastAsia"/>
                <w:color w:val="000000"/>
                <w:sz w:val="21"/>
                <w:szCs w:val="21"/>
              </w:rPr>
              <w:t>代谢性酸中毒、 呼吸性酸中毒、 代谢性碱中毒、 呼吸性碱中毒发生的代偿机制。</w:t>
            </w:r>
          </w:p>
        </w:tc>
      </w:tr>
      <w:tr w14:paraId="5FB0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2A15B156">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1</w:t>
            </w:r>
          </w:p>
        </w:tc>
        <w:tc>
          <w:tcPr>
            <w:tcW w:w="678" w:type="dxa"/>
            <w:tcBorders>
              <w:left w:val="single" w:color="auto" w:sz="4" w:space="0"/>
            </w:tcBorders>
          </w:tcPr>
          <w:p w14:paraId="1D40EC30">
            <w:pPr>
              <w:widowControl w:val="0"/>
              <w:snapToGrid w:val="0"/>
              <w:spacing w:line="300" w:lineRule="exact"/>
              <w:jc w:val="both"/>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弥散性血管内凝血</w:t>
            </w:r>
          </w:p>
        </w:tc>
        <w:tc>
          <w:tcPr>
            <w:tcW w:w="1276" w:type="dxa"/>
          </w:tcPr>
          <w:p w14:paraId="278C5B76">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4E9D850C">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5EB1ACE6">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6A2983B3">
            <w:pPr>
              <w:widowControl w:val="0"/>
              <w:spacing w:line="300" w:lineRule="exact"/>
              <w:jc w:val="left"/>
              <w:rPr>
                <w:rFonts w:hint="eastAsia" w:asciiTheme="minorEastAsia" w:hAnsiTheme="minorEastAsia" w:eastAsiaTheme="minorEastAsia"/>
                <w:color w:val="000000"/>
                <w:sz w:val="21"/>
                <w:szCs w:val="21"/>
              </w:rPr>
            </w:pPr>
            <w:r>
              <w:rPr>
                <w:rFonts w:asciiTheme="minorEastAsia" w:hAnsiTheme="minorEastAsia" w:eastAsiaTheme="minorEastAsia"/>
                <w:color w:val="000000"/>
                <w:sz w:val="21"/>
                <w:szCs w:val="21"/>
              </w:rPr>
              <w:t>1.</w:t>
            </w:r>
            <w:r>
              <w:rPr>
                <w:rFonts w:hint="eastAsia" w:asciiTheme="minorEastAsia" w:hAnsiTheme="minorEastAsia" w:eastAsiaTheme="minorEastAsia"/>
                <w:color w:val="000000"/>
                <w:sz w:val="21"/>
                <w:szCs w:val="21"/>
              </w:rPr>
              <w:t>理解弥散性血管内凝血概念；分期和各期机制及临床特点。</w:t>
            </w:r>
          </w:p>
          <w:p w14:paraId="55AE50AE">
            <w:pPr>
              <w:widowControl w:val="0"/>
              <w:spacing w:line="300" w:lineRule="exact"/>
              <w:jc w:val="left"/>
              <w:rPr>
                <w:rFonts w:hint="eastAsia" w:asciiTheme="minorEastAsia" w:hAnsiTheme="minorEastAsia" w:eastAsiaTheme="minorEastAsia"/>
                <w:color w:val="000000"/>
                <w:sz w:val="21"/>
                <w:szCs w:val="21"/>
              </w:rPr>
            </w:pPr>
            <w:r>
              <w:rPr>
                <w:rFonts w:asciiTheme="minorEastAsia" w:hAnsiTheme="minorEastAsia" w:eastAsiaTheme="minorEastAsia"/>
                <w:color w:val="000000"/>
                <w:sz w:val="21"/>
                <w:szCs w:val="21"/>
              </w:rPr>
              <w:t>2.</w:t>
            </w:r>
            <w:r>
              <w:rPr>
                <w:rFonts w:hint="eastAsia" w:asciiTheme="minorEastAsia" w:hAnsiTheme="minorEastAsia" w:eastAsiaTheme="minorEastAsia"/>
                <w:color w:val="000000"/>
                <w:sz w:val="21"/>
                <w:szCs w:val="21"/>
              </w:rPr>
              <w:t>理解弥散性血管内凝血原因、影响发生发展因素和主要床表现。</w:t>
            </w:r>
          </w:p>
          <w:p w14:paraId="6142EDFC">
            <w:pPr>
              <w:widowControl w:val="0"/>
              <w:spacing w:line="300" w:lineRule="exact"/>
              <w:jc w:val="both"/>
              <w:rPr>
                <w:rFonts w:hint="eastAsia" w:asciiTheme="minorEastAsia" w:hAnsiTheme="minorEastAsia" w:eastAsiaTheme="minorEastAsia"/>
                <w:color w:val="000000"/>
                <w:sz w:val="21"/>
                <w:szCs w:val="21"/>
              </w:rPr>
            </w:pPr>
            <w:r>
              <w:rPr>
                <w:rFonts w:asciiTheme="minorEastAsia" w:hAnsiTheme="minorEastAsia" w:eastAsiaTheme="minorEastAsia"/>
                <w:color w:val="000000"/>
                <w:sz w:val="21"/>
                <w:szCs w:val="21"/>
              </w:rPr>
              <w:t>3.</w:t>
            </w:r>
            <w:r>
              <w:rPr>
                <w:rFonts w:hint="eastAsia" w:asciiTheme="minorEastAsia" w:hAnsiTheme="minorEastAsia" w:eastAsiaTheme="minorEastAsia"/>
                <w:color w:val="000000"/>
                <w:sz w:val="21"/>
                <w:szCs w:val="21"/>
              </w:rPr>
              <w:t>知道弥散性血管内凝血发生机制和防治病理生理基础。</w:t>
            </w:r>
          </w:p>
        </w:tc>
        <w:tc>
          <w:tcPr>
            <w:tcW w:w="1737" w:type="dxa"/>
            <w:tcBorders>
              <w:left w:val="single" w:color="auto" w:sz="4" w:space="0"/>
              <w:right w:val="single" w:color="auto" w:sz="4" w:space="0"/>
            </w:tcBorders>
          </w:tcPr>
          <w:p w14:paraId="45571B6A">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.应用弥散性血管内凝血病理生理知识分析、解释相关的临床表现问题。</w:t>
            </w:r>
          </w:p>
          <w:p w14:paraId="3B64C679">
            <w:pPr>
              <w:widowControl w:val="0"/>
              <w:spacing w:line="300" w:lineRule="exact"/>
              <w:jc w:val="both"/>
              <w:rPr>
                <w:rFonts w:hint="eastAsia" w:asciiTheme="minorEastAsia" w:hAnsiTheme="minorEastAsia" w:eastAsiaTheme="minorEastAsia"/>
                <w:color w:val="000000"/>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能够</w:t>
            </w:r>
            <w:r>
              <w:rPr>
                <w:rFonts w:asciiTheme="minorEastAsia" w:hAnsiTheme="minorEastAsia" w:eastAsiaTheme="minorEastAsia"/>
                <w:sz w:val="21"/>
                <w:szCs w:val="21"/>
              </w:rPr>
              <w:t>积极对待和正确认识机体弥散性血管内凝血,具有对弥散性血管内凝血病理过程的预见意识和科学认知分析能力。</w:t>
            </w:r>
          </w:p>
        </w:tc>
        <w:tc>
          <w:tcPr>
            <w:tcW w:w="1737" w:type="dxa"/>
            <w:tcBorders>
              <w:left w:val="single" w:color="auto" w:sz="4" w:space="0"/>
              <w:right w:val="single" w:color="auto" w:sz="12" w:space="0"/>
            </w:tcBorders>
          </w:tcPr>
          <w:p w14:paraId="4954BE2A">
            <w:pPr>
              <w:widowControl w:val="0"/>
              <w:spacing w:line="300" w:lineRule="exact"/>
              <w:jc w:val="both"/>
              <w:rPr>
                <w:rFonts w:hint="eastAsia" w:asciiTheme="minorEastAsia" w:hAnsiTheme="minorEastAsia" w:eastAsiaTheme="minorEastAsia"/>
                <w:color w:val="000000"/>
                <w:sz w:val="21"/>
                <w:szCs w:val="21"/>
              </w:rPr>
            </w:pPr>
            <w:r>
              <w:rPr>
                <w:rFonts w:asciiTheme="minorEastAsia" w:hAnsiTheme="minorEastAsia" w:eastAsiaTheme="minorEastAsia"/>
                <w:sz w:val="21"/>
                <w:szCs w:val="21"/>
              </w:rPr>
              <w:t>弥散性血管内凝血概念；分期和各期机制及临床特点。</w:t>
            </w:r>
          </w:p>
        </w:tc>
      </w:tr>
      <w:tr w14:paraId="4587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10EC5C5A">
            <w:pPr>
              <w:pStyle w:val="18"/>
              <w:widowControl w:val="0"/>
              <w:spacing w:before="81" w:after="163" w:line="300" w:lineRule="exact"/>
              <w:jc w:val="both"/>
              <w:rPr>
                <w:rFonts w:hint="eastAsia" w:asciiTheme="minorEastAsia" w:hAnsiTheme="minorEastAsia" w:eastAsiaTheme="minorEastAsia"/>
                <w:b w:val="0"/>
                <w:sz w:val="21"/>
                <w:szCs w:val="21"/>
              </w:rPr>
            </w:pPr>
            <w:r>
              <w:rPr>
                <w:rFonts w:asciiTheme="minorEastAsia" w:hAnsiTheme="minorEastAsia" w:eastAsiaTheme="minorEastAsia"/>
                <w:b w:val="0"/>
                <w:sz w:val="21"/>
                <w:szCs w:val="21"/>
              </w:rPr>
              <w:t>12</w:t>
            </w:r>
          </w:p>
        </w:tc>
        <w:tc>
          <w:tcPr>
            <w:tcW w:w="678" w:type="dxa"/>
            <w:tcBorders>
              <w:left w:val="single" w:color="auto" w:sz="4" w:space="0"/>
            </w:tcBorders>
          </w:tcPr>
          <w:p w14:paraId="3B7AD717">
            <w:pPr>
              <w:pStyle w:val="18"/>
              <w:widowControl w:val="0"/>
              <w:spacing w:before="81" w:after="163" w:line="300" w:lineRule="exact"/>
              <w:jc w:val="both"/>
              <w:rPr>
                <w:rFonts w:hint="eastAsia" w:asciiTheme="minorEastAsia" w:hAnsiTheme="minorEastAsia" w:eastAsiaTheme="minorEastAsia"/>
                <w:b w:val="0"/>
                <w:bCs/>
                <w:sz w:val="21"/>
                <w:szCs w:val="21"/>
              </w:rPr>
            </w:pPr>
            <w:r>
              <w:rPr>
                <w:rFonts w:asciiTheme="minorEastAsia" w:hAnsiTheme="minorEastAsia" w:eastAsiaTheme="minorEastAsia"/>
                <w:b w:val="0"/>
                <w:bCs/>
                <w:sz w:val="21"/>
                <w:szCs w:val="21"/>
              </w:rPr>
              <w:t>心血管系统疾病</w:t>
            </w:r>
          </w:p>
        </w:tc>
        <w:tc>
          <w:tcPr>
            <w:tcW w:w="1276" w:type="dxa"/>
          </w:tcPr>
          <w:p w14:paraId="4EBB97A5">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0DB58197">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729A695D">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0B01EA72">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．知道</w:t>
            </w:r>
            <w:r>
              <w:rPr>
                <w:rFonts w:asciiTheme="minorEastAsia" w:hAnsiTheme="minorEastAsia" w:eastAsiaTheme="minorEastAsia"/>
                <w:sz w:val="21"/>
                <w:szCs w:val="21"/>
              </w:rPr>
              <w:t>冠心病、心绞痛、心肌梗死和风湿小体的概念；动脉粥样硬化、心肌梗死、良性高血压和风湿病的病理变化或基本病理变化；良性高血压内脏病变期的病理临床联系。</w:t>
            </w:r>
          </w:p>
          <w:p w14:paraId="638BCC89">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动脉粥样硬化、良性高血压和风湿病的概念；心肌梗死的并发症；风湿性心脏病的病理变化。</w:t>
            </w:r>
          </w:p>
          <w:p w14:paraId="28C91716">
            <w:pPr>
              <w:widowControl w:val="0"/>
              <w:snapToGrid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动脉瘤、室壁瘤、心肌纤维化和冠状动脉性猝死的概念；动脉粥样硬化、良性高血压和风湿病的病因及发病机制。</w:t>
            </w:r>
          </w:p>
        </w:tc>
        <w:tc>
          <w:tcPr>
            <w:tcW w:w="1737" w:type="dxa"/>
            <w:tcBorders>
              <w:left w:val="single" w:color="auto" w:sz="4" w:space="0"/>
              <w:right w:val="single" w:color="auto" w:sz="4" w:space="0"/>
            </w:tcBorders>
          </w:tcPr>
          <w:p w14:paraId="5A3D1EBA">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运用</w:t>
            </w:r>
            <w:r>
              <w:rPr>
                <w:rFonts w:asciiTheme="minorEastAsia" w:hAnsiTheme="minorEastAsia" w:eastAsiaTheme="minorEastAsia"/>
                <w:sz w:val="21"/>
                <w:szCs w:val="21"/>
              </w:rPr>
              <w:t>动脉粥样硬化、心绞痛、心肌梗死、良性高血压和风湿病疾病病理知识分析、解释相关的临床表现问题。</w:t>
            </w:r>
          </w:p>
          <w:p w14:paraId="51F33DA9">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能够</w:t>
            </w:r>
            <w:r>
              <w:rPr>
                <w:rFonts w:asciiTheme="minorEastAsia" w:hAnsiTheme="minorEastAsia" w:eastAsiaTheme="minorEastAsia"/>
                <w:sz w:val="21"/>
                <w:szCs w:val="21"/>
              </w:rPr>
              <w:t>积极对待和正确认识心血管系统常见疾病,具有对动脉弱样硬化、心绞痛、心肌梗死、良性高血压和风湿病病理问题的预见意识和科学认知分析能力。</w:t>
            </w:r>
          </w:p>
        </w:tc>
        <w:tc>
          <w:tcPr>
            <w:tcW w:w="1737" w:type="dxa"/>
            <w:tcBorders>
              <w:left w:val="single" w:color="auto" w:sz="4" w:space="0"/>
              <w:right w:val="single" w:color="auto" w:sz="12" w:space="0"/>
            </w:tcBorders>
          </w:tcPr>
          <w:p w14:paraId="2E74AE34">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冠心病、心绞痛、心肌梗死和风湿小体的概念；动脉粥样硬化、心肌梗死、良性高血压和风湿病的病理变化或基本病理变化；良性高血压内脏病变期的病理临床联系。</w:t>
            </w:r>
          </w:p>
        </w:tc>
      </w:tr>
      <w:tr w14:paraId="3DB7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45E08284">
            <w:pPr>
              <w:pStyle w:val="18"/>
              <w:widowControl w:val="0"/>
              <w:spacing w:before="81" w:after="163" w:line="300" w:lineRule="exact"/>
              <w:jc w:val="both"/>
              <w:rPr>
                <w:rFonts w:hint="eastAsia" w:asciiTheme="minorEastAsia" w:hAnsiTheme="minorEastAsia" w:eastAsiaTheme="minorEastAsia"/>
                <w:b w:val="0"/>
                <w:sz w:val="21"/>
                <w:szCs w:val="21"/>
              </w:rPr>
            </w:pPr>
            <w:r>
              <w:rPr>
                <w:rFonts w:asciiTheme="minorEastAsia" w:hAnsiTheme="minorEastAsia" w:eastAsiaTheme="minorEastAsia"/>
                <w:b w:val="0"/>
                <w:sz w:val="21"/>
                <w:szCs w:val="21"/>
              </w:rPr>
              <w:t>13</w:t>
            </w:r>
          </w:p>
        </w:tc>
        <w:tc>
          <w:tcPr>
            <w:tcW w:w="678" w:type="dxa"/>
            <w:tcBorders>
              <w:left w:val="single" w:color="auto" w:sz="4" w:space="0"/>
            </w:tcBorders>
          </w:tcPr>
          <w:p w14:paraId="79AE4553">
            <w:pPr>
              <w:pStyle w:val="18"/>
              <w:widowControl w:val="0"/>
              <w:spacing w:before="81" w:after="163" w:line="300" w:lineRule="exact"/>
              <w:jc w:val="both"/>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呼吸系统疾病</w:t>
            </w:r>
          </w:p>
        </w:tc>
        <w:tc>
          <w:tcPr>
            <w:tcW w:w="1276" w:type="dxa"/>
          </w:tcPr>
          <w:p w14:paraId="43EF4867">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4DB96199">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2DA67C1C">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04</w:t>
            </w:r>
            <w:r>
              <w:rPr>
                <w:rFonts w:hint="eastAsia" w:asciiTheme="minorEastAsia" w:hAnsiTheme="minorEastAsia" w:eastAsiaTheme="minorEastAsia"/>
                <w:sz w:val="21"/>
                <w:szCs w:val="21"/>
              </w:rPr>
              <w:t>①、L</w:t>
            </w:r>
            <w:r>
              <w:rPr>
                <w:rFonts w:asciiTheme="minorEastAsia" w:hAnsiTheme="minorEastAsia" w:eastAsiaTheme="minorEastAsia"/>
                <w:sz w:val="21"/>
                <w:szCs w:val="21"/>
              </w:rPr>
              <w:t>04</w:t>
            </w:r>
            <w:r>
              <w:rPr>
                <w:rFonts w:hint="eastAsia" w:asciiTheme="minorEastAsia" w:hAnsiTheme="minorEastAsia" w:eastAsiaTheme="minorEastAsia"/>
                <w:sz w:val="21"/>
                <w:szCs w:val="21"/>
              </w:rPr>
              <w:t>②</w:t>
            </w:r>
          </w:p>
        </w:tc>
        <w:tc>
          <w:tcPr>
            <w:tcW w:w="2265" w:type="dxa"/>
            <w:tcBorders>
              <w:right w:val="single" w:color="auto" w:sz="4" w:space="0"/>
            </w:tcBorders>
          </w:tcPr>
          <w:p w14:paraId="6798F073">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知道</w:t>
            </w:r>
            <w:r>
              <w:rPr>
                <w:rFonts w:asciiTheme="minorEastAsia" w:hAnsiTheme="minorEastAsia" w:eastAsiaTheme="minorEastAsia"/>
                <w:sz w:val="21"/>
                <w:szCs w:val="21"/>
              </w:rPr>
              <w:t>大叶性肺炎和小叶性肺炎概念；大叶性肺炎、小叶性肺炎病理交化及临床病理联系。</w:t>
            </w:r>
          </w:p>
          <w:p w14:paraId="714D5F3D">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病毒性肺炎、慢性阻塞性肺疾病、慢性支气管炎、肺气肿、慢性肺源性心脏病概念；大叶性肺炎病因及发病机制、结局及并发症；慢性支气管炎、肺气肿、慢性肺源性心脏病病因及发病机制、病理变化及临床病理联系性、结局及并发症。</w:t>
            </w:r>
          </w:p>
          <w:p w14:paraId="66F41ADB">
            <w:pPr>
              <w:widowControl w:val="0"/>
              <w:snapToGrid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积极对待和正确认识呼吸系统常见疾病、具有对大叶性肺炎、小叶性肺炎、慢性支气管炎、肺气肿和慢性肺源性心脏病病理同题的预见意识和科学认知分析能力。</w:t>
            </w:r>
          </w:p>
        </w:tc>
        <w:tc>
          <w:tcPr>
            <w:tcW w:w="1737" w:type="dxa"/>
            <w:tcBorders>
              <w:left w:val="single" w:color="auto" w:sz="4" w:space="0"/>
              <w:right w:val="single" w:color="auto" w:sz="4" w:space="0"/>
            </w:tcBorders>
          </w:tcPr>
          <w:p w14:paraId="43A4C841">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w:t>
            </w:r>
            <w:r>
              <w:rPr>
                <w:rFonts w:hint="eastAsia" w:asciiTheme="minorEastAsia" w:hAnsiTheme="minorEastAsia" w:eastAsiaTheme="minorEastAsia"/>
                <w:sz w:val="21"/>
                <w:szCs w:val="21"/>
              </w:rPr>
              <w:t>运用</w:t>
            </w:r>
            <w:r>
              <w:rPr>
                <w:rFonts w:asciiTheme="minorEastAsia" w:hAnsiTheme="minorEastAsia" w:eastAsiaTheme="minorEastAsia"/>
                <w:sz w:val="21"/>
                <w:szCs w:val="21"/>
              </w:rPr>
              <w:t>肺肉质变、病毒性肺炎概念；病毒性肺炎病因及发病机制、病理变化及临床病理临床联系性、结局。</w:t>
            </w:r>
          </w:p>
          <w:p w14:paraId="10361E07">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运用</w:t>
            </w:r>
            <w:r>
              <w:rPr>
                <w:rFonts w:asciiTheme="minorEastAsia" w:hAnsiTheme="minorEastAsia" w:eastAsiaTheme="minorEastAsia"/>
                <w:sz w:val="21"/>
                <w:szCs w:val="21"/>
              </w:rPr>
              <w:t>大叶性肺炎、小叶性肺炎、慢性支气管炎、肺气肿和慢性肺源性心脏病疾病病理知识分析、解释相关的临床表现问题。</w:t>
            </w:r>
          </w:p>
        </w:tc>
        <w:tc>
          <w:tcPr>
            <w:tcW w:w="1737" w:type="dxa"/>
            <w:tcBorders>
              <w:left w:val="single" w:color="auto" w:sz="4" w:space="0"/>
              <w:right w:val="single" w:color="auto" w:sz="12" w:space="0"/>
            </w:tcBorders>
          </w:tcPr>
          <w:p w14:paraId="70585D85">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大叶性肺炎和小叶性肺炎概念；大叶性肺炎、小叶性肺炎病理交化及临床病理联系。</w:t>
            </w:r>
          </w:p>
        </w:tc>
      </w:tr>
      <w:tr w14:paraId="4330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69B00677">
            <w:pPr>
              <w:widowControl w:val="0"/>
              <w:snapToGrid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14</w:t>
            </w:r>
          </w:p>
        </w:tc>
        <w:tc>
          <w:tcPr>
            <w:tcW w:w="678" w:type="dxa"/>
            <w:tcBorders>
              <w:left w:val="single" w:color="auto" w:sz="4" w:space="0"/>
            </w:tcBorders>
          </w:tcPr>
          <w:p w14:paraId="38E65613">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消化系统疾病</w:t>
            </w:r>
          </w:p>
        </w:tc>
        <w:tc>
          <w:tcPr>
            <w:tcW w:w="1276" w:type="dxa"/>
          </w:tcPr>
          <w:p w14:paraId="7B608782">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413B7F76">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7780F35C">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55DA7E41">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知道</w:t>
            </w:r>
            <w:r>
              <w:rPr>
                <w:rFonts w:asciiTheme="minorEastAsia" w:hAnsiTheme="minorEastAsia" w:eastAsiaTheme="minorEastAsia"/>
                <w:sz w:val="21"/>
                <w:szCs w:val="21"/>
              </w:rPr>
              <w:t>消化性溃疡病、病毒性肝炎、肝硬化和门脉性肝硬化概念及基本病理变化；消化性溃疡病、门脉性肝硬化病理临床联系；消化性溃疡病常见并发症。</w:t>
            </w:r>
          </w:p>
          <w:p w14:paraId="3A2A7907">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假小叶概念；消化性溃疡病病因及发病机制；病毒性肝炎传播途径；门脉性肝硬化病因。</w:t>
            </w:r>
          </w:p>
          <w:p w14:paraId="2905162C">
            <w:pPr>
              <w:widowControl w:val="0"/>
              <w:snapToGrid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病毒性肝炎病因及发病机制。</w:t>
            </w:r>
          </w:p>
        </w:tc>
        <w:tc>
          <w:tcPr>
            <w:tcW w:w="1737" w:type="dxa"/>
            <w:tcBorders>
              <w:left w:val="single" w:color="auto" w:sz="4" w:space="0"/>
              <w:right w:val="single" w:color="auto" w:sz="4" w:space="0"/>
            </w:tcBorders>
          </w:tcPr>
          <w:p w14:paraId="6247F51E">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运</w:t>
            </w:r>
            <w:r>
              <w:rPr>
                <w:rFonts w:asciiTheme="minorEastAsia" w:hAnsiTheme="minorEastAsia" w:eastAsiaTheme="minorEastAsia"/>
                <w:sz w:val="21"/>
                <w:szCs w:val="21"/>
              </w:rPr>
              <w:t>用消化性溃疡病、病毒性肝炎和门脉性肝硬化疾病病理知识分析、解释相关的临床表现问题。</w:t>
            </w:r>
          </w:p>
          <w:p w14:paraId="08B47090">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能够</w:t>
            </w:r>
            <w:r>
              <w:rPr>
                <w:rFonts w:asciiTheme="minorEastAsia" w:hAnsiTheme="minorEastAsia" w:eastAsiaTheme="minorEastAsia"/>
                <w:sz w:val="21"/>
                <w:szCs w:val="21"/>
              </w:rPr>
              <w:t>积极对待和正确认识消化系统常见疾病，具有对消化性溃疡病、病毒性肝炎和门脉性肝硬化病理问题的预见意识和科学认知分析能力。</w:t>
            </w:r>
          </w:p>
        </w:tc>
        <w:tc>
          <w:tcPr>
            <w:tcW w:w="1737" w:type="dxa"/>
            <w:tcBorders>
              <w:left w:val="single" w:color="auto" w:sz="4" w:space="0"/>
              <w:right w:val="single" w:color="auto" w:sz="12" w:space="0"/>
            </w:tcBorders>
          </w:tcPr>
          <w:p w14:paraId="2BC35A1A">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消化性溃疡病、病毒性肝炎、肝硬化和门脉性肝硬化概念及基本病理变化；消化性溃疡病、门脉性肝硬化病理临床联系；消化性溃疡病常见并发症。</w:t>
            </w:r>
          </w:p>
        </w:tc>
      </w:tr>
      <w:tr w14:paraId="083F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72D687E4">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5</w:t>
            </w:r>
          </w:p>
        </w:tc>
        <w:tc>
          <w:tcPr>
            <w:tcW w:w="678" w:type="dxa"/>
            <w:tcBorders>
              <w:left w:val="single" w:color="auto" w:sz="4" w:space="0"/>
            </w:tcBorders>
          </w:tcPr>
          <w:p w14:paraId="3C27CC0F">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泌尿系统疾病</w:t>
            </w:r>
          </w:p>
        </w:tc>
        <w:tc>
          <w:tcPr>
            <w:tcW w:w="1276" w:type="dxa"/>
          </w:tcPr>
          <w:p w14:paraId="3BDA7CAC">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47EDB397">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5DCC3A9B">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right w:val="single" w:color="auto" w:sz="4" w:space="0"/>
            </w:tcBorders>
          </w:tcPr>
          <w:p w14:paraId="28E4D974">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w:t>
            </w:r>
            <w:r>
              <w:rPr>
                <w:rFonts w:hint="eastAsia" w:asciiTheme="minorEastAsia" w:hAnsiTheme="minorEastAsia" w:eastAsiaTheme="minorEastAsia"/>
                <w:sz w:val="21"/>
                <w:szCs w:val="21"/>
              </w:rPr>
              <w:t>理解肾小球肾炎的基本病理变化和病理类型；肾盂肾炎的病理变化</w:t>
            </w:r>
          </w:p>
          <w:p w14:paraId="6E76F494">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理解肾小球肾炎和肾盂肾炎的病因和发病机制</w:t>
            </w:r>
          </w:p>
          <w:p w14:paraId="6491CFDE">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3</w:t>
            </w:r>
            <w:r>
              <w:rPr>
                <w:rFonts w:asciiTheme="minorEastAsia" w:hAnsiTheme="minorEastAsia" w:eastAsiaTheme="minorEastAsia"/>
                <w:sz w:val="21"/>
                <w:szCs w:val="21"/>
              </w:rPr>
              <w:t>.</w:t>
            </w:r>
            <w:r>
              <w:rPr>
                <w:rFonts w:hint="eastAsia" w:asciiTheme="minorEastAsia" w:hAnsiTheme="minorEastAsia" w:eastAsiaTheme="minorEastAsia"/>
                <w:sz w:val="21"/>
                <w:szCs w:val="21"/>
              </w:rPr>
              <w:t>知道肾脏常见肿瘤及膀胱癌的病理特点；肾小球肾炎和肾盂肾炎防止和护理的病理学基础</w:t>
            </w:r>
          </w:p>
          <w:p w14:paraId="7EF1405E">
            <w:pPr>
              <w:widowControl w:val="0"/>
              <w:snapToGrid w:val="0"/>
              <w:spacing w:line="300" w:lineRule="exact"/>
              <w:jc w:val="left"/>
              <w:rPr>
                <w:rFonts w:hint="eastAsia" w:asciiTheme="minorEastAsia" w:hAnsiTheme="minorEastAsia" w:eastAsiaTheme="minorEastAsia"/>
                <w:sz w:val="21"/>
                <w:szCs w:val="21"/>
              </w:rPr>
            </w:pPr>
          </w:p>
        </w:tc>
        <w:tc>
          <w:tcPr>
            <w:tcW w:w="1737" w:type="dxa"/>
            <w:tcBorders>
              <w:left w:val="single" w:color="auto" w:sz="4" w:space="0"/>
              <w:right w:val="single" w:color="auto" w:sz="4" w:space="0"/>
            </w:tcBorders>
          </w:tcPr>
          <w:p w14:paraId="39DD137C">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w:t>
            </w:r>
            <w:r>
              <w:rPr>
                <w:rFonts w:hint="eastAsia" w:asciiTheme="minorEastAsia" w:hAnsiTheme="minorEastAsia" w:eastAsiaTheme="minorEastAsia"/>
                <w:sz w:val="21"/>
                <w:szCs w:val="21"/>
              </w:rPr>
              <w:t>运</w:t>
            </w:r>
            <w:r>
              <w:rPr>
                <w:rFonts w:asciiTheme="minorEastAsia" w:hAnsiTheme="minorEastAsia" w:eastAsiaTheme="minorEastAsia"/>
                <w:sz w:val="21"/>
                <w:szCs w:val="21"/>
              </w:rPr>
              <w:t>用</w:t>
            </w:r>
            <w:r>
              <w:rPr>
                <w:rFonts w:hint="eastAsia" w:asciiTheme="minorEastAsia" w:hAnsiTheme="minorEastAsia" w:eastAsiaTheme="minorEastAsia"/>
                <w:sz w:val="21"/>
                <w:szCs w:val="21"/>
              </w:rPr>
              <w:t>肾脏疾病、肾功能不全等</w:t>
            </w:r>
            <w:r>
              <w:rPr>
                <w:rFonts w:asciiTheme="minorEastAsia" w:hAnsiTheme="minorEastAsia" w:eastAsiaTheme="minorEastAsia"/>
                <w:sz w:val="21"/>
                <w:szCs w:val="21"/>
              </w:rPr>
              <w:t>病理生理知识分析、解释相关的临床表现问题。</w:t>
            </w:r>
          </w:p>
          <w:p w14:paraId="2A7C06EF">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能够</w:t>
            </w:r>
            <w:r>
              <w:rPr>
                <w:rFonts w:asciiTheme="minorEastAsia" w:hAnsiTheme="minorEastAsia" w:eastAsiaTheme="minorEastAsia"/>
                <w:sz w:val="21"/>
                <w:szCs w:val="21"/>
              </w:rPr>
              <w:t>对待和正确认识机体</w:t>
            </w:r>
            <w:r>
              <w:rPr>
                <w:rFonts w:hint="eastAsia" w:asciiTheme="minorEastAsia" w:hAnsiTheme="minorEastAsia" w:eastAsiaTheme="minorEastAsia"/>
                <w:sz w:val="21"/>
                <w:szCs w:val="21"/>
              </w:rPr>
              <w:t>肾脏疾病</w:t>
            </w:r>
            <w:r>
              <w:rPr>
                <w:rFonts w:asciiTheme="minorEastAsia" w:hAnsiTheme="minorEastAsia" w:eastAsiaTheme="minorEastAsia"/>
                <w:sz w:val="21"/>
                <w:szCs w:val="21"/>
              </w:rPr>
              <w:t>、急性肾功能衰竭病理过程的预见意识和科学认知分析能力。</w:t>
            </w:r>
          </w:p>
        </w:tc>
        <w:tc>
          <w:tcPr>
            <w:tcW w:w="1737" w:type="dxa"/>
            <w:tcBorders>
              <w:left w:val="single" w:color="auto" w:sz="4" w:space="0"/>
              <w:right w:val="single" w:color="auto" w:sz="12" w:space="0"/>
            </w:tcBorders>
          </w:tcPr>
          <w:p w14:paraId="2812F26D">
            <w:pPr>
              <w:widowControl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肾小球肾炎的基本病理变化和病理类型，肾盂肾炎的病理变化，肾功能不全的概念、发病机制、功能代谢改变</w:t>
            </w:r>
          </w:p>
        </w:tc>
      </w:tr>
      <w:tr w14:paraId="08D3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bottom w:val="single" w:color="auto" w:sz="12" w:space="0"/>
              <w:right w:val="single" w:color="auto" w:sz="4" w:space="0"/>
            </w:tcBorders>
          </w:tcPr>
          <w:p w14:paraId="4E8D80C3">
            <w:pPr>
              <w:pStyle w:val="18"/>
              <w:widowControl w:val="0"/>
              <w:spacing w:before="81" w:after="163" w:line="300" w:lineRule="exact"/>
              <w:jc w:val="both"/>
              <w:rPr>
                <w:rFonts w:hint="eastAsia" w:asciiTheme="minorEastAsia" w:hAnsiTheme="minorEastAsia" w:eastAsiaTheme="minorEastAsia"/>
                <w:b w:val="0"/>
                <w:bCs/>
                <w:sz w:val="21"/>
                <w:szCs w:val="21"/>
              </w:rPr>
            </w:pPr>
            <w:r>
              <w:rPr>
                <w:rFonts w:asciiTheme="minorEastAsia" w:hAnsiTheme="minorEastAsia" w:eastAsiaTheme="minorEastAsia"/>
                <w:b w:val="0"/>
                <w:bCs/>
                <w:sz w:val="21"/>
                <w:szCs w:val="21"/>
              </w:rPr>
              <w:t>16</w:t>
            </w:r>
          </w:p>
        </w:tc>
        <w:tc>
          <w:tcPr>
            <w:tcW w:w="678" w:type="dxa"/>
            <w:tcBorders>
              <w:left w:val="single" w:color="auto" w:sz="4" w:space="0"/>
              <w:bottom w:val="single" w:color="auto" w:sz="12" w:space="0"/>
            </w:tcBorders>
          </w:tcPr>
          <w:p w14:paraId="259196A7">
            <w:pPr>
              <w:pStyle w:val="18"/>
              <w:widowControl w:val="0"/>
              <w:spacing w:before="81" w:after="163" w:line="300" w:lineRule="exact"/>
              <w:jc w:val="both"/>
              <w:rPr>
                <w:rFonts w:hint="eastAsia" w:asciiTheme="minorEastAsia" w:hAnsiTheme="minorEastAsia" w:eastAsiaTheme="minorEastAsia"/>
                <w:b w:val="0"/>
                <w:bCs/>
                <w:sz w:val="21"/>
                <w:szCs w:val="21"/>
              </w:rPr>
            </w:pPr>
            <w:r>
              <w:rPr>
                <w:rFonts w:asciiTheme="minorEastAsia" w:hAnsiTheme="minorEastAsia" w:eastAsiaTheme="minorEastAsia"/>
                <w:b w:val="0"/>
                <w:bCs/>
                <w:sz w:val="21"/>
                <w:szCs w:val="21"/>
              </w:rPr>
              <w:t>重要</w:t>
            </w:r>
            <w:r>
              <w:rPr>
                <w:rFonts w:hint="eastAsia" w:asciiTheme="minorEastAsia" w:hAnsiTheme="minorEastAsia" w:eastAsiaTheme="minorEastAsia"/>
                <w:b w:val="0"/>
                <w:bCs/>
                <w:sz w:val="21"/>
                <w:szCs w:val="21"/>
              </w:rPr>
              <w:t>脏器</w:t>
            </w:r>
            <w:r>
              <w:rPr>
                <w:rFonts w:asciiTheme="minorEastAsia" w:hAnsiTheme="minorEastAsia" w:eastAsiaTheme="minorEastAsia"/>
                <w:b w:val="0"/>
                <w:bCs/>
                <w:sz w:val="21"/>
                <w:szCs w:val="21"/>
              </w:rPr>
              <w:t>功能衰竭</w:t>
            </w:r>
          </w:p>
        </w:tc>
        <w:tc>
          <w:tcPr>
            <w:tcW w:w="1276" w:type="dxa"/>
            <w:tcBorders>
              <w:bottom w:val="single" w:color="auto" w:sz="12" w:space="0"/>
            </w:tcBorders>
          </w:tcPr>
          <w:p w14:paraId="18C5D4E4">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01</w:t>
            </w:r>
            <w:r>
              <w:rPr>
                <w:rFonts w:hint="eastAsia" w:asciiTheme="minorEastAsia" w:hAnsiTheme="minorEastAsia" w:eastAsiaTheme="minorEastAsia"/>
                <w:sz w:val="21"/>
                <w:szCs w:val="21"/>
              </w:rPr>
              <w:t>⑤、</w:t>
            </w:r>
          </w:p>
          <w:p w14:paraId="7884FE40">
            <w:pPr>
              <w:widowControl w:val="0"/>
              <w:snapToGrid w:val="0"/>
              <w:spacing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L</w:t>
            </w:r>
            <w:r>
              <w:rPr>
                <w:rFonts w:asciiTheme="minorEastAsia" w:hAnsiTheme="minorEastAsia" w:eastAsiaTheme="minorEastAsia"/>
                <w:sz w:val="21"/>
                <w:szCs w:val="21"/>
              </w:rPr>
              <w:t>02</w:t>
            </w:r>
            <w:r>
              <w:rPr>
                <w:rFonts w:hint="eastAsia" w:asciiTheme="minorEastAsia" w:hAnsiTheme="minorEastAsia" w:eastAsiaTheme="minorEastAsia"/>
                <w:sz w:val="21"/>
                <w:szCs w:val="21"/>
              </w:rPr>
              <w:t>②、</w:t>
            </w:r>
          </w:p>
          <w:p w14:paraId="5D4D4807">
            <w:pPr>
              <w:pStyle w:val="18"/>
              <w:widowControl w:val="0"/>
              <w:spacing w:before="81" w:after="163" w:line="300" w:lineRule="exact"/>
              <w:jc w:val="both"/>
              <w:rPr>
                <w:rFonts w:hint="eastAsia" w:asciiTheme="minorEastAsia" w:hAnsiTheme="minorEastAsia" w:eastAsiaTheme="minorEastAsia"/>
                <w:sz w:val="21"/>
                <w:szCs w:val="21"/>
              </w:rPr>
            </w:pPr>
            <w:r>
              <w:rPr>
                <w:rFonts w:hint="eastAsia" w:asciiTheme="minorEastAsia" w:hAnsiTheme="minorEastAsia" w:eastAsiaTheme="minorEastAsia"/>
                <w:b w:val="0"/>
                <w:sz w:val="21"/>
                <w:szCs w:val="21"/>
              </w:rPr>
              <w:t>L</w:t>
            </w:r>
            <w:r>
              <w:rPr>
                <w:rFonts w:asciiTheme="minorEastAsia" w:hAnsiTheme="minorEastAsia" w:eastAsiaTheme="minorEastAsia"/>
                <w:b w:val="0"/>
                <w:sz w:val="21"/>
                <w:szCs w:val="21"/>
              </w:rPr>
              <w:t>04</w:t>
            </w:r>
            <w:r>
              <w:rPr>
                <w:rFonts w:hint="eastAsia" w:asciiTheme="minorEastAsia" w:hAnsiTheme="minorEastAsia" w:eastAsiaTheme="minorEastAsia"/>
                <w:b w:val="0"/>
                <w:sz w:val="21"/>
                <w:szCs w:val="21"/>
              </w:rPr>
              <w:t>①、</w:t>
            </w:r>
            <w:r>
              <w:rPr>
                <w:rFonts w:hint="eastAsia" w:asciiTheme="minorEastAsia" w:hAnsiTheme="minorEastAsia" w:eastAsiaTheme="minorEastAsia"/>
                <w:b w:val="0"/>
                <w:bCs/>
                <w:sz w:val="21"/>
                <w:szCs w:val="21"/>
              </w:rPr>
              <w:t>L</w:t>
            </w:r>
            <w:r>
              <w:rPr>
                <w:rFonts w:asciiTheme="minorEastAsia" w:hAnsiTheme="minorEastAsia" w:eastAsiaTheme="minorEastAsia"/>
                <w:b w:val="0"/>
                <w:bCs/>
                <w:sz w:val="21"/>
                <w:szCs w:val="21"/>
              </w:rPr>
              <w:t>04</w:t>
            </w:r>
            <w:r>
              <w:rPr>
                <w:rFonts w:hint="eastAsia" w:asciiTheme="minorEastAsia" w:hAnsiTheme="minorEastAsia" w:eastAsiaTheme="minorEastAsia"/>
                <w:b w:val="0"/>
                <w:bCs/>
                <w:sz w:val="21"/>
                <w:szCs w:val="21"/>
              </w:rPr>
              <w:t>②</w:t>
            </w:r>
          </w:p>
        </w:tc>
        <w:tc>
          <w:tcPr>
            <w:tcW w:w="2265" w:type="dxa"/>
            <w:tcBorders>
              <w:bottom w:val="single" w:color="auto" w:sz="12" w:space="0"/>
              <w:right w:val="single" w:color="auto" w:sz="4" w:space="0"/>
            </w:tcBorders>
          </w:tcPr>
          <w:p w14:paraId="4A45A6C4">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理解</w:t>
            </w:r>
            <w:r>
              <w:rPr>
                <w:rFonts w:asciiTheme="minorEastAsia" w:hAnsiTheme="minorEastAsia" w:eastAsiaTheme="minorEastAsia"/>
                <w:sz w:val="21"/>
                <w:szCs w:val="21"/>
              </w:rPr>
              <w:t>心力衰竭、呼吸衰竭、1型呼吸衰竭、Ⅱ型呼吸衰竭、急性肾功能衰竭和肝性脑病概念；心力衰竭诱因；呼吸衰竭发生机制、急性肾功能衰竭发生机制；少尿型急性肾功能衰竭发展过程；肝性脑病分期和诱因。</w:t>
            </w:r>
          </w:p>
          <w:p w14:paraId="5701012C">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知道</w:t>
            </w:r>
            <w:r>
              <w:rPr>
                <w:rFonts w:asciiTheme="minorEastAsia" w:hAnsiTheme="minorEastAsia" w:eastAsiaTheme="minorEastAsia"/>
                <w:sz w:val="21"/>
                <w:szCs w:val="21"/>
              </w:rPr>
              <w:t>心力衰竭原因；心功能不全代偿性适应反应；心カ衰竭发生机制和机体代谢及功能变化；呼吸衰竭原因和机体代谢及功能变化；急性肾功能衰竭分类及原因和机体代谢及功能变化；肝性脑病原因、发生机制和机体代谢及功能变化。</w:t>
            </w:r>
          </w:p>
          <w:p w14:paraId="78D119B1">
            <w:pPr>
              <w:widowControl w:val="0"/>
              <w:spacing w:line="300" w:lineRule="exact"/>
              <w:jc w:val="left"/>
              <w:rPr>
                <w:rFonts w:hint="eastAsia" w:asciiTheme="minorEastAsia" w:hAnsiTheme="minorEastAsia" w:eastAsiaTheme="minorEastAsia"/>
                <w:sz w:val="21"/>
                <w:szCs w:val="21"/>
              </w:rPr>
            </w:pPr>
            <w:r>
              <w:rPr>
                <w:rFonts w:asciiTheme="minorEastAsia" w:hAnsiTheme="minorEastAsia" w:eastAsiaTheme="minorEastAsia"/>
                <w:sz w:val="21"/>
                <w:szCs w:val="21"/>
              </w:rPr>
              <w:t>3.</w:t>
            </w:r>
            <w:r>
              <w:rPr>
                <w:rFonts w:hint="eastAsia" w:asciiTheme="minorEastAsia" w:hAnsiTheme="minorEastAsia" w:eastAsiaTheme="minorEastAsia"/>
                <w:sz w:val="21"/>
                <w:szCs w:val="21"/>
              </w:rPr>
              <w:t>知道</w:t>
            </w:r>
            <w:r>
              <w:rPr>
                <w:rFonts w:asciiTheme="minorEastAsia" w:hAnsiTheme="minorEastAsia" w:eastAsiaTheme="minorEastAsia"/>
                <w:sz w:val="21"/>
                <w:szCs w:val="21"/>
              </w:rPr>
              <w:t>心力衰竭和肝性脑病分类；心力衰竭、呼吸衰竭、急性肾功能衰竭和肝性脑病防治病理生理基础。</w:t>
            </w:r>
          </w:p>
        </w:tc>
        <w:tc>
          <w:tcPr>
            <w:tcW w:w="1737" w:type="dxa"/>
            <w:tcBorders>
              <w:left w:val="single" w:color="auto" w:sz="4" w:space="0"/>
              <w:bottom w:val="single" w:color="auto" w:sz="12" w:space="0"/>
              <w:right w:val="single" w:color="auto" w:sz="4" w:space="0"/>
            </w:tcBorders>
          </w:tcPr>
          <w:p w14:paraId="670B58FB">
            <w:pPr>
              <w:widowControl w:val="0"/>
              <w:spacing w:line="30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.应用心力衰竭、呼吸衰竭、急性肾功能衰竭和肝性脑病病理生理知识分析、解释相关的临床表现问题。</w:t>
            </w:r>
          </w:p>
          <w:p w14:paraId="196ED3FC">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能够</w:t>
            </w:r>
            <w:r>
              <w:rPr>
                <w:rFonts w:asciiTheme="minorEastAsia" w:hAnsiTheme="minorEastAsia" w:eastAsiaTheme="minorEastAsia"/>
                <w:sz w:val="21"/>
                <w:szCs w:val="21"/>
              </w:rPr>
              <w:t>积极对待和正确认识机体心力衰竭、呼吸衰竭、急性肾功能衰竭和肝性脑病，具有对心力衰竭、呼吸衰竭、急性肾功能衰竭和肝性脑病病理过程的预见意识和科学认知分析能力。</w:t>
            </w:r>
          </w:p>
        </w:tc>
        <w:tc>
          <w:tcPr>
            <w:tcW w:w="1737" w:type="dxa"/>
            <w:tcBorders>
              <w:left w:val="single" w:color="auto" w:sz="4" w:space="0"/>
              <w:bottom w:val="single" w:color="auto" w:sz="12" w:space="0"/>
              <w:right w:val="single" w:color="auto" w:sz="12" w:space="0"/>
            </w:tcBorders>
          </w:tcPr>
          <w:p w14:paraId="495BB358">
            <w:pPr>
              <w:widowControl w:val="0"/>
              <w:spacing w:line="300" w:lineRule="exact"/>
              <w:jc w:val="both"/>
              <w:rPr>
                <w:rFonts w:hint="eastAsia" w:asciiTheme="minorEastAsia" w:hAnsiTheme="minorEastAsia" w:eastAsiaTheme="minorEastAsia"/>
                <w:sz w:val="21"/>
                <w:szCs w:val="21"/>
              </w:rPr>
            </w:pPr>
            <w:r>
              <w:rPr>
                <w:rFonts w:asciiTheme="minorEastAsia" w:hAnsiTheme="minorEastAsia" w:eastAsiaTheme="minorEastAsia"/>
                <w:sz w:val="21"/>
                <w:szCs w:val="21"/>
              </w:rPr>
              <w:t>心力衰竭、呼吸衰竭、1型呼吸衰竭、Ⅱ型呼吸衰竭、急性肾功能衰竭和肝性脑病概念；心力衰竭诱因；呼吸衰竭发生机制、急性肾功能衰竭发生机制；少尿型急性肾功能衰竭发展过程；肝性脑病分期和诱因</w:t>
            </w:r>
          </w:p>
        </w:tc>
      </w:tr>
    </w:tbl>
    <w:p w14:paraId="5AA46CFC">
      <w:pPr>
        <w:pStyle w:val="18"/>
        <w:spacing w:before="81" w:after="163"/>
      </w:pPr>
    </w:p>
    <w:p w14:paraId="52354DC4">
      <w:pPr>
        <w:pStyle w:val="18"/>
        <w:spacing w:before="81" w:after="163"/>
      </w:pPr>
      <w:r>
        <w:rPr>
          <w:rFonts w:hint="eastAsia"/>
        </w:rPr>
        <w:t>（二）教学单元对课程目标的支撑关系</w:t>
      </w:r>
    </w:p>
    <w:tbl>
      <w:tblPr>
        <w:tblStyle w:val="8"/>
        <w:tblW w:w="49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686"/>
        <w:gridCol w:w="1563"/>
        <w:gridCol w:w="1420"/>
        <w:gridCol w:w="1279"/>
        <w:gridCol w:w="1278"/>
      </w:tblGrid>
      <w:tr w14:paraId="6E13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679" w:type="dxa"/>
            <w:tcBorders>
              <w:top w:val="single" w:color="auto" w:sz="12" w:space="0"/>
              <w:left w:val="single" w:color="auto" w:sz="12" w:space="0"/>
              <w:tl2br w:val="single" w:color="auto" w:sz="4" w:space="0"/>
            </w:tcBorders>
          </w:tcPr>
          <w:p w14:paraId="29966259">
            <w:pPr>
              <w:pStyle w:val="14"/>
              <w:ind w:firstLine="489"/>
              <w:jc w:val="right"/>
              <w:rPr>
                <w:szCs w:val="16"/>
              </w:rPr>
            </w:pPr>
            <w:r>
              <w:rPr>
                <w:rFonts w:hint="eastAsia"/>
                <w:szCs w:val="16"/>
              </w:rPr>
              <w:t>课程目标</w:t>
            </w:r>
          </w:p>
          <w:p w14:paraId="0AE0367F">
            <w:pPr>
              <w:pStyle w:val="14"/>
              <w:ind w:right="210"/>
              <w:jc w:val="left"/>
              <w:rPr>
                <w:szCs w:val="16"/>
              </w:rPr>
            </w:pPr>
          </w:p>
          <w:p w14:paraId="7E85CCEC">
            <w:pPr>
              <w:pStyle w:val="14"/>
              <w:ind w:right="210"/>
              <w:jc w:val="left"/>
              <w:rPr>
                <w:szCs w:val="16"/>
              </w:rPr>
            </w:pPr>
            <w:r>
              <w:rPr>
                <w:rFonts w:hint="eastAsia"/>
                <w:szCs w:val="16"/>
              </w:rPr>
              <w:t>教学单元</w:t>
            </w:r>
          </w:p>
        </w:tc>
        <w:tc>
          <w:tcPr>
            <w:tcW w:w="1559" w:type="dxa"/>
            <w:tcBorders>
              <w:top w:val="single" w:color="auto" w:sz="12" w:space="0"/>
            </w:tcBorders>
            <w:vAlign w:val="center"/>
          </w:tcPr>
          <w:p w14:paraId="6598841B">
            <w:pPr>
              <w:pStyle w:val="14"/>
              <w:rPr>
                <w:szCs w:val="16"/>
              </w:rPr>
            </w:pPr>
            <w:r>
              <w:rPr>
                <w:szCs w:val="16"/>
              </w:rPr>
              <w:t>L015</w:t>
            </w:r>
          </w:p>
        </w:tc>
        <w:tc>
          <w:tcPr>
            <w:tcW w:w="1417" w:type="dxa"/>
            <w:tcBorders>
              <w:top w:val="single" w:color="auto" w:sz="12" w:space="0"/>
            </w:tcBorders>
            <w:vAlign w:val="center"/>
          </w:tcPr>
          <w:p w14:paraId="5609833D">
            <w:pPr>
              <w:pStyle w:val="14"/>
              <w:rPr>
                <w:szCs w:val="16"/>
              </w:rPr>
            </w:pPr>
            <w:r>
              <w:rPr>
                <w:szCs w:val="16"/>
              </w:rPr>
              <w:t>L022</w:t>
            </w:r>
          </w:p>
        </w:tc>
        <w:tc>
          <w:tcPr>
            <w:tcW w:w="1276" w:type="dxa"/>
            <w:tcBorders>
              <w:top w:val="single" w:color="auto" w:sz="12" w:space="0"/>
            </w:tcBorders>
            <w:vAlign w:val="center"/>
          </w:tcPr>
          <w:p w14:paraId="23C6C844">
            <w:pPr>
              <w:pStyle w:val="14"/>
              <w:rPr>
                <w:szCs w:val="16"/>
              </w:rPr>
            </w:pPr>
            <w:r>
              <w:rPr>
                <w:rFonts w:hint="eastAsia"/>
                <w:szCs w:val="16"/>
              </w:rPr>
              <w:t>L</w:t>
            </w:r>
            <w:r>
              <w:rPr>
                <w:szCs w:val="16"/>
              </w:rPr>
              <w:t>041</w:t>
            </w:r>
          </w:p>
        </w:tc>
        <w:tc>
          <w:tcPr>
            <w:tcW w:w="1275" w:type="dxa"/>
            <w:tcBorders>
              <w:top w:val="single" w:color="auto" w:sz="12" w:space="0"/>
              <w:right w:val="single" w:color="auto" w:sz="12" w:space="0"/>
            </w:tcBorders>
            <w:vAlign w:val="center"/>
          </w:tcPr>
          <w:p w14:paraId="33156666">
            <w:pPr>
              <w:pStyle w:val="14"/>
              <w:rPr>
                <w:szCs w:val="16"/>
              </w:rPr>
            </w:pPr>
            <w:r>
              <w:rPr>
                <w:rFonts w:hint="eastAsia"/>
                <w:szCs w:val="16"/>
              </w:rPr>
              <w:t>L</w:t>
            </w:r>
            <w:r>
              <w:rPr>
                <w:szCs w:val="16"/>
              </w:rPr>
              <w:t>042</w:t>
            </w:r>
          </w:p>
        </w:tc>
      </w:tr>
      <w:tr w14:paraId="219B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2FBDDB88">
            <w:pPr>
              <w:pStyle w:val="15"/>
              <w:jc w:val="both"/>
              <w:rPr>
                <w:rFonts w:hint="eastAsia" w:asciiTheme="minorEastAsia" w:hAnsiTheme="minorEastAsia" w:eastAsiaTheme="minorEastAsia"/>
              </w:rPr>
            </w:pPr>
            <w:r>
              <w:rPr>
                <w:rFonts w:hint="eastAsia" w:asciiTheme="minorEastAsia" w:hAnsiTheme="minorEastAsia" w:eastAsiaTheme="minorEastAsia"/>
              </w:rPr>
              <w:t>第一单元 绪论、应激</w:t>
            </w:r>
          </w:p>
        </w:tc>
        <w:tc>
          <w:tcPr>
            <w:tcW w:w="1559" w:type="dxa"/>
            <w:vAlign w:val="center"/>
          </w:tcPr>
          <w:p w14:paraId="786ED503">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37943175">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68F1D2A4">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20FC507B">
            <w:pPr>
              <w:pStyle w:val="15"/>
              <w:rPr>
                <w:rFonts w:hint="eastAsia" w:asciiTheme="minorEastAsia" w:hAnsiTheme="minorEastAsia" w:eastAsiaTheme="minorEastAsia"/>
              </w:rPr>
            </w:pPr>
            <w:r>
              <w:rPr>
                <w:rFonts w:asciiTheme="minorEastAsia" w:hAnsiTheme="minorEastAsia" w:eastAsiaTheme="minorEastAsia"/>
              </w:rPr>
              <w:t>√</w:t>
            </w:r>
          </w:p>
        </w:tc>
      </w:tr>
      <w:tr w14:paraId="2E9B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6E43803B">
            <w:pPr>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 xml:space="preserve">第二单元 </w:t>
            </w:r>
            <w:r>
              <w:rPr>
                <w:rFonts w:asciiTheme="minorEastAsia" w:hAnsiTheme="minorEastAsia" w:eastAsiaTheme="minorEastAsia"/>
                <w:sz w:val="21"/>
                <w:szCs w:val="21"/>
              </w:rPr>
              <w:t>细胞、组织的适应和损伤</w:t>
            </w:r>
            <w:r>
              <w:rPr>
                <w:rFonts w:hint="eastAsia" w:asciiTheme="minorEastAsia" w:hAnsiTheme="minorEastAsia" w:eastAsiaTheme="minorEastAsia"/>
                <w:sz w:val="21"/>
                <w:szCs w:val="21"/>
              </w:rPr>
              <w:t>，修复</w:t>
            </w:r>
          </w:p>
        </w:tc>
        <w:tc>
          <w:tcPr>
            <w:tcW w:w="1559" w:type="dxa"/>
            <w:vAlign w:val="center"/>
          </w:tcPr>
          <w:p w14:paraId="3833F6F2">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0FECAF07">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22F64818">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74FA59A3">
            <w:pPr>
              <w:pStyle w:val="15"/>
              <w:rPr>
                <w:rFonts w:hint="eastAsia" w:asciiTheme="minorEastAsia" w:hAnsiTheme="minorEastAsia" w:eastAsiaTheme="minorEastAsia"/>
              </w:rPr>
            </w:pPr>
            <w:r>
              <w:rPr>
                <w:rFonts w:asciiTheme="minorEastAsia" w:hAnsiTheme="minorEastAsia" w:eastAsiaTheme="minorEastAsia"/>
              </w:rPr>
              <w:t>√</w:t>
            </w:r>
          </w:p>
        </w:tc>
      </w:tr>
      <w:tr w14:paraId="03D2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185B5B84">
            <w:pPr>
              <w:pStyle w:val="15"/>
              <w:jc w:val="both"/>
              <w:rPr>
                <w:rFonts w:hint="eastAsia" w:asciiTheme="minorEastAsia" w:hAnsiTheme="minorEastAsia" w:eastAsiaTheme="minorEastAsia"/>
              </w:rPr>
            </w:pPr>
            <w:r>
              <w:rPr>
                <w:rFonts w:hint="eastAsia" w:asciiTheme="minorEastAsia" w:hAnsiTheme="minorEastAsia" w:eastAsiaTheme="minorEastAsia"/>
              </w:rPr>
              <w:t xml:space="preserve">第三单元 </w:t>
            </w:r>
            <w:r>
              <w:rPr>
                <w:rFonts w:asciiTheme="minorEastAsia" w:hAnsiTheme="minorEastAsia" w:eastAsiaTheme="minorEastAsia"/>
              </w:rPr>
              <w:t>局部血液循环障碍</w:t>
            </w:r>
          </w:p>
        </w:tc>
        <w:tc>
          <w:tcPr>
            <w:tcW w:w="1559" w:type="dxa"/>
            <w:vAlign w:val="center"/>
          </w:tcPr>
          <w:p w14:paraId="4DEA4A96">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4804FEF4">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5E7FFDC7">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172B8B70">
            <w:pPr>
              <w:pStyle w:val="15"/>
              <w:rPr>
                <w:rFonts w:hint="eastAsia" w:asciiTheme="minorEastAsia" w:hAnsiTheme="minorEastAsia" w:eastAsiaTheme="minorEastAsia"/>
              </w:rPr>
            </w:pPr>
            <w:r>
              <w:rPr>
                <w:rFonts w:asciiTheme="minorEastAsia" w:hAnsiTheme="minorEastAsia" w:eastAsiaTheme="minorEastAsia"/>
              </w:rPr>
              <w:t>√</w:t>
            </w:r>
          </w:p>
        </w:tc>
      </w:tr>
      <w:tr w14:paraId="3731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48C9B6E4">
            <w:pPr>
              <w:pStyle w:val="15"/>
              <w:jc w:val="both"/>
              <w:rPr>
                <w:rFonts w:hint="eastAsia" w:asciiTheme="minorEastAsia" w:hAnsiTheme="minorEastAsia" w:eastAsiaTheme="minorEastAsia"/>
              </w:rPr>
            </w:pPr>
            <w:r>
              <w:rPr>
                <w:rFonts w:hint="eastAsia" w:asciiTheme="minorEastAsia" w:hAnsiTheme="minorEastAsia" w:eastAsiaTheme="minorEastAsia"/>
              </w:rPr>
              <w:t>第四单元 炎症</w:t>
            </w:r>
          </w:p>
        </w:tc>
        <w:tc>
          <w:tcPr>
            <w:tcW w:w="1559" w:type="dxa"/>
            <w:vAlign w:val="center"/>
          </w:tcPr>
          <w:p w14:paraId="7D7A3146">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53C15293">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3A89ACE4">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4EBA7859">
            <w:pPr>
              <w:pStyle w:val="15"/>
              <w:rPr>
                <w:rFonts w:hint="eastAsia" w:asciiTheme="minorEastAsia" w:hAnsiTheme="minorEastAsia" w:eastAsiaTheme="minorEastAsia"/>
              </w:rPr>
            </w:pPr>
            <w:r>
              <w:rPr>
                <w:rFonts w:asciiTheme="minorEastAsia" w:hAnsiTheme="minorEastAsia" w:eastAsiaTheme="minorEastAsia"/>
              </w:rPr>
              <w:t>√</w:t>
            </w:r>
          </w:p>
        </w:tc>
      </w:tr>
      <w:tr w14:paraId="7660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2C6D45EC">
            <w:pPr>
              <w:pStyle w:val="15"/>
              <w:jc w:val="both"/>
              <w:rPr>
                <w:rFonts w:hint="eastAsia" w:asciiTheme="minorEastAsia" w:hAnsiTheme="minorEastAsia" w:eastAsiaTheme="minorEastAsia"/>
              </w:rPr>
            </w:pPr>
            <w:r>
              <w:rPr>
                <w:rFonts w:hint="eastAsia" w:asciiTheme="minorEastAsia" w:hAnsiTheme="minorEastAsia" w:eastAsiaTheme="minorEastAsia"/>
              </w:rPr>
              <w:t xml:space="preserve">第五单元 </w:t>
            </w:r>
            <w:r>
              <w:rPr>
                <w:rFonts w:asciiTheme="minorEastAsia" w:hAnsiTheme="minorEastAsia" w:eastAsiaTheme="minorEastAsia"/>
              </w:rPr>
              <w:t>肿瘤</w:t>
            </w:r>
          </w:p>
        </w:tc>
        <w:tc>
          <w:tcPr>
            <w:tcW w:w="1559" w:type="dxa"/>
            <w:vAlign w:val="center"/>
          </w:tcPr>
          <w:p w14:paraId="77204280">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2BA42B8D">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54278E39">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0C87FDEC">
            <w:pPr>
              <w:pStyle w:val="15"/>
              <w:rPr>
                <w:rFonts w:hint="eastAsia" w:asciiTheme="minorEastAsia" w:hAnsiTheme="minorEastAsia" w:eastAsiaTheme="minorEastAsia"/>
              </w:rPr>
            </w:pPr>
            <w:r>
              <w:rPr>
                <w:rFonts w:asciiTheme="minorEastAsia" w:hAnsiTheme="minorEastAsia" w:eastAsiaTheme="minorEastAsia"/>
              </w:rPr>
              <w:t>√</w:t>
            </w:r>
          </w:p>
        </w:tc>
      </w:tr>
      <w:tr w14:paraId="649B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7FC27BC4">
            <w:pPr>
              <w:snapToGrid w:val="0"/>
              <w:spacing w:line="288" w:lineRule="auto"/>
              <w:jc w:val="both"/>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第六单元 水、电解质代谢紊乱</w:t>
            </w:r>
          </w:p>
        </w:tc>
        <w:tc>
          <w:tcPr>
            <w:tcW w:w="1559" w:type="dxa"/>
            <w:vAlign w:val="center"/>
          </w:tcPr>
          <w:p w14:paraId="631304F6">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6BB24DD2">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3260662E">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373CB3F9">
            <w:pPr>
              <w:pStyle w:val="15"/>
              <w:rPr>
                <w:rFonts w:hint="eastAsia" w:asciiTheme="minorEastAsia" w:hAnsiTheme="minorEastAsia" w:eastAsiaTheme="minorEastAsia"/>
              </w:rPr>
            </w:pPr>
            <w:r>
              <w:rPr>
                <w:rFonts w:asciiTheme="minorEastAsia" w:hAnsiTheme="minorEastAsia" w:eastAsiaTheme="minorEastAsia"/>
              </w:rPr>
              <w:t>√</w:t>
            </w:r>
          </w:p>
        </w:tc>
      </w:tr>
      <w:tr w14:paraId="4EA1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1DD79A69">
            <w:pPr>
              <w:pStyle w:val="15"/>
              <w:jc w:val="both"/>
              <w:rPr>
                <w:rFonts w:hint="eastAsia" w:asciiTheme="minorEastAsia" w:hAnsiTheme="minorEastAsia" w:eastAsiaTheme="minorEastAsia"/>
              </w:rPr>
            </w:pPr>
            <w:r>
              <w:rPr>
                <w:rFonts w:hint="eastAsia" w:asciiTheme="minorEastAsia" w:hAnsiTheme="minorEastAsia" w:eastAsiaTheme="minorEastAsia"/>
              </w:rPr>
              <w:t xml:space="preserve">第七单元 </w:t>
            </w:r>
            <w:r>
              <w:rPr>
                <w:rFonts w:asciiTheme="minorEastAsia" w:hAnsiTheme="minorEastAsia" w:eastAsiaTheme="minorEastAsia"/>
              </w:rPr>
              <w:t>发热</w:t>
            </w:r>
          </w:p>
        </w:tc>
        <w:tc>
          <w:tcPr>
            <w:tcW w:w="1559" w:type="dxa"/>
            <w:vAlign w:val="center"/>
          </w:tcPr>
          <w:p w14:paraId="734B6810">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2EE41750">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7F5F284F">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009A4D26">
            <w:pPr>
              <w:pStyle w:val="15"/>
              <w:rPr>
                <w:rFonts w:hint="eastAsia" w:asciiTheme="minorEastAsia" w:hAnsiTheme="minorEastAsia" w:eastAsiaTheme="minorEastAsia"/>
              </w:rPr>
            </w:pPr>
            <w:r>
              <w:rPr>
                <w:rFonts w:asciiTheme="minorEastAsia" w:hAnsiTheme="minorEastAsia" w:eastAsiaTheme="minorEastAsia"/>
              </w:rPr>
              <w:t>√</w:t>
            </w:r>
          </w:p>
        </w:tc>
      </w:tr>
      <w:tr w14:paraId="541F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5FB89841">
            <w:pPr>
              <w:pStyle w:val="15"/>
              <w:jc w:val="both"/>
              <w:rPr>
                <w:rFonts w:hint="eastAsia" w:asciiTheme="minorEastAsia" w:hAnsiTheme="minorEastAsia" w:eastAsiaTheme="minorEastAsia"/>
              </w:rPr>
            </w:pPr>
            <w:r>
              <w:rPr>
                <w:rFonts w:hint="eastAsia" w:asciiTheme="minorEastAsia" w:hAnsiTheme="minorEastAsia" w:eastAsiaTheme="minorEastAsia"/>
              </w:rPr>
              <w:t>第八单元 缺氧</w:t>
            </w:r>
          </w:p>
        </w:tc>
        <w:tc>
          <w:tcPr>
            <w:tcW w:w="1559" w:type="dxa"/>
            <w:vAlign w:val="center"/>
          </w:tcPr>
          <w:p w14:paraId="47B5EBDA">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2925D5CD">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2B87D784">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1563A5B8">
            <w:pPr>
              <w:pStyle w:val="15"/>
              <w:rPr>
                <w:rFonts w:hint="eastAsia" w:asciiTheme="minorEastAsia" w:hAnsiTheme="minorEastAsia" w:eastAsiaTheme="minorEastAsia"/>
              </w:rPr>
            </w:pPr>
            <w:r>
              <w:rPr>
                <w:rFonts w:asciiTheme="minorEastAsia" w:hAnsiTheme="minorEastAsia" w:eastAsiaTheme="minorEastAsia"/>
              </w:rPr>
              <w:t>√</w:t>
            </w:r>
          </w:p>
        </w:tc>
      </w:tr>
      <w:tr w14:paraId="153A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1CF7F1BC">
            <w:pPr>
              <w:pStyle w:val="15"/>
              <w:jc w:val="both"/>
              <w:rPr>
                <w:rFonts w:hint="eastAsia" w:asciiTheme="minorEastAsia" w:hAnsiTheme="minorEastAsia" w:eastAsiaTheme="minorEastAsia"/>
              </w:rPr>
            </w:pPr>
            <w:r>
              <w:rPr>
                <w:rFonts w:hint="eastAsia" w:asciiTheme="minorEastAsia" w:hAnsiTheme="minorEastAsia" w:eastAsiaTheme="minorEastAsia"/>
              </w:rPr>
              <w:t>第九单元 休克</w:t>
            </w:r>
          </w:p>
        </w:tc>
        <w:tc>
          <w:tcPr>
            <w:tcW w:w="1559" w:type="dxa"/>
            <w:vAlign w:val="center"/>
          </w:tcPr>
          <w:p w14:paraId="6F018798">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28BBCB4E">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47733731">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2A19340F">
            <w:pPr>
              <w:pStyle w:val="15"/>
              <w:rPr>
                <w:rFonts w:hint="eastAsia" w:asciiTheme="minorEastAsia" w:hAnsiTheme="minorEastAsia" w:eastAsiaTheme="minorEastAsia"/>
              </w:rPr>
            </w:pPr>
            <w:r>
              <w:rPr>
                <w:rFonts w:asciiTheme="minorEastAsia" w:hAnsiTheme="minorEastAsia" w:eastAsiaTheme="minorEastAsia"/>
              </w:rPr>
              <w:t>√</w:t>
            </w:r>
          </w:p>
        </w:tc>
      </w:tr>
      <w:tr w14:paraId="480AB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08" w:hRule="atLeast"/>
          <w:jc w:val="center"/>
        </w:trPr>
        <w:tc>
          <w:tcPr>
            <w:tcW w:w="2679" w:type="dxa"/>
            <w:tcBorders>
              <w:left w:val="single" w:color="auto" w:sz="12" w:space="0"/>
            </w:tcBorders>
          </w:tcPr>
          <w:p w14:paraId="74C1A871">
            <w:pPr>
              <w:snapToGrid w:val="0"/>
              <w:spacing w:line="288" w:lineRule="auto"/>
              <w:jc w:val="both"/>
              <w:rPr>
                <w:rFonts w:hint="eastAsia" w:asciiTheme="minorEastAsia" w:hAnsiTheme="minorEastAsia" w:eastAsiaTheme="minorEastAsia"/>
                <w:color w:val="000000"/>
                <w:sz w:val="21"/>
                <w:szCs w:val="21"/>
              </w:rPr>
            </w:pPr>
            <w:r>
              <w:rPr>
                <w:rStyle w:val="24"/>
                <w:rFonts w:hint="default" w:asciiTheme="minorEastAsia" w:hAnsiTheme="minorEastAsia" w:eastAsiaTheme="minorEastAsia"/>
                <w:sz w:val="21"/>
                <w:szCs w:val="21"/>
              </w:rPr>
              <w:t>第十单元 酸碱平衡和酸碱平衡紊乱</w:t>
            </w:r>
          </w:p>
        </w:tc>
        <w:tc>
          <w:tcPr>
            <w:tcW w:w="1559" w:type="dxa"/>
            <w:vAlign w:val="center"/>
          </w:tcPr>
          <w:p w14:paraId="4467F1B5">
            <w:pPr>
              <w:pStyle w:val="15"/>
              <w:ind w:firstLine="420" w:firstLineChars="200"/>
              <w:jc w:val="left"/>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62B093EE">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2B27EFDF">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362A12C2">
            <w:pPr>
              <w:pStyle w:val="15"/>
              <w:rPr>
                <w:rFonts w:hint="eastAsia" w:asciiTheme="minorEastAsia" w:hAnsiTheme="minorEastAsia" w:eastAsiaTheme="minorEastAsia"/>
              </w:rPr>
            </w:pPr>
            <w:r>
              <w:rPr>
                <w:rFonts w:asciiTheme="minorEastAsia" w:hAnsiTheme="minorEastAsia" w:eastAsiaTheme="minorEastAsia"/>
              </w:rPr>
              <w:t>√</w:t>
            </w:r>
          </w:p>
        </w:tc>
      </w:tr>
      <w:tr w14:paraId="3A723AB2">
        <w:tblPrEx>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18913A49">
            <w:pPr>
              <w:pStyle w:val="15"/>
              <w:jc w:val="both"/>
              <w:rPr>
                <w:rFonts w:hint="eastAsia" w:asciiTheme="minorEastAsia" w:hAnsiTheme="minorEastAsia" w:eastAsiaTheme="minorEastAsia"/>
              </w:rPr>
            </w:pPr>
            <w:r>
              <w:rPr>
                <w:rFonts w:hint="eastAsia" w:asciiTheme="minorEastAsia" w:hAnsiTheme="minorEastAsia" w:eastAsiaTheme="minorEastAsia"/>
              </w:rPr>
              <w:t>第十一单元 弥散性血管内凝血</w:t>
            </w:r>
          </w:p>
        </w:tc>
        <w:tc>
          <w:tcPr>
            <w:tcW w:w="1559" w:type="dxa"/>
            <w:vAlign w:val="center"/>
          </w:tcPr>
          <w:p w14:paraId="1675D35F">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413A969D">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7FB0DA3A">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3EB0D111">
            <w:pPr>
              <w:pStyle w:val="15"/>
              <w:rPr>
                <w:rFonts w:hint="eastAsia" w:asciiTheme="minorEastAsia" w:hAnsiTheme="minorEastAsia" w:eastAsiaTheme="minorEastAsia"/>
              </w:rPr>
            </w:pPr>
            <w:r>
              <w:rPr>
                <w:rFonts w:asciiTheme="minorEastAsia" w:hAnsiTheme="minorEastAsia" w:eastAsiaTheme="minorEastAsia"/>
              </w:rPr>
              <w:t>√</w:t>
            </w:r>
          </w:p>
        </w:tc>
      </w:tr>
      <w:tr w14:paraId="3165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66136E3E">
            <w:pPr>
              <w:pStyle w:val="15"/>
              <w:jc w:val="both"/>
              <w:rPr>
                <w:rFonts w:hint="eastAsia" w:asciiTheme="minorEastAsia" w:hAnsiTheme="minorEastAsia" w:eastAsiaTheme="minorEastAsia"/>
              </w:rPr>
            </w:pPr>
            <w:r>
              <w:rPr>
                <w:rFonts w:hint="eastAsia" w:asciiTheme="minorEastAsia" w:hAnsiTheme="minorEastAsia" w:eastAsiaTheme="minorEastAsia"/>
              </w:rPr>
              <w:t xml:space="preserve">第十二单元 </w:t>
            </w:r>
            <w:r>
              <w:rPr>
                <w:rFonts w:asciiTheme="minorEastAsia" w:hAnsiTheme="minorEastAsia" w:eastAsiaTheme="minorEastAsia"/>
              </w:rPr>
              <w:t>心血管系统疾病</w:t>
            </w:r>
          </w:p>
        </w:tc>
        <w:tc>
          <w:tcPr>
            <w:tcW w:w="1559" w:type="dxa"/>
            <w:vAlign w:val="center"/>
          </w:tcPr>
          <w:p w14:paraId="12791BB7">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4B28F121">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7CB75AEC">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21280B12">
            <w:pPr>
              <w:pStyle w:val="15"/>
              <w:rPr>
                <w:rFonts w:hint="eastAsia" w:asciiTheme="minorEastAsia" w:hAnsiTheme="minorEastAsia" w:eastAsiaTheme="minorEastAsia"/>
              </w:rPr>
            </w:pPr>
            <w:r>
              <w:rPr>
                <w:rFonts w:asciiTheme="minorEastAsia" w:hAnsiTheme="minorEastAsia" w:eastAsiaTheme="minorEastAsia"/>
              </w:rPr>
              <w:t>√</w:t>
            </w:r>
          </w:p>
        </w:tc>
      </w:tr>
      <w:tr w14:paraId="2637F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3EBB6C2B">
            <w:pPr>
              <w:pStyle w:val="15"/>
              <w:jc w:val="both"/>
              <w:rPr>
                <w:rFonts w:hint="eastAsia" w:asciiTheme="minorEastAsia" w:hAnsiTheme="minorEastAsia" w:eastAsiaTheme="minorEastAsia"/>
              </w:rPr>
            </w:pPr>
            <w:r>
              <w:rPr>
                <w:rFonts w:hint="eastAsia" w:asciiTheme="minorEastAsia" w:hAnsiTheme="minorEastAsia" w:eastAsiaTheme="minorEastAsia"/>
              </w:rPr>
              <w:t>第十三单元 呼吸系统疾病</w:t>
            </w:r>
          </w:p>
        </w:tc>
        <w:tc>
          <w:tcPr>
            <w:tcW w:w="1559" w:type="dxa"/>
            <w:vAlign w:val="center"/>
          </w:tcPr>
          <w:p w14:paraId="37317434">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7F43CCC6">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6713B89F">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7A9E8CCA">
            <w:pPr>
              <w:pStyle w:val="15"/>
              <w:rPr>
                <w:rFonts w:hint="eastAsia" w:asciiTheme="minorEastAsia" w:hAnsiTheme="minorEastAsia" w:eastAsiaTheme="minorEastAsia"/>
              </w:rPr>
            </w:pPr>
            <w:r>
              <w:rPr>
                <w:rFonts w:asciiTheme="minorEastAsia" w:hAnsiTheme="minorEastAsia" w:eastAsiaTheme="minorEastAsia"/>
              </w:rPr>
              <w:t>√</w:t>
            </w:r>
          </w:p>
        </w:tc>
      </w:tr>
      <w:tr w14:paraId="2798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734C6042">
            <w:pPr>
              <w:pStyle w:val="15"/>
              <w:jc w:val="both"/>
              <w:rPr>
                <w:rFonts w:hint="eastAsia" w:asciiTheme="minorEastAsia" w:hAnsiTheme="minorEastAsia" w:eastAsiaTheme="minorEastAsia"/>
              </w:rPr>
            </w:pPr>
            <w:r>
              <w:rPr>
                <w:rFonts w:hint="eastAsia" w:asciiTheme="minorEastAsia" w:hAnsiTheme="minorEastAsia" w:eastAsiaTheme="minorEastAsia"/>
              </w:rPr>
              <w:t>第十四单元 消化系统疾病</w:t>
            </w:r>
          </w:p>
        </w:tc>
        <w:tc>
          <w:tcPr>
            <w:tcW w:w="1559" w:type="dxa"/>
            <w:vAlign w:val="center"/>
          </w:tcPr>
          <w:p w14:paraId="5415AFCC">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5F060DA2">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0645E89B">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42F9333D">
            <w:pPr>
              <w:pStyle w:val="15"/>
              <w:rPr>
                <w:rFonts w:hint="eastAsia" w:asciiTheme="minorEastAsia" w:hAnsiTheme="minorEastAsia" w:eastAsiaTheme="minorEastAsia"/>
              </w:rPr>
            </w:pPr>
            <w:r>
              <w:rPr>
                <w:rFonts w:asciiTheme="minorEastAsia" w:hAnsiTheme="minorEastAsia" w:eastAsiaTheme="minorEastAsia"/>
              </w:rPr>
              <w:t>√</w:t>
            </w:r>
          </w:p>
        </w:tc>
      </w:tr>
      <w:tr w14:paraId="59C3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tcBorders>
          </w:tcPr>
          <w:p w14:paraId="5B1EDDB0">
            <w:pPr>
              <w:pStyle w:val="15"/>
              <w:jc w:val="both"/>
              <w:rPr>
                <w:rFonts w:hint="eastAsia" w:asciiTheme="minorEastAsia" w:hAnsiTheme="minorEastAsia" w:eastAsiaTheme="minorEastAsia"/>
              </w:rPr>
            </w:pPr>
            <w:r>
              <w:rPr>
                <w:rFonts w:hint="eastAsia" w:asciiTheme="minorEastAsia" w:hAnsiTheme="minorEastAsia" w:eastAsiaTheme="minorEastAsia"/>
              </w:rPr>
              <w:t>第十五单元 泌尿系统疾病</w:t>
            </w:r>
          </w:p>
        </w:tc>
        <w:tc>
          <w:tcPr>
            <w:tcW w:w="1559" w:type="dxa"/>
            <w:vAlign w:val="center"/>
          </w:tcPr>
          <w:p w14:paraId="4A2B99EE">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vAlign w:val="center"/>
          </w:tcPr>
          <w:p w14:paraId="05BD1602">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vAlign w:val="center"/>
          </w:tcPr>
          <w:p w14:paraId="4201F656">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right w:val="single" w:color="auto" w:sz="12" w:space="0"/>
            </w:tcBorders>
            <w:vAlign w:val="center"/>
          </w:tcPr>
          <w:p w14:paraId="60541024">
            <w:pPr>
              <w:pStyle w:val="15"/>
              <w:rPr>
                <w:rFonts w:hint="eastAsia" w:asciiTheme="minorEastAsia" w:hAnsiTheme="minorEastAsia" w:eastAsiaTheme="minorEastAsia"/>
              </w:rPr>
            </w:pPr>
            <w:r>
              <w:rPr>
                <w:rFonts w:asciiTheme="minorEastAsia" w:hAnsiTheme="minorEastAsia" w:eastAsiaTheme="minorEastAsia"/>
              </w:rPr>
              <w:t>√</w:t>
            </w:r>
          </w:p>
        </w:tc>
      </w:tr>
      <w:tr w14:paraId="6839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679" w:type="dxa"/>
            <w:tcBorders>
              <w:left w:val="single" w:color="auto" w:sz="12" w:space="0"/>
              <w:bottom w:val="single" w:color="auto" w:sz="12" w:space="0"/>
            </w:tcBorders>
          </w:tcPr>
          <w:p w14:paraId="5E875929">
            <w:pPr>
              <w:pStyle w:val="15"/>
              <w:jc w:val="both"/>
              <w:rPr>
                <w:rFonts w:hint="eastAsia" w:asciiTheme="minorEastAsia" w:hAnsiTheme="minorEastAsia" w:eastAsiaTheme="minorEastAsia"/>
              </w:rPr>
            </w:pPr>
            <w:r>
              <w:rPr>
                <w:rFonts w:hint="eastAsia" w:asciiTheme="minorEastAsia" w:hAnsiTheme="minorEastAsia" w:eastAsiaTheme="minorEastAsia"/>
              </w:rPr>
              <w:t xml:space="preserve">第十六单元 </w:t>
            </w:r>
            <w:r>
              <w:rPr>
                <w:rFonts w:asciiTheme="minorEastAsia" w:hAnsiTheme="minorEastAsia" w:eastAsiaTheme="minorEastAsia"/>
              </w:rPr>
              <w:t>重要</w:t>
            </w:r>
            <w:r>
              <w:rPr>
                <w:rFonts w:hint="eastAsia" w:asciiTheme="minorEastAsia" w:hAnsiTheme="minorEastAsia" w:eastAsiaTheme="minorEastAsia"/>
              </w:rPr>
              <w:t>脏器</w:t>
            </w:r>
            <w:r>
              <w:rPr>
                <w:rFonts w:asciiTheme="minorEastAsia" w:hAnsiTheme="minorEastAsia" w:eastAsiaTheme="minorEastAsia"/>
              </w:rPr>
              <w:t>功能衰竭</w:t>
            </w:r>
          </w:p>
        </w:tc>
        <w:tc>
          <w:tcPr>
            <w:tcW w:w="1559" w:type="dxa"/>
            <w:tcBorders>
              <w:bottom w:val="single" w:color="auto" w:sz="12" w:space="0"/>
            </w:tcBorders>
            <w:vAlign w:val="center"/>
          </w:tcPr>
          <w:p w14:paraId="09746485">
            <w:pPr>
              <w:pStyle w:val="15"/>
              <w:rPr>
                <w:rFonts w:hint="eastAsia" w:asciiTheme="minorEastAsia" w:hAnsiTheme="minorEastAsia" w:eastAsiaTheme="minorEastAsia"/>
              </w:rPr>
            </w:pPr>
            <w:r>
              <w:rPr>
                <w:rFonts w:asciiTheme="minorEastAsia" w:hAnsiTheme="minorEastAsia" w:eastAsiaTheme="minorEastAsia"/>
              </w:rPr>
              <w:t>√</w:t>
            </w:r>
          </w:p>
        </w:tc>
        <w:tc>
          <w:tcPr>
            <w:tcW w:w="1417" w:type="dxa"/>
            <w:tcBorders>
              <w:bottom w:val="single" w:color="auto" w:sz="12" w:space="0"/>
            </w:tcBorders>
            <w:vAlign w:val="center"/>
          </w:tcPr>
          <w:p w14:paraId="51410800">
            <w:pPr>
              <w:pStyle w:val="15"/>
              <w:rPr>
                <w:rFonts w:hint="eastAsia" w:asciiTheme="minorEastAsia" w:hAnsiTheme="minorEastAsia" w:eastAsiaTheme="minorEastAsia"/>
              </w:rPr>
            </w:pPr>
            <w:r>
              <w:rPr>
                <w:rFonts w:asciiTheme="minorEastAsia" w:hAnsiTheme="minorEastAsia" w:eastAsiaTheme="minorEastAsia"/>
              </w:rPr>
              <w:t>√</w:t>
            </w:r>
          </w:p>
        </w:tc>
        <w:tc>
          <w:tcPr>
            <w:tcW w:w="1276" w:type="dxa"/>
            <w:tcBorders>
              <w:bottom w:val="single" w:color="auto" w:sz="12" w:space="0"/>
            </w:tcBorders>
            <w:vAlign w:val="center"/>
          </w:tcPr>
          <w:p w14:paraId="46DCBEFE">
            <w:pPr>
              <w:pStyle w:val="15"/>
              <w:rPr>
                <w:rFonts w:hint="eastAsia" w:asciiTheme="minorEastAsia" w:hAnsiTheme="minorEastAsia" w:eastAsiaTheme="minorEastAsia"/>
              </w:rPr>
            </w:pPr>
            <w:r>
              <w:rPr>
                <w:rFonts w:asciiTheme="minorEastAsia" w:hAnsiTheme="minorEastAsia" w:eastAsiaTheme="minorEastAsia"/>
              </w:rPr>
              <w:t>√</w:t>
            </w:r>
          </w:p>
        </w:tc>
        <w:tc>
          <w:tcPr>
            <w:tcW w:w="1275" w:type="dxa"/>
            <w:tcBorders>
              <w:bottom w:val="single" w:color="auto" w:sz="12" w:space="0"/>
              <w:right w:val="single" w:color="auto" w:sz="12" w:space="0"/>
            </w:tcBorders>
            <w:vAlign w:val="center"/>
          </w:tcPr>
          <w:p w14:paraId="1D97EBB2">
            <w:pPr>
              <w:pStyle w:val="15"/>
              <w:rPr>
                <w:rFonts w:hint="eastAsia" w:asciiTheme="minorEastAsia" w:hAnsiTheme="minorEastAsia" w:eastAsiaTheme="minorEastAsia"/>
              </w:rPr>
            </w:pPr>
            <w:r>
              <w:rPr>
                <w:rFonts w:asciiTheme="minorEastAsia" w:hAnsiTheme="minorEastAsia" w:eastAsiaTheme="minorEastAsia"/>
              </w:rPr>
              <w:t>√</w:t>
            </w:r>
          </w:p>
        </w:tc>
      </w:tr>
    </w:tbl>
    <w:p w14:paraId="5ABFEF30">
      <w:pPr>
        <w:pStyle w:val="18"/>
        <w:spacing w:before="326" w:beforeLines="100" w:after="163"/>
      </w:pPr>
      <w:r>
        <w:rPr>
          <w:rFonts w:hint="eastAsia"/>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31"/>
        <w:gridCol w:w="2697"/>
        <w:gridCol w:w="1701"/>
        <w:gridCol w:w="710"/>
        <w:gridCol w:w="655"/>
        <w:gridCol w:w="702"/>
      </w:tblGrid>
      <w:tr w14:paraId="20D0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28" w:type="dxa"/>
            <w:vMerge w:val="restart"/>
            <w:tcBorders>
              <w:top w:val="single" w:color="auto" w:sz="12" w:space="0"/>
              <w:left w:val="single" w:color="auto" w:sz="12" w:space="0"/>
            </w:tcBorders>
            <w:vAlign w:val="center"/>
          </w:tcPr>
          <w:p w14:paraId="1047EB9E">
            <w:pPr>
              <w:widowControl w:val="0"/>
              <w:snapToGrid w:val="0"/>
              <w:jc w:val="center"/>
              <w:rPr>
                <w:rFonts w:hint="eastAsia" w:ascii="黑体" w:hAnsi="黑体" w:eastAsia="黑体"/>
                <w:bCs/>
                <w:sz w:val="21"/>
                <w:szCs w:val="21"/>
              </w:rPr>
            </w:pPr>
            <w:r>
              <w:rPr>
                <w:rFonts w:hint="eastAsia" w:ascii="黑体" w:hAnsi="黑体" w:eastAsia="黑体"/>
                <w:bCs/>
                <w:sz w:val="21"/>
                <w:szCs w:val="21"/>
              </w:rPr>
              <w:t>教学单元</w:t>
            </w:r>
          </w:p>
        </w:tc>
        <w:tc>
          <w:tcPr>
            <w:tcW w:w="2690" w:type="dxa"/>
            <w:vMerge w:val="restart"/>
            <w:tcBorders>
              <w:top w:val="single" w:color="auto" w:sz="12" w:space="0"/>
            </w:tcBorders>
            <w:vAlign w:val="center"/>
          </w:tcPr>
          <w:p w14:paraId="3226C472">
            <w:pPr>
              <w:pStyle w:val="14"/>
              <w:widowControl w:val="0"/>
              <w:rPr>
                <w:szCs w:val="21"/>
              </w:rPr>
            </w:pPr>
            <w:r>
              <w:rPr>
                <w:rFonts w:hint="eastAsia" w:ascii="黑体" w:hAnsi="黑体"/>
                <w:szCs w:val="21"/>
              </w:rPr>
              <w:t>教与学方式</w:t>
            </w:r>
          </w:p>
        </w:tc>
        <w:tc>
          <w:tcPr>
            <w:tcW w:w="1697" w:type="dxa"/>
            <w:vMerge w:val="restart"/>
            <w:tcBorders>
              <w:top w:val="single" w:color="auto" w:sz="12" w:space="0"/>
            </w:tcBorders>
            <w:vAlign w:val="center"/>
          </w:tcPr>
          <w:p w14:paraId="24EA7652">
            <w:pPr>
              <w:pStyle w:val="14"/>
              <w:widowControl w:val="0"/>
              <w:rPr>
                <w:rFonts w:hint="eastAsia" w:ascii="黑体" w:hAnsi="黑体"/>
                <w:szCs w:val="21"/>
              </w:rPr>
            </w:pPr>
            <w:r>
              <w:rPr>
                <w:rFonts w:hint="eastAsia" w:ascii="黑体" w:hAnsi="黑体"/>
                <w:szCs w:val="21"/>
              </w:rPr>
              <w:t>考核方式</w:t>
            </w:r>
          </w:p>
        </w:tc>
        <w:tc>
          <w:tcPr>
            <w:tcW w:w="2061" w:type="dxa"/>
            <w:gridSpan w:val="3"/>
            <w:tcBorders>
              <w:top w:val="single" w:color="auto" w:sz="12" w:space="0"/>
              <w:right w:val="single" w:color="auto" w:sz="12" w:space="0"/>
            </w:tcBorders>
            <w:vAlign w:val="center"/>
          </w:tcPr>
          <w:p w14:paraId="144B1E29">
            <w:pPr>
              <w:pStyle w:val="14"/>
              <w:widowControl w:val="0"/>
              <w:rPr>
                <w:rFonts w:hint="eastAsia" w:ascii="黑体" w:hAnsi="黑体"/>
                <w:szCs w:val="21"/>
              </w:rPr>
            </w:pPr>
            <w:r>
              <w:rPr>
                <w:rFonts w:hint="eastAsia" w:ascii="黑体" w:hAnsi="黑体"/>
                <w:szCs w:val="21"/>
              </w:rPr>
              <w:t>学时</w:t>
            </w:r>
            <w:r>
              <w:rPr>
                <w:rFonts w:hint="eastAsia" w:ascii="黑体" w:hAnsi="黑体"/>
                <w:bCs w:val="0"/>
                <w:szCs w:val="21"/>
              </w:rPr>
              <w:t>分配</w:t>
            </w:r>
          </w:p>
        </w:tc>
      </w:tr>
      <w:tr w14:paraId="4D51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28" w:type="dxa"/>
            <w:vMerge w:val="continue"/>
            <w:tcBorders>
              <w:left w:val="single" w:color="auto" w:sz="12" w:space="0"/>
            </w:tcBorders>
          </w:tcPr>
          <w:p w14:paraId="05A51759">
            <w:pPr>
              <w:widowControl w:val="0"/>
              <w:snapToGrid w:val="0"/>
              <w:jc w:val="center"/>
              <w:rPr>
                <w:rFonts w:hint="eastAsia" w:ascii="黑体" w:hAnsi="黑体" w:eastAsia="黑体"/>
                <w:bCs/>
                <w:sz w:val="21"/>
                <w:szCs w:val="21"/>
              </w:rPr>
            </w:pPr>
          </w:p>
        </w:tc>
        <w:tc>
          <w:tcPr>
            <w:tcW w:w="2690" w:type="dxa"/>
            <w:vMerge w:val="continue"/>
          </w:tcPr>
          <w:p w14:paraId="297D6615">
            <w:pPr>
              <w:widowControl w:val="0"/>
              <w:snapToGrid w:val="0"/>
              <w:jc w:val="center"/>
              <w:rPr>
                <w:rFonts w:hint="eastAsia" w:ascii="黑体" w:hAnsi="黑体" w:eastAsia="黑体"/>
                <w:bCs/>
                <w:sz w:val="21"/>
                <w:szCs w:val="21"/>
              </w:rPr>
            </w:pPr>
          </w:p>
        </w:tc>
        <w:tc>
          <w:tcPr>
            <w:tcW w:w="1697" w:type="dxa"/>
            <w:vMerge w:val="continue"/>
          </w:tcPr>
          <w:p w14:paraId="4B040DCF">
            <w:pPr>
              <w:widowControl w:val="0"/>
              <w:snapToGrid w:val="0"/>
              <w:jc w:val="center"/>
              <w:rPr>
                <w:rFonts w:hint="eastAsia" w:ascii="黑体" w:hAnsi="黑体" w:eastAsia="黑体"/>
                <w:bCs/>
                <w:sz w:val="21"/>
                <w:szCs w:val="21"/>
              </w:rPr>
            </w:pPr>
          </w:p>
        </w:tc>
        <w:tc>
          <w:tcPr>
            <w:tcW w:w="708" w:type="dxa"/>
            <w:vAlign w:val="center"/>
          </w:tcPr>
          <w:p w14:paraId="4AC208AC">
            <w:pPr>
              <w:widowControl w:val="0"/>
              <w:snapToGrid w:val="0"/>
              <w:jc w:val="center"/>
              <w:rPr>
                <w:rFonts w:hint="eastAsia" w:ascii="黑体" w:hAnsi="黑体" w:eastAsia="黑体"/>
                <w:bCs/>
                <w:sz w:val="21"/>
                <w:szCs w:val="21"/>
              </w:rPr>
            </w:pPr>
            <w:r>
              <w:rPr>
                <w:rFonts w:hint="eastAsia" w:ascii="黑体" w:hAnsi="黑体" w:eastAsia="黑体"/>
                <w:bCs/>
                <w:sz w:val="21"/>
                <w:szCs w:val="21"/>
              </w:rPr>
              <w:t>理论</w:t>
            </w:r>
          </w:p>
        </w:tc>
        <w:tc>
          <w:tcPr>
            <w:tcW w:w="653" w:type="dxa"/>
            <w:vAlign w:val="center"/>
          </w:tcPr>
          <w:p w14:paraId="10D38E8C">
            <w:pPr>
              <w:widowControl w:val="0"/>
              <w:snapToGrid w:val="0"/>
              <w:jc w:val="center"/>
              <w:rPr>
                <w:rFonts w:hint="eastAsia" w:ascii="黑体" w:hAnsi="黑体" w:eastAsia="黑体"/>
                <w:bCs/>
                <w:sz w:val="21"/>
                <w:szCs w:val="21"/>
              </w:rPr>
            </w:pPr>
            <w:r>
              <w:rPr>
                <w:rFonts w:hint="eastAsia" w:ascii="黑体" w:hAnsi="黑体" w:eastAsia="黑体"/>
                <w:bCs/>
                <w:sz w:val="21"/>
                <w:szCs w:val="21"/>
              </w:rPr>
              <w:t>实践</w:t>
            </w:r>
          </w:p>
        </w:tc>
        <w:tc>
          <w:tcPr>
            <w:tcW w:w="700" w:type="dxa"/>
            <w:tcBorders>
              <w:right w:val="single" w:color="auto" w:sz="12" w:space="0"/>
            </w:tcBorders>
            <w:vAlign w:val="center"/>
          </w:tcPr>
          <w:p w14:paraId="1F103F18">
            <w:pPr>
              <w:widowControl w:val="0"/>
              <w:snapToGrid w:val="0"/>
              <w:jc w:val="center"/>
              <w:rPr>
                <w:rFonts w:hint="eastAsia" w:ascii="黑体" w:hAnsi="黑体" w:eastAsia="黑体"/>
                <w:bCs/>
                <w:sz w:val="21"/>
                <w:szCs w:val="21"/>
              </w:rPr>
            </w:pPr>
            <w:r>
              <w:rPr>
                <w:rFonts w:hint="eastAsia" w:ascii="黑体" w:hAnsi="黑体" w:eastAsia="黑体"/>
                <w:bCs/>
                <w:sz w:val="21"/>
                <w:szCs w:val="21"/>
              </w:rPr>
              <w:t>小计</w:t>
            </w:r>
          </w:p>
        </w:tc>
      </w:tr>
      <w:tr w14:paraId="5613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3EF6BE0D">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第一单元 绪论、应激</w:t>
            </w:r>
          </w:p>
        </w:tc>
        <w:tc>
          <w:tcPr>
            <w:tcW w:w="2690" w:type="dxa"/>
            <w:vAlign w:val="center"/>
          </w:tcPr>
          <w:p w14:paraId="43E2E2FB">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1AE5D317">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 xml:space="preserve">PBL </w:t>
            </w:r>
          </w:p>
        </w:tc>
        <w:tc>
          <w:tcPr>
            <w:tcW w:w="1697" w:type="dxa"/>
            <w:vAlign w:val="center"/>
          </w:tcPr>
          <w:p w14:paraId="16341AE3">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1671CBB1">
            <w:pPr>
              <w:widowControl w:val="0"/>
              <w:snapToGrid w:val="0"/>
              <w:spacing w:line="300" w:lineRule="exact"/>
              <w:jc w:val="center"/>
              <w:rPr>
                <w:rFonts w:hint="eastAsia" w:asciiTheme="minorEastAsia" w:hAnsiTheme="minorEastAsia" w:eastAsiaTheme="minorEastAsia"/>
                <w:bCs/>
                <w:sz w:val="21"/>
                <w:szCs w:val="21"/>
              </w:rPr>
            </w:pPr>
          </w:p>
        </w:tc>
        <w:tc>
          <w:tcPr>
            <w:tcW w:w="708" w:type="dxa"/>
          </w:tcPr>
          <w:p w14:paraId="7DDFCF13">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c>
          <w:tcPr>
            <w:tcW w:w="653" w:type="dxa"/>
          </w:tcPr>
          <w:p w14:paraId="0E18152D">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0</w:t>
            </w:r>
          </w:p>
        </w:tc>
        <w:tc>
          <w:tcPr>
            <w:tcW w:w="700" w:type="dxa"/>
            <w:tcBorders>
              <w:right w:val="single" w:color="auto" w:sz="12" w:space="0"/>
            </w:tcBorders>
          </w:tcPr>
          <w:p w14:paraId="4CF109D5">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13AC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336D78AA">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 xml:space="preserve">第二单元 </w:t>
            </w:r>
            <w:r>
              <w:rPr>
                <w:rFonts w:asciiTheme="minorEastAsia" w:hAnsiTheme="minorEastAsia" w:eastAsiaTheme="minorEastAsia"/>
              </w:rPr>
              <w:t>细胞、组织的适应和损伤</w:t>
            </w:r>
            <w:r>
              <w:rPr>
                <w:rFonts w:hint="eastAsia" w:asciiTheme="minorEastAsia" w:hAnsiTheme="minorEastAsia" w:eastAsiaTheme="minorEastAsia"/>
              </w:rPr>
              <w:t>，修复</w:t>
            </w:r>
          </w:p>
        </w:tc>
        <w:tc>
          <w:tcPr>
            <w:tcW w:w="2690" w:type="dxa"/>
            <w:vAlign w:val="center"/>
          </w:tcPr>
          <w:p w14:paraId="4A160399">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09BAD965">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p>
        </w:tc>
        <w:tc>
          <w:tcPr>
            <w:tcW w:w="1697" w:type="dxa"/>
            <w:vAlign w:val="center"/>
          </w:tcPr>
          <w:p w14:paraId="6456A219">
            <w:pPr>
              <w:widowControl/>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tc>
        <w:tc>
          <w:tcPr>
            <w:tcW w:w="708" w:type="dxa"/>
          </w:tcPr>
          <w:p w14:paraId="60329DAE">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653" w:type="dxa"/>
          </w:tcPr>
          <w:p w14:paraId="10D7F993">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700" w:type="dxa"/>
            <w:tcBorders>
              <w:right w:val="single" w:color="auto" w:sz="12" w:space="0"/>
            </w:tcBorders>
          </w:tcPr>
          <w:p w14:paraId="488E3C51">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4251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6658EB62">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 xml:space="preserve">第三单元 </w:t>
            </w:r>
            <w:r>
              <w:rPr>
                <w:rFonts w:asciiTheme="minorEastAsia" w:hAnsiTheme="minorEastAsia" w:eastAsiaTheme="minorEastAsia"/>
              </w:rPr>
              <w:t>局部血液循环障碍</w:t>
            </w:r>
          </w:p>
        </w:tc>
        <w:tc>
          <w:tcPr>
            <w:tcW w:w="2690" w:type="dxa"/>
            <w:vAlign w:val="center"/>
          </w:tcPr>
          <w:p w14:paraId="366A20C3">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7C4AF4A7">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697" w:type="dxa"/>
            <w:vAlign w:val="center"/>
          </w:tcPr>
          <w:p w14:paraId="082C9BEA">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054C380B">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08" w:type="dxa"/>
          </w:tcPr>
          <w:p w14:paraId="629893A4">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653" w:type="dxa"/>
          </w:tcPr>
          <w:p w14:paraId="1264E6DA">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700" w:type="dxa"/>
            <w:tcBorders>
              <w:right w:val="single" w:color="auto" w:sz="12" w:space="0"/>
            </w:tcBorders>
          </w:tcPr>
          <w:p w14:paraId="43F8FEBB">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4258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537CA127">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第四单元 炎症</w:t>
            </w:r>
          </w:p>
        </w:tc>
        <w:tc>
          <w:tcPr>
            <w:tcW w:w="2690" w:type="dxa"/>
            <w:vAlign w:val="center"/>
          </w:tcPr>
          <w:p w14:paraId="4AC34773">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6F3F3B11">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697" w:type="dxa"/>
            <w:vAlign w:val="center"/>
          </w:tcPr>
          <w:p w14:paraId="0E76EB35">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67C9FC93">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08" w:type="dxa"/>
          </w:tcPr>
          <w:p w14:paraId="4AEB87EA">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653" w:type="dxa"/>
          </w:tcPr>
          <w:p w14:paraId="48CA0728">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700" w:type="dxa"/>
            <w:tcBorders>
              <w:right w:val="single" w:color="auto" w:sz="12" w:space="0"/>
            </w:tcBorders>
          </w:tcPr>
          <w:p w14:paraId="098159A2">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42F3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421CB974">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 xml:space="preserve">第五单元 </w:t>
            </w:r>
            <w:r>
              <w:rPr>
                <w:rFonts w:asciiTheme="minorEastAsia" w:hAnsiTheme="minorEastAsia" w:eastAsiaTheme="minorEastAsia"/>
              </w:rPr>
              <w:t>肿瘤</w:t>
            </w:r>
          </w:p>
        </w:tc>
        <w:tc>
          <w:tcPr>
            <w:tcW w:w="2690" w:type="dxa"/>
            <w:vAlign w:val="center"/>
          </w:tcPr>
          <w:p w14:paraId="1222D4AB">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63036C42">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697" w:type="dxa"/>
            <w:vAlign w:val="center"/>
          </w:tcPr>
          <w:p w14:paraId="00A10ECC">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155D0702">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08" w:type="dxa"/>
          </w:tcPr>
          <w:p w14:paraId="2CE281D6">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653" w:type="dxa"/>
          </w:tcPr>
          <w:p w14:paraId="089BCBBB">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c>
          <w:tcPr>
            <w:tcW w:w="700" w:type="dxa"/>
            <w:tcBorders>
              <w:right w:val="single" w:color="auto" w:sz="12" w:space="0"/>
            </w:tcBorders>
          </w:tcPr>
          <w:p w14:paraId="5BE3885E">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3</w:t>
            </w:r>
          </w:p>
        </w:tc>
      </w:tr>
      <w:tr w14:paraId="77A9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7E7E4965">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第六单元 水、电解质代谢紊乱</w:t>
            </w:r>
          </w:p>
        </w:tc>
        <w:tc>
          <w:tcPr>
            <w:tcW w:w="2690" w:type="dxa"/>
            <w:vAlign w:val="center"/>
          </w:tcPr>
          <w:p w14:paraId="1A33AD2E">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4DD29935">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 xml:space="preserve">PBL </w:t>
            </w:r>
          </w:p>
        </w:tc>
        <w:tc>
          <w:tcPr>
            <w:tcW w:w="1697" w:type="dxa"/>
            <w:vAlign w:val="center"/>
          </w:tcPr>
          <w:p w14:paraId="3B5F8F21">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234C674A">
            <w:pPr>
              <w:widowControl w:val="0"/>
              <w:snapToGrid w:val="0"/>
              <w:spacing w:line="300" w:lineRule="exact"/>
              <w:jc w:val="center"/>
              <w:rPr>
                <w:rFonts w:hint="eastAsia" w:asciiTheme="minorEastAsia" w:hAnsiTheme="minorEastAsia" w:eastAsiaTheme="minorEastAsia"/>
                <w:bCs/>
                <w:sz w:val="21"/>
                <w:szCs w:val="21"/>
              </w:rPr>
            </w:pPr>
          </w:p>
        </w:tc>
        <w:tc>
          <w:tcPr>
            <w:tcW w:w="708" w:type="dxa"/>
          </w:tcPr>
          <w:p w14:paraId="45233DFA">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c>
          <w:tcPr>
            <w:tcW w:w="653" w:type="dxa"/>
          </w:tcPr>
          <w:p w14:paraId="740D6D38">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0</w:t>
            </w:r>
          </w:p>
        </w:tc>
        <w:tc>
          <w:tcPr>
            <w:tcW w:w="700" w:type="dxa"/>
            <w:tcBorders>
              <w:right w:val="single" w:color="auto" w:sz="12" w:space="0"/>
            </w:tcBorders>
          </w:tcPr>
          <w:p w14:paraId="4223EF89">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44A8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4FA7760D">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 xml:space="preserve">第七单元 </w:t>
            </w:r>
            <w:r>
              <w:rPr>
                <w:rFonts w:asciiTheme="minorEastAsia" w:hAnsiTheme="minorEastAsia" w:eastAsiaTheme="minorEastAsia"/>
              </w:rPr>
              <w:t>发热</w:t>
            </w:r>
          </w:p>
        </w:tc>
        <w:tc>
          <w:tcPr>
            <w:tcW w:w="2690" w:type="dxa"/>
            <w:vAlign w:val="center"/>
          </w:tcPr>
          <w:p w14:paraId="41E01005">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6668A28B">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 xml:space="preserve">PBL </w:t>
            </w:r>
          </w:p>
        </w:tc>
        <w:tc>
          <w:tcPr>
            <w:tcW w:w="1697" w:type="dxa"/>
            <w:vAlign w:val="center"/>
          </w:tcPr>
          <w:p w14:paraId="723147BC">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573095D2">
            <w:pPr>
              <w:widowControl w:val="0"/>
              <w:snapToGrid w:val="0"/>
              <w:spacing w:line="300" w:lineRule="exact"/>
              <w:jc w:val="center"/>
              <w:rPr>
                <w:rFonts w:hint="eastAsia" w:asciiTheme="minorEastAsia" w:hAnsiTheme="minorEastAsia" w:eastAsiaTheme="minorEastAsia"/>
                <w:bCs/>
                <w:sz w:val="21"/>
                <w:szCs w:val="21"/>
              </w:rPr>
            </w:pPr>
          </w:p>
        </w:tc>
        <w:tc>
          <w:tcPr>
            <w:tcW w:w="708" w:type="dxa"/>
          </w:tcPr>
          <w:p w14:paraId="7DF085A2">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c>
          <w:tcPr>
            <w:tcW w:w="653" w:type="dxa"/>
          </w:tcPr>
          <w:p w14:paraId="0F438AB8">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0</w:t>
            </w:r>
          </w:p>
        </w:tc>
        <w:tc>
          <w:tcPr>
            <w:tcW w:w="700" w:type="dxa"/>
            <w:tcBorders>
              <w:right w:val="single" w:color="auto" w:sz="12" w:space="0"/>
            </w:tcBorders>
          </w:tcPr>
          <w:p w14:paraId="2D2D79DB">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7D47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43380317">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第八单元 缺氧</w:t>
            </w:r>
          </w:p>
        </w:tc>
        <w:tc>
          <w:tcPr>
            <w:tcW w:w="2690" w:type="dxa"/>
            <w:vAlign w:val="center"/>
          </w:tcPr>
          <w:p w14:paraId="60C9D5CB">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56DB6571">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 xml:space="preserve">PBL </w:t>
            </w:r>
          </w:p>
        </w:tc>
        <w:tc>
          <w:tcPr>
            <w:tcW w:w="1697" w:type="dxa"/>
            <w:vAlign w:val="center"/>
          </w:tcPr>
          <w:p w14:paraId="165756AB">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39CF82F5">
            <w:pPr>
              <w:widowControl w:val="0"/>
              <w:snapToGrid w:val="0"/>
              <w:spacing w:line="300" w:lineRule="exact"/>
              <w:jc w:val="center"/>
              <w:rPr>
                <w:rFonts w:hint="eastAsia" w:asciiTheme="minorEastAsia" w:hAnsiTheme="minorEastAsia" w:eastAsiaTheme="minorEastAsia"/>
                <w:bCs/>
                <w:sz w:val="21"/>
                <w:szCs w:val="21"/>
              </w:rPr>
            </w:pPr>
          </w:p>
        </w:tc>
        <w:tc>
          <w:tcPr>
            <w:tcW w:w="708" w:type="dxa"/>
          </w:tcPr>
          <w:p w14:paraId="68DFC1D9">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bCs/>
                <w:sz w:val="21"/>
                <w:szCs w:val="21"/>
              </w:rPr>
              <w:t>1</w:t>
            </w:r>
          </w:p>
        </w:tc>
        <w:tc>
          <w:tcPr>
            <w:tcW w:w="653" w:type="dxa"/>
          </w:tcPr>
          <w:p w14:paraId="6B1CA1A8">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0</w:t>
            </w:r>
          </w:p>
        </w:tc>
        <w:tc>
          <w:tcPr>
            <w:tcW w:w="700" w:type="dxa"/>
            <w:tcBorders>
              <w:right w:val="single" w:color="auto" w:sz="12" w:space="0"/>
            </w:tcBorders>
          </w:tcPr>
          <w:p w14:paraId="4472A597">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r>
      <w:tr w14:paraId="1DAD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1F0D7C8F">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第九单元 休克</w:t>
            </w:r>
          </w:p>
        </w:tc>
        <w:tc>
          <w:tcPr>
            <w:tcW w:w="2690" w:type="dxa"/>
            <w:vAlign w:val="center"/>
          </w:tcPr>
          <w:p w14:paraId="2278DF2E">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63704600">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 xml:space="preserve">PBL </w:t>
            </w:r>
          </w:p>
        </w:tc>
        <w:tc>
          <w:tcPr>
            <w:tcW w:w="1697" w:type="dxa"/>
            <w:vAlign w:val="center"/>
          </w:tcPr>
          <w:p w14:paraId="571F1001">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653A55D9">
            <w:pPr>
              <w:widowControl w:val="0"/>
              <w:snapToGrid w:val="0"/>
              <w:spacing w:line="300" w:lineRule="exact"/>
              <w:jc w:val="center"/>
              <w:rPr>
                <w:rFonts w:hint="eastAsia" w:asciiTheme="minorEastAsia" w:hAnsiTheme="minorEastAsia" w:eastAsiaTheme="minorEastAsia"/>
                <w:bCs/>
                <w:sz w:val="21"/>
                <w:szCs w:val="21"/>
              </w:rPr>
            </w:pPr>
          </w:p>
        </w:tc>
        <w:tc>
          <w:tcPr>
            <w:tcW w:w="708" w:type="dxa"/>
          </w:tcPr>
          <w:p w14:paraId="09FC5C99">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c>
          <w:tcPr>
            <w:tcW w:w="653" w:type="dxa"/>
          </w:tcPr>
          <w:p w14:paraId="3179093D">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0</w:t>
            </w:r>
          </w:p>
        </w:tc>
        <w:tc>
          <w:tcPr>
            <w:tcW w:w="700" w:type="dxa"/>
            <w:tcBorders>
              <w:right w:val="single" w:color="auto" w:sz="12" w:space="0"/>
            </w:tcBorders>
          </w:tcPr>
          <w:p w14:paraId="0B6430B8">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086E1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466230F5">
            <w:pPr>
              <w:pStyle w:val="15"/>
              <w:widowControl w:val="0"/>
              <w:spacing w:line="300" w:lineRule="exact"/>
              <w:jc w:val="both"/>
              <w:rPr>
                <w:rFonts w:hint="eastAsia" w:asciiTheme="minorEastAsia" w:hAnsiTheme="minorEastAsia" w:eastAsiaTheme="minorEastAsia"/>
              </w:rPr>
            </w:pPr>
            <w:r>
              <w:rPr>
                <w:rStyle w:val="24"/>
                <w:rFonts w:hint="default" w:asciiTheme="minorEastAsia" w:hAnsiTheme="minorEastAsia" w:eastAsiaTheme="minorEastAsia"/>
                <w:sz w:val="21"/>
                <w:szCs w:val="21"/>
              </w:rPr>
              <w:t>第十单元 酸碱平衡和酸碱平衡紊乱</w:t>
            </w:r>
          </w:p>
        </w:tc>
        <w:tc>
          <w:tcPr>
            <w:tcW w:w="2690" w:type="dxa"/>
            <w:vAlign w:val="center"/>
          </w:tcPr>
          <w:p w14:paraId="6C42A0EA">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3FFCFF0C">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 xml:space="preserve">PBL </w:t>
            </w:r>
          </w:p>
        </w:tc>
        <w:tc>
          <w:tcPr>
            <w:tcW w:w="1697" w:type="dxa"/>
            <w:vAlign w:val="center"/>
          </w:tcPr>
          <w:p w14:paraId="239985B6">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67D1333E">
            <w:pPr>
              <w:widowControl w:val="0"/>
              <w:snapToGrid w:val="0"/>
              <w:spacing w:line="300" w:lineRule="exact"/>
              <w:jc w:val="center"/>
              <w:rPr>
                <w:rFonts w:hint="eastAsia" w:asciiTheme="minorEastAsia" w:hAnsiTheme="minorEastAsia" w:eastAsiaTheme="minorEastAsia"/>
                <w:bCs/>
                <w:sz w:val="21"/>
                <w:szCs w:val="21"/>
              </w:rPr>
            </w:pPr>
          </w:p>
        </w:tc>
        <w:tc>
          <w:tcPr>
            <w:tcW w:w="708" w:type="dxa"/>
          </w:tcPr>
          <w:p w14:paraId="5FA7C117">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c>
          <w:tcPr>
            <w:tcW w:w="653" w:type="dxa"/>
          </w:tcPr>
          <w:p w14:paraId="41A77AF4">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0</w:t>
            </w:r>
          </w:p>
        </w:tc>
        <w:tc>
          <w:tcPr>
            <w:tcW w:w="700" w:type="dxa"/>
            <w:tcBorders>
              <w:right w:val="single" w:color="auto" w:sz="12" w:space="0"/>
            </w:tcBorders>
          </w:tcPr>
          <w:p w14:paraId="5124B62F">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7B40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56F8DD03">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第十一单元 弥散性血管内凝血</w:t>
            </w:r>
          </w:p>
        </w:tc>
        <w:tc>
          <w:tcPr>
            <w:tcW w:w="2690" w:type="dxa"/>
            <w:vAlign w:val="center"/>
          </w:tcPr>
          <w:p w14:paraId="76E46314">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2443AA16">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 xml:space="preserve">PBL </w:t>
            </w:r>
          </w:p>
        </w:tc>
        <w:tc>
          <w:tcPr>
            <w:tcW w:w="1697" w:type="dxa"/>
            <w:vAlign w:val="center"/>
          </w:tcPr>
          <w:p w14:paraId="6F0B875C">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52E0DA58">
            <w:pPr>
              <w:widowControl w:val="0"/>
              <w:snapToGrid w:val="0"/>
              <w:spacing w:line="300" w:lineRule="exact"/>
              <w:jc w:val="center"/>
              <w:rPr>
                <w:rFonts w:hint="eastAsia" w:asciiTheme="minorEastAsia" w:hAnsiTheme="minorEastAsia" w:eastAsiaTheme="minorEastAsia"/>
                <w:bCs/>
                <w:sz w:val="21"/>
                <w:szCs w:val="21"/>
              </w:rPr>
            </w:pPr>
          </w:p>
        </w:tc>
        <w:tc>
          <w:tcPr>
            <w:tcW w:w="708" w:type="dxa"/>
          </w:tcPr>
          <w:p w14:paraId="17253F55">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c>
          <w:tcPr>
            <w:tcW w:w="653" w:type="dxa"/>
          </w:tcPr>
          <w:p w14:paraId="0AFB5FCC">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0</w:t>
            </w:r>
          </w:p>
        </w:tc>
        <w:tc>
          <w:tcPr>
            <w:tcW w:w="700" w:type="dxa"/>
            <w:tcBorders>
              <w:right w:val="single" w:color="auto" w:sz="12" w:space="0"/>
            </w:tcBorders>
          </w:tcPr>
          <w:p w14:paraId="6896C643">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2AD5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66573AF5">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 xml:space="preserve">第十二单元 </w:t>
            </w:r>
            <w:r>
              <w:rPr>
                <w:rFonts w:asciiTheme="minorEastAsia" w:hAnsiTheme="minorEastAsia" w:eastAsiaTheme="minorEastAsia"/>
              </w:rPr>
              <w:t>心血管系统疾病</w:t>
            </w:r>
          </w:p>
        </w:tc>
        <w:tc>
          <w:tcPr>
            <w:tcW w:w="2690" w:type="dxa"/>
            <w:vAlign w:val="center"/>
          </w:tcPr>
          <w:p w14:paraId="0E8DD6CE">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3B7DC3D0">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697" w:type="dxa"/>
            <w:vAlign w:val="center"/>
          </w:tcPr>
          <w:p w14:paraId="5817BF2F">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62CDD13C">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08" w:type="dxa"/>
          </w:tcPr>
          <w:p w14:paraId="0CE0E05D">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653" w:type="dxa"/>
          </w:tcPr>
          <w:p w14:paraId="2A0C030A">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700" w:type="dxa"/>
            <w:tcBorders>
              <w:right w:val="single" w:color="auto" w:sz="12" w:space="0"/>
            </w:tcBorders>
          </w:tcPr>
          <w:p w14:paraId="29DD5367">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56FFF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7B0ECF8A">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第十三单元 呼吸系统疾病</w:t>
            </w:r>
          </w:p>
        </w:tc>
        <w:tc>
          <w:tcPr>
            <w:tcW w:w="2690" w:type="dxa"/>
            <w:vAlign w:val="center"/>
          </w:tcPr>
          <w:p w14:paraId="3343086B">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023CE157">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697" w:type="dxa"/>
            <w:vAlign w:val="center"/>
          </w:tcPr>
          <w:p w14:paraId="1D591A99">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749D71FC">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08" w:type="dxa"/>
          </w:tcPr>
          <w:p w14:paraId="572AD745">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653" w:type="dxa"/>
          </w:tcPr>
          <w:p w14:paraId="21915340">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700" w:type="dxa"/>
            <w:tcBorders>
              <w:right w:val="single" w:color="auto" w:sz="12" w:space="0"/>
            </w:tcBorders>
          </w:tcPr>
          <w:p w14:paraId="5F338847">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5E90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343E6073">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第十四单元 消化系统疾病</w:t>
            </w:r>
          </w:p>
        </w:tc>
        <w:tc>
          <w:tcPr>
            <w:tcW w:w="2690" w:type="dxa"/>
            <w:vAlign w:val="center"/>
          </w:tcPr>
          <w:p w14:paraId="1C4F61A2">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教：讲述教学法、讨论教学法、显微镜示教教学法。</w:t>
            </w:r>
          </w:p>
          <w:p w14:paraId="5806DA6B">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r>
              <w:rPr>
                <w:rFonts w:hint="eastAsia" w:asciiTheme="minorEastAsia" w:hAnsiTheme="minorEastAsia" w:eastAsiaTheme="minorEastAsia"/>
                <w:bCs/>
                <w:sz w:val="21"/>
                <w:szCs w:val="21"/>
              </w:rPr>
              <w:t>、实作学习</w:t>
            </w:r>
          </w:p>
        </w:tc>
        <w:tc>
          <w:tcPr>
            <w:tcW w:w="1697" w:type="dxa"/>
            <w:vAlign w:val="center"/>
          </w:tcPr>
          <w:p w14:paraId="7D413343">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19F60F05">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实验报告</w:t>
            </w:r>
          </w:p>
        </w:tc>
        <w:tc>
          <w:tcPr>
            <w:tcW w:w="708" w:type="dxa"/>
          </w:tcPr>
          <w:p w14:paraId="0FAAE59F">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653" w:type="dxa"/>
          </w:tcPr>
          <w:p w14:paraId="2A37BE15">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1</w:t>
            </w:r>
          </w:p>
        </w:tc>
        <w:tc>
          <w:tcPr>
            <w:tcW w:w="700" w:type="dxa"/>
            <w:tcBorders>
              <w:right w:val="single" w:color="auto" w:sz="12" w:space="0"/>
            </w:tcBorders>
          </w:tcPr>
          <w:p w14:paraId="378403BF">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6CEE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4A0622E5">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第十五单元 泌尿系统疾病</w:t>
            </w:r>
          </w:p>
        </w:tc>
        <w:tc>
          <w:tcPr>
            <w:tcW w:w="2690" w:type="dxa"/>
            <w:vAlign w:val="center"/>
          </w:tcPr>
          <w:p w14:paraId="1E0E1CD8">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68758F85">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p>
        </w:tc>
        <w:tc>
          <w:tcPr>
            <w:tcW w:w="1697" w:type="dxa"/>
            <w:vAlign w:val="center"/>
          </w:tcPr>
          <w:p w14:paraId="3F0FD452">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010FC37A">
            <w:pPr>
              <w:widowControl w:val="0"/>
              <w:snapToGrid w:val="0"/>
              <w:spacing w:line="300" w:lineRule="exact"/>
              <w:jc w:val="center"/>
              <w:rPr>
                <w:rFonts w:hint="eastAsia" w:asciiTheme="minorEastAsia" w:hAnsiTheme="minorEastAsia" w:eastAsiaTheme="minorEastAsia"/>
                <w:bCs/>
                <w:sz w:val="21"/>
                <w:szCs w:val="21"/>
              </w:rPr>
            </w:pPr>
          </w:p>
        </w:tc>
        <w:tc>
          <w:tcPr>
            <w:tcW w:w="708" w:type="dxa"/>
          </w:tcPr>
          <w:p w14:paraId="54CAD0D9">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c>
          <w:tcPr>
            <w:tcW w:w="653" w:type="dxa"/>
          </w:tcPr>
          <w:p w14:paraId="03BAF126">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0</w:t>
            </w:r>
          </w:p>
        </w:tc>
        <w:tc>
          <w:tcPr>
            <w:tcW w:w="700" w:type="dxa"/>
            <w:tcBorders>
              <w:right w:val="single" w:color="auto" w:sz="12" w:space="0"/>
            </w:tcBorders>
          </w:tcPr>
          <w:p w14:paraId="35C1F55A">
            <w:pPr>
              <w:widowControl w:val="0"/>
              <w:snapToGrid w:val="0"/>
              <w:spacing w:line="300" w:lineRule="exact"/>
              <w:jc w:val="center"/>
              <w:rPr>
                <w:rFonts w:hint="eastAsia" w:asciiTheme="minorEastAsia" w:hAnsiTheme="minorEastAsia" w:eastAsiaTheme="minorEastAsia"/>
                <w:bCs/>
                <w:sz w:val="21"/>
                <w:szCs w:val="21"/>
              </w:rPr>
            </w:pPr>
            <w:r>
              <w:rPr>
                <w:rFonts w:asciiTheme="minorEastAsia" w:hAnsiTheme="minorEastAsia" w:eastAsiaTheme="minorEastAsia"/>
                <w:sz w:val="21"/>
                <w:szCs w:val="21"/>
              </w:rPr>
              <w:t>2</w:t>
            </w:r>
          </w:p>
        </w:tc>
      </w:tr>
      <w:tr w14:paraId="3B22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24F018FD">
            <w:pPr>
              <w:pStyle w:val="15"/>
              <w:widowControl w:val="0"/>
              <w:spacing w:line="300" w:lineRule="exact"/>
              <w:jc w:val="both"/>
              <w:rPr>
                <w:rFonts w:hint="eastAsia" w:asciiTheme="minorEastAsia" w:hAnsiTheme="minorEastAsia" w:eastAsiaTheme="minorEastAsia"/>
              </w:rPr>
            </w:pPr>
            <w:r>
              <w:rPr>
                <w:rFonts w:hint="eastAsia" w:asciiTheme="minorEastAsia" w:hAnsiTheme="minorEastAsia" w:eastAsiaTheme="minorEastAsia"/>
              </w:rPr>
              <w:t xml:space="preserve">第十六单元 </w:t>
            </w:r>
            <w:r>
              <w:rPr>
                <w:rFonts w:asciiTheme="minorEastAsia" w:hAnsiTheme="minorEastAsia" w:eastAsiaTheme="minorEastAsia"/>
              </w:rPr>
              <w:t>重要</w:t>
            </w:r>
            <w:r>
              <w:rPr>
                <w:rFonts w:hint="eastAsia" w:asciiTheme="minorEastAsia" w:hAnsiTheme="minorEastAsia" w:eastAsiaTheme="minorEastAsia"/>
              </w:rPr>
              <w:t>脏器</w:t>
            </w:r>
            <w:r>
              <w:rPr>
                <w:rFonts w:asciiTheme="minorEastAsia" w:hAnsiTheme="minorEastAsia" w:eastAsiaTheme="minorEastAsia"/>
              </w:rPr>
              <w:t>功能衰竭</w:t>
            </w:r>
          </w:p>
        </w:tc>
        <w:tc>
          <w:tcPr>
            <w:tcW w:w="2690" w:type="dxa"/>
            <w:vAlign w:val="center"/>
          </w:tcPr>
          <w:p w14:paraId="202757CA">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教：讲述教学法、讨论教学法。</w:t>
            </w:r>
          </w:p>
          <w:p w14:paraId="29FB6319">
            <w:pPr>
              <w:widowControl w:val="0"/>
              <w:snapToGrid w:val="0"/>
              <w:spacing w:line="300" w:lineRule="exact"/>
              <w:jc w:val="both"/>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学：</w:t>
            </w:r>
            <w:r>
              <w:rPr>
                <w:rFonts w:asciiTheme="minorEastAsia" w:hAnsiTheme="minorEastAsia" w:eastAsiaTheme="minorEastAsia"/>
                <w:bCs/>
                <w:sz w:val="21"/>
                <w:szCs w:val="21"/>
              </w:rPr>
              <w:t>PBL</w:t>
            </w:r>
          </w:p>
        </w:tc>
        <w:tc>
          <w:tcPr>
            <w:tcW w:w="1697" w:type="dxa"/>
            <w:vAlign w:val="center"/>
          </w:tcPr>
          <w:p w14:paraId="3F5FF5A4">
            <w:pPr>
              <w:widowControl w:val="0"/>
              <w:snapToGrid w:val="0"/>
              <w:spacing w:line="300" w:lineRule="exact"/>
              <w:jc w:val="center"/>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纸笔测试</w:t>
            </w:r>
          </w:p>
          <w:p w14:paraId="2C1590F9">
            <w:pPr>
              <w:widowControl w:val="0"/>
              <w:snapToGrid w:val="0"/>
              <w:spacing w:line="300" w:lineRule="exact"/>
              <w:jc w:val="center"/>
              <w:rPr>
                <w:rFonts w:hint="eastAsia" w:asciiTheme="minorEastAsia" w:hAnsiTheme="minorEastAsia" w:eastAsiaTheme="minorEastAsia"/>
                <w:bCs/>
                <w:sz w:val="21"/>
                <w:szCs w:val="21"/>
              </w:rPr>
            </w:pPr>
          </w:p>
        </w:tc>
        <w:tc>
          <w:tcPr>
            <w:tcW w:w="708" w:type="dxa"/>
          </w:tcPr>
          <w:p w14:paraId="52676098">
            <w:pPr>
              <w:widowControl w:val="0"/>
              <w:snapToGrid w:val="0"/>
              <w:spacing w:line="300" w:lineRule="exact"/>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2</w:t>
            </w:r>
          </w:p>
        </w:tc>
        <w:tc>
          <w:tcPr>
            <w:tcW w:w="653" w:type="dxa"/>
          </w:tcPr>
          <w:p w14:paraId="62F193A3">
            <w:pPr>
              <w:widowControl w:val="0"/>
              <w:snapToGrid w:val="0"/>
              <w:spacing w:line="300" w:lineRule="exact"/>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0</w:t>
            </w:r>
          </w:p>
        </w:tc>
        <w:tc>
          <w:tcPr>
            <w:tcW w:w="700" w:type="dxa"/>
            <w:tcBorders>
              <w:right w:val="single" w:color="auto" w:sz="12" w:space="0"/>
            </w:tcBorders>
          </w:tcPr>
          <w:p w14:paraId="68B9CE0C">
            <w:pPr>
              <w:widowControl w:val="0"/>
              <w:snapToGrid w:val="0"/>
              <w:spacing w:line="300" w:lineRule="exact"/>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2</w:t>
            </w:r>
          </w:p>
        </w:tc>
      </w:tr>
      <w:tr w14:paraId="3481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left w:val="single" w:color="auto" w:sz="12" w:space="0"/>
              <w:bottom w:val="single" w:color="auto" w:sz="12" w:space="0"/>
            </w:tcBorders>
            <w:vAlign w:val="center"/>
          </w:tcPr>
          <w:p w14:paraId="4994175A">
            <w:pPr>
              <w:pStyle w:val="14"/>
              <w:widowControl w:val="0"/>
            </w:pPr>
            <w:r>
              <w:rPr>
                <w:rFonts w:hint="eastAsia"/>
              </w:rPr>
              <w:t>合计</w:t>
            </w:r>
          </w:p>
        </w:tc>
        <w:tc>
          <w:tcPr>
            <w:tcW w:w="708" w:type="dxa"/>
            <w:tcBorders>
              <w:bottom w:val="single" w:color="auto" w:sz="12" w:space="0"/>
            </w:tcBorders>
            <w:vAlign w:val="center"/>
          </w:tcPr>
          <w:p w14:paraId="1554EAD2">
            <w:pPr>
              <w:widowControl w:val="0"/>
              <w:snapToGrid w:val="0"/>
              <w:jc w:val="center"/>
              <w:rPr>
                <w:rFonts w:ascii="Times New Roman" w:hAnsi="Times New Roman"/>
                <w:bCs/>
                <w:sz w:val="21"/>
                <w:szCs w:val="21"/>
              </w:rPr>
            </w:pPr>
            <w:r>
              <w:rPr>
                <w:rFonts w:hint="eastAsia" w:ascii="Times New Roman" w:hAnsi="Times New Roman"/>
                <w:bCs/>
                <w:sz w:val="21"/>
                <w:szCs w:val="21"/>
              </w:rPr>
              <w:t>2</w:t>
            </w:r>
            <w:r>
              <w:rPr>
                <w:rFonts w:ascii="Times New Roman" w:hAnsi="Times New Roman"/>
                <w:bCs/>
                <w:sz w:val="21"/>
                <w:szCs w:val="21"/>
              </w:rPr>
              <w:t>4</w:t>
            </w:r>
          </w:p>
        </w:tc>
        <w:tc>
          <w:tcPr>
            <w:tcW w:w="653" w:type="dxa"/>
            <w:tcBorders>
              <w:bottom w:val="single" w:color="auto" w:sz="12" w:space="0"/>
            </w:tcBorders>
            <w:vAlign w:val="center"/>
          </w:tcPr>
          <w:p w14:paraId="75C137E1">
            <w:pPr>
              <w:widowControl w:val="0"/>
              <w:snapToGrid w:val="0"/>
              <w:jc w:val="center"/>
              <w:rPr>
                <w:rFonts w:ascii="Times New Roman" w:hAnsi="Times New Roman"/>
                <w:bCs/>
                <w:sz w:val="21"/>
                <w:szCs w:val="21"/>
              </w:rPr>
            </w:pPr>
            <w:r>
              <w:rPr>
                <w:rFonts w:ascii="Times New Roman" w:hAnsi="Times New Roman"/>
                <w:bCs/>
                <w:sz w:val="21"/>
                <w:szCs w:val="21"/>
              </w:rPr>
              <w:t>8</w:t>
            </w:r>
          </w:p>
        </w:tc>
        <w:tc>
          <w:tcPr>
            <w:tcW w:w="700" w:type="dxa"/>
            <w:tcBorders>
              <w:bottom w:val="single" w:color="auto" w:sz="12" w:space="0"/>
              <w:right w:val="single" w:color="auto" w:sz="12" w:space="0"/>
            </w:tcBorders>
            <w:vAlign w:val="center"/>
          </w:tcPr>
          <w:p w14:paraId="1089986B">
            <w:pPr>
              <w:widowControl w:val="0"/>
              <w:snapToGrid w:val="0"/>
              <w:jc w:val="center"/>
              <w:rPr>
                <w:rFonts w:ascii="Times New Roman" w:hAnsi="Times New Roman"/>
                <w:bCs/>
                <w:sz w:val="21"/>
                <w:szCs w:val="21"/>
              </w:rPr>
            </w:pPr>
            <w:r>
              <w:rPr>
                <w:rFonts w:hint="eastAsia" w:ascii="Times New Roman" w:hAnsi="Times New Roman"/>
                <w:bCs/>
                <w:sz w:val="21"/>
                <w:szCs w:val="21"/>
              </w:rPr>
              <w:t>3</w:t>
            </w:r>
            <w:r>
              <w:rPr>
                <w:rFonts w:ascii="Times New Roman" w:hAnsi="Times New Roman"/>
                <w:bCs/>
                <w:sz w:val="21"/>
                <w:szCs w:val="21"/>
              </w:rPr>
              <w:t>2</w:t>
            </w:r>
          </w:p>
        </w:tc>
      </w:tr>
    </w:tbl>
    <w:p w14:paraId="7A09098F">
      <w:pPr>
        <w:pStyle w:val="18"/>
        <w:spacing w:before="326" w:beforeLines="100" w:after="163"/>
      </w:pPr>
      <w:r>
        <w:rPr>
          <w:rFonts w:hint="eastAsia"/>
        </w:rPr>
        <w:t>（四）课内实验项目与基本要求</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05"/>
        <w:gridCol w:w="1842"/>
        <w:gridCol w:w="3690"/>
        <w:gridCol w:w="853"/>
        <w:gridCol w:w="1206"/>
      </w:tblGrid>
      <w:tr w14:paraId="4192B08C">
        <w:tblPrEx>
          <w:tblCellMar>
            <w:top w:w="57" w:type="dxa"/>
            <w:left w:w="85" w:type="dxa"/>
            <w:bottom w:w="57" w:type="dxa"/>
            <w:right w:w="85" w:type="dxa"/>
          </w:tblCellMar>
        </w:tblPrEx>
        <w:trPr>
          <w:trHeight w:val="454" w:hRule="atLeast"/>
          <w:jc w:val="center"/>
        </w:trPr>
        <w:tc>
          <w:tcPr>
            <w:tcW w:w="703" w:type="dxa"/>
            <w:tcBorders>
              <w:top w:val="single" w:color="auto" w:sz="12" w:space="0"/>
              <w:left w:val="single" w:color="auto" w:sz="12" w:space="0"/>
              <w:bottom w:val="single" w:color="auto" w:sz="4" w:space="0"/>
              <w:right w:val="single" w:color="auto" w:sz="4" w:space="0"/>
            </w:tcBorders>
            <w:vAlign w:val="center"/>
          </w:tcPr>
          <w:p w14:paraId="73F1B77F">
            <w:pPr>
              <w:pStyle w:val="14"/>
              <w:rPr>
                <w:szCs w:val="16"/>
              </w:rPr>
            </w:pPr>
            <w:r>
              <w:rPr>
                <w:rFonts w:hint="eastAsia"/>
                <w:szCs w:val="16"/>
              </w:rPr>
              <w:t>序号</w:t>
            </w:r>
          </w:p>
        </w:tc>
        <w:tc>
          <w:tcPr>
            <w:tcW w:w="1838" w:type="dxa"/>
            <w:tcBorders>
              <w:top w:val="single" w:color="auto" w:sz="12" w:space="0"/>
              <w:left w:val="single" w:color="auto" w:sz="4" w:space="0"/>
              <w:bottom w:val="single" w:color="auto" w:sz="4" w:space="0"/>
              <w:right w:val="single" w:color="auto" w:sz="4" w:space="0"/>
            </w:tcBorders>
            <w:vAlign w:val="center"/>
          </w:tcPr>
          <w:p w14:paraId="1B19860A">
            <w:pPr>
              <w:pStyle w:val="14"/>
              <w:rPr>
                <w:szCs w:val="16"/>
              </w:rPr>
            </w:pPr>
            <w:r>
              <w:rPr>
                <w:rFonts w:hint="eastAsia"/>
                <w:szCs w:val="16"/>
              </w:rPr>
              <w:t>实验项目名称</w:t>
            </w:r>
          </w:p>
        </w:tc>
        <w:tc>
          <w:tcPr>
            <w:tcW w:w="3681" w:type="dxa"/>
            <w:tcBorders>
              <w:top w:val="single" w:color="auto" w:sz="12" w:space="0"/>
              <w:left w:val="single" w:color="auto" w:sz="4" w:space="0"/>
              <w:bottom w:val="single" w:color="auto" w:sz="4" w:space="0"/>
              <w:right w:val="single" w:color="auto" w:sz="4" w:space="0"/>
            </w:tcBorders>
            <w:vAlign w:val="center"/>
          </w:tcPr>
          <w:p w14:paraId="723D2522">
            <w:pPr>
              <w:pStyle w:val="14"/>
              <w:rPr>
                <w:szCs w:val="16"/>
              </w:rPr>
            </w:pPr>
            <w:r>
              <w:rPr>
                <w:rFonts w:hint="eastAsia" w:ascii="黑体" w:hAnsi="宋体"/>
                <w:szCs w:val="16"/>
              </w:rPr>
              <w:t>目标要求与</w:t>
            </w:r>
            <w:r>
              <w:rPr>
                <w:rFonts w:hint="eastAsia"/>
                <w:szCs w:val="16"/>
              </w:rPr>
              <w:t>主要内容</w:t>
            </w:r>
          </w:p>
        </w:tc>
        <w:tc>
          <w:tcPr>
            <w:tcW w:w="851" w:type="dxa"/>
            <w:tcBorders>
              <w:top w:val="single" w:color="auto" w:sz="12" w:space="0"/>
              <w:left w:val="single" w:color="auto" w:sz="4" w:space="0"/>
              <w:right w:val="single" w:color="auto" w:sz="4" w:space="0"/>
            </w:tcBorders>
            <w:vAlign w:val="center"/>
          </w:tcPr>
          <w:p w14:paraId="0FB7D6A1">
            <w:pPr>
              <w:pStyle w:val="14"/>
              <w:rPr>
                <w:szCs w:val="16"/>
              </w:rPr>
            </w:pPr>
            <w:r>
              <w:rPr>
                <w:rFonts w:hint="eastAsia"/>
                <w:szCs w:val="16"/>
              </w:rPr>
              <w:t>实验</w:t>
            </w:r>
          </w:p>
          <w:p w14:paraId="05FF757E">
            <w:pPr>
              <w:pStyle w:val="14"/>
              <w:rPr>
                <w:szCs w:val="16"/>
              </w:rPr>
            </w:pPr>
            <w:r>
              <w:rPr>
                <w:rFonts w:hint="eastAsia"/>
                <w:szCs w:val="16"/>
              </w:rPr>
              <w:t>时数</w:t>
            </w:r>
          </w:p>
        </w:tc>
        <w:tc>
          <w:tcPr>
            <w:tcW w:w="1203" w:type="dxa"/>
            <w:tcBorders>
              <w:top w:val="single" w:color="auto" w:sz="12" w:space="0"/>
              <w:left w:val="single" w:color="auto" w:sz="4" w:space="0"/>
              <w:right w:val="single" w:color="auto" w:sz="12" w:space="0"/>
            </w:tcBorders>
            <w:vAlign w:val="center"/>
          </w:tcPr>
          <w:p w14:paraId="4D78BF7A">
            <w:pPr>
              <w:pStyle w:val="14"/>
              <w:rPr>
                <w:szCs w:val="16"/>
              </w:rPr>
            </w:pPr>
            <w:r>
              <w:rPr>
                <w:rFonts w:hint="eastAsia"/>
                <w:szCs w:val="16"/>
              </w:rPr>
              <w:t>实验</w:t>
            </w:r>
          </w:p>
          <w:p w14:paraId="344B2336">
            <w:pPr>
              <w:pStyle w:val="14"/>
              <w:rPr>
                <w:szCs w:val="16"/>
              </w:rPr>
            </w:pPr>
            <w:r>
              <w:rPr>
                <w:rFonts w:hint="eastAsia"/>
                <w:szCs w:val="16"/>
              </w:rPr>
              <w:t>类型</w:t>
            </w:r>
          </w:p>
        </w:tc>
      </w:tr>
      <w:tr w14:paraId="1F11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vAlign w:val="center"/>
          </w:tcPr>
          <w:p w14:paraId="338BD436">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1</w:t>
            </w:r>
          </w:p>
        </w:tc>
        <w:tc>
          <w:tcPr>
            <w:tcW w:w="1838" w:type="dxa"/>
            <w:tcBorders>
              <w:top w:val="single" w:color="auto" w:sz="4" w:space="0"/>
              <w:left w:val="single" w:color="auto" w:sz="4" w:space="0"/>
              <w:bottom w:val="single" w:color="auto" w:sz="4" w:space="0"/>
              <w:right w:val="single" w:color="auto" w:sz="4" w:space="0"/>
            </w:tcBorders>
            <w:vAlign w:val="center"/>
          </w:tcPr>
          <w:p w14:paraId="1658DDEE">
            <w:pPr>
              <w:pStyle w:val="4"/>
              <w:spacing w:line="300" w:lineRule="exact"/>
              <w:ind w:firstLine="0"/>
              <w:rPr>
                <w:rFonts w:hint="eastAsia" w:asciiTheme="minorEastAsia" w:hAnsiTheme="minorEastAsia"/>
                <w:bCs/>
                <w:szCs w:val="21"/>
              </w:rPr>
            </w:pPr>
            <w:r>
              <w:rPr>
                <w:rFonts w:asciiTheme="minorEastAsia" w:hAnsiTheme="minorEastAsia"/>
                <w:bCs/>
                <w:szCs w:val="21"/>
              </w:rPr>
              <w:t>组织、细胞适应、损伤与修复，局部血液循环障碍</w:t>
            </w:r>
          </w:p>
        </w:tc>
        <w:tc>
          <w:tcPr>
            <w:tcW w:w="3681" w:type="dxa"/>
            <w:tcBorders>
              <w:top w:val="single" w:color="auto" w:sz="4" w:space="0"/>
              <w:left w:val="single" w:color="auto" w:sz="4" w:space="0"/>
              <w:bottom w:val="single" w:color="auto" w:sz="4" w:space="0"/>
              <w:right w:val="single" w:color="auto" w:sz="4" w:space="0"/>
            </w:tcBorders>
            <w:vAlign w:val="center"/>
          </w:tcPr>
          <w:p w14:paraId="0EE03DA2">
            <w:pPr>
              <w:pStyle w:val="15"/>
              <w:spacing w:line="300" w:lineRule="exact"/>
              <w:jc w:val="left"/>
              <w:rPr>
                <w:rFonts w:hint="eastAsia" w:asciiTheme="minorEastAsia" w:hAnsiTheme="minorEastAsia" w:eastAsiaTheme="minorEastAsia"/>
              </w:rPr>
            </w:pPr>
            <w:r>
              <w:rPr>
                <w:rFonts w:asciiTheme="minorEastAsia" w:hAnsiTheme="minorEastAsia" w:eastAsiaTheme="minorEastAsia"/>
                <w:bCs/>
              </w:rPr>
              <w:t>肝脂肪变性、支气管黏膜鳞化、肉芽组织、慢性肺淤血、混合血栓</w:t>
            </w:r>
          </w:p>
        </w:tc>
        <w:tc>
          <w:tcPr>
            <w:tcW w:w="851" w:type="dxa"/>
            <w:tcBorders>
              <w:left w:val="single" w:color="auto" w:sz="4" w:space="0"/>
              <w:right w:val="single" w:color="auto" w:sz="4" w:space="0"/>
            </w:tcBorders>
            <w:vAlign w:val="center"/>
          </w:tcPr>
          <w:p w14:paraId="05820F38">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2</w:t>
            </w:r>
          </w:p>
        </w:tc>
        <w:tc>
          <w:tcPr>
            <w:tcW w:w="1203" w:type="dxa"/>
            <w:tcBorders>
              <w:left w:val="single" w:color="auto" w:sz="4" w:space="0"/>
              <w:right w:val="single" w:color="auto" w:sz="12" w:space="0"/>
            </w:tcBorders>
            <w:vAlign w:val="center"/>
          </w:tcPr>
          <w:p w14:paraId="698E9C5A">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④</w:t>
            </w:r>
          </w:p>
        </w:tc>
      </w:tr>
      <w:tr w14:paraId="0BBD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vAlign w:val="center"/>
          </w:tcPr>
          <w:p w14:paraId="6C47602B">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2</w:t>
            </w:r>
          </w:p>
        </w:tc>
        <w:tc>
          <w:tcPr>
            <w:tcW w:w="1838" w:type="dxa"/>
            <w:tcBorders>
              <w:top w:val="single" w:color="auto" w:sz="4" w:space="0"/>
              <w:left w:val="single" w:color="auto" w:sz="4" w:space="0"/>
              <w:bottom w:val="single" w:color="auto" w:sz="4" w:space="0"/>
              <w:right w:val="single" w:color="auto" w:sz="4" w:space="0"/>
            </w:tcBorders>
            <w:vAlign w:val="center"/>
          </w:tcPr>
          <w:p w14:paraId="09415127">
            <w:pPr>
              <w:pStyle w:val="15"/>
              <w:spacing w:line="300" w:lineRule="exact"/>
              <w:jc w:val="both"/>
              <w:rPr>
                <w:rFonts w:hint="eastAsia" w:asciiTheme="minorEastAsia" w:hAnsiTheme="minorEastAsia" w:eastAsiaTheme="minorEastAsia"/>
              </w:rPr>
            </w:pPr>
            <w:r>
              <w:rPr>
                <w:rFonts w:asciiTheme="minorEastAsia" w:hAnsiTheme="minorEastAsia" w:eastAsiaTheme="minorEastAsia"/>
                <w:bCs/>
              </w:rPr>
              <w:t>炎症、肿瘤（一）</w:t>
            </w:r>
          </w:p>
        </w:tc>
        <w:tc>
          <w:tcPr>
            <w:tcW w:w="3681" w:type="dxa"/>
            <w:tcBorders>
              <w:top w:val="single" w:color="auto" w:sz="4" w:space="0"/>
              <w:left w:val="single" w:color="auto" w:sz="4" w:space="0"/>
              <w:bottom w:val="single" w:color="auto" w:sz="4" w:space="0"/>
              <w:right w:val="single" w:color="auto" w:sz="4" w:space="0"/>
            </w:tcBorders>
            <w:vAlign w:val="center"/>
          </w:tcPr>
          <w:p w14:paraId="33B17432">
            <w:pPr>
              <w:pStyle w:val="15"/>
              <w:spacing w:line="300" w:lineRule="exact"/>
              <w:jc w:val="left"/>
              <w:rPr>
                <w:rFonts w:hint="eastAsia" w:asciiTheme="minorEastAsia" w:hAnsiTheme="minorEastAsia" w:eastAsiaTheme="minorEastAsia"/>
              </w:rPr>
            </w:pPr>
            <w:r>
              <w:rPr>
                <w:rFonts w:asciiTheme="minorEastAsia" w:hAnsiTheme="minorEastAsia" w:eastAsiaTheme="minorEastAsia"/>
                <w:bCs/>
              </w:rPr>
              <w:t>各类炎性细胞、肝脓肿、纤维瘤、纤维肉瘤</w:t>
            </w:r>
          </w:p>
        </w:tc>
        <w:tc>
          <w:tcPr>
            <w:tcW w:w="851" w:type="dxa"/>
            <w:tcBorders>
              <w:left w:val="single" w:color="auto" w:sz="4" w:space="0"/>
              <w:bottom w:val="single" w:color="auto" w:sz="4" w:space="0"/>
              <w:right w:val="single" w:color="auto" w:sz="4" w:space="0"/>
            </w:tcBorders>
            <w:vAlign w:val="center"/>
          </w:tcPr>
          <w:p w14:paraId="439ADAE5">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2</w:t>
            </w:r>
          </w:p>
        </w:tc>
        <w:tc>
          <w:tcPr>
            <w:tcW w:w="1203" w:type="dxa"/>
            <w:tcBorders>
              <w:left w:val="single" w:color="auto" w:sz="4" w:space="0"/>
              <w:bottom w:val="single" w:color="auto" w:sz="4" w:space="0"/>
              <w:right w:val="single" w:color="auto" w:sz="12" w:space="0"/>
            </w:tcBorders>
            <w:vAlign w:val="center"/>
          </w:tcPr>
          <w:p w14:paraId="26CC6EA4">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④</w:t>
            </w:r>
          </w:p>
        </w:tc>
      </w:tr>
      <w:tr w14:paraId="7879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vAlign w:val="center"/>
          </w:tcPr>
          <w:p w14:paraId="7893B475">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3</w:t>
            </w:r>
          </w:p>
        </w:tc>
        <w:tc>
          <w:tcPr>
            <w:tcW w:w="1838" w:type="dxa"/>
            <w:tcBorders>
              <w:top w:val="single" w:color="auto" w:sz="4" w:space="0"/>
              <w:left w:val="single" w:color="auto" w:sz="4" w:space="0"/>
              <w:bottom w:val="single" w:color="auto" w:sz="4" w:space="0"/>
              <w:right w:val="single" w:color="auto" w:sz="4" w:space="0"/>
            </w:tcBorders>
            <w:vAlign w:val="center"/>
          </w:tcPr>
          <w:p w14:paraId="557EEC68">
            <w:pPr>
              <w:pStyle w:val="15"/>
              <w:spacing w:line="300" w:lineRule="exact"/>
              <w:jc w:val="both"/>
              <w:rPr>
                <w:rFonts w:hint="eastAsia" w:asciiTheme="minorEastAsia" w:hAnsiTheme="minorEastAsia" w:eastAsiaTheme="minorEastAsia"/>
              </w:rPr>
            </w:pPr>
            <w:r>
              <w:rPr>
                <w:rFonts w:asciiTheme="minorEastAsia" w:hAnsiTheme="minorEastAsia" w:eastAsiaTheme="minorEastAsia"/>
                <w:bCs/>
              </w:rPr>
              <w:t>心血管疾病、呼吸系统常见疾病</w:t>
            </w:r>
          </w:p>
        </w:tc>
        <w:tc>
          <w:tcPr>
            <w:tcW w:w="3681" w:type="dxa"/>
            <w:tcBorders>
              <w:top w:val="single" w:color="auto" w:sz="4" w:space="0"/>
              <w:left w:val="single" w:color="auto" w:sz="4" w:space="0"/>
              <w:bottom w:val="single" w:color="auto" w:sz="4" w:space="0"/>
              <w:right w:val="single" w:color="auto" w:sz="4" w:space="0"/>
            </w:tcBorders>
            <w:vAlign w:val="center"/>
          </w:tcPr>
          <w:p w14:paraId="1AA72D7A">
            <w:pPr>
              <w:pStyle w:val="15"/>
              <w:spacing w:line="300" w:lineRule="exact"/>
              <w:jc w:val="left"/>
              <w:rPr>
                <w:rFonts w:hint="eastAsia" w:asciiTheme="minorEastAsia" w:hAnsiTheme="minorEastAsia" w:eastAsiaTheme="minorEastAsia"/>
              </w:rPr>
            </w:pPr>
            <w:r>
              <w:rPr>
                <w:rFonts w:asciiTheme="minorEastAsia" w:hAnsiTheme="minorEastAsia" w:eastAsiaTheme="minorEastAsia"/>
                <w:bCs/>
              </w:rPr>
              <w:t>心肌梗死、大叶性肺炎、小叶性肺炎、粟粒性肺结核</w:t>
            </w:r>
          </w:p>
        </w:tc>
        <w:tc>
          <w:tcPr>
            <w:tcW w:w="851" w:type="dxa"/>
            <w:tcBorders>
              <w:left w:val="single" w:color="auto" w:sz="4" w:space="0"/>
              <w:right w:val="single" w:color="auto" w:sz="4" w:space="0"/>
            </w:tcBorders>
            <w:vAlign w:val="center"/>
          </w:tcPr>
          <w:p w14:paraId="20D96C38">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2</w:t>
            </w:r>
          </w:p>
        </w:tc>
        <w:tc>
          <w:tcPr>
            <w:tcW w:w="1203" w:type="dxa"/>
            <w:tcBorders>
              <w:left w:val="single" w:color="auto" w:sz="4" w:space="0"/>
              <w:right w:val="single" w:color="auto" w:sz="12" w:space="0"/>
            </w:tcBorders>
            <w:vAlign w:val="center"/>
          </w:tcPr>
          <w:p w14:paraId="50195FB2">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④</w:t>
            </w:r>
          </w:p>
        </w:tc>
      </w:tr>
      <w:tr w14:paraId="3716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vAlign w:val="center"/>
          </w:tcPr>
          <w:p w14:paraId="5E52353A">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4</w:t>
            </w:r>
          </w:p>
        </w:tc>
        <w:tc>
          <w:tcPr>
            <w:tcW w:w="1838" w:type="dxa"/>
            <w:tcBorders>
              <w:top w:val="single" w:color="auto" w:sz="4" w:space="0"/>
              <w:left w:val="single" w:color="auto" w:sz="4" w:space="0"/>
              <w:bottom w:val="single" w:color="auto" w:sz="4" w:space="0"/>
              <w:right w:val="single" w:color="auto" w:sz="4" w:space="0"/>
            </w:tcBorders>
            <w:vAlign w:val="center"/>
          </w:tcPr>
          <w:p w14:paraId="12D0CE9C">
            <w:pPr>
              <w:pStyle w:val="15"/>
              <w:spacing w:line="300" w:lineRule="exact"/>
              <w:jc w:val="both"/>
              <w:rPr>
                <w:rFonts w:hint="eastAsia" w:asciiTheme="minorEastAsia" w:hAnsiTheme="minorEastAsia" w:eastAsiaTheme="minorEastAsia"/>
              </w:rPr>
            </w:pPr>
            <w:r>
              <w:rPr>
                <w:rFonts w:asciiTheme="minorEastAsia" w:hAnsiTheme="minorEastAsia" w:eastAsiaTheme="minorEastAsia"/>
                <w:bCs/>
              </w:rPr>
              <w:t>消化系统常见疾病、肿瘤（二）</w:t>
            </w:r>
          </w:p>
        </w:tc>
        <w:tc>
          <w:tcPr>
            <w:tcW w:w="3681" w:type="dxa"/>
            <w:tcBorders>
              <w:top w:val="single" w:color="auto" w:sz="4" w:space="0"/>
              <w:left w:val="single" w:color="auto" w:sz="4" w:space="0"/>
              <w:bottom w:val="single" w:color="auto" w:sz="4" w:space="0"/>
              <w:right w:val="single" w:color="auto" w:sz="4" w:space="0"/>
            </w:tcBorders>
            <w:vAlign w:val="center"/>
          </w:tcPr>
          <w:p w14:paraId="6F92F6A8">
            <w:pPr>
              <w:pStyle w:val="15"/>
              <w:spacing w:line="300" w:lineRule="exact"/>
              <w:jc w:val="left"/>
              <w:rPr>
                <w:rFonts w:hint="eastAsia" w:asciiTheme="minorEastAsia" w:hAnsiTheme="minorEastAsia" w:eastAsiaTheme="minorEastAsia"/>
              </w:rPr>
            </w:pPr>
            <w:r>
              <w:rPr>
                <w:rFonts w:asciiTheme="minorEastAsia" w:hAnsiTheme="minorEastAsia" w:eastAsiaTheme="minorEastAsia"/>
                <w:bCs/>
              </w:rPr>
              <w:t>胃溃疡、门脉性肝硬化、慢性活动性肝炎、肠腺瘤、鳞癌、腺癌</w:t>
            </w:r>
          </w:p>
        </w:tc>
        <w:tc>
          <w:tcPr>
            <w:tcW w:w="851" w:type="dxa"/>
            <w:tcBorders>
              <w:left w:val="single" w:color="auto" w:sz="4" w:space="0"/>
              <w:right w:val="single" w:color="auto" w:sz="4" w:space="0"/>
            </w:tcBorders>
            <w:vAlign w:val="center"/>
          </w:tcPr>
          <w:p w14:paraId="740D8FE0">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2</w:t>
            </w:r>
          </w:p>
        </w:tc>
        <w:tc>
          <w:tcPr>
            <w:tcW w:w="1203" w:type="dxa"/>
            <w:tcBorders>
              <w:left w:val="single" w:color="auto" w:sz="4" w:space="0"/>
              <w:right w:val="single" w:color="auto" w:sz="12" w:space="0"/>
            </w:tcBorders>
            <w:vAlign w:val="center"/>
          </w:tcPr>
          <w:p w14:paraId="47558686">
            <w:pPr>
              <w:pStyle w:val="15"/>
              <w:spacing w:line="300" w:lineRule="exact"/>
              <w:rPr>
                <w:rFonts w:hint="eastAsia" w:asciiTheme="minorEastAsia" w:hAnsiTheme="minorEastAsia" w:eastAsiaTheme="minorEastAsia"/>
              </w:rPr>
            </w:pPr>
            <w:r>
              <w:rPr>
                <w:rFonts w:hint="eastAsia" w:asciiTheme="minorEastAsia" w:hAnsiTheme="minorEastAsia" w:eastAsiaTheme="minorEastAsia"/>
              </w:rPr>
              <w:t>④</w:t>
            </w:r>
          </w:p>
        </w:tc>
      </w:tr>
      <w:tr w14:paraId="1A62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6" w:type="dxa"/>
            <w:gridSpan w:val="5"/>
            <w:tcBorders>
              <w:top w:val="single" w:color="auto" w:sz="12" w:space="0"/>
              <w:left w:val="nil"/>
              <w:bottom w:val="nil"/>
              <w:right w:val="nil"/>
            </w:tcBorders>
            <w:vAlign w:val="center"/>
          </w:tcPr>
          <w:p w14:paraId="02127D6B">
            <w:pPr>
              <w:pStyle w:val="14"/>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4A6079A1">
      <w:pPr>
        <w:pStyle w:val="17"/>
        <w:spacing w:before="326" w:beforeLines="100" w:line="360" w:lineRule="auto"/>
        <w:ind w:firstLine="140" w:firstLineChars="50"/>
        <w:rPr>
          <w:rFonts w:hint="eastAsia" w:ascii="黑体" w:hAnsi="宋体"/>
        </w:rPr>
      </w:pPr>
      <w:bookmarkStart w:id="0" w:name="OLE_LINK1"/>
      <w:bookmarkStart w:id="1" w:name="OLE_LINK2"/>
      <w:r>
        <w:rPr>
          <w:rFonts w:hint="eastAsia" w:ascii="黑体" w:hAnsi="宋体"/>
        </w:rPr>
        <w:t>四、课程思政教学设计</w:t>
      </w:r>
    </w:p>
    <w:bookmarkEnd w:id="0"/>
    <w:bookmarkEnd w:id="1"/>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25E923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28" w:hRule="atLeast"/>
        </w:trPr>
        <w:tc>
          <w:tcPr>
            <w:tcW w:w="8276" w:type="dxa"/>
            <w:vAlign w:val="center"/>
          </w:tcPr>
          <w:p w14:paraId="403B0EBD">
            <w:pPr>
              <w:widowControl w:val="0"/>
              <w:spacing w:line="300" w:lineRule="exact"/>
              <w:ind w:firstLine="422" w:firstLineChars="200"/>
              <w:jc w:val="both"/>
              <w:rPr>
                <w:rFonts w:hint="eastAsia" w:asciiTheme="minorEastAsia" w:hAnsiTheme="minorEastAsia" w:eastAsiaTheme="minorEastAsia"/>
                <w:sz w:val="21"/>
                <w:szCs w:val="21"/>
              </w:rPr>
            </w:pPr>
            <w:r>
              <w:rPr>
                <w:rFonts w:asciiTheme="minorEastAsia" w:hAnsiTheme="minorEastAsia" w:eastAsiaTheme="minorEastAsia"/>
                <w:b/>
                <w:bCs/>
                <w:kern w:val="2"/>
                <w:sz w:val="21"/>
                <w:szCs w:val="21"/>
              </w:rPr>
              <w:t>1.</w:t>
            </w:r>
            <w:r>
              <w:rPr>
                <w:rFonts w:hint="eastAsia" w:asciiTheme="minorEastAsia" w:hAnsiTheme="minorEastAsia" w:eastAsiaTheme="minorEastAsia"/>
                <w:b/>
                <w:bCs/>
                <w:kern w:val="2"/>
                <w:sz w:val="21"/>
                <w:szCs w:val="21"/>
              </w:rPr>
              <w:t>课程简介</w:t>
            </w:r>
          </w:p>
          <w:p w14:paraId="5A5A19E5">
            <w:pPr>
              <w:widowControl w:val="0"/>
              <w:snapToGrid w:val="0"/>
              <w:spacing w:line="300" w:lineRule="exact"/>
              <w:ind w:firstLine="420" w:firstLineChars="200"/>
              <w:jc w:val="both"/>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《病理学与病理生理学》课程包括病理学与病理生理学两部分内容。两部分内容联系紧密，难以分割。</w:t>
            </w:r>
          </w:p>
          <w:p w14:paraId="4DA044D3">
            <w:pPr>
              <w:widowControl w:val="0"/>
              <w:snapToGrid w:val="0"/>
              <w:spacing w:line="300" w:lineRule="exact"/>
              <w:ind w:firstLine="420" w:firstLineChars="200"/>
              <w:jc w:val="both"/>
              <w:rPr>
                <w:rFonts w:hint="eastAsia" w:asciiTheme="minorEastAsia" w:hAnsiTheme="minorEastAsia" w:eastAsiaTheme="minorEastAsia"/>
                <w:color w:val="000000"/>
                <w:sz w:val="21"/>
                <w:szCs w:val="21"/>
              </w:rPr>
            </w:pPr>
            <w:r>
              <w:rPr>
                <w:rFonts w:asciiTheme="minorEastAsia" w:hAnsiTheme="minorEastAsia" w:eastAsiaTheme="minorEastAsia"/>
                <w:color w:val="000000"/>
                <w:sz w:val="21"/>
                <w:szCs w:val="21"/>
              </w:rPr>
              <w:t>病理学是一门研究疾病的病因、发病机制、病理变化、结局和转归的医学基础学科，是一门联系基础医学和临床医学之间的桥梁学科。病理学分为总论和各论两部分。总论主要研究和阐述疾病共同病变及其发生的共同规律，属普通病理学；各</w:t>
            </w:r>
            <w:r>
              <w:rPr>
                <w:rFonts w:hint="eastAsia" w:asciiTheme="minorEastAsia" w:hAnsiTheme="minorEastAsia" w:eastAsiaTheme="minorEastAsia"/>
                <w:color w:val="000000"/>
                <w:sz w:val="21"/>
                <w:szCs w:val="21"/>
              </w:rPr>
              <w:t>章</w:t>
            </w:r>
            <w:r>
              <w:rPr>
                <w:rFonts w:asciiTheme="minorEastAsia" w:hAnsiTheme="minorEastAsia" w:eastAsiaTheme="minorEastAsia"/>
                <w:color w:val="000000"/>
                <w:sz w:val="21"/>
                <w:szCs w:val="21"/>
              </w:rPr>
              <w:t>主要讲述人体各系统器官主要疾病的具体病理变化及其规律，属于系统病理学，总论和各论之间存在着密切的联系。</w:t>
            </w:r>
          </w:p>
          <w:p w14:paraId="61E2B2AD">
            <w:pPr>
              <w:widowControl w:val="0"/>
              <w:spacing w:line="300" w:lineRule="exact"/>
              <w:ind w:firstLine="420" w:firstLineChars="200"/>
              <w:jc w:val="both"/>
              <w:rPr>
                <w:rFonts w:hint="eastAsia" w:asciiTheme="minorEastAsia" w:hAnsiTheme="minorEastAsia" w:eastAsiaTheme="minorEastAsia"/>
                <w:color w:val="000000"/>
                <w:sz w:val="21"/>
                <w:szCs w:val="21"/>
              </w:rPr>
            </w:pPr>
            <w:r>
              <w:rPr>
                <w:rFonts w:asciiTheme="minorEastAsia" w:hAnsiTheme="minorEastAsia" w:eastAsiaTheme="minorEastAsia"/>
                <w:color w:val="000000"/>
                <w:sz w:val="21"/>
                <w:szCs w:val="21"/>
              </w:rPr>
              <w:t>病理生理学是研究疾病发生发展过程中功能和代谢变化的机制及规律的一门医学基础学科。病理生理学内容分为疾病概论、基本病理过程和系统器官病理生理学三部分。病理生理学学习的目的,是通过对上述内容的学习,揭示疾病的本质,为疾病的预防和诊断治疗提供理论和实验依据。</w:t>
            </w:r>
          </w:p>
          <w:p w14:paraId="700428A9">
            <w:pPr>
              <w:widowControl w:val="0"/>
              <w:spacing w:line="300" w:lineRule="exact"/>
              <w:ind w:firstLine="422" w:firstLineChars="200"/>
              <w:jc w:val="both"/>
              <w:rPr>
                <w:rFonts w:hint="eastAsia" w:asciiTheme="minorEastAsia" w:hAnsiTheme="minorEastAsia" w:eastAsiaTheme="minorEastAsia"/>
                <w:sz w:val="21"/>
                <w:szCs w:val="21"/>
              </w:rPr>
            </w:pPr>
            <w:r>
              <w:rPr>
                <w:rFonts w:asciiTheme="minorEastAsia" w:hAnsiTheme="minorEastAsia" w:eastAsiaTheme="minorEastAsia"/>
                <w:b/>
                <w:bCs/>
                <w:kern w:val="2"/>
                <w:sz w:val="21"/>
                <w:szCs w:val="21"/>
              </w:rPr>
              <w:t>2.</w:t>
            </w:r>
            <w:r>
              <w:rPr>
                <w:rFonts w:hint="eastAsia" w:asciiTheme="minorEastAsia" w:hAnsiTheme="minorEastAsia" w:eastAsiaTheme="minorEastAsia"/>
                <w:b/>
                <w:bCs/>
                <w:kern w:val="2"/>
                <w:sz w:val="21"/>
                <w:szCs w:val="21"/>
              </w:rPr>
              <w:t>思政目标</w:t>
            </w:r>
          </w:p>
          <w:p w14:paraId="6A98CCE9">
            <w:pPr>
              <w:widowControl w:val="0"/>
              <w:spacing w:line="300" w:lineRule="exact"/>
              <w:ind w:firstLine="420" w:firstLineChars="20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随着医疗体制不断的改革，对医护人员的要求已不仅仅停留在专业技术水平，对其职业道德也提出了更高的要求，思政元素融入专业基础课的必要性不言而喻。高校教师做好课程思政建设必须做到以下几点</w:t>
            </w:r>
            <w:r>
              <w:rPr>
                <w:rFonts w:asciiTheme="minorEastAsia" w:hAnsiTheme="minorEastAsia" w:eastAsiaTheme="minorEastAsia"/>
                <w:kern w:val="2"/>
                <w:sz w:val="21"/>
                <w:szCs w:val="21"/>
              </w:rPr>
              <w:t xml:space="preserve"> </w:t>
            </w:r>
            <w:r>
              <w:rPr>
                <w:rFonts w:hint="eastAsia" w:asciiTheme="minorEastAsia" w:hAnsiTheme="minorEastAsia" w:eastAsiaTheme="minorEastAsia"/>
                <w:kern w:val="2"/>
                <w:sz w:val="21"/>
                <w:szCs w:val="21"/>
              </w:rPr>
              <w:t>：一是加强教师对</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课程思政</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的认同感和</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师德师风</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建设，教师要以身作则做好当代大学生的思想引导和行为规范</w:t>
            </w:r>
            <w:r>
              <w:rPr>
                <w:rFonts w:asciiTheme="minorEastAsia" w:hAnsiTheme="minorEastAsia" w:eastAsiaTheme="minorEastAsia"/>
                <w:kern w:val="2"/>
                <w:sz w:val="21"/>
                <w:szCs w:val="21"/>
              </w:rPr>
              <w:t xml:space="preserve"> </w:t>
            </w:r>
            <w:r>
              <w:rPr>
                <w:rFonts w:hint="eastAsia" w:asciiTheme="minorEastAsia" w:hAnsiTheme="minorEastAsia" w:eastAsiaTheme="minorEastAsia"/>
                <w:kern w:val="2"/>
                <w:sz w:val="21"/>
                <w:szCs w:val="21"/>
              </w:rPr>
              <w:t>；二是</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课程思政</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必须做到思政教育元素融入各专业课程教育内容中去，不能以</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思政课程</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枯燥的面目出现，一定要达到润物细无声的双重育人作用</w:t>
            </w:r>
            <w:r>
              <w:rPr>
                <w:rFonts w:asciiTheme="minorEastAsia" w:hAnsiTheme="minorEastAsia" w:eastAsiaTheme="minorEastAsia"/>
                <w:kern w:val="2"/>
                <w:sz w:val="21"/>
                <w:szCs w:val="21"/>
              </w:rPr>
              <w:t xml:space="preserve"> </w:t>
            </w:r>
            <w:r>
              <w:rPr>
                <w:rFonts w:hint="eastAsia" w:asciiTheme="minorEastAsia" w:hAnsiTheme="minorEastAsia" w:eastAsiaTheme="minorEastAsia"/>
                <w:kern w:val="2"/>
                <w:sz w:val="21"/>
                <w:szCs w:val="21"/>
              </w:rPr>
              <w:t>；三是进行</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课程思政</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设计中，务必注意培养学生的价值观、人生观、职业道德和社会道德观，注重培养学生对中国传统文化乃至世界传统文化的兴趣。在今后的理论及实验教学活动中，人体生理学</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课程思政</w:t>
            </w:r>
            <w:r>
              <w:rPr>
                <w:rFonts w:asciiTheme="minorEastAsia" w:hAnsiTheme="minorEastAsia" w:eastAsiaTheme="minorEastAsia"/>
                <w:kern w:val="2"/>
                <w:sz w:val="21"/>
                <w:szCs w:val="21"/>
              </w:rPr>
              <w:t>”</w:t>
            </w:r>
            <w:r>
              <w:rPr>
                <w:rFonts w:hint="eastAsia" w:asciiTheme="minorEastAsia" w:hAnsiTheme="minorEastAsia" w:eastAsiaTheme="minorEastAsia"/>
                <w:kern w:val="2"/>
                <w:sz w:val="21"/>
                <w:szCs w:val="21"/>
              </w:rPr>
              <w:t>教学重点是以科学精神为指导，灵活运用多种教学形式，以达到教书育人的双重目标。</w:t>
            </w:r>
          </w:p>
          <w:p w14:paraId="02F9E7AE">
            <w:pPr>
              <w:widowControl w:val="0"/>
              <w:spacing w:line="300" w:lineRule="exact"/>
              <w:ind w:firstLine="420" w:firstLineChars="20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本课程涉及内容庞杂，知识面广泛，既密切联系人们的日常生活实践，又紧扣生命科学的发展前沿，可以融入课程思政的切入点非常丰富。</w:t>
            </w:r>
          </w:p>
          <w:p w14:paraId="4839BA4E">
            <w:pPr>
              <w:widowControl w:val="0"/>
              <w:spacing w:line="300" w:lineRule="exact"/>
              <w:ind w:firstLine="422" w:firstLineChars="200"/>
              <w:jc w:val="both"/>
              <w:rPr>
                <w:rFonts w:hint="eastAsia" w:asciiTheme="minorEastAsia" w:hAnsiTheme="minorEastAsia" w:eastAsiaTheme="minorEastAsia"/>
                <w:sz w:val="21"/>
                <w:szCs w:val="21"/>
              </w:rPr>
            </w:pPr>
            <w:r>
              <w:rPr>
                <w:rFonts w:asciiTheme="minorEastAsia" w:hAnsiTheme="minorEastAsia" w:eastAsiaTheme="minorEastAsia"/>
                <w:b/>
                <w:bCs/>
                <w:kern w:val="2"/>
                <w:sz w:val="21"/>
                <w:szCs w:val="21"/>
              </w:rPr>
              <w:t>3.</w:t>
            </w:r>
            <w:r>
              <w:rPr>
                <w:rFonts w:hint="eastAsia" w:asciiTheme="minorEastAsia" w:hAnsiTheme="minorEastAsia" w:eastAsiaTheme="minorEastAsia"/>
                <w:b/>
                <w:bCs/>
                <w:kern w:val="2"/>
                <w:sz w:val="21"/>
                <w:szCs w:val="21"/>
              </w:rPr>
              <w:t>融入思政的教学设计</w:t>
            </w:r>
          </w:p>
          <w:p w14:paraId="69AD0FBD">
            <w:pPr>
              <w:widowControl w:val="0"/>
              <w:spacing w:line="300" w:lineRule="exact"/>
              <w:ind w:firstLine="420" w:firstLineChars="20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根据本课程的教学内容及其特点，可将思政内容划分为以下六个方面，在进行具体的教学设计时进行有机融合。对应八项核心素养中的课程思政指标点L</w:t>
            </w:r>
            <w:r>
              <w:rPr>
                <w:rFonts w:asciiTheme="minorEastAsia" w:hAnsiTheme="minorEastAsia" w:eastAsiaTheme="minorEastAsia"/>
                <w:kern w:val="2"/>
                <w:sz w:val="21"/>
                <w:szCs w:val="21"/>
              </w:rPr>
              <w:t>01</w:t>
            </w:r>
            <w:r>
              <w:rPr>
                <w:rFonts w:hint="eastAsia" w:asciiTheme="minorEastAsia" w:hAnsiTheme="minorEastAsia" w:eastAsiaTheme="minorEastAsia"/>
                <w:kern w:val="2"/>
                <w:sz w:val="21"/>
                <w:szCs w:val="21"/>
              </w:rPr>
              <w:t>⑤。</w:t>
            </w:r>
          </w:p>
          <w:p w14:paraId="2F41A87E">
            <w:pPr>
              <w:widowControl w:val="0"/>
              <w:spacing w:line="300" w:lineRule="exact"/>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（1）疾病观中“脑死亡”和“植物人”概念的区分，医学伦理观的树立；对应绪论。</w:t>
            </w:r>
          </w:p>
          <w:p w14:paraId="04E9B3A8">
            <w:pPr>
              <w:widowControl w:val="0"/>
              <w:spacing w:line="300" w:lineRule="exact"/>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（2）培养对病人的怜悯之心，对应所有章节。</w:t>
            </w:r>
          </w:p>
          <w:p w14:paraId="354DFCE1">
            <w:pPr>
              <w:widowControl w:val="0"/>
              <w:spacing w:line="300" w:lineRule="exact"/>
              <w:ind w:firstLine="420"/>
              <w:jc w:val="both"/>
              <w:rPr>
                <w:rFonts w:hint="eastAsia" w:asciiTheme="minorEastAsia" w:hAnsiTheme="minorEastAsia" w:eastAsiaTheme="minorEastAsia"/>
                <w:kern w:val="2"/>
                <w:sz w:val="21"/>
                <w:szCs w:val="21"/>
              </w:rPr>
            </w:pPr>
            <w:r>
              <w:rPr>
                <w:rFonts w:hint="eastAsia" w:asciiTheme="minorEastAsia" w:hAnsiTheme="minorEastAsia" w:eastAsiaTheme="minorEastAsia"/>
                <w:kern w:val="2"/>
                <w:sz w:val="21"/>
                <w:szCs w:val="21"/>
              </w:rPr>
              <w:t>（3）与疾病相关的环境保护意识，例如空气污染与呼吸系统疾病等。对应第十三单元呼吸系统疾病。</w:t>
            </w:r>
          </w:p>
          <w:p w14:paraId="0956F170">
            <w:pPr>
              <w:widowControl w:val="0"/>
              <w:spacing w:line="300" w:lineRule="exact"/>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（4）公共卫生意识的建立，如何预防幽门螺旋杆菌的蔓延。对应第十四单元消化系统疾病。</w:t>
            </w:r>
          </w:p>
          <w:p w14:paraId="6778FA7A">
            <w:pPr>
              <w:widowControl w:val="0"/>
              <w:spacing w:line="300" w:lineRule="exact"/>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kern w:val="2"/>
                <w:sz w:val="21"/>
                <w:szCs w:val="21"/>
              </w:rPr>
              <w:t>（5）学生整体观思维模式的建立。对应所有章节</w:t>
            </w:r>
          </w:p>
          <w:p w14:paraId="5A1D022B">
            <w:pPr>
              <w:widowControl w:val="0"/>
              <w:spacing w:line="300" w:lineRule="exact"/>
              <w:ind w:firstLine="420"/>
              <w:jc w:val="both"/>
              <w:rPr>
                <w:rFonts w:hint="eastAsia" w:asciiTheme="minorEastAsia" w:hAnsiTheme="minorEastAsia" w:eastAsiaTheme="minorEastAsia"/>
                <w:kern w:val="2"/>
                <w:sz w:val="21"/>
                <w:szCs w:val="21"/>
              </w:rPr>
            </w:pPr>
            <w:r>
              <w:rPr>
                <w:rFonts w:hint="eastAsia" w:asciiTheme="minorEastAsia" w:hAnsiTheme="minorEastAsia" w:eastAsiaTheme="minorEastAsia"/>
                <w:kern w:val="2"/>
                <w:sz w:val="21"/>
                <w:szCs w:val="21"/>
              </w:rPr>
              <w:t>（6）介绍我们国家在病理学领域的科学家，树立为医学做出贡献的信心。对应所有章节。</w:t>
            </w:r>
          </w:p>
        </w:tc>
      </w:tr>
    </w:tbl>
    <w:p w14:paraId="77074FD7">
      <w:pPr>
        <w:pStyle w:val="17"/>
        <w:numPr>
          <w:ilvl w:val="0"/>
          <w:numId w:val="1"/>
        </w:numPr>
        <w:spacing w:before="326" w:beforeLines="100" w:line="360" w:lineRule="auto"/>
        <w:ind w:left="560" w:hanging="560"/>
        <w:rPr>
          <w:rFonts w:hint="eastAsia" w:ascii="黑体" w:hAnsi="宋体"/>
        </w:rPr>
      </w:pPr>
      <w:r>
        <w:rPr>
          <w:rFonts w:ascii="黑体" w:hAnsi="宋体"/>
        </w:rPr>
        <w:t>文理融合、医工融合教学课程设计</w:t>
      </w:r>
    </w:p>
    <w:p w14:paraId="6E8ED31A">
      <w:pPr>
        <w:spacing w:line="300" w:lineRule="exact"/>
        <w:rPr>
          <w:rFonts w:hint="eastAsia"/>
          <w:sz w:val="21"/>
          <w:szCs w:val="21"/>
        </w:rPr>
      </w:pPr>
      <w:r>
        <w:rPr>
          <w:rFonts w:hint="eastAsia"/>
          <w:sz w:val="21"/>
          <w:szCs w:val="21"/>
        </w:rPr>
        <w:t>（1）</w:t>
      </w:r>
      <w:r>
        <w:rPr>
          <w:sz w:val="21"/>
          <w:szCs w:val="21"/>
        </w:rPr>
        <w:t>课程简介</w:t>
      </w:r>
    </w:p>
    <w:p w14:paraId="1FDE064B">
      <w:pPr>
        <w:snapToGrid w:val="0"/>
        <w:spacing w:line="300" w:lineRule="exact"/>
        <w:ind w:firstLine="420" w:firstLineChars="200"/>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《病理学与病理生理学》课程包括病理学与病理生理学两部分内容。两部分内容联系紧密，难以分割。</w:t>
      </w:r>
      <w:r>
        <w:rPr>
          <w:rFonts w:asciiTheme="minorEastAsia" w:hAnsiTheme="minorEastAsia" w:eastAsiaTheme="minorEastAsia"/>
          <w:color w:val="000000"/>
          <w:sz w:val="21"/>
          <w:szCs w:val="21"/>
        </w:rPr>
        <w:t>病理学是一门研究疾病的病因、发病机制、病理变化、结局和转归的医学基础学科，是一门联系基础医学和临床医学之间的桥梁学科。病理学分为总论和各论两部分。总论主要研究和阐述疾病共同病变及其发生的共同规律，属普通病理学；各</w:t>
      </w:r>
      <w:r>
        <w:rPr>
          <w:rFonts w:hint="eastAsia" w:asciiTheme="minorEastAsia" w:hAnsiTheme="minorEastAsia" w:eastAsiaTheme="minorEastAsia"/>
          <w:color w:val="000000"/>
          <w:sz w:val="21"/>
          <w:szCs w:val="21"/>
        </w:rPr>
        <w:t>章</w:t>
      </w:r>
      <w:r>
        <w:rPr>
          <w:rFonts w:asciiTheme="minorEastAsia" w:hAnsiTheme="minorEastAsia" w:eastAsiaTheme="minorEastAsia"/>
          <w:color w:val="000000"/>
          <w:sz w:val="21"/>
          <w:szCs w:val="21"/>
        </w:rPr>
        <w:t>主要讲述人体各系统器官主要疾病的具体病理变化及其规律，属于系统病理学，总论和各论之间存在着密切的联系。病理生理学是研究疾病发生发展过程中功能和代谢变化的机制及规律的一门医学基础学科。病理生理学内容分为疾病概论、基本病理过程和系统器官病理生理学三部分。病理生理学学习的目的,是通过对上述内容的学习,揭示疾病的本质,为疾病的预防和诊断治疗提供理论和实验依据。</w:t>
      </w:r>
      <w:r>
        <w:rPr>
          <w:sz w:val="21"/>
          <w:szCs w:val="21"/>
        </w:rPr>
        <w:t>本课程涉及内容庞杂，知识面广泛，既密切联系人们疾病预防、发生、发展与结局，又密切联系医疗、护理、康复、健康管理实践、慢病管理、健康促进，紧扣人文、医学工程的发展前沿，可以融入的切入点非常丰富。</w:t>
      </w:r>
    </w:p>
    <w:p w14:paraId="23A43A99">
      <w:pPr>
        <w:spacing w:line="300" w:lineRule="exact"/>
        <w:rPr>
          <w:rFonts w:hint="eastAsia"/>
          <w:sz w:val="21"/>
          <w:szCs w:val="21"/>
        </w:rPr>
      </w:pPr>
      <w:r>
        <w:rPr>
          <w:rFonts w:hint="eastAsia"/>
          <w:sz w:val="21"/>
          <w:szCs w:val="21"/>
        </w:rPr>
        <w:t>（2）</w:t>
      </w:r>
      <w:r>
        <w:rPr>
          <w:sz w:val="21"/>
          <w:szCs w:val="21"/>
        </w:rPr>
        <w:t>融合目标</w:t>
      </w:r>
    </w:p>
    <w:p w14:paraId="6E68C0C4">
      <w:pPr>
        <w:spacing w:line="300" w:lineRule="exact"/>
        <w:ind w:firstLine="420" w:firstLineChars="200"/>
        <w:rPr>
          <w:rFonts w:hint="eastAsia"/>
          <w:sz w:val="21"/>
          <w:szCs w:val="21"/>
        </w:rPr>
      </w:pPr>
      <w:r>
        <w:rPr>
          <w:sz w:val="21"/>
          <w:szCs w:val="21"/>
        </w:rPr>
        <w:t>随着新医学的发展</w:t>
      </w:r>
      <w:r>
        <w:rPr>
          <w:rFonts w:hint="eastAsia"/>
          <w:sz w:val="21"/>
          <w:szCs w:val="21"/>
        </w:rPr>
        <w:t>和</w:t>
      </w:r>
      <w:r>
        <w:rPr>
          <w:sz w:val="21"/>
          <w:szCs w:val="21"/>
        </w:rPr>
        <w:t>医疗体制不断的改革，医学基础学科中文理融合、医工融合是跨学科合作的重要方面，旨在将文科、理科和工程学的知识与医学知识结合起来，以促进更全面、高效的医疗、护理、康复、健康管理的解决方案。</w:t>
      </w:r>
    </w:p>
    <w:p w14:paraId="43B82074">
      <w:pPr>
        <w:spacing w:line="300" w:lineRule="exact"/>
        <w:ind w:firstLine="420" w:firstLineChars="200"/>
        <w:rPr>
          <w:rFonts w:hint="eastAsia"/>
          <w:sz w:val="21"/>
          <w:szCs w:val="21"/>
        </w:rPr>
      </w:pPr>
      <w:r>
        <w:rPr>
          <w:sz w:val="21"/>
          <w:szCs w:val="21"/>
        </w:rPr>
        <w:t>①</w:t>
      </w:r>
      <w:r>
        <w:rPr>
          <w:rFonts w:hint="eastAsia"/>
          <w:sz w:val="21"/>
          <w:szCs w:val="21"/>
        </w:rPr>
        <w:t>文理融合</w:t>
      </w:r>
      <w:r>
        <w:rPr>
          <w:sz w:val="21"/>
          <w:szCs w:val="21"/>
        </w:rPr>
        <w:t>，如医学伦理学、医学心理学</w:t>
      </w:r>
      <w:r>
        <w:rPr>
          <w:rFonts w:hint="eastAsia"/>
          <w:sz w:val="21"/>
          <w:szCs w:val="21"/>
        </w:rPr>
        <w:t>、医疗政策、传统医学见解</w:t>
      </w:r>
      <w:r>
        <w:rPr>
          <w:sz w:val="21"/>
          <w:szCs w:val="21"/>
        </w:rPr>
        <w:t>等，培养学生的跨学科思维。</w:t>
      </w:r>
    </w:p>
    <w:p w14:paraId="09C1E8B9">
      <w:pPr>
        <w:spacing w:line="300" w:lineRule="exact"/>
        <w:ind w:firstLine="420"/>
        <w:rPr>
          <w:rFonts w:hint="eastAsia"/>
          <w:sz w:val="21"/>
          <w:szCs w:val="21"/>
        </w:rPr>
      </w:pPr>
      <w:r>
        <w:rPr>
          <w:sz w:val="21"/>
          <w:szCs w:val="21"/>
        </w:rPr>
        <w:t>②</w:t>
      </w:r>
      <w:r>
        <w:rPr>
          <w:rFonts w:hint="eastAsia"/>
          <w:sz w:val="21"/>
          <w:szCs w:val="21"/>
        </w:rPr>
        <w:t>医工融合</w:t>
      </w:r>
      <w:r>
        <w:rPr>
          <w:sz w:val="21"/>
          <w:szCs w:val="21"/>
        </w:rPr>
        <w:t>，如生物材料学、医学影像技术、医疗器械设计等，使学生理解工程技术在医疗领域的应用。与教学内容相关的新技术，如智能医疗设备、远程诊疗系统的介绍：在临床环境中应用工程原理，比如使用机器人手术、穿戴设备、人工智能</w:t>
      </w:r>
      <w:r>
        <w:rPr>
          <w:rFonts w:hint="eastAsia"/>
          <w:sz w:val="21"/>
          <w:szCs w:val="21"/>
        </w:rPr>
        <w:t>A</w:t>
      </w:r>
      <w:r>
        <w:rPr>
          <w:sz w:val="21"/>
          <w:szCs w:val="21"/>
        </w:rPr>
        <w:t>I辅助诊断等</w:t>
      </w:r>
      <w:r>
        <w:rPr>
          <w:rFonts w:hint="eastAsia"/>
          <w:sz w:val="21"/>
          <w:szCs w:val="21"/>
        </w:rPr>
        <w:t>；</w:t>
      </w:r>
      <w:r>
        <w:rPr>
          <w:sz w:val="21"/>
          <w:szCs w:val="21"/>
        </w:rPr>
        <w:t>结合心理学和社会学知识，提高患者满意度,优化医疗服务流程</w:t>
      </w:r>
      <w:r>
        <w:rPr>
          <w:rFonts w:hint="eastAsia"/>
          <w:sz w:val="21"/>
          <w:szCs w:val="21"/>
        </w:rPr>
        <w:t>；</w:t>
      </w:r>
      <w:r>
        <w:rPr>
          <w:sz w:val="21"/>
          <w:szCs w:val="21"/>
        </w:rPr>
        <w:t>设立标准化组织，制定医工产品和程序的标准，确保安全性和有效性。</w:t>
      </w:r>
    </w:p>
    <w:p w14:paraId="6F09A7DE">
      <w:pPr>
        <w:spacing w:line="300" w:lineRule="exact"/>
        <w:ind w:firstLine="420"/>
        <w:rPr>
          <w:rFonts w:hint="eastAsia"/>
          <w:sz w:val="21"/>
          <w:szCs w:val="21"/>
        </w:rPr>
      </w:pPr>
      <w:r>
        <w:rPr>
          <w:rFonts w:hint="eastAsia"/>
          <w:sz w:val="21"/>
          <w:szCs w:val="21"/>
        </w:rPr>
        <w:t>③</w:t>
      </w:r>
      <w:r>
        <w:rPr>
          <w:sz w:val="21"/>
          <w:szCs w:val="21"/>
        </w:rPr>
        <w:t>创新与创业:鼓励医学背景的学生学习创新和创业技能，推动医学技术的商业化</w:t>
      </w:r>
      <w:r>
        <w:rPr>
          <w:rFonts w:hint="eastAsia"/>
          <w:sz w:val="21"/>
          <w:szCs w:val="21"/>
        </w:rPr>
        <w:t>；</w:t>
      </w:r>
      <w:r>
        <w:rPr>
          <w:sz w:val="21"/>
          <w:szCs w:val="21"/>
        </w:rPr>
        <w:t>支持跨学科团队创立初创企业，将科研成果转化为实际的医疗产品和服务。</w:t>
      </w:r>
    </w:p>
    <w:p w14:paraId="6079E55C">
      <w:pPr>
        <w:spacing w:line="300" w:lineRule="exact"/>
        <w:ind w:firstLine="420"/>
        <w:rPr>
          <w:rFonts w:hint="eastAsia"/>
          <w:sz w:val="21"/>
          <w:szCs w:val="21"/>
        </w:rPr>
      </w:pPr>
      <w:r>
        <w:rPr>
          <w:sz w:val="21"/>
          <w:szCs w:val="21"/>
        </w:rPr>
        <w:t>总之，通过上述方式，医学基础学科可以有效地进行文理融合和医工融合，不仅有助于培养具有综合能力的新医学人才，而且能够促进医学科技的创新和发展，最终提升医疗健康服务的水平。</w:t>
      </w:r>
    </w:p>
    <w:p w14:paraId="13F3A459">
      <w:pPr>
        <w:pStyle w:val="17"/>
        <w:spacing w:before="326" w:beforeLines="100" w:line="360" w:lineRule="auto"/>
        <w:rPr>
          <w:rFonts w:hint="eastAsia" w:ascii="黑体" w:hAnsi="宋体"/>
        </w:rPr>
      </w:pPr>
      <w:r>
        <w:rPr>
          <w:rFonts w:hint="eastAsia" w:ascii="黑体" w:hAnsi="宋体"/>
        </w:rPr>
        <w:t>六、课程考核</w:t>
      </w:r>
      <w:bookmarkStart w:id="2" w:name="OLE_LINK4"/>
      <w:bookmarkStart w:id="3" w:name="OLE_LINK3"/>
    </w:p>
    <w:bookmarkEnd w:id="2"/>
    <w:bookmarkEnd w:id="3"/>
    <w:tbl>
      <w:tblPr>
        <w:tblStyle w:val="9"/>
        <w:tblW w:w="83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765"/>
        <w:gridCol w:w="851"/>
        <w:gridCol w:w="850"/>
        <w:gridCol w:w="851"/>
        <w:gridCol w:w="1134"/>
      </w:tblGrid>
      <w:tr w14:paraId="4D29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7307AA7A">
            <w:pPr>
              <w:widowControl w:val="0"/>
              <w:snapToGrid w:val="0"/>
              <w:jc w:val="center"/>
              <w:rPr>
                <w:rFonts w:hint="eastAsia"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08240BA6">
            <w:pPr>
              <w:pStyle w:val="17"/>
              <w:widowControl w:val="0"/>
              <w:spacing w:line="240" w:lineRule="auto"/>
              <w:jc w:val="center"/>
              <w:rPr>
                <w:rFonts w:hint="eastAsia"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4DFC742A">
            <w:pPr>
              <w:pStyle w:val="17"/>
              <w:widowControl w:val="0"/>
              <w:jc w:val="center"/>
              <w:rPr>
                <w:rFonts w:hint="eastAsia" w:ascii="黑体" w:hAnsi="黑体"/>
                <w:bCs/>
                <w:sz w:val="21"/>
                <w:szCs w:val="21"/>
              </w:rPr>
            </w:pPr>
            <w:r>
              <w:rPr>
                <w:rFonts w:hint="eastAsia" w:ascii="黑体" w:hAnsi="黑体"/>
                <w:bCs/>
                <w:sz w:val="21"/>
                <w:szCs w:val="21"/>
              </w:rPr>
              <w:t>考核方式</w:t>
            </w:r>
          </w:p>
        </w:tc>
        <w:tc>
          <w:tcPr>
            <w:tcW w:w="4451" w:type="dxa"/>
            <w:gridSpan w:val="5"/>
            <w:tcBorders>
              <w:top w:val="single" w:color="auto" w:sz="12" w:space="0"/>
              <w:right w:val="single" w:color="auto" w:sz="12" w:space="0"/>
            </w:tcBorders>
            <w:vAlign w:val="center"/>
          </w:tcPr>
          <w:p w14:paraId="7082F720">
            <w:pPr>
              <w:pStyle w:val="17"/>
              <w:widowControl w:val="0"/>
              <w:spacing w:line="240" w:lineRule="auto"/>
              <w:jc w:val="center"/>
              <w:rPr>
                <w:rFonts w:hint="eastAsia" w:ascii="黑体" w:hAnsi="黑体"/>
                <w:bCs/>
                <w:sz w:val="21"/>
                <w:szCs w:val="21"/>
              </w:rPr>
            </w:pPr>
            <w:r>
              <w:rPr>
                <w:rFonts w:hint="eastAsia" w:ascii="黑体" w:hAnsi="黑体"/>
                <w:bCs/>
                <w:sz w:val="21"/>
                <w:szCs w:val="21"/>
              </w:rPr>
              <w:t>课程目标</w:t>
            </w:r>
          </w:p>
        </w:tc>
      </w:tr>
      <w:tr w14:paraId="4AA2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2CEA6531">
            <w:pPr>
              <w:widowControl w:val="0"/>
              <w:snapToGrid w:val="0"/>
              <w:jc w:val="center"/>
              <w:rPr>
                <w:rFonts w:hint="eastAsia" w:ascii="黑体" w:hAnsi="黑体" w:eastAsia="黑体"/>
                <w:bCs/>
                <w:sz w:val="21"/>
                <w:szCs w:val="21"/>
              </w:rPr>
            </w:pPr>
          </w:p>
        </w:tc>
        <w:tc>
          <w:tcPr>
            <w:tcW w:w="709" w:type="dxa"/>
            <w:vMerge w:val="continue"/>
          </w:tcPr>
          <w:p w14:paraId="3738C857">
            <w:pPr>
              <w:pStyle w:val="17"/>
              <w:widowControl w:val="0"/>
              <w:jc w:val="both"/>
              <w:rPr>
                <w:rFonts w:hint="eastAsia" w:ascii="黑体" w:hAnsi="黑体"/>
                <w:bCs/>
                <w:sz w:val="21"/>
                <w:szCs w:val="21"/>
              </w:rPr>
            </w:pPr>
          </w:p>
        </w:tc>
        <w:tc>
          <w:tcPr>
            <w:tcW w:w="2353" w:type="dxa"/>
            <w:vMerge w:val="continue"/>
            <w:tcBorders>
              <w:right w:val="double" w:color="auto" w:sz="4" w:space="0"/>
            </w:tcBorders>
          </w:tcPr>
          <w:p w14:paraId="72218CF5">
            <w:pPr>
              <w:pStyle w:val="17"/>
              <w:widowControl w:val="0"/>
              <w:jc w:val="both"/>
              <w:rPr>
                <w:rFonts w:hint="eastAsia" w:ascii="黑体" w:hAnsi="黑体"/>
                <w:bCs/>
                <w:sz w:val="21"/>
                <w:szCs w:val="21"/>
              </w:rPr>
            </w:pPr>
          </w:p>
        </w:tc>
        <w:tc>
          <w:tcPr>
            <w:tcW w:w="765" w:type="dxa"/>
            <w:tcBorders>
              <w:left w:val="double" w:color="auto" w:sz="4" w:space="0"/>
            </w:tcBorders>
            <w:vAlign w:val="center"/>
          </w:tcPr>
          <w:p w14:paraId="5B0A7718">
            <w:pPr>
              <w:pStyle w:val="17"/>
              <w:widowControl w:val="0"/>
              <w:spacing w:line="240" w:lineRule="auto"/>
              <w:jc w:val="center"/>
              <w:rPr>
                <w:rFonts w:hint="eastAsia" w:ascii="黑体" w:hAnsi="黑体"/>
                <w:bCs/>
                <w:sz w:val="21"/>
                <w:szCs w:val="21"/>
              </w:rPr>
            </w:pPr>
            <w:r>
              <w:rPr>
                <w:rFonts w:hint="eastAsia" w:ascii="黑体" w:hAnsi="黑体"/>
                <w:bCs/>
                <w:sz w:val="21"/>
                <w:szCs w:val="21"/>
              </w:rPr>
              <w:t>1</w:t>
            </w:r>
          </w:p>
        </w:tc>
        <w:tc>
          <w:tcPr>
            <w:tcW w:w="851" w:type="dxa"/>
            <w:vAlign w:val="center"/>
          </w:tcPr>
          <w:p w14:paraId="3B87B02E">
            <w:pPr>
              <w:pStyle w:val="17"/>
              <w:widowControl w:val="0"/>
              <w:spacing w:line="240" w:lineRule="auto"/>
              <w:jc w:val="center"/>
              <w:rPr>
                <w:rFonts w:hint="eastAsia" w:ascii="黑体" w:hAnsi="黑体"/>
                <w:bCs/>
                <w:sz w:val="21"/>
                <w:szCs w:val="21"/>
              </w:rPr>
            </w:pPr>
            <w:r>
              <w:rPr>
                <w:rFonts w:hint="eastAsia" w:ascii="黑体" w:hAnsi="黑体"/>
                <w:bCs/>
                <w:sz w:val="21"/>
                <w:szCs w:val="21"/>
              </w:rPr>
              <w:t>2</w:t>
            </w:r>
          </w:p>
        </w:tc>
        <w:tc>
          <w:tcPr>
            <w:tcW w:w="850" w:type="dxa"/>
            <w:vAlign w:val="center"/>
          </w:tcPr>
          <w:p w14:paraId="5F7EB418">
            <w:pPr>
              <w:pStyle w:val="17"/>
              <w:widowControl w:val="0"/>
              <w:spacing w:line="240" w:lineRule="auto"/>
              <w:jc w:val="center"/>
              <w:rPr>
                <w:rFonts w:hint="eastAsia" w:ascii="黑体" w:hAnsi="黑体"/>
                <w:bCs/>
                <w:sz w:val="21"/>
                <w:szCs w:val="21"/>
              </w:rPr>
            </w:pPr>
            <w:r>
              <w:rPr>
                <w:rFonts w:hint="eastAsia" w:ascii="黑体" w:hAnsi="黑体"/>
                <w:bCs/>
                <w:sz w:val="21"/>
                <w:szCs w:val="21"/>
              </w:rPr>
              <w:t>3</w:t>
            </w:r>
          </w:p>
        </w:tc>
        <w:tc>
          <w:tcPr>
            <w:tcW w:w="851" w:type="dxa"/>
            <w:vAlign w:val="center"/>
          </w:tcPr>
          <w:p w14:paraId="1ACFDF54">
            <w:pPr>
              <w:pStyle w:val="17"/>
              <w:widowControl w:val="0"/>
              <w:spacing w:line="240" w:lineRule="auto"/>
              <w:jc w:val="center"/>
              <w:rPr>
                <w:rFonts w:hint="eastAsia" w:ascii="黑体" w:hAnsi="黑体"/>
                <w:bCs/>
                <w:sz w:val="21"/>
                <w:szCs w:val="21"/>
              </w:rPr>
            </w:pPr>
            <w:r>
              <w:rPr>
                <w:rFonts w:hint="eastAsia" w:ascii="黑体" w:hAnsi="黑体"/>
                <w:bCs/>
                <w:sz w:val="21"/>
                <w:szCs w:val="21"/>
              </w:rPr>
              <w:t>4</w:t>
            </w:r>
          </w:p>
        </w:tc>
        <w:tc>
          <w:tcPr>
            <w:tcW w:w="1134" w:type="dxa"/>
            <w:tcBorders>
              <w:right w:val="single" w:color="auto" w:sz="12" w:space="0"/>
            </w:tcBorders>
          </w:tcPr>
          <w:p w14:paraId="62E91C4C">
            <w:pPr>
              <w:pStyle w:val="17"/>
              <w:widowControl w:val="0"/>
              <w:spacing w:line="240" w:lineRule="auto"/>
              <w:jc w:val="center"/>
              <w:rPr>
                <w:rFonts w:hint="eastAsia" w:ascii="黑体" w:hAnsi="黑体"/>
                <w:bCs/>
                <w:sz w:val="21"/>
                <w:szCs w:val="21"/>
              </w:rPr>
            </w:pPr>
            <w:r>
              <w:rPr>
                <w:rFonts w:hint="eastAsia" w:ascii="黑体" w:hAnsi="黑体"/>
                <w:bCs/>
                <w:sz w:val="21"/>
                <w:szCs w:val="21"/>
              </w:rPr>
              <w:t>合计</w:t>
            </w:r>
          </w:p>
        </w:tc>
      </w:tr>
      <w:tr w14:paraId="3EFB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98606A8">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vAlign w:val="center"/>
          </w:tcPr>
          <w:p w14:paraId="35BA31A6">
            <w:pPr>
              <w:pStyle w:val="15"/>
              <w:widowControl w:val="0"/>
              <w:spacing w:line="300" w:lineRule="exact"/>
              <w:rPr>
                <w:rFonts w:hint="eastAsia" w:asciiTheme="minorEastAsia" w:hAnsiTheme="minorEastAsia" w:eastAsiaTheme="minorEastAsia"/>
              </w:rPr>
            </w:pPr>
            <w:r>
              <w:rPr>
                <w:rFonts w:hint="eastAsia" w:asciiTheme="minorEastAsia" w:hAnsiTheme="minorEastAsia" w:eastAsiaTheme="minorEastAsia"/>
              </w:rPr>
              <w:t>5</w:t>
            </w:r>
            <w:r>
              <w:rPr>
                <w:rFonts w:asciiTheme="minorEastAsia" w:hAnsiTheme="minorEastAsia" w:eastAsiaTheme="minorEastAsia"/>
              </w:rPr>
              <w:t>0</w:t>
            </w:r>
            <w:r>
              <w:rPr>
                <w:rFonts w:hint="eastAsia" w:asciiTheme="minorEastAsia" w:hAnsiTheme="minorEastAsia" w:eastAsiaTheme="minorEastAsia"/>
              </w:rPr>
              <w:t>%</w:t>
            </w:r>
          </w:p>
        </w:tc>
        <w:tc>
          <w:tcPr>
            <w:tcW w:w="2353" w:type="dxa"/>
            <w:tcBorders>
              <w:right w:val="double" w:color="auto" w:sz="4" w:space="0"/>
            </w:tcBorders>
            <w:vAlign w:val="center"/>
          </w:tcPr>
          <w:p w14:paraId="302F7EF4">
            <w:pPr>
              <w:pStyle w:val="15"/>
              <w:widowControl w:val="0"/>
              <w:spacing w:line="300" w:lineRule="exact"/>
              <w:rPr>
                <w:rFonts w:hint="eastAsia" w:asciiTheme="minorEastAsia" w:hAnsiTheme="minorEastAsia" w:eastAsiaTheme="minorEastAsia"/>
              </w:rPr>
            </w:pPr>
            <w:r>
              <w:rPr>
                <w:rFonts w:hint="eastAsia" w:asciiTheme="minorEastAsia" w:hAnsiTheme="minorEastAsia" w:eastAsiaTheme="minorEastAsia"/>
              </w:rPr>
              <w:t>期末考试</w:t>
            </w:r>
          </w:p>
        </w:tc>
        <w:tc>
          <w:tcPr>
            <w:tcW w:w="765" w:type="dxa"/>
            <w:tcBorders>
              <w:left w:val="double" w:color="auto" w:sz="4" w:space="0"/>
            </w:tcBorders>
            <w:vAlign w:val="center"/>
          </w:tcPr>
          <w:p w14:paraId="24F71567">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50</w:t>
            </w:r>
          </w:p>
        </w:tc>
        <w:tc>
          <w:tcPr>
            <w:tcW w:w="851" w:type="dxa"/>
            <w:vAlign w:val="center"/>
          </w:tcPr>
          <w:p w14:paraId="4EBA91CC">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20</w:t>
            </w:r>
          </w:p>
        </w:tc>
        <w:tc>
          <w:tcPr>
            <w:tcW w:w="850" w:type="dxa"/>
            <w:vAlign w:val="center"/>
          </w:tcPr>
          <w:p w14:paraId="7AC21C0D">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20</w:t>
            </w:r>
          </w:p>
        </w:tc>
        <w:tc>
          <w:tcPr>
            <w:tcW w:w="851" w:type="dxa"/>
            <w:vAlign w:val="center"/>
          </w:tcPr>
          <w:p w14:paraId="430F863F">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10</w:t>
            </w:r>
          </w:p>
        </w:tc>
        <w:tc>
          <w:tcPr>
            <w:tcW w:w="1134" w:type="dxa"/>
            <w:tcBorders>
              <w:right w:val="single" w:color="auto" w:sz="12" w:space="0"/>
            </w:tcBorders>
            <w:vAlign w:val="center"/>
          </w:tcPr>
          <w:p w14:paraId="36D4C299">
            <w:pPr>
              <w:pStyle w:val="15"/>
              <w:widowControl w:val="0"/>
              <w:spacing w:line="300" w:lineRule="exact"/>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5DFA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3EF76E7A">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35561B62">
            <w:pPr>
              <w:pStyle w:val="15"/>
              <w:widowControl w:val="0"/>
              <w:spacing w:line="300" w:lineRule="exact"/>
              <w:rPr>
                <w:rFonts w:hint="eastAsia" w:asciiTheme="minorEastAsia" w:hAnsiTheme="minorEastAsia" w:eastAsiaTheme="minorEastAsia"/>
              </w:rPr>
            </w:pPr>
            <w:r>
              <w:rPr>
                <w:rFonts w:hint="eastAsia" w:cs="Arial" w:asciiTheme="minorEastAsia" w:hAnsiTheme="minorEastAsia" w:eastAsiaTheme="minorEastAsia"/>
              </w:rPr>
              <w:t>10</w:t>
            </w:r>
            <w:r>
              <w:rPr>
                <w:rFonts w:cs="Arial" w:asciiTheme="minorEastAsia" w:hAnsiTheme="minorEastAsia" w:eastAsiaTheme="minorEastAsia"/>
              </w:rPr>
              <w:t>%</w:t>
            </w:r>
          </w:p>
        </w:tc>
        <w:tc>
          <w:tcPr>
            <w:tcW w:w="2353" w:type="dxa"/>
            <w:tcBorders>
              <w:right w:val="double" w:color="auto" w:sz="4" w:space="0"/>
            </w:tcBorders>
            <w:vAlign w:val="center"/>
          </w:tcPr>
          <w:p w14:paraId="36A92CAE">
            <w:pPr>
              <w:pStyle w:val="15"/>
              <w:widowControl w:val="0"/>
              <w:spacing w:line="300" w:lineRule="exact"/>
              <w:rPr>
                <w:rFonts w:hint="eastAsia" w:asciiTheme="minorEastAsia" w:hAnsiTheme="minorEastAsia" w:eastAsiaTheme="minorEastAsia"/>
              </w:rPr>
            </w:pPr>
            <w:r>
              <w:rPr>
                <w:rFonts w:hint="eastAsia" w:cs="Arial" w:asciiTheme="minorEastAsia" w:hAnsiTheme="minorEastAsia" w:eastAsiaTheme="minorEastAsia"/>
              </w:rPr>
              <w:t>课堂表现</w:t>
            </w:r>
          </w:p>
        </w:tc>
        <w:tc>
          <w:tcPr>
            <w:tcW w:w="765" w:type="dxa"/>
            <w:tcBorders>
              <w:left w:val="double" w:color="auto" w:sz="4" w:space="0"/>
            </w:tcBorders>
            <w:vAlign w:val="center"/>
          </w:tcPr>
          <w:p w14:paraId="3E63E94F">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50</w:t>
            </w:r>
          </w:p>
        </w:tc>
        <w:tc>
          <w:tcPr>
            <w:tcW w:w="851" w:type="dxa"/>
            <w:vAlign w:val="center"/>
          </w:tcPr>
          <w:p w14:paraId="2833F605">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20</w:t>
            </w:r>
          </w:p>
        </w:tc>
        <w:tc>
          <w:tcPr>
            <w:tcW w:w="850" w:type="dxa"/>
            <w:vAlign w:val="center"/>
          </w:tcPr>
          <w:p w14:paraId="3C7BBD66">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20</w:t>
            </w:r>
          </w:p>
        </w:tc>
        <w:tc>
          <w:tcPr>
            <w:tcW w:w="851" w:type="dxa"/>
            <w:vAlign w:val="center"/>
          </w:tcPr>
          <w:p w14:paraId="43654901">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10</w:t>
            </w:r>
          </w:p>
        </w:tc>
        <w:tc>
          <w:tcPr>
            <w:tcW w:w="1134" w:type="dxa"/>
            <w:tcBorders>
              <w:right w:val="single" w:color="auto" w:sz="12" w:space="0"/>
            </w:tcBorders>
            <w:vAlign w:val="center"/>
          </w:tcPr>
          <w:p w14:paraId="26510DDF">
            <w:pPr>
              <w:pStyle w:val="15"/>
              <w:widowControl w:val="0"/>
              <w:spacing w:line="300" w:lineRule="exact"/>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32DA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75D9ABF0">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3AA5FAE4">
            <w:pPr>
              <w:pStyle w:val="15"/>
              <w:widowControl w:val="0"/>
              <w:spacing w:line="300" w:lineRule="exact"/>
              <w:rPr>
                <w:rFonts w:hint="eastAsia" w:asciiTheme="minorEastAsia" w:hAnsiTheme="minorEastAsia" w:eastAsiaTheme="minorEastAsia"/>
              </w:rPr>
            </w:pPr>
            <w:r>
              <w:rPr>
                <w:rFonts w:hint="eastAsia" w:cs="Arial" w:asciiTheme="minorEastAsia" w:hAnsiTheme="minorEastAsia" w:eastAsiaTheme="minorEastAsia"/>
              </w:rPr>
              <w:t>20</w:t>
            </w:r>
            <w:r>
              <w:rPr>
                <w:rFonts w:cs="Arial" w:asciiTheme="minorEastAsia" w:hAnsiTheme="minorEastAsia" w:eastAsiaTheme="minorEastAsia"/>
              </w:rPr>
              <w:t>%</w:t>
            </w:r>
          </w:p>
        </w:tc>
        <w:tc>
          <w:tcPr>
            <w:tcW w:w="2353" w:type="dxa"/>
            <w:tcBorders>
              <w:right w:val="double" w:color="auto" w:sz="4" w:space="0"/>
            </w:tcBorders>
            <w:vAlign w:val="center"/>
          </w:tcPr>
          <w:p w14:paraId="60E4A998">
            <w:pPr>
              <w:pStyle w:val="15"/>
              <w:widowControl w:val="0"/>
              <w:spacing w:line="300" w:lineRule="exact"/>
              <w:rPr>
                <w:rFonts w:hint="eastAsia" w:asciiTheme="minorEastAsia" w:hAnsiTheme="minorEastAsia" w:eastAsiaTheme="minorEastAsia"/>
              </w:rPr>
            </w:pPr>
            <w:r>
              <w:rPr>
                <w:rFonts w:hint="eastAsia" w:asciiTheme="minorEastAsia" w:hAnsiTheme="minorEastAsia" w:eastAsiaTheme="minorEastAsia"/>
              </w:rPr>
              <w:t>期中小测验</w:t>
            </w:r>
          </w:p>
        </w:tc>
        <w:tc>
          <w:tcPr>
            <w:tcW w:w="765" w:type="dxa"/>
            <w:tcBorders>
              <w:left w:val="double" w:color="auto" w:sz="4" w:space="0"/>
            </w:tcBorders>
            <w:vAlign w:val="center"/>
          </w:tcPr>
          <w:p w14:paraId="350F1107">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50</w:t>
            </w:r>
          </w:p>
        </w:tc>
        <w:tc>
          <w:tcPr>
            <w:tcW w:w="851" w:type="dxa"/>
            <w:vAlign w:val="center"/>
          </w:tcPr>
          <w:p w14:paraId="69878D1A">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20</w:t>
            </w:r>
          </w:p>
        </w:tc>
        <w:tc>
          <w:tcPr>
            <w:tcW w:w="850" w:type="dxa"/>
            <w:vAlign w:val="center"/>
          </w:tcPr>
          <w:p w14:paraId="7907A5AF">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20</w:t>
            </w:r>
          </w:p>
        </w:tc>
        <w:tc>
          <w:tcPr>
            <w:tcW w:w="851" w:type="dxa"/>
            <w:vAlign w:val="center"/>
          </w:tcPr>
          <w:p w14:paraId="0C96DB77">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10</w:t>
            </w:r>
          </w:p>
        </w:tc>
        <w:tc>
          <w:tcPr>
            <w:tcW w:w="1134" w:type="dxa"/>
            <w:tcBorders>
              <w:right w:val="single" w:color="auto" w:sz="12" w:space="0"/>
            </w:tcBorders>
            <w:vAlign w:val="center"/>
          </w:tcPr>
          <w:p w14:paraId="7667BBD9">
            <w:pPr>
              <w:pStyle w:val="15"/>
              <w:widowControl w:val="0"/>
              <w:spacing w:line="300" w:lineRule="exact"/>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26C6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12" w:space="0"/>
            </w:tcBorders>
            <w:vAlign w:val="center"/>
          </w:tcPr>
          <w:p w14:paraId="72EE34EB">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tcBorders>
              <w:bottom w:val="single" w:color="auto" w:sz="12" w:space="0"/>
            </w:tcBorders>
            <w:vAlign w:val="center"/>
          </w:tcPr>
          <w:p w14:paraId="3770FF54">
            <w:pPr>
              <w:pStyle w:val="15"/>
              <w:widowControl w:val="0"/>
              <w:spacing w:line="300" w:lineRule="exact"/>
              <w:rPr>
                <w:rFonts w:hint="eastAsia" w:asciiTheme="minorEastAsia" w:hAnsiTheme="minorEastAsia" w:eastAsiaTheme="minorEastAsia"/>
              </w:rPr>
            </w:pPr>
            <w:r>
              <w:rPr>
                <w:rFonts w:hint="eastAsia" w:cs="Arial" w:asciiTheme="minorEastAsia" w:hAnsiTheme="minorEastAsia" w:eastAsiaTheme="minorEastAsia"/>
              </w:rPr>
              <w:t>20</w:t>
            </w:r>
            <w:r>
              <w:rPr>
                <w:rFonts w:cs="Arial" w:asciiTheme="minorEastAsia" w:hAnsiTheme="minorEastAsia" w:eastAsiaTheme="minorEastAsia"/>
              </w:rPr>
              <w:t>%</w:t>
            </w:r>
          </w:p>
        </w:tc>
        <w:tc>
          <w:tcPr>
            <w:tcW w:w="2353" w:type="dxa"/>
            <w:tcBorders>
              <w:bottom w:val="single" w:color="auto" w:sz="12" w:space="0"/>
              <w:right w:val="double" w:color="auto" w:sz="4" w:space="0"/>
            </w:tcBorders>
            <w:vAlign w:val="center"/>
          </w:tcPr>
          <w:p w14:paraId="406FEE5E">
            <w:pPr>
              <w:pStyle w:val="15"/>
              <w:widowControl w:val="0"/>
              <w:spacing w:line="300" w:lineRule="exact"/>
              <w:rPr>
                <w:rFonts w:hint="eastAsia" w:asciiTheme="minorEastAsia" w:hAnsiTheme="minorEastAsia" w:eastAsiaTheme="minorEastAsia"/>
              </w:rPr>
            </w:pPr>
            <w:r>
              <w:rPr>
                <w:rFonts w:hint="eastAsia" w:asciiTheme="minorEastAsia" w:hAnsiTheme="minorEastAsia" w:eastAsiaTheme="minorEastAsia"/>
              </w:rPr>
              <w:t>实验报告</w:t>
            </w:r>
          </w:p>
        </w:tc>
        <w:tc>
          <w:tcPr>
            <w:tcW w:w="765" w:type="dxa"/>
            <w:tcBorders>
              <w:left w:val="double" w:color="auto" w:sz="4" w:space="0"/>
              <w:bottom w:val="single" w:color="auto" w:sz="12" w:space="0"/>
            </w:tcBorders>
            <w:vAlign w:val="center"/>
          </w:tcPr>
          <w:p w14:paraId="7600F008">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50</w:t>
            </w:r>
          </w:p>
        </w:tc>
        <w:tc>
          <w:tcPr>
            <w:tcW w:w="851" w:type="dxa"/>
            <w:tcBorders>
              <w:bottom w:val="single" w:color="auto" w:sz="12" w:space="0"/>
            </w:tcBorders>
            <w:vAlign w:val="center"/>
          </w:tcPr>
          <w:p w14:paraId="0EA35378">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20</w:t>
            </w:r>
          </w:p>
        </w:tc>
        <w:tc>
          <w:tcPr>
            <w:tcW w:w="850" w:type="dxa"/>
            <w:tcBorders>
              <w:bottom w:val="single" w:color="auto" w:sz="12" w:space="0"/>
            </w:tcBorders>
            <w:vAlign w:val="center"/>
          </w:tcPr>
          <w:p w14:paraId="103C36DB">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20</w:t>
            </w:r>
          </w:p>
        </w:tc>
        <w:tc>
          <w:tcPr>
            <w:tcW w:w="851" w:type="dxa"/>
            <w:tcBorders>
              <w:bottom w:val="single" w:color="auto" w:sz="12" w:space="0"/>
            </w:tcBorders>
            <w:vAlign w:val="center"/>
          </w:tcPr>
          <w:p w14:paraId="04FFF8D5">
            <w:pPr>
              <w:pStyle w:val="15"/>
              <w:widowControl w:val="0"/>
              <w:spacing w:line="300" w:lineRule="exact"/>
              <w:rPr>
                <w:rFonts w:hint="eastAsia" w:asciiTheme="minorEastAsia" w:hAnsiTheme="minorEastAsia" w:eastAsiaTheme="minorEastAsia"/>
              </w:rPr>
            </w:pPr>
            <w:r>
              <w:rPr>
                <w:rFonts w:asciiTheme="minorEastAsia" w:hAnsiTheme="minorEastAsia" w:eastAsiaTheme="minorEastAsia"/>
              </w:rPr>
              <w:t>10</w:t>
            </w:r>
          </w:p>
        </w:tc>
        <w:tc>
          <w:tcPr>
            <w:tcW w:w="1134" w:type="dxa"/>
            <w:tcBorders>
              <w:bottom w:val="single" w:color="auto" w:sz="12" w:space="0"/>
              <w:right w:val="single" w:color="auto" w:sz="12" w:space="0"/>
            </w:tcBorders>
            <w:vAlign w:val="center"/>
          </w:tcPr>
          <w:p w14:paraId="4F463E76">
            <w:pPr>
              <w:pStyle w:val="15"/>
              <w:widowControl w:val="0"/>
              <w:spacing w:line="300" w:lineRule="exact"/>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bl>
    <w:p w14:paraId="25B9B9A4">
      <w:pPr>
        <w:pStyle w:val="18"/>
        <w:spacing w:before="326" w:beforeLines="100" w:after="163"/>
        <w:jc w:val="center"/>
      </w:pPr>
      <w:r>
        <w:rPr>
          <w:rFonts w:hint="eastAsia"/>
        </w:rPr>
        <w:t>评价标准细则（选填）</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648"/>
        <w:gridCol w:w="1403"/>
        <w:gridCol w:w="1403"/>
        <w:gridCol w:w="1403"/>
        <w:gridCol w:w="1403"/>
        <w:gridCol w:w="1403"/>
      </w:tblGrid>
      <w:tr w14:paraId="157A54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restart"/>
            <w:vAlign w:val="center"/>
          </w:tcPr>
          <w:p w14:paraId="11585415">
            <w:pPr>
              <w:widowControl w:val="0"/>
              <w:snapToGrid w:val="0"/>
              <w:jc w:val="center"/>
              <w:rPr>
                <w:rFonts w:hint="eastAsia" w:ascii="黑体" w:hAnsi="黑体" w:eastAsia="黑体"/>
                <w:bCs/>
                <w:sz w:val="21"/>
                <w:szCs w:val="21"/>
              </w:rPr>
            </w:pPr>
            <w:r>
              <w:rPr>
                <w:rFonts w:hint="eastAsia" w:ascii="黑体" w:hAnsi="黑体" w:eastAsia="黑体"/>
                <w:bCs/>
                <w:sz w:val="21"/>
                <w:szCs w:val="21"/>
              </w:rPr>
              <w:t>考核项目</w:t>
            </w:r>
          </w:p>
        </w:tc>
        <w:tc>
          <w:tcPr>
            <w:tcW w:w="648" w:type="dxa"/>
            <w:vMerge w:val="restart"/>
          </w:tcPr>
          <w:p w14:paraId="049E5F6E">
            <w:pPr>
              <w:widowControl w:val="0"/>
              <w:snapToGrid w:val="0"/>
              <w:jc w:val="center"/>
              <w:rPr>
                <w:rFonts w:hint="eastAsia" w:ascii="黑体" w:hAnsi="黑体" w:eastAsia="黑体"/>
                <w:bCs/>
                <w:sz w:val="21"/>
                <w:szCs w:val="21"/>
              </w:rPr>
            </w:pPr>
            <w:r>
              <w:rPr>
                <w:rFonts w:hint="eastAsia" w:ascii="黑体" w:hAnsi="黑体" w:eastAsia="黑体"/>
                <w:bCs/>
                <w:sz w:val="21"/>
                <w:szCs w:val="21"/>
              </w:rPr>
              <w:t>课</w:t>
            </w:r>
          </w:p>
          <w:p w14:paraId="4ABFC279">
            <w:pPr>
              <w:widowControl w:val="0"/>
              <w:snapToGrid w:val="0"/>
              <w:jc w:val="center"/>
              <w:rPr>
                <w:rFonts w:hint="eastAsia" w:ascii="黑体" w:hAnsi="黑体" w:eastAsia="黑体"/>
                <w:bCs/>
                <w:sz w:val="21"/>
                <w:szCs w:val="21"/>
              </w:rPr>
            </w:pPr>
            <w:r>
              <w:rPr>
                <w:rFonts w:hint="eastAsia" w:ascii="黑体" w:hAnsi="黑体" w:eastAsia="黑体"/>
                <w:bCs/>
                <w:sz w:val="21"/>
                <w:szCs w:val="21"/>
              </w:rPr>
              <w:t>程</w:t>
            </w:r>
          </w:p>
          <w:p w14:paraId="399468AF">
            <w:pPr>
              <w:widowControl w:val="0"/>
              <w:snapToGrid w:val="0"/>
              <w:jc w:val="center"/>
              <w:rPr>
                <w:rFonts w:hint="eastAsia" w:ascii="黑体" w:hAnsi="黑体" w:eastAsia="黑体"/>
                <w:bCs/>
                <w:sz w:val="21"/>
                <w:szCs w:val="21"/>
              </w:rPr>
            </w:pPr>
            <w:r>
              <w:rPr>
                <w:rFonts w:hint="eastAsia" w:ascii="黑体" w:hAnsi="黑体" w:eastAsia="黑体"/>
                <w:bCs/>
                <w:sz w:val="21"/>
                <w:szCs w:val="21"/>
              </w:rPr>
              <w:t>目</w:t>
            </w:r>
          </w:p>
          <w:p w14:paraId="0D80DB6B">
            <w:pPr>
              <w:widowControl w:val="0"/>
              <w:snapToGrid w:val="0"/>
              <w:jc w:val="center"/>
              <w:rPr>
                <w:rFonts w:hint="eastAsia" w:ascii="黑体" w:hAnsi="黑体" w:eastAsia="黑体"/>
                <w:bCs/>
                <w:sz w:val="21"/>
                <w:szCs w:val="21"/>
              </w:rPr>
            </w:pPr>
            <w:r>
              <w:rPr>
                <w:rFonts w:hint="eastAsia" w:ascii="黑体" w:hAnsi="黑体" w:eastAsia="黑体"/>
                <w:bCs/>
                <w:sz w:val="21"/>
                <w:szCs w:val="21"/>
              </w:rPr>
              <w:t>标</w:t>
            </w:r>
          </w:p>
        </w:tc>
        <w:tc>
          <w:tcPr>
            <w:tcW w:w="1403" w:type="dxa"/>
            <w:vMerge w:val="restart"/>
            <w:vAlign w:val="center"/>
          </w:tcPr>
          <w:p w14:paraId="236E432F">
            <w:pPr>
              <w:widowControl w:val="0"/>
              <w:snapToGrid w:val="0"/>
              <w:jc w:val="center"/>
              <w:rPr>
                <w:rFonts w:hint="eastAsia" w:ascii="黑体" w:hAnsi="黑体" w:eastAsia="黑体"/>
                <w:bCs/>
                <w:sz w:val="21"/>
                <w:szCs w:val="21"/>
              </w:rPr>
            </w:pPr>
            <w:r>
              <w:rPr>
                <w:rFonts w:hint="eastAsia" w:ascii="黑体" w:hAnsi="黑体" w:eastAsia="黑体"/>
                <w:bCs/>
                <w:sz w:val="21"/>
                <w:szCs w:val="21"/>
              </w:rPr>
              <w:t>考核要求</w:t>
            </w:r>
          </w:p>
        </w:tc>
        <w:tc>
          <w:tcPr>
            <w:tcW w:w="5612" w:type="dxa"/>
            <w:gridSpan w:val="4"/>
            <w:vAlign w:val="center"/>
          </w:tcPr>
          <w:p w14:paraId="58141519">
            <w:pPr>
              <w:pStyle w:val="17"/>
              <w:widowControl w:val="0"/>
              <w:spacing w:line="240" w:lineRule="auto"/>
              <w:jc w:val="center"/>
              <w:rPr>
                <w:rFonts w:hint="eastAsia" w:ascii="黑体" w:hAnsi="黑体"/>
                <w:bCs/>
                <w:sz w:val="21"/>
                <w:szCs w:val="21"/>
              </w:rPr>
            </w:pPr>
            <w:r>
              <w:rPr>
                <w:rFonts w:hint="eastAsia" w:ascii="黑体" w:hAnsi="黑体"/>
                <w:bCs/>
                <w:sz w:val="21"/>
                <w:szCs w:val="21"/>
              </w:rPr>
              <w:t>评价标准</w:t>
            </w:r>
          </w:p>
        </w:tc>
      </w:tr>
      <w:tr w14:paraId="451754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tcPr>
          <w:p w14:paraId="110F163D">
            <w:pPr>
              <w:widowControl w:val="0"/>
              <w:snapToGrid w:val="0"/>
              <w:jc w:val="center"/>
              <w:rPr>
                <w:rFonts w:hint="eastAsia" w:ascii="黑体" w:hAnsi="黑体" w:eastAsia="黑体"/>
                <w:bCs/>
                <w:sz w:val="21"/>
                <w:szCs w:val="21"/>
              </w:rPr>
            </w:pPr>
          </w:p>
        </w:tc>
        <w:tc>
          <w:tcPr>
            <w:tcW w:w="648" w:type="dxa"/>
            <w:vMerge w:val="continue"/>
          </w:tcPr>
          <w:p w14:paraId="0AD4EE24">
            <w:pPr>
              <w:pStyle w:val="17"/>
              <w:widowControl w:val="0"/>
              <w:jc w:val="both"/>
              <w:rPr>
                <w:rFonts w:hint="eastAsia" w:ascii="黑体" w:hAnsi="黑体"/>
                <w:bCs/>
                <w:sz w:val="21"/>
                <w:szCs w:val="21"/>
              </w:rPr>
            </w:pPr>
          </w:p>
        </w:tc>
        <w:tc>
          <w:tcPr>
            <w:tcW w:w="1403" w:type="dxa"/>
            <w:vMerge w:val="continue"/>
          </w:tcPr>
          <w:p w14:paraId="25C09599">
            <w:pPr>
              <w:pStyle w:val="17"/>
              <w:widowControl w:val="0"/>
              <w:jc w:val="both"/>
              <w:rPr>
                <w:rFonts w:hint="eastAsia" w:ascii="黑体" w:hAnsi="黑体"/>
                <w:bCs/>
                <w:sz w:val="21"/>
                <w:szCs w:val="21"/>
              </w:rPr>
            </w:pPr>
          </w:p>
        </w:tc>
        <w:tc>
          <w:tcPr>
            <w:tcW w:w="1403" w:type="dxa"/>
            <w:vAlign w:val="center"/>
          </w:tcPr>
          <w:p w14:paraId="6837E319">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43103217">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03" w:type="dxa"/>
            <w:vAlign w:val="center"/>
          </w:tcPr>
          <w:p w14:paraId="5F5E676F">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43B2E750">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03" w:type="dxa"/>
            <w:vAlign w:val="center"/>
          </w:tcPr>
          <w:p w14:paraId="4160C7AC">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38D8E2A2">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03" w:type="dxa"/>
            <w:vAlign w:val="center"/>
          </w:tcPr>
          <w:p w14:paraId="737B2FD3">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57E69CB9">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0168DF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B1C1B87">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48" w:type="dxa"/>
            <w:vAlign w:val="center"/>
          </w:tcPr>
          <w:p w14:paraId="1C39B1A4">
            <w:pPr>
              <w:widowControl w:val="0"/>
              <w:snapToGrid w:val="0"/>
              <w:jc w:val="center"/>
              <w:rPr>
                <w:rFonts w:ascii="Arial" w:hAnsi="Arial" w:eastAsia="黑体" w:cs="Arial"/>
                <w:bCs/>
                <w:sz w:val="21"/>
                <w:szCs w:val="21"/>
              </w:rPr>
            </w:pPr>
          </w:p>
        </w:tc>
        <w:tc>
          <w:tcPr>
            <w:tcW w:w="1403" w:type="dxa"/>
          </w:tcPr>
          <w:p w14:paraId="6C609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tcPr>
          <w:p w14:paraId="502DEDFB">
            <w:pPr>
              <w:pStyle w:val="15"/>
              <w:widowControl w:val="0"/>
              <w:jc w:val="both"/>
            </w:pPr>
          </w:p>
        </w:tc>
        <w:tc>
          <w:tcPr>
            <w:tcW w:w="1403" w:type="dxa"/>
          </w:tcPr>
          <w:p w14:paraId="0D0F9D37">
            <w:pPr>
              <w:pStyle w:val="15"/>
              <w:widowControl w:val="0"/>
              <w:jc w:val="both"/>
            </w:pPr>
          </w:p>
        </w:tc>
        <w:tc>
          <w:tcPr>
            <w:tcW w:w="1403" w:type="dxa"/>
          </w:tcPr>
          <w:p w14:paraId="2B0EF117">
            <w:pPr>
              <w:pStyle w:val="15"/>
              <w:widowControl w:val="0"/>
              <w:jc w:val="both"/>
            </w:pPr>
          </w:p>
        </w:tc>
        <w:tc>
          <w:tcPr>
            <w:tcW w:w="1403" w:type="dxa"/>
          </w:tcPr>
          <w:p w14:paraId="7743DC57">
            <w:pPr>
              <w:pStyle w:val="7"/>
              <w:widowControl/>
              <w:shd w:val="clear" w:color="auto" w:fill="FFFFFF"/>
              <w:jc w:val="both"/>
              <w:rPr>
                <w:rFonts w:hint="eastAsia"/>
              </w:rPr>
            </w:pPr>
          </w:p>
        </w:tc>
      </w:tr>
      <w:tr w14:paraId="47E389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9A46D22">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48" w:type="dxa"/>
            <w:vAlign w:val="center"/>
          </w:tcPr>
          <w:p w14:paraId="23FB734A">
            <w:pPr>
              <w:widowControl w:val="0"/>
              <w:snapToGrid w:val="0"/>
              <w:jc w:val="center"/>
              <w:rPr>
                <w:rFonts w:ascii="Arial" w:hAnsi="Arial" w:eastAsia="黑体" w:cs="Arial"/>
                <w:bCs/>
                <w:sz w:val="21"/>
                <w:szCs w:val="21"/>
              </w:rPr>
            </w:pPr>
          </w:p>
        </w:tc>
        <w:tc>
          <w:tcPr>
            <w:tcW w:w="1403" w:type="dxa"/>
            <w:vAlign w:val="center"/>
          </w:tcPr>
          <w:p w14:paraId="30E910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8204A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9E555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E0DAA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D4EEC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4DCA5F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F0C97F9">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48" w:type="dxa"/>
            <w:vAlign w:val="center"/>
          </w:tcPr>
          <w:p w14:paraId="212F21C5">
            <w:pPr>
              <w:widowControl w:val="0"/>
              <w:snapToGrid w:val="0"/>
              <w:jc w:val="center"/>
              <w:rPr>
                <w:rFonts w:ascii="Arial" w:hAnsi="Arial" w:eastAsia="黑体" w:cs="Arial"/>
                <w:bCs/>
                <w:sz w:val="21"/>
                <w:szCs w:val="21"/>
              </w:rPr>
            </w:pPr>
          </w:p>
        </w:tc>
        <w:tc>
          <w:tcPr>
            <w:tcW w:w="1403" w:type="dxa"/>
            <w:vAlign w:val="center"/>
          </w:tcPr>
          <w:p w14:paraId="3AE4DF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96D2D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6C653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1DBD4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6967CA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08D9AA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7BC8236">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48" w:type="dxa"/>
            <w:vAlign w:val="center"/>
          </w:tcPr>
          <w:p w14:paraId="45DC3DBD">
            <w:pPr>
              <w:widowControl w:val="0"/>
              <w:snapToGrid w:val="0"/>
              <w:jc w:val="center"/>
              <w:rPr>
                <w:rFonts w:ascii="Arial" w:hAnsi="Arial" w:eastAsia="黑体" w:cs="Arial"/>
                <w:bCs/>
                <w:sz w:val="21"/>
                <w:szCs w:val="21"/>
              </w:rPr>
            </w:pPr>
          </w:p>
        </w:tc>
        <w:tc>
          <w:tcPr>
            <w:tcW w:w="1403" w:type="dxa"/>
            <w:vAlign w:val="center"/>
          </w:tcPr>
          <w:p w14:paraId="0C2FFA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798EE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0FD22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A17E1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1327C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2C2594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167B78D">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648" w:type="dxa"/>
            <w:vAlign w:val="center"/>
          </w:tcPr>
          <w:p w14:paraId="22F95E33">
            <w:pPr>
              <w:widowControl w:val="0"/>
              <w:snapToGrid w:val="0"/>
              <w:jc w:val="center"/>
              <w:rPr>
                <w:rFonts w:ascii="Arial" w:hAnsi="Arial" w:eastAsia="黑体" w:cs="Arial"/>
                <w:bCs/>
                <w:sz w:val="21"/>
                <w:szCs w:val="21"/>
              </w:rPr>
            </w:pPr>
          </w:p>
        </w:tc>
        <w:tc>
          <w:tcPr>
            <w:tcW w:w="1403" w:type="dxa"/>
            <w:vAlign w:val="center"/>
          </w:tcPr>
          <w:p w14:paraId="2B3151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E0741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7639E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63CAF9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CC1A6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57D080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8BABF55">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648" w:type="dxa"/>
            <w:vAlign w:val="center"/>
          </w:tcPr>
          <w:p w14:paraId="6F4AF525">
            <w:pPr>
              <w:widowControl w:val="0"/>
              <w:snapToGrid w:val="0"/>
              <w:jc w:val="center"/>
              <w:rPr>
                <w:rFonts w:ascii="Arial" w:hAnsi="Arial" w:eastAsia="黑体" w:cs="Arial"/>
                <w:bCs/>
                <w:sz w:val="21"/>
                <w:szCs w:val="21"/>
              </w:rPr>
            </w:pPr>
          </w:p>
        </w:tc>
        <w:tc>
          <w:tcPr>
            <w:tcW w:w="1403" w:type="dxa"/>
            <w:vAlign w:val="center"/>
          </w:tcPr>
          <w:p w14:paraId="33903B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F379F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53F64E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B26A3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451F9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bl>
    <w:p w14:paraId="40C8A8B5">
      <w:pPr>
        <w:pStyle w:val="17"/>
        <w:spacing w:before="326" w:beforeLines="100" w:line="360" w:lineRule="auto"/>
        <w:rPr>
          <w:rFonts w:hint="eastAsia" w:ascii="黑体" w:hAnsi="宋体"/>
        </w:rPr>
      </w:pPr>
      <w:r>
        <w:rPr>
          <w:rFonts w:hint="eastAsia" w:ascii="黑体" w:hAnsi="宋体"/>
        </w:rPr>
        <w:t xml:space="preserve">七、其他需要说明的问题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52F2B11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73244EDF">
            <w:pPr>
              <w:pStyle w:val="15"/>
              <w:widowControl w:val="0"/>
              <w:jc w:val="left"/>
              <w:rPr>
                <w:rFonts w:hint="eastAsia" w:ascii="仿宋" w:hAnsi="仿宋" w:eastAsia="仿宋" w:cs="仿宋"/>
              </w:rPr>
            </w:pPr>
            <w:r>
              <w:rPr>
                <w:rFonts w:hint="eastAsia" w:ascii="仿宋" w:hAnsi="仿宋" w:eastAsia="仿宋" w:cs="仿宋"/>
              </w:rPr>
              <w:t>无</w:t>
            </w:r>
          </w:p>
        </w:tc>
      </w:tr>
    </w:tbl>
    <w:p w14:paraId="509743C7">
      <w:pPr>
        <w:pStyle w:val="17"/>
        <w:rPr>
          <w:rFonts w:hint="eastAsia"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auto"/>
    <w:pitch w:val="default"/>
    <w:sig w:usb0="00000000" w:usb1="00000000" w:usb2="00000000" w:usb3="00000000" w:csb0="00000093" w:csb1="00000000"/>
  </w:font>
  <w:font w:name="方正小标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86C5A">
    <w:pPr>
      <w:jc w:val="right"/>
      <w:rPr>
        <w:rFonts w:hint="eastAsia"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8BFAD57">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68BFAD57">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982F1D"/>
    <w:multiLevelType w:val="multilevel"/>
    <w:tmpl w:val="32982F1D"/>
    <w:lvl w:ilvl="0" w:tentative="0">
      <w:start w:val="5"/>
      <w:numFmt w:val="chineseCount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203E0"/>
    <w:rsid w:val="000210E0"/>
    <w:rsid w:val="00027787"/>
    <w:rsid w:val="00033082"/>
    <w:rsid w:val="00037DAA"/>
    <w:rsid w:val="00044088"/>
    <w:rsid w:val="00053590"/>
    <w:rsid w:val="0006001D"/>
    <w:rsid w:val="00066041"/>
    <w:rsid w:val="00076794"/>
    <w:rsid w:val="00080513"/>
    <w:rsid w:val="0008122A"/>
    <w:rsid w:val="000850CF"/>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62D7"/>
    <w:rsid w:val="001678A2"/>
    <w:rsid w:val="00183AA1"/>
    <w:rsid w:val="0018767C"/>
    <w:rsid w:val="001914F9"/>
    <w:rsid w:val="001A135C"/>
    <w:rsid w:val="001B0D49"/>
    <w:rsid w:val="001B546F"/>
    <w:rsid w:val="001C0D6A"/>
    <w:rsid w:val="001C16FC"/>
    <w:rsid w:val="001C2E3E"/>
    <w:rsid w:val="001C3572"/>
    <w:rsid w:val="001C388D"/>
    <w:rsid w:val="001D5FC5"/>
    <w:rsid w:val="001E0494"/>
    <w:rsid w:val="001E1D2D"/>
    <w:rsid w:val="001E5A17"/>
    <w:rsid w:val="001E6703"/>
    <w:rsid w:val="001F284E"/>
    <w:rsid w:val="001F332E"/>
    <w:rsid w:val="00207E0E"/>
    <w:rsid w:val="00217861"/>
    <w:rsid w:val="002204E4"/>
    <w:rsid w:val="002211BF"/>
    <w:rsid w:val="0022545B"/>
    <w:rsid w:val="00233F15"/>
    <w:rsid w:val="002354FA"/>
    <w:rsid w:val="002420F1"/>
    <w:rsid w:val="00253AC8"/>
    <w:rsid w:val="00256B39"/>
    <w:rsid w:val="0026033C"/>
    <w:rsid w:val="002663E3"/>
    <w:rsid w:val="0027339A"/>
    <w:rsid w:val="00274E82"/>
    <w:rsid w:val="002757AB"/>
    <w:rsid w:val="0027777C"/>
    <w:rsid w:val="00277FE7"/>
    <w:rsid w:val="002877FA"/>
    <w:rsid w:val="00290962"/>
    <w:rsid w:val="0029110B"/>
    <w:rsid w:val="002A1006"/>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56E6D"/>
    <w:rsid w:val="00361BEB"/>
    <w:rsid w:val="00370184"/>
    <w:rsid w:val="00373C8A"/>
    <w:rsid w:val="00377C10"/>
    <w:rsid w:val="00384A1F"/>
    <w:rsid w:val="00384D60"/>
    <w:rsid w:val="00385D41"/>
    <w:rsid w:val="003861BA"/>
    <w:rsid w:val="00397EC7"/>
    <w:rsid w:val="003A1680"/>
    <w:rsid w:val="003A373C"/>
    <w:rsid w:val="003A5874"/>
    <w:rsid w:val="003B1258"/>
    <w:rsid w:val="003B2895"/>
    <w:rsid w:val="003B4A81"/>
    <w:rsid w:val="003C1F8D"/>
    <w:rsid w:val="003C61A5"/>
    <w:rsid w:val="003D09AB"/>
    <w:rsid w:val="003D1968"/>
    <w:rsid w:val="003D4994"/>
    <w:rsid w:val="003D7EA4"/>
    <w:rsid w:val="003E10A5"/>
    <w:rsid w:val="003E7D72"/>
    <w:rsid w:val="003F3923"/>
    <w:rsid w:val="003F43F6"/>
    <w:rsid w:val="003F5BE8"/>
    <w:rsid w:val="004019DB"/>
    <w:rsid w:val="00402B67"/>
    <w:rsid w:val="00403C91"/>
    <w:rsid w:val="0040433E"/>
    <w:rsid w:val="00404974"/>
    <w:rsid w:val="00406428"/>
    <w:rsid w:val="0040726A"/>
    <w:rsid w:val="004100B0"/>
    <w:rsid w:val="00410B7E"/>
    <w:rsid w:val="0041267F"/>
    <w:rsid w:val="004216F4"/>
    <w:rsid w:val="00424BA5"/>
    <w:rsid w:val="00425431"/>
    <w:rsid w:val="00431829"/>
    <w:rsid w:val="0043532D"/>
    <w:rsid w:val="00437B60"/>
    <w:rsid w:val="004405E6"/>
    <w:rsid w:val="00443C84"/>
    <w:rsid w:val="00443C89"/>
    <w:rsid w:val="004540AA"/>
    <w:rsid w:val="00456BD8"/>
    <w:rsid w:val="00456DC8"/>
    <w:rsid w:val="00457BBE"/>
    <w:rsid w:val="00460CDE"/>
    <w:rsid w:val="0046549D"/>
    <w:rsid w:val="00471668"/>
    <w:rsid w:val="00481F98"/>
    <w:rsid w:val="004829E8"/>
    <w:rsid w:val="004852BF"/>
    <w:rsid w:val="00487A46"/>
    <w:rsid w:val="00493504"/>
    <w:rsid w:val="00494579"/>
    <w:rsid w:val="00495A99"/>
    <w:rsid w:val="00497334"/>
    <w:rsid w:val="004A4645"/>
    <w:rsid w:val="004A6F3A"/>
    <w:rsid w:val="004B408D"/>
    <w:rsid w:val="004B6F68"/>
    <w:rsid w:val="004B73F7"/>
    <w:rsid w:val="004C1275"/>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05EF"/>
    <w:rsid w:val="005A13AB"/>
    <w:rsid w:val="005B1150"/>
    <w:rsid w:val="005B1FFC"/>
    <w:rsid w:val="005B2B6D"/>
    <w:rsid w:val="005B4B4E"/>
    <w:rsid w:val="005C0F82"/>
    <w:rsid w:val="005C1C24"/>
    <w:rsid w:val="005C3A76"/>
    <w:rsid w:val="005D5B6F"/>
    <w:rsid w:val="005D5BA8"/>
    <w:rsid w:val="005D6A55"/>
    <w:rsid w:val="005E0454"/>
    <w:rsid w:val="005E38A5"/>
    <w:rsid w:val="005F5185"/>
    <w:rsid w:val="0060107A"/>
    <w:rsid w:val="0062115C"/>
    <w:rsid w:val="0062265B"/>
    <w:rsid w:val="00624B5C"/>
    <w:rsid w:val="00624FE1"/>
    <w:rsid w:val="0062577D"/>
    <w:rsid w:val="0063249D"/>
    <w:rsid w:val="006331EE"/>
    <w:rsid w:val="006355E6"/>
    <w:rsid w:val="00637CB9"/>
    <w:rsid w:val="00637E00"/>
    <w:rsid w:val="0064038A"/>
    <w:rsid w:val="006427F9"/>
    <w:rsid w:val="0065167D"/>
    <w:rsid w:val="00652D13"/>
    <w:rsid w:val="0066595A"/>
    <w:rsid w:val="00666206"/>
    <w:rsid w:val="00672788"/>
    <w:rsid w:val="00676183"/>
    <w:rsid w:val="00680DA3"/>
    <w:rsid w:val="0068377F"/>
    <w:rsid w:val="0068541E"/>
    <w:rsid w:val="00690B3D"/>
    <w:rsid w:val="00691B24"/>
    <w:rsid w:val="00695B93"/>
    <w:rsid w:val="00697C16"/>
    <w:rsid w:val="006A5A89"/>
    <w:rsid w:val="006A61CE"/>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1879"/>
    <w:rsid w:val="00712A2C"/>
    <w:rsid w:val="00712E84"/>
    <w:rsid w:val="00714914"/>
    <w:rsid w:val="007208D6"/>
    <w:rsid w:val="00726786"/>
    <w:rsid w:val="00732152"/>
    <w:rsid w:val="007428DF"/>
    <w:rsid w:val="00742BD1"/>
    <w:rsid w:val="00742E7A"/>
    <w:rsid w:val="0074424F"/>
    <w:rsid w:val="007520C3"/>
    <w:rsid w:val="00764FD9"/>
    <w:rsid w:val="007740B2"/>
    <w:rsid w:val="00774C1F"/>
    <w:rsid w:val="0078194F"/>
    <w:rsid w:val="0079152C"/>
    <w:rsid w:val="007934A4"/>
    <w:rsid w:val="007A0AC9"/>
    <w:rsid w:val="007A1B70"/>
    <w:rsid w:val="007A3BB5"/>
    <w:rsid w:val="007A57F6"/>
    <w:rsid w:val="007B4FFB"/>
    <w:rsid w:val="007C0BCE"/>
    <w:rsid w:val="007C1D1B"/>
    <w:rsid w:val="007C3566"/>
    <w:rsid w:val="007C794A"/>
    <w:rsid w:val="007D1EEA"/>
    <w:rsid w:val="007D215F"/>
    <w:rsid w:val="007D5326"/>
    <w:rsid w:val="007D5A33"/>
    <w:rsid w:val="007E4F3A"/>
    <w:rsid w:val="007E620F"/>
    <w:rsid w:val="007E663C"/>
    <w:rsid w:val="007E7795"/>
    <w:rsid w:val="0080066B"/>
    <w:rsid w:val="00803578"/>
    <w:rsid w:val="00803B2B"/>
    <w:rsid w:val="00815B8D"/>
    <w:rsid w:val="00815B8E"/>
    <w:rsid w:val="00816D99"/>
    <w:rsid w:val="0082324C"/>
    <w:rsid w:val="00823D71"/>
    <w:rsid w:val="008245AF"/>
    <w:rsid w:val="008256B9"/>
    <w:rsid w:val="0083705D"/>
    <w:rsid w:val="0084242F"/>
    <w:rsid w:val="00845795"/>
    <w:rsid w:val="00847437"/>
    <w:rsid w:val="008679BE"/>
    <w:rsid w:val="00882E15"/>
    <w:rsid w:val="00883C73"/>
    <w:rsid w:val="008901A2"/>
    <w:rsid w:val="00891751"/>
    <w:rsid w:val="008A08B0"/>
    <w:rsid w:val="008A21FF"/>
    <w:rsid w:val="008B0385"/>
    <w:rsid w:val="008B1082"/>
    <w:rsid w:val="008B188E"/>
    <w:rsid w:val="008B397C"/>
    <w:rsid w:val="008B47F4"/>
    <w:rsid w:val="008B7448"/>
    <w:rsid w:val="008B7E1E"/>
    <w:rsid w:val="008C07FE"/>
    <w:rsid w:val="008C2AE6"/>
    <w:rsid w:val="008C2DE8"/>
    <w:rsid w:val="008C5113"/>
    <w:rsid w:val="008C5B8A"/>
    <w:rsid w:val="008C7FE2"/>
    <w:rsid w:val="008D3D5F"/>
    <w:rsid w:val="008D4E81"/>
    <w:rsid w:val="008D505F"/>
    <w:rsid w:val="008D574F"/>
    <w:rsid w:val="008D7346"/>
    <w:rsid w:val="008E0F55"/>
    <w:rsid w:val="008E680F"/>
    <w:rsid w:val="008F253F"/>
    <w:rsid w:val="008F7F31"/>
    <w:rsid w:val="00900019"/>
    <w:rsid w:val="009023B1"/>
    <w:rsid w:val="009147D6"/>
    <w:rsid w:val="00914D98"/>
    <w:rsid w:val="00925F8C"/>
    <w:rsid w:val="00927324"/>
    <w:rsid w:val="00932ED7"/>
    <w:rsid w:val="00933990"/>
    <w:rsid w:val="00941B89"/>
    <w:rsid w:val="00941DEA"/>
    <w:rsid w:val="009467AD"/>
    <w:rsid w:val="009656CC"/>
    <w:rsid w:val="00970E8C"/>
    <w:rsid w:val="00971671"/>
    <w:rsid w:val="0097331C"/>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08EF"/>
    <w:rsid w:val="009F3199"/>
    <w:rsid w:val="009F3355"/>
    <w:rsid w:val="009F3648"/>
    <w:rsid w:val="009F3B7A"/>
    <w:rsid w:val="009F54D0"/>
    <w:rsid w:val="00A04523"/>
    <w:rsid w:val="00A16159"/>
    <w:rsid w:val="00A161E6"/>
    <w:rsid w:val="00A17885"/>
    <w:rsid w:val="00A17FB0"/>
    <w:rsid w:val="00A2337D"/>
    <w:rsid w:val="00A25A31"/>
    <w:rsid w:val="00A31BBE"/>
    <w:rsid w:val="00A31D34"/>
    <w:rsid w:val="00A333EF"/>
    <w:rsid w:val="00A33F85"/>
    <w:rsid w:val="00A40645"/>
    <w:rsid w:val="00A6016C"/>
    <w:rsid w:val="00A717CF"/>
    <w:rsid w:val="00A769B1"/>
    <w:rsid w:val="00A77DA3"/>
    <w:rsid w:val="00A837D5"/>
    <w:rsid w:val="00A83E04"/>
    <w:rsid w:val="00A91091"/>
    <w:rsid w:val="00A93EE3"/>
    <w:rsid w:val="00A94BA9"/>
    <w:rsid w:val="00AA4970"/>
    <w:rsid w:val="00AA536D"/>
    <w:rsid w:val="00AA5E9B"/>
    <w:rsid w:val="00AB22C0"/>
    <w:rsid w:val="00AB28FC"/>
    <w:rsid w:val="00AB49E4"/>
    <w:rsid w:val="00AC1479"/>
    <w:rsid w:val="00AC2AAC"/>
    <w:rsid w:val="00AC40F1"/>
    <w:rsid w:val="00AC4C45"/>
    <w:rsid w:val="00AD1085"/>
    <w:rsid w:val="00AD5B40"/>
    <w:rsid w:val="00AE0FA8"/>
    <w:rsid w:val="00AF289F"/>
    <w:rsid w:val="00AF30B9"/>
    <w:rsid w:val="00AF43DF"/>
    <w:rsid w:val="00AF67A4"/>
    <w:rsid w:val="00AF7510"/>
    <w:rsid w:val="00B04161"/>
    <w:rsid w:val="00B12D31"/>
    <w:rsid w:val="00B15F6E"/>
    <w:rsid w:val="00B21BEE"/>
    <w:rsid w:val="00B23284"/>
    <w:rsid w:val="00B35542"/>
    <w:rsid w:val="00B37D43"/>
    <w:rsid w:val="00B46F21"/>
    <w:rsid w:val="00B511A5"/>
    <w:rsid w:val="00B51CDE"/>
    <w:rsid w:val="00B56541"/>
    <w:rsid w:val="00B56985"/>
    <w:rsid w:val="00B605ED"/>
    <w:rsid w:val="00B626D2"/>
    <w:rsid w:val="00B7001F"/>
    <w:rsid w:val="00B71F97"/>
    <w:rsid w:val="00B72538"/>
    <w:rsid w:val="00B736A7"/>
    <w:rsid w:val="00B7651F"/>
    <w:rsid w:val="00B76F71"/>
    <w:rsid w:val="00B81BA9"/>
    <w:rsid w:val="00B919FA"/>
    <w:rsid w:val="00B94A16"/>
    <w:rsid w:val="00BA6044"/>
    <w:rsid w:val="00BB1A93"/>
    <w:rsid w:val="00BC14BF"/>
    <w:rsid w:val="00BC2625"/>
    <w:rsid w:val="00BC3200"/>
    <w:rsid w:val="00BC338A"/>
    <w:rsid w:val="00BD7AB0"/>
    <w:rsid w:val="00BF3C20"/>
    <w:rsid w:val="00C00298"/>
    <w:rsid w:val="00C011BC"/>
    <w:rsid w:val="00C01524"/>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6DE8"/>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150"/>
    <w:rsid w:val="00CF691F"/>
    <w:rsid w:val="00D00D99"/>
    <w:rsid w:val="00D013A4"/>
    <w:rsid w:val="00D026DC"/>
    <w:rsid w:val="00D15595"/>
    <w:rsid w:val="00D265BE"/>
    <w:rsid w:val="00D343A8"/>
    <w:rsid w:val="00D37832"/>
    <w:rsid w:val="00D44860"/>
    <w:rsid w:val="00D47689"/>
    <w:rsid w:val="00D5080C"/>
    <w:rsid w:val="00D50C42"/>
    <w:rsid w:val="00D57CF5"/>
    <w:rsid w:val="00D612BC"/>
    <w:rsid w:val="00D62F98"/>
    <w:rsid w:val="00D66FD6"/>
    <w:rsid w:val="00D8285B"/>
    <w:rsid w:val="00D862EB"/>
    <w:rsid w:val="00D86619"/>
    <w:rsid w:val="00D93E7C"/>
    <w:rsid w:val="00DB1752"/>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87CD9"/>
    <w:rsid w:val="00E90B8B"/>
    <w:rsid w:val="00E93ADD"/>
    <w:rsid w:val="00E952D8"/>
    <w:rsid w:val="00EB00E4"/>
    <w:rsid w:val="00EB28DA"/>
    <w:rsid w:val="00EB3812"/>
    <w:rsid w:val="00EB44EB"/>
    <w:rsid w:val="00EB66B8"/>
    <w:rsid w:val="00EB791E"/>
    <w:rsid w:val="00EC70A9"/>
    <w:rsid w:val="00ED4C3A"/>
    <w:rsid w:val="00ED5B92"/>
    <w:rsid w:val="00EE1C85"/>
    <w:rsid w:val="00EF21D9"/>
    <w:rsid w:val="00EF2A94"/>
    <w:rsid w:val="00EF32FB"/>
    <w:rsid w:val="00EF44B1"/>
    <w:rsid w:val="00EF4865"/>
    <w:rsid w:val="00EF5954"/>
    <w:rsid w:val="00F04136"/>
    <w:rsid w:val="00F100D2"/>
    <w:rsid w:val="00F12942"/>
    <w:rsid w:val="00F13C41"/>
    <w:rsid w:val="00F14886"/>
    <w:rsid w:val="00F16421"/>
    <w:rsid w:val="00F201EE"/>
    <w:rsid w:val="00F35AA0"/>
    <w:rsid w:val="00F43C49"/>
    <w:rsid w:val="00F45C12"/>
    <w:rsid w:val="00F544A2"/>
    <w:rsid w:val="00F73D03"/>
    <w:rsid w:val="00F75D77"/>
    <w:rsid w:val="00F76CB9"/>
    <w:rsid w:val="00F77A73"/>
    <w:rsid w:val="00F80E46"/>
    <w:rsid w:val="00F93D8C"/>
    <w:rsid w:val="00F96236"/>
    <w:rsid w:val="00FA10CE"/>
    <w:rsid w:val="00FA11E7"/>
    <w:rsid w:val="00FA222F"/>
    <w:rsid w:val="00FA2891"/>
    <w:rsid w:val="00FB693D"/>
    <w:rsid w:val="00FB6A9C"/>
    <w:rsid w:val="00FB7768"/>
    <w:rsid w:val="00FC7489"/>
    <w:rsid w:val="00FD1BA8"/>
    <w:rsid w:val="00FD218F"/>
    <w:rsid w:val="00FD5663"/>
    <w:rsid w:val="00FD56C6"/>
    <w:rsid w:val="00FE2153"/>
    <w:rsid w:val="00FE2529"/>
    <w:rsid w:val="00FE3221"/>
    <w:rsid w:val="00FE48EA"/>
    <w:rsid w:val="00FE571F"/>
    <w:rsid w:val="00FE7E73"/>
    <w:rsid w:val="00FF47F6"/>
    <w:rsid w:val="016E63C2"/>
    <w:rsid w:val="024B0C39"/>
    <w:rsid w:val="0A8128A6"/>
    <w:rsid w:val="0BF32A1B"/>
    <w:rsid w:val="10BD2C22"/>
    <w:rsid w:val="22987C80"/>
    <w:rsid w:val="24192CCC"/>
    <w:rsid w:val="39A66CD4"/>
    <w:rsid w:val="3CD52CE1"/>
    <w:rsid w:val="410F2E6A"/>
    <w:rsid w:val="4430136C"/>
    <w:rsid w:val="4AB0382B"/>
    <w:rsid w:val="569868B5"/>
    <w:rsid w:val="5F6B30E7"/>
    <w:rsid w:val="611F6817"/>
    <w:rsid w:val="66CA1754"/>
    <w:rsid w:val="6F1E65D4"/>
    <w:rsid w:val="6F266C86"/>
    <w:rsid w:val="6F5042C2"/>
    <w:rsid w:val="74316312"/>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1"/>
    <w:qFormat/>
    <w:uiPriority w:val="99"/>
    <w:pPr>
      <w:widowControl w:val="0"/>
    </w:pPr>
    <w:rPr>
      <w:rFonts w:ascii="Times New Roman" w:hAnsi="Times New Roman" w:cs="Times New Roman"/>
      <w:kern w:val="2"/>
      <w:sz w:val="21"/>
    </w:rPr>
  </w:style>
  <w:style w:type="paragraph" w:styleId="4">
    <w:name w:val="Body Text Indent"/>
    <w:basedOn w:val="1"/>
    <w:link w:val="26"/>
    <w:uiPriority w:val="99"/>
    <w:pPr>
      <w:widowControl w:val="0"/>
      <w:spacing w:line="480" w:lineRule="exact"/>
      <w:ind w:firstLine="425"/>
      <w:jc w:val="both"/>
    </w:pPr>
    <w:rPr>
      <w:rFonts w:asciiTheme="minorHAnsi" w:hAnsiTheme="minorHAnsi" w:eastAsiaTheme="minorEastAsia" w:cstheme="minorBidi"/>
      <w:kern w:val="2"/>
      <w:sz w:val="21"/>
      <w:szCs w:val="20"/>
    </w:rPr>
  </w:style>
  <w:style w:type="paragraph" w:styleId="5">
    <w:name w:val="footer"/>
    <w:basedOn w:val="1"/>
    <w:link w:val="13"/>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unhideWhenUsed/>
    <w:uiPriority w:val="99"/>
    <w:pPr>
      <w:spacing w:before="100" w:beforeAutospacing="1" w:after="100" w:afterAutospacing="1"/>
    </w:pPr>
  </w:style>
  <w:style w:type="table" w:styleId="9">
    <w:name w:val="Table Grid"/>
    <w:basedOn w:val="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页眉 字符"/>
    <w:basedOn w:val="10"/>
    <w:link w:val="6"/>
    <w:semiHidden/>
    <w:qFormat/>
    <w:uiPriority w:val="99"/>
    <w:rPr>
      <w:sz w:val="18"/>
      <w:szCs w:val="18"/>
    </w:rPr>
  </w:style>
  <w:style w:type="character" w:customStyle="1" w:styleId="13">
    <w:name w:val="页脚 字符"/>
    <w:basedOn w:val="10"/>
    <w:link w:val="5"/>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qFormat/>
    <w:uiPriority w:val="0"/>
    <w:pPr>
      <w:jc w:val="center"/>
    </w:pPr>
    <w:rPr>
      <w:rFonts w:ascii="Times New Roman" w:hAnsi="Times New Roman"/>
      <w:color w:val="000000"/>
      <w:sz w:val="21"/>
      <w:szCs w:val="21"/>
    </w:rPr>
  </w:style>
  <w:style w:type="paragraph" w:styleId="16">
    <w:name w:val="List Paragraph"/>
    <w:basedOn w:val="1"/>
    <w:unhideWhenUsed/>
    <w:uiPriority w:val="99"/>
    <w:pPr>
      <w:ind w:firstLine="420" w:firstLineChars="200"/>
    </w:pPr>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7"/>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9">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10"/>
    <w:link w:val="2"/>
    <w:uiPriority w:val="9"/>
    <w:rPr>
      <w:rFonts w:ascii="Calibri" w:hAnsi="Calibri" w:eastAsia="宋体" w:cs="Times New Roman"/>
      <w:b/>
      <w:bCs/>
      <w:kern w:val="44"/>
      <w:sz w:val="44"/>
      <w:szCs w:val="44"/>
    </w:rPr>
  </w:style>
  <w:style w:type="character" w:customStyle="1" w:styleId="21">
    <w:name w:val="批注文字 字符"/>
    <w:basedOn w:val="10"/>
    <w:link w:val="3"/>
    <w:uiPriority w:val="99"/>
    <w:rPr>
      <w:rFonts w:ascii="Times New Roman" w:hAnsi="Times New Roman" w:eastAsia="宋体" w:cs="Times New Roman"/>
      <w:kern w:val="2"/>
      <w:sz w:val="21"/>
      <w:szCs w:val="24"/>
    </w:rPr>
  </w:style>
  <w:style w:type="character" w:customStyle="1" w:styleId="22">
    <w:name w:val="editor-text-node"/>
    <w:basedOn w:val="10"/>
    <w:uiPriority w:val="0"/>
  </w:style>
  <w:style w:type="character" w:styleId="23">
    <w:name w:val="Placeholder Text"/>
    <w:basedOn w:val="10"/>
    <w:unhideWhenUsed/>
    <w:uiPriority w:val="99"/>
    <w:rPr>
      <w:color w:val="808080"/>
    </w:rPr>
  </w:style>
  <w:style w:type="character" w:customStyle="1" w:styleId="24">
    <w:name w:val="fontstyle01"/>
    <w:basedOn w:val="10"/>
    <w:uiPriority w:val="0"/>
    <w:rPr>
      <w:rFonts w:hint="eastAsia" w:ascii="宋体" w:hAnsi="宋体" w:eastAsia="宋体"/>
      <w:color w:val="000000"/>
      <w:sz w:val="22"/>
      <w:szCs w:val="22"/>
    </w:rPr>
  </w:style>
  <w:style w:type="character" w:customStyle="1" w:styleId="25">
    <w:name w:val="fontstyle11"/>
    <w:basedOn w:val="10"/>
    <w:uiPriority w:val="0"/>
    <w:rPr>
      <w:rFonts w:hint="eastAsia" w:ascii="宋体" w:hAnsi="宋体" w:eastAsia="宋体"/>
      <w:color w:val="000000"/>
      <w:sz w:val="22"/>
      <w:szCs w:val="22"/>
    </w:rPr>
  </w:style>
  <w:style w:type="character" w:customStyle="1" w:styleId="26">
    <w:name w:val="正文文本缩进 字符"/>
    <w:link w:val="4"/>
    <w:uiPriority w:val="99"/>
    <w:rPr>
      <w:kern w:val="2"/>
      <w:sz w:val="21"/>
    </w:rPr>
  </w:style>
  <w:style w:type="character" w:customStyle="1" w:styleId="27">
    <w:name w:val="正文文本缩进 字符1"/>
    <w:basedOn w:val="10"/>
    <w:semiHidden/>
    <w:uiPriority w:val="99"/>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1753</Words>
  <Characters>1889</Characters>
  <Lines>810</Lines>
  <Paragraphs>654</Paragraphs>
  <TotalTime>1</TotalTime>
  <ScaleCrop>false</ScaleCrop>
  <LinksUpToDate>false</LinksUpToDate>
  <CharactersWithSpaces>1895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2026-09-14T07:08:00Z</dcterms:created>
  <dc:creator>juvg</dc:creator>
  <cp:lastModifiedBy>一去二三里</cp:lastModifiedBy>
  <cp:lastPrinted>2023-11-21T00:52:00Z</cp:lastPrinted>
  <dcterms:modified xsi:type="dcterms:W3CDTF">2026-10-14T01:52:26Z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eyJoZGlkIjoiOGU4YmE5YTQ3ZTNiYjE1MTNmNDI3YTIzZDBjMjhmZWIiLCJ1c2VySWQiOiI1MDEyNzg3NDgifQ==</vt:lpwstr>
  </property>
  <property fmtid="{D5CDD505-2E9C-101B-9397-08002B2CF9AE}" pid="4" name="ICV">
    <vt:lpwstr>B38FE2326DA3473E990A4567A26257B6_12</vt:lpwstr>
  </property>
</Properties>
</file>