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y1ZHmtQA&#10;AAAIAQAADwAAAAAAAAABACAAAAA4AAAAZHJzL2Rvd25yZXYueG1sUEsBAhQAFAAAAAgAh07iQHFP&#10;ioJGAgAAWQQAAA4AAAAAAAAAAQAgAAAAOQEAAGRycy9lMm9Eb2MueG1sUEsFBgAAAAAGAAYAWQEA&#10;APE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pPr>
        <w:spacing w:line="288" w:lineRule="auto"/>
        <w:rPr>
          <w:rFonts w:ascii="方正小标宋简体" w:hAnsi="宋体"/>
          <w:bCs/>
          <w:kern w:val="0"/>
          <w:szCs w:val="21"/>
        </w:rPr>
      </w:pPr>
    </w:p>
    <w:p>
      <w:pPr>
        <w:spacing w:line="288" w:lineRule="auto"/>
        <w:jc w:val="center"/>
        <w:rPr>
          <w:b/>
          <w:sz w:val="28"/>
          <w:szCs w:val="30"/>
        </w:rPr>
      </w:pPr>
      <w:r>
        <w:rPr>
          <w:rFonts w:hint="eastAsia"/>
          <w:b/>
          <w:sz w:val="28"/>
          <w:szCs w:val="30"/>
        </w:rPr>
        <w:t>【人体解剖学】</w:t>
      </w:r>
    </w:p>
    <w:p>
      <w:pPr>
        <w:shd w:val="clear" w:color="auto" w:fill="F5F5F5"/>
        <w:jc w:val="center"/>
        <w:textAlignment w:val="top"/>
        <w:rPr>
          <w:rFonts w:ascii="Arial" w:hAnsi="Arial" w:cs="Arial"/>
          <w:color w:val="888888"/>
          <w:kern w:val="0"/>
          <w:sz w:val="20"/>
          <w:szCs w:val="20"/>
        </w:rPr>
      </w:pPr>
      <w:r>
        <w:rPr>
          <w:rFonts w:hint="eastAsia"/>
          <w:b/>
          <w:sz w:val="28"/>
          <w:szCs w:val="30"/>
        </w:rPr>
        <w:t>【Human Anatomy】</w:t>
      </w:r>
    </w:p>
    <w:p>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pPr>
        <w:snapToGrid w:val="0"/>
        <w:spacing w:line="288" w:lineRule="auto"/>
        <w:ind w:firstLine="392" w:firstLineChars="196"/>
        <w:rPr>
          <w:color w:val="FF0000"/>
          <w:sz w:val="20"/>
          <w:szCs w:val="20"/>
        </w:rPr>
      </w:pPr>
      <w:r>
        <w:rPr>
          <w:b/>
          <w:bCs/>
          <w:color w:val="000000"/>
          <w:sz w:val="20"/>
          <w:szCs w:val="20"/>
        </w:rPr>
        <w:t>课程代码：</w:t>
      </w:r>
      <w:r>
        <w:rPr>
          <w:color w:val="FF0000"/>
          <w:sz w:val="20"/>
          <w:szCs w:val="20"/>
        </w:rPr>
        <w:t>【</w:t>
      </w:r>
      <w:r>
        <w:rPr>
          <w:rFonts w:hint="eastAsia" w:asciiTheme="minorEastAsia" w:hAnsiTheme="minorEastAsia" w:eastAsiaTheme="minorEastAsia" w:cstheme="minorEastAsia"/>
          <w:color w:val="FF0000"/>
          <w:sz w:val="20"/>
          <w:szCs w:val="20"/>
        </w:rPr>
        <w:t>1170001</w:t>
      </w:r>
      <w:r>
        <w:rPr>
          <w:color w:val="FF0000"/>
          <w:sz w:val="20"/>
          <w:szCs w:val="20"/>
        </w:rPr>
        <w:t>】</w:t>
      </w:r>
    </w:p>
    <w:p>
      <w:pPr>
        <w:snapToGrid w:val="0"/>
        <w:spacing w:line="288" w:lineRule="auto"/>
        <w:ind w:firstLine="392" w:firstLineChars="196"/>
        <w:rPr>
          <w:rFonts w:asciiTheme="minorEastAsia" w:hAnsiTheme="minorEastAsia" w:eastAsiaTheme="minorEastAsia" w:cstheme="minorEastAsia"/>
          <w:color w:val="FF0000"/>
          <w:sz w:val="20"/>
          <w:szCs w:val="20"/>
        </w:rPr>
      </w:pPr>
      <w:r>
        <w:rPr>
          <w:b/>
          <w:bCs/>
          <w:color w:val="FF0000"/>
          <w:sz w:val="20"/>
          <w:szCs w:val="20"/>
        </w:rPr>
        <w:t>课程学分：</w:t>
      </w:r>
      <w:r>
        <w:rPr>
          <w:color w:val="FF0000"/>
          <w:sz w:val="20"/>
          <w:szCs w:val="20"/>
        </w:rPr>
        <w:t>【</w:t>
      </w:r>
      <w:r>
        <w:rPr>
          <w:rFonts w:hint="eastAsia" w:asciiTheme="minorEastAsia" w:hAnsiTheme="minorEastAsia" w:eastAsiaTheme="minorEastAsia" w:cstheme="minorEastAsia"/>
          <w:color w:val="FF0000"/>
          <w:sz w:val="20"/>
          <w:szCs w:val="20"/>
        </w:rPr>
        <w:t>4.0</w:t>
      </w:r>
      <w:r>
        <w:rPr>
          <w:color w:val="FF0000"/>
          <w:sz w:val="20"/>
          <w:szCs w:val="20"/>
        </w:rPr>
        <w:t>】</w:t>
      </w:r>
    </w:p>
    <w:p>
      <w:pPr>
        <w:snapToGrid w:val="0"/>
        <w:spacing w:line="288" w:lineRule="auto"/>
        <w:ind w:firstLine="392"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asciiTheme="minorEastAsia" w:hAnsiTheme="minorEastAsia" w:eastAsiaTheme="minorEastAsia" w:cstheme="minorEastAsia"/>
          <w:color w:val="000000"/>
          <w:sz w:val="20"/>
          <w:szCs w:val="20"/>
        </w:rPr>
        <w:t>护理学</w:t>
      </w:r>
      <w:r>
        <w:rPr>
          <w:color w:val="000000"/>
          <w:sz w:val="20"/>
          <w:szCs w:val="20"/>
        </w:rPr>
        <w:t>】</w:t>
      </w:r>
    </w:p>
    <w:p>
      <w:pPr>
        <w:snapToGrid w:val="0"/>
        <w:spacing w:line="288" w:lineRule="auto"/>
        <w:ind w:firstLine="392"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院级必修课</w:t>
      </w:r>
      <w:r>
        <w:rPr>
          <w:color w:val="000000"/>
          <w:sz w:val="20"/>
          <w:szCs w:val="20"/>
        </w:rPr>
        <w:t>】</w:t>
      </w:r>
    </w:p>
    <w:p>
      <w:pPr>
        <w:snapToGrid w:val="0"/>
        <w:spacing w:line="288" w:lineRule="auto"/>
        <w:ind w:firstLine="392"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学院护理系</w:t>
      </w:r>
    </w:p>
    <w:p>
      <w:pPr>
        <w:snapToGrid w:val="0"/>
        <w:spacing w:line="288" w:lineRule="auto"/>
        <w:ind w:firstLine="392" w:firstLineChars="196"/>
        <w:rPr>
          <w:b/>
          <w:bCs/>
          <w:color w:val="000000"/>
          <w:sz w:val="20"/>
          <w:szCs w:val="20"/>
        </w:rPr>
      </w:pPr>
      <w:r>
        <w:rPr>
          <w:b/>
          <w:bCs/>
          <w:color w:val="000000"/>
          <w:sz w:val="20"/>
          <w:szCs w:val="20"/>
        </w:rPr>
        <w:t>使用教材：</w:t>
      </w:r>
    </w:p>
    <w:p>
      <w:pPr>
        <w:snapToGrid w:val="0"/>
        <w:spacing w:line="288" w:lineRule="auto"/>
        <w:ind w:firstLine="800" w:firstLineChars="400"/>
        <w:rPr>
          <w:color w:val="000000"/>
          <w:sz w:val="20"/>
          <w:szCs w:val="20"/>
        </w:rPr>
      </w:pPr>
      <w:r>
        <w:rPr>
          <w:rFonts w:hint="eastAsia"/>
          <w:color w:val="000000"/>
          <w:sz w:val="20"/>
          <w:szCs w:val="20"/>
        </w:rPr>
        <w:t>教材【《人体形态学》（第4版），主编：周瑞祥、杨桂姣，人民卫生出版社，2017】</w:t>
      </w:r>
    </w:p>
    <w:p>
      <w:pPr>
        <w:snapToGrid w:val="0"/>
        <w:spacing w:line="288" w:lineRule="auto"/>
        <w:ind w:firstLine="800" w:firstLineChars="400"/>
        <w:rPr>
          <w:color w:val="000000"/>
          <w:sz w:val="20"/>
          <w:szCs w:val="20"/>
        </w:rPr>
      </w:pPr>
      <w:r>
        <w:rPr>
          <w:rFonts w:hint="eastAsia"/>
          <w:color w:val="000000"/>
          <w:sz w:val="20"/>
          <w:szCs w:val="20"/>
        </w:rPr>
        <w:t>参考书目【1.《人体解剖彩色图谱》，主编：郭光文、王序，人民卫生出版社，2013；</w:t>
      </w:r>
    </w:p>
    <w:p>
      <w:pPr>
        <w:snapToGrid w:val="0"/>
        <w:spacing w:line="288" w:lineRule="auto"/>
        <w:rPr>
          <w:color w:val="000000"/>
          <w:sz w:val="20"/>
          <w:szCs w:val="20"/>
        </w:rPr>
      </w:pPr>
      <w:r>
        <w:rPr>
          <w:rFonts w:hint="eastAsia"/>
          <w:color w:val="000000"/>
          <w:sz w:val="20"/>
          <w:szCs w:val="20"/>
        </w:rPr>
        <w:t>2.《系统解剖学》，主编：刘执玉，科学出版社，2009；3.《英汉人体解剖学与组织胚胎学名词》，主编：李振华、武玉玲，科学出版社，2012.】</w:t>
      </w:r>
    </w:p>
    <w:p>
      <w:pPr>
        <w:snapToGrid w:val="0"/>
        <w:spacing w:line="288" w:lineRule="auto"/>
        <w:ind w:firstLine="392"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pPr>
        <w:snapToGrid w:val="0"/>
        <w:spacing w:line="288" w:lineRule="auto"/>
        <w:ind w:firstLine="392"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是学习医学的先修课和必修课，只有在掌握正常人体形态结构的基础上，才能正确理解人体的生理、病理发展过程，正确判断人体的正常与异常，区別生理与病理状态，从而对疾病进行正确诊断和治疗及护理</w:t>
      </w:r>
      <w:bookmarkStart w:id="0" w:name="_GoBack"/>
      <w:r>
        <w:rPr>
          <w:rFonts w:hint="eastAsia"/>
          <w:color w:val="FF0000"/>
          <w:sz w:val="20"/>
          <w:szCs w:val="20"/>
        </w:rPr>
        <w:t>。</w:t>
      </w:r>
      <w:r>
        <w:rPr>
          <w:color w:val="FF0000"/>
          <w:sz w:val="20"/>
          <w:szCs w:val="20"/>
        </w:rPr>
        <w:t>适合</w:t>
      </w:r>
      <w:r>
        <w:rPr>
          <w:rFonts w:hint="eastAsia"/>
          <w:color w:val="FF0000"/>
          <w:sz w:val="20"/>
          <w:szCs w:val="20"/>
        </w:rPr>
        <w:t>于护理</w:t>
      </w:r>
      <w:r>
        <w:rPr>
          <w:rFonts w:hint="eastAsia" w:ascii="PMingLiU" w:hAnsi="PMingLiU"/>
          <w:color w:val="FF0000"/>
          <w:sz w:val="20"/>
          <w:szCs w:val="20"/>
        </w:rPr>
        <w:t>专升本学生，</w:t>
      </w:r>
      <w:r>
        <w:rPr>
          <w:rFonts w:hint="eastAsia" w:ascii="PMingLiU" w:hAnsi="PMingLiU"/>
          <w:color w:val="FF0000"/>
          <w:sz w:val="20"/>
          <w:szCs w:val="20"/>
          <w:lang w:val="en-US" w:eastAsia="zh-Hans"/>
        </w:rPr>
        <w:t>建议于</w:t>
      </w:r>
      <w:r>
        <w:rPr>
          <w:rFonts w:hint="eastAsia" w:ascii="PMingLiU" w:hAnsi="PMingLiU"/>
          <w:color w:val="FF0000"/>
          <w:sz w:val="20"/>
          <w:szCs w:val="20"/>
        </w:rPr>
        <w:t>第一学期</w:t>
      </w:r>
      <w:r>
        <w:rPr>
          <w:rFonts w:hint="eastAsia" w:ascii="PMingLiU" w:hAnsi="PMingLiU"/>
          <w:color w:val="FF0000"/>
          <w:sz w:val="20"/>
          <w:szCs w:val="20"/>
          <w:lang w:val="en-US" w:eastAsia="zh-Hans"/>
        </w:rPr>
        <w:t>开设</w:t>
      </w:r>
      <w:r>
        <w:rPr>
          <w:rFonts w:hint="eastAsia" w:ascii="PMingLiU" w:hAnsi="PMingLiU"/>
          <w:color w:val="FF0000"/>
          <w:sz w:val="20"/>
          <w:szCs w:val="20"/>
        </w:rPr>
        <w:t>。</w:t>
      </w:r>
      <w:bookmarkEnd w:id="0"/>
    </w:p>
    <w:p>
      <w:pPr>
        <w:snapToGrid w:val="0"/>
        <w:spacing w:line="288" w:lineRule="auto"/>
        <w:ind w:firstLine="400" w:firstLineChars="200"/>
        <w:rPr>
          <w:color w:val="000000"/>
          <w:sz w:val="20"/>
          <w:szCs w:val="20"/>
        </w:rPr>
      </w:pPr>
    </w:p>
    <w:p>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jc w:val="center"/>
              <w:outlineLvl w:val="1"/>
              <w:rPr>
                <w:rFonts w:ascii="宋体" w:hAnsi="宋体" w:cs="宋体"/>
                <w:color w:val="000000"/>
                <w:sz w:val="20"/>
                <w:szCs w:val="20"/>
              </w:rPr>
            </w:pPr>
          </w:p>
        </w:tc>
      </w:tr>
    </w:tbl>
    <w:p>
      <w:pPr>
        <w:ind w:firstLine="420" w:firstLineChars="2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8"/>
        <w:tblpPr w:leftFromText="180" w:rightFromText="180" w:vertAnchor="text" w:horzAnchor="page" w:tblpX="2163" w:tblpY="152"/>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274"/>
        <w:gridCol w:w="2678"/>
        <w:gridCol w:w="211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58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1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580"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274" w:type="dxa"/>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580"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274" w:type="dxa"/>
            <w:vMerge w:val="restart"/>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LO312</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1.判断人体的正常与异常。</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580"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1274" w:type="dxa"/>
            <w:vMerge w:val="continue"/>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2.区分生理与病理。</w:t>
            </w:r>
          </w:p>
        </w:tc>
        <w:tc>
          <w:tcPr>
            <w:tcW w:w="2111"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探究教学法</w:t>
            </w:r>
          </w:p>
        </w:tc>
        <w:tc>
          <w:tcPr>
            <w:tcW w:w="165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9" w:hRule="atLeast"/>
        </w:trPr>
        <w:tc>
          <w:tcPr>
            <w:tcW w:w="580" w:type="dxa"/>
            <w:shd w:val="clear" w:color="auto" w:fill="auto"/>
            <w:vAlign w:val="center"/>
          </w:tcPr>
          <w:p>
            <w:pPr>
              <w:jc w:val="center"/>
              <w:rPr>
                <w:rFonts w:asciiTheme="minorEastAsia" w:hAnsiTheme="minorEastAsia" w:eastAsiaTheme="minorEastAsia" w:cstheme="minorEastAsia"/>
                <w:sz w:val="20"/>
                <w:szCs w:val="20"/>
              </w:rPr>
            </w:pPr>
            <w:r>
              <w:rPr>
                <w:rFonts w:hint="eastAsia" w:ascii="宋体" w:hAnsi="宋体" w:cs="宋体" w:eastAsiaTheme="minorEastAsia"/>
                <w:szCs w:val="21"/>
              </w:rPr>
              <w:t>3</w:t>
            </w:r>
          </w:p>
        </w:tc>
        <w:tc>
          <w:tcPr>
            <w:tcW w:w="1274" w:type="dxa"/>
            <w:shd w:val="clear" w:color="auto" w:fill="auto"/>
            <w:vAlign w:val="center"/>
          </w:tcPr>
          <w:p>
            <w:pPr>
              <w:jc w:val="center"/>
              <w:rPr>
                <w:rFonts w:asciiTheme="minorEastAsia" w:hAnsiTheme="minorEastAsia" w:cstheme="minorEastAsia"/>
                <w:sz w:val="20"/>
                <w:szCs w:val="20"/>
              </w:rPr>
            </w:pPr>
            <w:r>
              <w:rPr>
                <w:rFonts w:hint="eastAsia" w:ascii="宋体" w:hAnsi="宋体" w:cs="宋体"/>
                <w:szCs w:val="21"/>
              </w:rPr>
              <w:t>LO511</w:t>
            </w:r>
          </w:p>
        </w:tc>
        <w:tc>
          <w:tcPr>
            <w:tcW w:w="2678"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2111"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合作学习教学法</w:t>
            </w:r>
          </w:p>
        </w:tc>
        <w:tc>
          <w:tcPr>
            <w:tcW w:w="1656" w:type="dxa"/>
            <w:shd w:val="clear" w:color="auto" w:fill="auto"/>
          </w:tcPr>
          <w:p>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Lines="50" w:afterLines="50" w:line="288" w:lineRule="auto"/>
        <w:ind w:firstLine="360" w:firstLineChars="150"/>
        <w:jc w:val="left"/>
        <w:rPr>
          <w:rFonts w:ascii="黑体" w:hAnsi="宋体" w:eastAsia="黑体"/>
          <w:color w:val="FF0000"/>
          <w:sz w:val="24"/>
        </w:rPr>
      </w:pPr>
      <w:r>
        <w:rPr>
          <w:rFonts w:hint="eastAsia" w:ascii="黑体" w:hAnsi="宋体" w:eastAsia="黑体"/>
          <w:color w:val="FF0000"/>
          <w:sz w:val="24"/>
        </w:rPr>
        <w:t>本课程总学时为</w:t>
      </w:r>
      <w:r>
        <w:rPr>
          <w:rFonts w:hint="default" w:ascii="黑体" w:hAnsi="宋体" w:eastAsia="黑体"/>
          <w:color w:val="FF0000"/>
          <w:sz w:val="24"/>
        </w:rPr>
        <w:t>64</w:t>
      </w:r>
      <w:r>
        <w:rPr>
          <w:rFonts w:hint="eastAsia" w:ascii="黑体" w:hAnsi="宋体" w:eastAsia="黑体"/>
          <w:color w:val="FF0000"/>
          <w:sz w:val="24"/>
        </w:rPr>
        <w:t>学时，其中教师课堂理论授课学时为</w:t>
      </w:r>
      <w:r>
        <w:rPr>
          <w:rFonts w:hint="default" w:ascii="黑体" w:hAnsi="宋体" w:eastAsia="黑体"/>
          <w:color w:val="FF0000"/>
          <w:sz w:val="24"/>
        </w:rPr>
        <w:t>44</w:t>
      </w:r>
      <w:r>
        <w:rPr>
          <w:rFonts w:hint="eastAsia" w:ascii="黑体" w:hAnsi="宋体" w:eastAsia="黑体"/>
          <w:color w:val="FF0000"/>
          <w:sz w:val="24"/>
        </w:rPr>
        <w:t>学时；学生课内实践环节学时为</w:t>
      </w:r>
      <w:r>
        <w:rPr>
          <w:rFonts w:hint="default" w:ascii="黑体" w:hAnsi="宋体" w:eastAsia="黑体"/>
          <w:color w:val="FF0000"/>
          <w:sz w:val="24"/>
        </w:rPr>
        <w:t>20</w:t>
      </w:r>
      <w:r>
        <w:rPr>
          <w:rFonts w:hint="eastAsia" w:ascii="黑体" w:hAnsi="宋体" w:eastAsia="黑体"/>
          <w:color w:val="FF0000"/>
          <w:sz w:val="24"/>
        </w:rPr>
        <w:t>学时；课外练习，查阅文献及作业等时间不计在内。</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3.能说出肺的位置和形态，分叶，左右肺的差异</w:t>
            </w:r>
            <w:r>
              <w:rPr>
                <w:rFonts w:hint="eastAsia" w:asciiTheme="minorEastAsia" w:hAnsiTheme="minorEastAsia" w:eastAsiaTheme="minorEastAsia" w:cstheme="minorEastAsia"/>
                <w:sz w:val="20"/>
                <w:szCs w:val="20"/>
                <w:lang w:eastAsia="zh-CN"/>
              </w:rPr>
              <w:t>。</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实验二：消化系统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实验三：呼吸系统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实验四：泌尿系统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实验五：生殖系统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实验六：循环系统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实验七：感觉器官</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实验八：神经系统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实验九：内分泌系统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1178" w:type="dxa"/>
            <w:tcBorders>
              <w:left w:val="single" w:color="auto" w:sz="4" w:space="0"/>
              <w:right w:val="single" w:color="auto" w:sz="4" w:space="0"/>
            </w:tcBorders>
            <w:shd w:val="clear" w:color="auto" w:fill="auto"/>
            <w:vAlign w:val="center"/>
          </w:tcPr>
          <w:p>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left="315" w:leftChars="150"/>
        <w:jc w:val="left"/>
        <w:rPr>
          <w:rFonts w:asciiTheme="minorEastAsia" w:hAnsiTheme="minorEastAsia" w:eastAsiaTheme="minorEastAsia" w:cstheme="minorEastAsia"/>
          <w:sz w:val="20"/>
          <w:szCs w:val="20"/>
        </w:rPr>
      </w:pPr>
    </w:p>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8"/>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辨认标本</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阶段测验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实验报告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lang w:val="en-US" w:eastAsia="zh-CN"/>
        </w:rPr>
        <w:t>高静</w:t>
      </w:r>
      <w:r>
        <w:rPr>
          <w:rFonts w:hint="eastAsia"/>
          <w:sz w:val="28"/>
          <w:szCs w:val="28"/>
        </w:rPr>
        <w:t xml:space="preserve">          </w:t>
      </w:r>
      <w:r>
        <w:rPr>
          <w:rFonts w:hint="default"/>
          <w:sz w:val="28"/>
          <w:szCs w:val="28"/>
        </w:rPr>
        <w:t xml:space="preserve">   </w:t>
      </w:r>
      <w:r>
        <w:rPr>
          <w:rFonts w:hint="eastAsia"/>
          <w:sz w:val="28"/>
          <w:szCs w:val="28"/>
        </w:rPr>
        <w:t>系主任审核签名：</w:t>
      </w:r>
      <w:r>
        <w:rPr>
          <w:sz w:val="28"/>
          <w:szCs w:val="28"/>
        </w:rPr>
        <w:drawing>
          <wp:inline distT="0" distB="0" distL="114300" distR="114300">
            <wp:extent cx="822960" cy="354965"/>
            <wp:effectExtent l="0" t="0" r="15240" b="635"/>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4"/>
                    <a:stretch>
                      <a:fillRect/>
                    </a:stretch>
                  </pic:blipFill>
                  <pic:spPr>
                    <a:xfrm>
                      <a:off x="0" y="0"/>
                      <a:ext cx="822960" cy="354965"/>
                    </a:xfrm>
                    <a:prstGeom prst="rect">
                      <a:avLst/>
                    </a:prstGeom>
                  </pic:spPr>
                </pic:pic>
              </a:graphicData>
            </a:graphic>
          </wp:inline>
        </w:drawing>
      </w: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2022</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default"/>
          <w:sz w:val="28"/>
          <w:szCs w:val="28"/>
          <w:lang w:eastAsia="zh-Hans"/>
        </w:rPr>
        <w:t>19</w:t>
      </w:r>
      <w:r>
        <w:rPr>
          <w:rFonts w:hint="eastAsia"/>
          <w:sz w:val="28"/>
          <w:szCs w:val="28"/>
          <w:lang w:val="en-US" w:eastAsia="zh-Hans"/>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20B0503020204020204"/>
    <w:charset w:val="86"/>
    <w:family w:val="auto"/>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MingLiU_HKSCS-ExtB">
    <w:altName w:val="苹方-简"/>
    <w:panose1 w:val="02020500000000000000"/>
    <w:charset w:val="88"/>
    <w:family w:val="auto"/>
    <w:pitch w:val="default"/>
    <w:sig w:usb0="00000000" w:usb1="00000000" w:usb2="00000000" w:usb3="00000000" w:csb0="00100001" w:csb1="00000000"/>
  </w:font>
  <w:font w:name="MingLiU_HKSCS">
    <w:altName w:val="宋体-繁"/>
    <w:panose1 w:val="02020500000000000000"/>
    <w:charset w:val="88"/>
    <w:family w:val="auto"/>
    <w:pitch w:val="default"/>
    <w:sig w:usb0="00000000" w:usb1="00000000" w:usb2="00000016" w:usb3="00000000" w:csb0="00100001" w:csb1="00000000"/>
  </w:font>
  <w:font w:name="Tahoma">
    <w:panose1 w:val="020B0804030504040204"/>
    <w:charset w:val="00"/>
    <w:family w:val="auto"/>
    <w:pitch w:val="default"/>
    <w:sig w:usb0="E1002AFF" w:usb1="C000605B" w:usb2="00000029" w:usb3="00000000" w:csb0="200101FF" w:csb1="20280000"/>
  </w:font>
  <w:font w:name="SimSun-ExtB">
    <w:altName w:val="华文宋体"/>
    <w:panose1 w:val="02010609060101010101"/>
    <w:charset w:val="86"/>
    <w:family w:val="auto"/>
    <w:pitch w:val="default"/>
    <w:sig w:usb0="00000000" w:usb1="00000000" w:usb2="00000000" w:usb3="00000000" w:csb0="00040001" w:csb1="00000000"/>
  </w:font>
  <w:font w:name="MS Gothic">
    <w:altName w:val="冬青黑体简体中文"/>
    <w:panose1 w:val="020B0609070205080204"/>
    <w:charset w:val="80"/>
    <w:family w:val="auto"/>
    <w:pitch w:val="default"/>
    <w:sig w:usb0="00000000" w:usb1="00000000" w:usb2="08000012" w:usb3="00000000" w:csb0="4002009F" w:csb1="DFD70000"/>
  </w:font>
  <w:font w:name="MS PGothic">
    <w:altName w:val="Hiragino Sans"/>
    <w:panose1 w:val="020B0600070205080204"/>
    <w:charset w:val="80"/>
    <w:family w:val="auto"/>
    <w:pitch w:val="default"/>
    <w:sig w:usb0="00000000" w:usb1="00000000" w:usb2="08000012" w:usb3="00000000" w:csb0="4002009F" w:csb1="DFD70000"/>
  </w:font>
  <w:font w:name="宋体-繁">
    <w:panose1 w:val="02010600040101010101"/>
    <w:charset w:val="86"/>
    <w:family w:val="auto"/>
    <w:pitch w:val="default"/>
    <w:sig w:usb0="00000287" w:usb1="080F0000" w:usb2="00000000" w:usb3="00000000" w:csb0="0004009F" w:csb1="DFD70000"/>
  </w:font>
  <w:font w:name="Yu Gothic UI Semibold">
    <w:altName w:val="Hiragino Sans"/>
    <w:panose1 w:val="020B0700000000000000"/>
    <w:charset w:val="80"/>
    <w:family w:val="auto"/>
    <w:pitch w:val="default"/>
    <w:sig w:usb0="00000000" w:usb1="00000000" w:usb2="00000016" w:usb3="00000000" w:csb0="2002009F" w:csb1="0000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6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49667"/>
    <w:multiLevelType w:val="singleLevel"/>
    <w:tmpl w:val="B8249667"/>
    <w:lvl w:ilvl="0" w:tentative="0">
      <w:start w:val="4"/>
      <w:numFmt w:val="chineseCounting"/>
      <w:suff w:val="nothing"/>
      <w:lvlText w:val="%1、"/>
      <w:lvlJc w:val="left"/>
      <w:rPr>
        <w:rFonts w:hint="eastAsia"/>
      </w:rPr>
    </w:lvl>
  </w:abstractNum>
  <w:abstractNum w:abstractNumId="1">
    <w:nsid w:val="1D5C1DDB"/>
    <w:multiLevelType w:val="singleLevel"/>
    <w:tmpl w:val="1D5C1DDB"/>
    <w:lvl w:ilvl="0" w:tentative="0">
      <w:start w:val="1"/>
      <w:numFmt w:val="chineseCounting"/>
      <w:suff w:val="nothing"/>
      <w:lvlText w:val="%1、"/>
      <w:lvlJc w:val="left"/>
      <w:rPr>
        <w:rFonts w:hint="eastAsia"/>
      </w:rPr>
    </w:lvl>
  </w:abstractNum>
  <w:abstractNum w:abstractNumId="2">
    <w:nsid w:val="3001A193"/>
    <w:multiLevelType w:val="singleLevel"/>
    <w:tmpl w:val="3001A19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mEyMTdmNDVkYzA2OGUzNDRiZGVjOGY2NTgwNzk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4F72807"/>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4884</Words>
  <Characters>5142</Characters>
  <Lines>42</Lines>
  <Paragraphs>11</Paragraphs>
  <ScaleCrop>false</ScaleCrop>
  <LinksUpToDate>false</LinksUpToDate>
  <CharactersWithSpaces>5452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apple</cp:lastModifiedBy>
  <cp:lastPrinted>2019-03-19T11:50:00Z</cp:lastPrinted>
  <dcterms:modified xsi:type="dcterms:W3CDTF">2022-10-08T19:47:18Z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2051F1EB322A42019994ED508181BDE5</vt:lpwstr>
  </property>
</Properties>
</file>