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747914841" name="文本框 1"/>
                <wp:cNvGraphicFramePr/>
                <a:graphic xmlns:a="http://schemas.openxmlformats.org/drawingml/2006/main">
                  <a:graphicData uri="http://schemas.microsoft.com/office/word/2010/wordprocessingShape">
                    <wps:wsp>
                      <wps:cNvSpPr txBox="1"/>
                      <wps:spPr bwMode="auto">
                        <a:xfrm>
                          <a:off x="0" y="0"/>
                          <a:ext cx="2635250" cy="280670"/>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ODKIUPXAAAACAEAAA8AAABkcnMvZG93bnJldi54bWxNj81ugzAQhO+V+g7W&#10;RuqlagxNIEBYIrVSq17z8wALdgAVrxF2QvL2dU/tcXZGM9+Wu5sZxFVPrreMEC8jEJobq3puEU7H&#10;j5cMhPPEigbLGuGuHeyqx4eSCmVn3uvrwbcilLArCKHzfiykdE2nDbmlHTUH72wnQz7IqZVqojmU&#10;m0G+RlEqDfUcFjoa9Xunm+/DxSCcv+bnJJ/rT3/a7NfpG/Wb2t4RnxZxtAXh9c3/heEXP6BDFZhq&#10;e2HlxICQrdKQREiSGETw13kWDjVCnq9AVqX8/0D1A1BLAwQUAAAACACHTuJAXIGZpBcCAAAXBAAA&#10;DgAAAGRycy9lMm9Eb2MueG1srVNLrtMwFJ0jsQfLc5om9EfU9AleVYTET3qwAMdxGkuOr7HdJmUB&#10;sIM3YsKcdXUdXDttKY/JG5BB5Ps7vufc6+VN3yqyF9ZJ0AVNR2NKhOZQSb0t6OdPm2cLSpxnumIK&#10;tCjoQTh6s3r6ZNmZXGTQgKqEJQiiXd6ZgjbemzxJHG9Ey9wIjNAYrMG2zKNpt0llWYforUqy8XiW&#10;dGArY4EL59C7HoL0hGgfAwh1LblYA9+1QvsB1QrFPFJyjTSOrmK3dS24/1DXTniiCopMffzjJXgu&#10;wz9ZLVm+tcw0kp9aYI9p4QGnlkmNl16g1swzsrPyH6hWcgsOaj/i0CYDkagIskjHD7S5a5gRkQtK&#10;7cxFdPf/YPn7/UdLZIWbMJ/MX6STxSSlRLMWJ3+8/3788ev48xtJg06dcTmm3xks8P0r6LHm7HfB&#10;WXbvoMI6tvMQxehr2wZRkCbBbNT8cNFc9J5wdGaz59NsiiGOsWwxns3jUBKWn6uNdf61gJaEQ0Et&#10;zjSis/1b57EvTD2nhMscKFltpFLRsNvyVlmyZzj/TfxCy1jyV5rSIVlDKBvCwZMExoHZwN33ZX+S&#10;oYTqgIQtDPuErwkPDdivlHS4SwV1X3bMCkrUG43DQlknYfmiMZnOMzTsdaS8jjDNEaqgnpLheOuH&#10;hd0ZK7cN3pRG/hpeotC1jBqEVoeuTn3jvkSep90OC3ltx6w/73n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DKIUPXAAAACAEAAA8AAAAAAAAAAQAgAAAAOAAAAGRycy9kb3ducmV2LnhtbFBLAQIU&#10;ABQAAAAIAIdO4kBcgZmkFwIAABcEAAAOAAAAAAAAAAEAIAAAADwBAABkcnMvZTJvRG9jLnhtbFBL&#10;BQYAAAAABgAGAFkBAADFBQ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专业课课程教学大纲</w:t>
      </w:r>
    </w:p>
    <w:p>
      <w:pPr>
        <w:spacing w:line="288" w:lineRule="auto"/>
        <w:jc w:val="center"/>
        <w:rPr>
          <w:b/>
          <w:sz w:val="28"/>
          <w:szCs w:val="30"/>
        </w:rPr>
      </w:pPr>
      <w:r>
        <w:rPr>
          <w:rFonts w:hint="eastAsia"/>
          <w:b/>
          <w:sz w:val="28"/>
          <w:szCs w:val="30"/>
        </w:rPr>
        <w:t>【健康经济学】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Health  Economics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0" w:firstLineChars="200"/>
        <w:rPr>
          <w:rFonts w:ascii="Times New Roman" w:hAnsi="Times New Roman"/>
          <w:bCs/>
          <w:sz w:val="20"/>
          <w:szCs w:val="20"/>
        </w:rPr>
      </w:pPr>
      <w:r>
        <w:rPr>
          <w:rFonts w:hint="eastAsia" w:ascii="宋体" w:hAnsi="宋体"/>
          <w:b/>
          <w:bCs/>
          <w:sz w:val="20"/>
          <w:szCs w:val="20"/>
        </w:rPr>
        <w:t>课程代码：</w:t>
      </w:r>
      <w:r>
        <w:rPr>
          <w:rFonts w:ascii="宋体" w:hAnsi="宋体"/>
          <w:bCs/>
          <w:sz w:val="20"/>
          <w:szCs w:val="20"/>
        </w:rPr>
        <w:t>【</w:t>
      </w:r>
      <w:r>
        <w:rPr>
          <w:rFonts w:hint="eastAsia" w:ascii="Times New Roman" w:hAnsi="Times New Roman"/>
          <w:bCs/>
          <w:sz w:val="20"/>
          <w:szCs w:val="20"/>
        </w:rPr>
        <w:t>2170020</w:t>
      </w:r>
      <w:r>
        <w:rPr>
          <w:rFonts w:ascii="宋体" w:hAnsi="宋体"/>
          <w:bCs/>
          <w:sz w:val="20"/>
          <w:szCs w:val="20"/>
        </w:rPr>
        <w:t>】</w:t>
      </w:r>
    </w:p>
    <w:p>
      <w:pPr>
        <w:spacing w:line="288" w:lineRule="auto"/>
        <w:ind w:firstLine="400" w:firstLineChars="200"/>
        <w:rPr>
          <w:rFonts w:ascii="宋体" w:hAnsi="宋体"/>
          <w:sz w:val="20"/>
          <w:szCs w:val="20"/>
        </w:rPr>
      </w:pPr>
      <w:r>
        <w:rPr>
          <w:rFonts w:hint="eastAsia" w:ascii="宋体" w:hAnsi="宋体"/>
          <w:b/>
          <w:bCs/>
          <w:sz w:val="20"/>
          <w:szCs w:val="20"/>
        </w:rPr>
        <w:t>课程学分：</w:t>
      </w:r>
      <w:r>
        <w:rPr>
          <w:rFonts w:ascii="宋体" w:hAnsi="宋体"/>
          <w:bCs/>
          <w:sz w:val="20"/>
          <w:szCs w:val="20"/>
        </w:rPr>
        <w:t>【</w:t>
      </w:r>
      <w:r>
        <w:rPr>
          <w:rFonts w:hint="eastAsia" w:ascii="Times New Roman" w:hAnsi="Times New Roman"/>
          <w:bCs/>
          <w:sz w:val="20"/>
          <w:szCs w:val="20"/>
        </w:rPr>
        <w:t xml:space="preserve"> </w:t>
      </w:r>
      <w:r>
        <w:rPr>
          <w:rFonts w:hint="eastAsia" w:ascii="宋体" w:hAnsi="宋体"/>
          <w:bCs/>
          <w:sz w:val="20"/>
          <w:szCs w:val="20"/>
        </w:rPr>
        <w:t xml:space="preserve">2 </w:t>
      </w:r>
      <w:r>
        <w:rPr>
          <w:rFonts w:ascii="宋体" w:hAnsi="宋体"/>
          <w:bCs/>
          <w:sz w:val="20"/>
          <w:szCs w:val="20"/>
        </w:rPr>
        <w:t>】</w:t>
      </w:r>
    </w:p>
    <w:p>
      <w:pPr>
        <w:spacing w:line="288" w:lineRule="auto"/>
        <w:ind w:firstLine="400" w:firstLineChars="200"/>
        <w:rPr>
          <w:sz w:val="20"/>
          <w:szCs w:val="20"/>
        </w:rPr>
      </w:pPr>
      <w:r>
        <w:rPr>
          <w:rFonts w:hint="eastAsia" w:ascii="宋体" w:hAnsi="宋体"/>
          <w:b/>
          <w:bCs/>
          <w:sz w:val="20"/>
          <w:szCs w:val="20"/>
        </w:rPr>
        <w:t>面向专业：</w:t>
      </w:r>
      <w:r>
        <w:rPr>
          <w:rFonts w:ascii="宋体" w:hAnsi="宋体"/>
          <w:bCs/>
          <w:sz w:val="20"/>
          <w:szCs w:val="20"/>
        </w:rPr>
        <w:t>【</w:t>
      </w:r>
      <w:r>
        <w:rPr>
          <w:rFonts w:hint="eastAsia" w:ascii="宋体" w:hAnsi="宋体"/>
          <w:bCs/>
          <w:sz w:val="20"/>
          <w:szCs w:val="20"/>
        </w:rPr>
        <w:t>健康服务与管理</w:t>
      </w:r>
      <w:r>
        <w:rPr>
          <w:rFonts w:ascii="宋体" w:hAnsi="宋体"/>
          <w:bCs/>
          <w:sz w:val="20"/>
          <w:szCs w:val="20"/>
        </w:rPr>
        <w:t>】</w:t>
      </w:r>
    </w:p>
    <w:p>
      <w:pPr>
        <w:spacing w:line="288" w:lineRule="auto"/>
        <w:ind w:firstLine="400" w:firstLineChars="200"/>
        <w:rPr>
          <w:sz w:val="20"/>
          <w:szCs w:val="20"/>
        </w:rPr>
      </w:pPr>
      <w:r>
        <w:rPr>
          <w:rFonts w:hint="eastAsia" w:ascii="宋体" w:hAnsi="宋体"/>
          <w:b/>
          <w:bCs/>
          <w:sz w:val="20"/>
          <w:szCs w:val="20"/>
        </w:rPr>
        <w:t>课程性质：</w:t>
      </w:r>
      <w:r>
        <w:rPr>
          <w:rFonts w:ascii="宋体" w:hAnsi="宋体"/>
          <w:bCs/>
          <w:sz w:val="20"/>
          <w:szCs w:val="20"/>
        </w:rPr>
        <w:t>【</w:t>
      </w:r>
      <w:r>
        <w:rPr>
          <w:rFonts w:hint="eastAsia" w:ascii="宋体" w:hAnsi="宋体"/>
          <w:sz w:val="20"/>
          <w:szCs w:val="20"/>
        </w:rPr>
        <w:t>系级专业必修课程</w:t>
      </w:r>
      <w:r>
        <w:rPr>
          <w:rFonts w:ascii="宋体" w:hAnsi="宋体"/>
          <w:bCs/>
          <w:sz w:val="20"/>
          <w:szCs w:val="20"/>
        </w:rPr>
        <w:t>】</w:t>
      </w:r>
    </w:p>
    <w:p>
      <w:pPr>
        <w:spacing w:line="288" w:lineRule="auto"/>
        <w:ind w:firstLine="400" w:firstLineChars="200"/>
        <w:rPr>
          <w:rFonts w:hint="eastAsia" w:eastAsia="宋体"/>
          <w:sz w:val="20"/>
          <w:szCs w:val="20"/>
          <w:lang w:eastAsia="zh-Hans"/>
        </w:rPr>
      </w:pPr>
      <w:r>
        <w:rPr>
          <w:rFonts w:hint="eastAsia" w:ascii="宋体" w:hAnsi="宋体"/>
          <w:b/>
          <w:bCs/>
          <w:sz w:val="20"/>
          <w:szCs w:val="20"/>
        </w:rPr>
        <w:t>开课院系：</w:t>
      </w:r>
      <w:r>
        <w:rPr>
          <w:rFonts w:hint="eastAsia" w:ascii="宋体" w:hAnsi="宋体"/>
          <w:b/>
          <w:bCs/>
          <w:sz w:val="20"/>
          <w:szCs w:val="20"/>
          <w:lang w:eastAsia="zh-Hans"/>
        </w:rPr>
        <w:t>【</w:t>
      </w:r>
      <w:r>
        <w:rPr>
          <w:rFonts w:hint="eastAsia" w:ascii="宋体" w:hAnsi="宋体"/>
          <w:sz w:val="20"/>
          <w:szCs w:val="20"/>
        </w:rPr>
        <w:t>健康管理学院</w:t>
      </w:r>
      <w:r>
        <w:rPr>
          <w:rFonts w:hint="eastAsia" w:ascii="宋体" w:hAnsi="宋体"/>
          <w:sz w:val="20"/>
          <w:szCs w:val="20"/>
          <w:lang w:val="en-US" w:eastAsia="zh-Hans"/>
        </w:rPr>
        <w:t>健康服务与管理</w:t>
      </w:r>
      <w:r>
        <w:rPr>
          <w:rFonts w:hint="eastAsia" w:ascii="宋体" w:hAnsi="宋体"/>
          <w:sz w:val="20"/>
          <w:szCs w:val="20"/>
        </w:rPr>
        <w:t>专业</w:t>
      </w:r>
      <w:r>
        <w:rPr>
          <w:rFonts w:hint="eastAsia" w:ascii="宋体" w:hAnsi="宋体"/>
          <w:sz w:val="20"/>
          <w:szCs w:val="20"/>
          <w:lang w:eastAsia="zh-Hans"/>
        </w:rPr>
        <w:t>】</w:t>
      </w:r>
    </w:p>
    <w:p>
      <w:pPr>
        <w:spacing w:line="288" w:lineRule="auto"/>
        <w:ind w:firstLine="400" w:firstLineChars="200"/>
        <w:rPr>
          <w:b/>
          <w:bCs/>
          <w:sz w:val="20"/>
          <w:szCs w:val="20"/>
        </w:rPr>
      </w:pPr>
      <w:r>
        <w:rPr>
          <w:rFonts w:hint="eastAsia" w:ascii="宋体" w:hAnsi="宋体"/>
          <w:b/>
          <w:bCs/>
          <w:sz w:val="20"/>
          <w:szCs w:val="20"/>
        </w:rPr>
        <w:t>使用教材：</w:t>
      </w:r>
    </w:p>
    <w:p>
      <w:pPr>
        <w:spacing w:line="288" w:lineRule="auto"/>
        <w:ind w:firstLine="800" w:firstLineChars="400"/>
        <w:rPr>
          <w:rFonts w:ascii="宋体" w:hAnsi="宋体"/>
          <w:sz w:val="20"/>
          <w:szCs w:val="20"/>
        </w:rPr>
      </w:pPr>
      <w:r>
        <w:rPr>
          <w:rFonts w:hint="eastAsia" w:ascii="宋体" w:hAnsi="宋体"/>
          <w:sz w:val="20"/>
          <w:szCs w:val="20"/>
        </w:rPr>
        <w:t>教材：</w:t>
      </w:r>
      <w:r>
        <w:rPr>
          <w:rFonts w:hint="eastAsia" w:ascii="宋体" w:hAnsi="宋体"/>
          <w:bCs/>
          <w:sz w:val="20"/>
          <w:szCs w:val="20"/>
        </w:rPr>
        <w:t>【</w:t>
      </w:r>
      <w:r>
        <w:rPr>
          <w:rFonts w:hint="eastAsia" w:ascii="宋体" w:hAnsi="宋体"/>
          <w:sz w:val="20"/>
          <w:szCs w:val="20"/>
        </w:rPr>
        <w:t>《健康经济学》， 毛振华，人民卫生出版社，2020年第1版</w:t>
      </w:r>
      <w:r>
        <w:rPr>
          <w:rFonts w:hint="eastAsia" w:ascii="宋体" w:hAnsi="宋体"/>
          <w:bCs/>
          <w:sz w:val="20"/>
          <w:szCs w:val="20"/>
        </w:rPr>
        <w:t>】</w:t>
      </w:r>
    </w:p>
    <w:p>
      <w:pPr>
        <w:spacing w:line="288" w:lineRule="auto"/>
        <w:ind w:firstLine="800" w:firstLineChars="400"/>
        <w:rPr>
          <w:rFonts w:ascii="宋体" w:hAnsi="宋体"/>
          <w:sz w:val="20"/>
          <w:szCs w:val="20"/>
        </w:rPr>
      </w:pPr>
      <w:r>
        <w:rPr>
          <w:rFonts w:hint="eastAsia" w:ascii="宋体" w:hAnsi="宋体"/>
          <w:sz w:val="20"/>
          <w:szCs w:val="20"/>
        </w:rPr>
        <w:t>参考书目：</w:t>
      </w:r>
      <w:r>
        <w:rPr>
          <w:rFonts w:hint="eastAsia" w:ascii="宋体" w:hAnsi="宋体"/>
          <w:bCs/>
          <w:sz w:val="20"/>
          <w:szCs w:val="20"/>
        </w:rPr>
        <w:t>【1.</w:t>
      </w:r>
      <w:r>
        <w:rPr>
          <w:rFonts w:hint="eastAsia" w:ascii="宋体" w:hAnsi="宋体"/>
          <w:sz w:val="20"/>
          <w:szCs w:val="20"/>
        </w:rPr>
        <w:t>《健康经济学》，[美]詹姆斯•亨德森著，向运华、钟健威、季华璐</w:t>
      </w:r>
    </w:p>
    <w:p>
      <w:pPr>
        <w:spacing w:line="288" w:lineRule="auto"/>
        <w:ind w:left="420" w:leftChars="200"/>
        <w:rPr>
          <w:sz w:val="20"/>
          <w:szCs w:val="20"/>
        </w:rPr>
      </w:pPr>
      <w:r>
        <w:rPr>
          <w:rFonts w:hint="eastAsia" w:ascii="宋体" w:hAnsi="宋体"/>
          <w:sz w:val="20"/>
          <w:szCs w:val="20"/>
        </w:rPr>
        <w:t>等译，人民邮电出版社,2008年第1版；2.《健康经济学》，[美]杰伊·巴塔查里亚、蒂莫西·海德、彼得·杜，曹乾译，广西师范大学出版社，2019年第1版；3.</w:t>
      </w:r>
      <w:r>
        <w:rPr>
          <w:rFonts w:hint="eastAsia" w:ascii="宋体" w:hAnsi="宋体"/>
          <w:bCs/>
          <w:sz w:val="20"/>
          <w:szCs w:val="20"/>
          <w:shd w:val="clear" w:color="auto" w:fill="FFFFFF"/>
        </w:rPr>
        <w:t>《健康经济学:健康对劳动市场表现的影响 》，樊明，社会科学文献出版社，2002年</w:t>
      </w:r>
      <w:r>
        <w:rPr>
          <w:rFonts w:hint="eastAsia" w:ascii="宋体" w:hAnsi="宋体"/>
          <w:sz w:val="20"/>
          <w:szCs w:val="20"/>
        </w:rPr>
        <w:t>第1版</w:t>
      </w:r>
      <w:r>
        <w:rPr>
          <w:rFonts w:hint="eastAsia" w:ascii="宋体" w:hAnsi="宋体" w:cs="Verdana"/>
          <w:bCs/>
          <w:sz w:val="20"/>
          <w:szCs w:val="20"/>
          <w:shd w:val="clear" w:color="auto" w:fill="FFFFFF"/>
        </w:rPr>
        <w:t>】</w:t>
      </w:r>
    </w:p>
    <w:p>
      <w:pPr>
        <w:spacing w:line="288" w:lineRule="auto"/>
        <w:ind w:firstLine="400" w:firstLineChars="200"/>
        <w:rPr>
          <w:sz w:val="20"/>
          <w:szCs w:val="20"/>
        </w:rPr>
      </w:pPr>
      <w:r>
        <w:rPr>
          <w:rFonts w:hint="eastAsia" w:ascii="宋体" w:hAnsi="宋体"/>
          <w:b/>
          <w:bCs/>
          <w:sz w:val="20"/>
          <w:szCs w:val="20"/>
        </w:rPr>
        <w:t>课程网站网址：</w:t>
      </w:r>
      <w:r>
        <w:rPr>
          <w:rFonts w:hint="eastAsia" w:ascii="宋体" w:hAnsi="宋体"/>
          <w:sz w:val="20"/>
          <w:szCs w:val="20"/>
        </w:rPr>
        <w:t>无</w:t>
      </w:r>
    </w:p>
    <w:p>
      <w:pPr>
        <w:spacing w:line="288" w:lineRule="auto"/>
        <w:ind w:firstLine="400" w:firstLineChars="200"/>
        <w:rPr>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高等数学</w:t>
      </w:r>
      <w:r>
        <w:rPr>
          <w:rFonts w:hint="eastAsia" w:cs="Calibri"/>
          <w:sz w:val="20"/>
          <w:szCs w:val="20"/>
        </w:rPr>
        <w:t>2050234</w:t>
      </w:r>
      <w:r>
        <w:rPr>
          <w:rFonts w:hint="eastAsia" w:ascii="宋体" w:hAnsi="宋体"/>
          <w:sz w:val="20"/>
          <w:szCs w:val="20"/>
        </w:rPr>
        <w:t>（</w:t>
      </w:r>
      <w:r>
        <w:rPr>
          <w:rFonts w:hint="eastAsia" w:cs="Calibri"/>
          <w:sz w:val="20"/>
          <w:szCs w:val="20"/>
        </w:rPr>
        <w:t>4</w:t>
      </w:r>
      <w:r>
        <w:rPr>
          <w:rFonts w:hint="eastAsia" w:ascii="宋体" w:hAnsi="宋体"/>
          <w:sz w:val="20"/>
          <w:szCs w:val="20"/>
        </w:rPr>
        <w:t>）、医学统计学</w:t>
      </w:r>
      <w:r>
        <w:rPr>
          <w:rFonts w:hint="eastAsia" w:cs="Calibri"/>
          <w:sz w:val="20"/>
          <w:szCs w:val="20"/>
        </w:rPr>
        <w:t>2170005</w:t>
      </w:r>
      <w:r>
        <w:rPr>
          <w:rFonts w:hint="eastAsia" w:ascii="宋体" w:hAnsi="宋体"/>
          <w:sz w:val="20"/>
          <w:szCs w:val="20"/>
        </w:rPr>
        <w:t>（</w:t>
      </w:r>
      <w:r>
        <w:rPr>
          <w:rFonts w:hint="eastAsia" w:cs="Calibri"/>
          <w:sz w:val="20"/>
          <w:szCs w:val="20"/>
        </w:rPr>
        <w:t>3</w:t>
      </w:r>
      <w:r>
        <w:rPr>
          <w:rFonts w:hint="eastAsia" w:ascii="宋体" w:hAnsi="宋体"/>
          <w:sz w:val="20"/>
          <w:szCs w:val="20"/>
        </w:rPr>
        <w:t>）、临床医学概论</w:t>
      </w:r>
      <w:r>
        <w:rPr>
          <w:rFonts w:hint="eastAsia" w:cs="Calibri"/>
          <w:sz w:val="20"/>
          <w:szCs w:val="20"/>
        </w:rPr>
        <w:t>2170006</w:t>
      </w:r>
      <w:r>
        <w:rPr>
          <w:rFonts w:hint="eastAsia" w:ascii="宋体" w:hAnsi="宋体"/>
          <w:sz w:val="20"/>
          <w:szCs w:val="20"/>
        </w:rPr>
        <w:t>（</w:t>
      </w:r>
      <w:r>
        <w:rPr>
          <w:rFonts w:hint="eastAsia" w:cs="Calibri"/>
          <w:sz w:val="20"/>
          <w:szCs w:val="20"/>
        </w:rPr>
        <w:t>4</w:t>
      </w:r>
      <w:r>
        <w:rPr>
          <w:rFonts w:hint="eastAsia" w:ascii="宋体" w:hAnsi="宋体"/>
          <w:sz w:val="20"/>
          <w:szCs w:val="20"/>
        </w:rPr>
        <w:t>）、公共卫生概论</w:t>
      </w:r>
      <w:r>
        <w:rPr>
          <w:rFonts w:hint="eastAsia" w:cs="Calibri"/>
          <w:sz w:val="20"/>
          <w:szCs w:val="20"/>
        </w:rPr>
        <w:t>2170017</w:t>
      </w:r>
      <w:r>
        <w:rPr>
          <w:rFonts w:hint="eastAsia" w:ascii="宋体" w:hAnsi="宋体"/>
          <w:sz w:val="20"/>
          <w:szCs w:val="20"/>
        </w:rPr>
        <w:t>（</w:t>
      </w:r>
      <w:r>
        <w:rPr>
          <w:rFonts w:hint="eastAsia" w:cs="Calibri"/>
          <w:sz w:val="20"/>
          <w:szCs w:val="20"/>
        </w:rPr>
        <w:t>2</w:t>
      </w:r>
      <w:r>
        <w:rPr>
          <w:rFonts w:hint="eastAsia" w:ascii="宋体" w:hAnsi="宋体"/>
          <w:sz w:val="20"/>
          <w:szCs w:val="20"/>
        </w:rPr>
        <w:t>）</w:t>
      </w:r>
      <w:r>
        <w:rPr>
          <w:rFonts w:ascii="宋体" w:hAnsi="宋体"/>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288" w:lineRule="auto"/>
        <w:ind w:firstLine="400" w:firstLineChars="200"/>
        <w:rPr>
          <w:rFonts w:ascii="宋体" w:hAnsi="宋体"/>
          <w:sz w:val="20"/>
          <w:szCs w:val="20"/>
        </w:rPr>
      </w:pPr>
      <w:r>
        <w:rPr>
          <w:rFonts w:hint="eastAsia" w:ascii="宋体" w:hAnsi="宋体"/>
          <w:sz w:val="20"/>
          <w:szCs w:val="20"/>
        </w:rPr>
        <w:t>《健康经济学》是经济学的蓬勃发展的重要分支学科。它把健康界定为人力资本的特殊形式，利用经济学模型和分析方法研究健康和健康服务市场的独特属性，合理地修正常规的经济学分析方法应用于健康领域。在经济水平提高、人均寿命延长、医疗技术发展的今天，人们对医疗卫生和健康服务的需求快速增长，人类社会面临着如何合理分配社会资源，最大限度满足人民健康服务需求的挑战，健康经济学对提高社会健康福利的整体性效用，优化健康医疗资源配置都发挥着重要的作用。本课程主要介绍了健康经济学的基本理念以及宏观经济、政府行为、卫生费用、药物政策、医院运营和健康政策等方面的一些研究成果，是健康服务与管理专业一门重要的专业必修课程。本课程教学总时数32学时，其中理论教学24学时、实践教学8学时。</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rFonts w:ascii="宋体" w:hAnsi="宋体"/>
          <w:sz w:val="20"/>
          <w:szCs w:val="20"/>
        </w:rPr>
      </w:pPr>
      <w:r>
        <w:rPr>
          <w:rFonts w:hint="eastAsia" w:ascii="宋体" w:hAnsi="宋体"/>
          <w:sz w:val="20"/>
          <w:szCs w:val="20"/>
        </w:rPr>
        <w:t>学习《健康经济学》课程需要掌握数理统计和医学统计学相关知识以及临床医学和公共卫生基础知识。建议安排在健康服务与管理专业第三学年第一学期开设。</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7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专业毕业要求</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L01</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品德修养</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LO11 爱党爱国，坚决拥护党的领导，热爱祖国的大好河山、悠久历史、灿烂文化，自觉维护民族利益和国家尊严。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LO12 遵纪守法，增强法律意识，培养法律思维，自觉遵守法律法规、校纪校规。</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LO13 奉献社会，富有爱心，懂得感恩，自觉传承和弘扬雷锋精神，具有服务社会的意愿和行动，积极参加志愿者服务。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LO14 诚信尽责，为人诚实，信守承诺，勤奋努力，精益求精，勇于担责。</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LO15 爱岗敬业，热爱所学专业，勤学多练，锤炼技能。熟悉本专业相关的法律法规，在实习实践中自觉遵守职业规范，具备职业道德操守。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专业能力</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LO21 具有专业所需的人文科学素养。</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LO22 健康评估能力：能全面评估老年人的身心、社会及精神方面的健康状态，具有健康监测、健康风险评估能力。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asciiTheme="minorEastAsia" w:hAnsiTheme="minorEastAsia" w:eastAsiaTheme="minorEastAsia"/>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LO23 养老服务能力：能应用政策法规管理老年事务，以社会工作专业视角及运用专业知识为老年人服务。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LO24 批判性思维能力：有质疑精神，具有初步运用辩证思维和决策的能力，能进行逻辑的分析与批判，以保证安全有效的专业实践。</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LO25 健康教育能力：能确定老年人的健康需求，并采用合适的健康教育策略。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asciiTheme="minorEastAsia" w:hAnsiTheme="minorEastAsia" w:eastAsiaTheme="minorEastAsia"/>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LO26 调管理能力：能协调工作中的各种人际关系,进行老年活动策划、组织老年事务管理。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表达沟通</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LO31倾听他人意见、尊重他人观点、分析他人需求。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LO32应用书面或口头形式，阐释自己的观点，有效沟通。</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自主学习 </w:t>
            </w:r>
            <w:r>
              <w:rPr>
                <w:rFonts w:hint="eastAsia" w:asciiTheme="minorEastAsia" w:hAnsiTheme="minorEastAsia" w:eastAsiaTheme="minorEastAsia"/>
                <w:color w:val="000000"/>
                <w:sz w:val="20"/>
                <w:szCs w:val="20"/>
              </w:rPr>
              <w:t xml:space="preserve"> </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L041 能根据需要确定学习目标，并设计学习计划。</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L042 能搜集、获取达到目标所需要的学习资源，实施学习计划、反思学习计划、持续改进，达到学习目标。</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健康发展</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LO51身体健康，具有良好的卫生习惯，积极参加体育活动。</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LO52心理健康，学习和参与心理调适各项活动，耐挫折，能承受学习和生活中的压力。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LO53 懂得审美，有发现美、感受美、鉴赏美、评价美、创造美的能力。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LO54 热爱劳动，具有正确的劳动观念和态度，热爱劳动和劳动人民，养成劳动习惯。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LO55 持续发展，具有爱护环境的意识，与自然和谐相处的环保理念与行动；具备终生学习的意识和能力。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协同创新</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LO61在集体活动中能主动担任自己的角色，与其他成员密切合作，善于自我管理和团队管理，共同完成任务。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LO62有质疑精神，能有逻辑的分析与批判。</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LO63 能用创新的方法或者多种方法解决复杂问题或真实问题。</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LO64 了解行业前沿知识技术。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信息应用</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LO71 能够根据需要进行专业文献检索。</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LO72 能够使用适合的工具来搜集信息，并对信息加以分析、鉴别、判断与整合。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LO73 熟练使用计算机，掌握常用办公软件。</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国际视野</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LO81 具备外语表达沟通能力，达到本专业的要求。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LO82 理解其他国家历史文化，有跨文化交流能力。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LO83 有国际竞争与合作意识。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bl>
    <w:p>
      <w:pPr>
        <w:ind w:firstLine="420" w:firstLineChars="200"/>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tbl>
      <w:tblPr>
        <w:tblStyle w:val="5"/>
        <w:tblpPr w:leftFromText="180" w:rightFromText="180" w:vertAnchor="text" w:horzAnchor="page" w:tblpX="2163" w:tblpY="152"/>
        <w:tblOverlap w:val="never"/>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175" w:type="dxa"/>
            <w:shd w:val="clear" w:color="auto" w:fill="auto"/>
          </w:tcPr>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课程预期</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学习成果</w:t>
            </w:r>
          </w:p>
        </w:tc>
        <w:tc>
          <w:tcPr>
            <w:tcW w:w="2470" w:type="dxa"/>
            <w:shd w:val="clear" w:color="auto" w:fill="auto"/>
            <w:vAlign w:val="center"/>
          </w:tcPr>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课程目标</w:t>
            </w:r>
          </w:p>
        </w:tc>
        <w:tc>
          <w:tcPr>
            <w:tcW w:w="2199" w:type="dxa"/>
            <w:shd w:val="clear" w:color="auto" w:fill="auto"/>
            <w:vAlign w:val="center"/>
          </w:tcPr>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教与学方式</w:t>
            </w:r>
          </w:p>
        </w:tc>
        <w:tc>
          <w:tcPr>
            <w:tcW w:w="1696" w:type="dxa"/>
            <w:shd w:val="clear" w:color="auto" w:fill="auto"/>
            <w:vAlign w:val="center"/>
          </w:tcPr>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宋体" w:hAnsi="宋体"/>
                <w:color w:val="000000"/>
                <w:sz w:val="20"/>
                <w:szCs w:val="20"/>
              </w:rPr>
            </w:pPr>
            <w:r>
              <w:rPr>
                <w:rFonts w:hint="eastAsia" w:ascii="宋体" w:hAnsi="宋体"/>
                <w:color w:val="000000"/>
                <w:sz w:val="20"/>
                <w:szCs w:val="20"/>
              </w:rPr>
              <w:t>1</w:t>
            </w:r>
          </w:p>
        </w:tc>
        <w:tc>
          <w:tcPr>
            <w:tcW w:w="1175" w:type="dxa"/>
            <w:shd w:val="clear" w:color="auto" w:fill="auto"/>
            <w:vAlign w:val="center"/>
          </w:tcPr>
          <w:p>
            <w:pPr>
              <w:rPr>
                <w:rFonts w:ascii="宋体" w:hAnsi="宋体"/>
                <w:color w:val="000000"/>
                <w:sz w:val="20"/>
                <w:szCs w:val="20"/>
              </w:rPr>
            </w:pPr>
            <w:r>
              <w:rPr>
                <w:rFonts w:hint="eastAsia" w:ascii="宋体" w:hAnsi="宋体"/>
                <w:color w:val="000000"/>
                <w:sz w:val="20"/>
                <w:szCs w:val="20"/>
              </w:rPr>
              <w:t>LO13</w:t>
            </w:r>
          </w:p>
        </w:tc>
        <w:tc>
          <w:tcPr>
            <w:tcW w:w="2470" w:type="dxa"/>
            <w:shd w:val="clear" w:color="auto" w:fill="auto"/>
          </w:tcPr>
          <w:p>
            <w:pPr>
              <w:rPr>
                <w:rFonts w:ascii="宋体" w:hAnsi="宋体"/>
                <w:color w:val="000000"/>
                <w:sz w:val="20"/>
                <w:szCs w:val="20"/>
              </w:rPr>
            </w:pPr>
            <w:r>
              <w:rPr>
                <w:rFonts w:hint="eastAsia" w:ascii="宋体" w:hAnsi="宋体"/>
                <w:color w:val="000000"/>
                <w:sz w:val="20"/>
                <w:szCs w:val="20"/>
              </w:rPr>
              <w:t>帮助学生提高道德素质,形成健康的心理品质,树立法律意识,增强社会责任感和社会实践能力</w:t>
            </w:r>
          </w:p>
        </w:tc>
        <w:tc>
          <w:tcPr>
            <w:tcW w:w="2199" w:type="dxa"/>
            <w:shd w:val="clear" w:color="auto" w:fill="auto"/>
          </w:tcPr>
          <w:p>
            <w:pPr>
              <w:rPr>
                <w:rFonts w:ascii="宋体" w:hAnsi="宋体"/>
                <w:color w:val="000000"/>
                <w:sz w:val="20"/>
                <w:szCs w:val="20"/>
              </w:rPr>
            </w:pPr>
            <w:r>
              <w:rPr>
                <w:rFonts w:hint="eastAsia" w:ascii="宋体" w:hAnsi="宋体"/>
                <w:color w:val="000000"/>
                <w:sz w:val="20"/>
                <w:szCs w:val="20"/>
              </w:rPr>
              <w:t>讲授</w:t>
            </w:r>
          </w:p>
          <w:p>
            <w:pPr>
              <w:rPr>
                <w:rFonts w:ascii="宋体" w:hAnsi="宋体"/>
                <w:color w:val="000000"/>
                <w:sz w:val="20"/>
                <w:szCs w:val="20"/>
              </w:rPr>
            </w:pPr>
            <w:r>
              <w:rPr>
                <w:rFonts w:hint="eastAsia" w:ascii="宋体" w:hAnsi="宋体"/>
                <w:color w:val="000000"/>
                <w:sz w:val="20"/>
                <w:szCs w:val="20"/>
              </w:rPr>
              <w:t>小组讨论</w:t>
            </w:r>
          </w:p>
        </w:tc>
        <w:tc>
          <w:tcPr>
            <w:tcW w:w="1696" w:type="dxa"/>
            <w:shd w:val="clear" w:color="auto" w:fill="auto"/>
          </w:tcPr>
          <w:p>
            <w:pPr>
              <w:rPr>
                <w:rFonts w:ascii="宋体" w:hAnsi="宋体"/>
                <w:color w:val="000000"/>
                <w:sz w:val="20"/>
                <w:szCs w:val="20"/>
              </w:rPr>
            </w:pPr>
            <w:r>
              <w:rPr>
                <w:rFonts w:hint="eastAsia" w:ascii="宋体" w:hAnsi="宋体"/>
                <w:color w:val="000000"/>
                <w:sz w:val="20"/>
                <w:szCs w:val="20"/>
              </w:rPr>
              <w:t>案例讨论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宋体" w:hAnsi="宋体"/>
                <w:color w:val="000000"/>
                <w:sz w:val="20"/>
                <w:szCs w:val="20"/>
              </w:rPr>
            </w:pPr>
            <w:r>
              <w:rPr>
                <w:rFonts w:hint="eastAsia" w:ascii="宋体" w:hAnsi="宋体"/>
                <w:color w:val="000000"/>
                <w:sz w:val="20"/>
                <w:szCs w:val="20"/>
              </w:rPr>
              <w:t>2</w:t>
            </w:r>
          </w:p>
        </w:tc>
        <w:tc>
          <w:tcPr>
            <w:tcW w:w="1175" w:type="dxa"/>
            <w:shd w:val="clear" w:color="auto" w:fill="auto"/>
          </w:tcPr>
          <w:p>
            <w:pPr>
              <w:rPr>
                <w:rFonts w:ascii="宋体" w:hAnsi="宋体"/>
                <w:color w:val="000000"/>
                <w:sz w:val="20"/>
                <w:szCs w:val="20"/>
              </w:rPr>
            </w:pPr>
            <w:r>
              <w:rPr>
                <w:rFonts w:hint="eastAsia" w:ascii="宋体" w:hAnsi="宋体"/>
                <w:color w:val="000000"/>
                <w:sz w:val="20"/>
                <w:szCs w:val="20"/>
              </w:rPr>
              <w:t>LO26</w:t>
            </w:r>
          </w:p>
        </w:tc>
        <w:tc>
          <w:tcPr>
            <w:tcW w:w="2470" w:type="dxa"/>
            <w:shd w:val="clear" w:color="auto" w:fill="auto"/>
          </w:tcPr>
          <w:p>
            <w:pPr>
              <w:rPr>
                <w:rFonts w:ascii="宋体" w:hAnsi="宋体"/>
                <w:color w:val="000000"/>
                <w:sz w:val="20"/>
                <w:szCs w:val="20"/>
              </w:rPr>
            </w:pPr>
            <w:r>
              <w:rPr>
                <w:rFonts w:hint="eastAsia" w:ascii="宋体" w:hAnsi="宋体"/>
                <w:color w:val="000000"/>
                <w:sz w:val="20"/>
                <w:szCs w:val="20"/>
              </w:rPr>
              <w:t>学会健康评估、健康监测。掌握对个人或人群的健康风险因素进行全面管理的能力。能够对服务对象的卫生服务、产品消费提供建议。</w:t>
            </w:r>
          </w:p>
        </w:tc>
        <w:tc>
          <w:tcPr>
            <w:tcW w:w="2199" w:type="dxa"/>
            <w:shd w:val="clear" w:color="auto" w:fill="auto"/>
          </w:tcPr>
          <w:p>
            <w:pPr>
              <w:rPr>
                <w:rFonts w:ascii="宋体" w:hAnsi="宋体"/>
                <w:color w:val="000000"/>
                <w:sz w:val="20"/>
                <w:szCs w:val="20"/>
              </w:rPr>
            </w:pPr>
            <w:r>
              <w:rPr>
                <w:rFonts w:hint="eastAsia" w:ascii="宋体" w:hAnsi="宋体"/>
                <w:color w:val="000000"/>
                <w:sz w:val="20"/>
                <w:szCs w:val="20"/>
              </w:rPr>
              <w:t>理论讲授</w:t>
            </w:r>
          </w:p>
          <w:p>
            <w:pPr>
              <w:rPr>
                <w:rFonts w:ascii="宋体" w:hAnsi="宋体"/>
                <w:color w:val="000000"/>
                <w:sz w:val="20"/>
                <w:szCs w:val="20"/>
              </w:rPr>
            </w:pPr>
            <w:r>
              <w:rPr>
                <w:rFonts w:hint="eastAsia" w:ascii="宋体" w:hAnsi="宋体"/>
                <w:color w:val="000000"/>
                <w:sz w:val="20"/>
                <w:szCs w:val="20"/>
              </w:rPr>
              <w:t>案例分析</w:t>
            </w:r>
          </w:p>
          <w:p>
            <w:pPr>
              <w:rPr>
                <w:rFonts w:ascii="宋体" w:hAnsi="宋体"/>
                <w:color w:val="000000"/>
                <w:sz w:val="20"/>
                <w:szCs w:val="20"/>
              </w:rPr>
            </w:pPr>
            <w:r>
              <w:rPr>
                <w:rFonts w:hint="eastAsia" w:ascii="宋体" w:hAnsi="宋体"/>
                <w:color w:val="000000"/>
                <w:sz w:val="20"/>
                <w:szCs w:val="20"/>
              </w:rPr>
              <w:t>小组讨论</w:t>
            </w:r>
          </w:p>
        </w:tc>
        <w:tc>
          <w:tcPr>
            <w:tcW w:w="1696" w:type="dxa"/>
            <w:shd w:val="clear" w:color="auto" w:fill="auto"/>
          </w:tcPr>
          <w:p>
            <w:pPr>
              <w:rPr>
                <w:rFonts w:ascii="宋体" w:hAnsi="宋体"/>
                <w:color w:val="000000"/>
                <w:sz w:val="20"/>
                <w:szCs w:val="20"/>
              </w:rPr>
            </w:pPr>
            <w:r>
              <w:rPr>
                <w:rFonts w:hint="eastAsia" w:ascii="宋体" w:hAnsi="宋体"/>
                <w:color w:val="000000"/>
                <w:sz w:val="20"/>
                <w:szCs w:val="20"/>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宋体" w:hAnsi="宋体"/>
                <w:color w:val="000000"/>
                <w:sz w:val="20"/>
                <w:szCs w:val="20"/>
              </w:rPr>
            </w:pPr>
            <w:r>
              <w:rPr>
                <w:rFonts w:hint="eastAsia" w:ascii="宋体" w:hAnsi="宋体"/>
                <w:color w:val="000000"/>
                <w:sz w:val="20"/>
                <w:szCs w:val="20"/>
              </w:rPr>
              <w:t>3</w:t>
            </w:r>
          </w:p>
        </w:tc>
        <w:tc>
          <w:tcPr>
            <w:tcW w:w="1175" w:type="dxa"/>
            <w:shd w:val="clear" w:color="auto" w:fill="auto"/>
          </w:tcPr>
          <w:p>
            <w:pPr>
              <w:rPr>
                <w:rFonts w:ascii="宋体" w:hAnsi="宋体"/>
                <w:color w:val="000000"/>
                <w:sz w:val="20"/>
                <w:szCs w:val="20"/>
              </w:rPr>
            </w:pPr>
            <w:r>
              <w:rPr>
                <w:rFonts w:hint="eastAsia" w:ascii="宋体" w:hAnsi="宋体"/>
                <w:color w:val="000000"/>
                <w:sz w:val="20"/>
                <w:szCs w:val="20"/>
              </w:rPr>
              <w:t>LO63</w:t>
            </w:r>
          </w:p>
        </w:tc>
        <w:tc>
          <w:tcPr>
            <w:tcW w:w="2470" w:type="dxa"/>
            <w:shd w:val="clear" w:color="auto" w:fill="auto"/>
          </w:tcPr>
          <w:p>
            <w:pPr>
              <w:rPr>
                <w:rFonts w:ascii="宋体" w:hAnsi="宋体"/>
                <w:color w:val="000000"/>
                <w:sz w:val="20"/>
                <w:szCs w:val="20"/>
              </w:rPr>
            </w:pPr>
            <w:r>
              <w:rPr>
                <w:rFonts w:hint="eastAsia" w:ascii="宋体" w:hAnsi="宋体"/>
                <w:color w:val="000000"/>
                <w:sz w:val="20"/>
                <w:szCs w:val="20"/>
              </w:rPr>
              <w:t>能够辨析当今社会医院卫生经济管理的创新与发展过程。学会使用不同方法解决实际出现的各类卫生经济问题。</w:t>
            </w:r>
          </w:p>
        </w:tc>
        <w:tc>
          <w:tcPr>
            <w:tcW w:w="2199" w:type="dxa"/>
            <w:shd w:val="clear" w:color="auto" w:fill="auto"/>
          </w:tcPr>
          <w:p>
            <w:pPr>
              <w:rPr>
                <w:rFonts w:ascii="宋体" w:hAnsi="宋体"/>
                <w:color w:val="000000"/>
                <w:sz w:val="20"/>
                <w:szCs w:val="20"/>
              </w:rPr>
            </w:pPr>
            <w:r>
              <w:rPr>
                <w:rFonts w:hint="eastAsia" w:ascii="宋体" w:hAnsi="宋体"/>
                <w:color w:val="000000"/>
                <w:sz w:val="20"/>
                <w:szCs w:val="20"/>
              </w:rPr>
              <w:t>理论讲授</w:t>
            </w:r>
          </w:p>
          <w:p>
            <w:pPr>
              <w:rPr>
                <w:rFonts w:ascii="宋体" w:hAnsi="宋体"/>
                <w:color w:val="000000"/>
                <w:sz w:val="20"/>
                <w:szCs w:val="20"/>
              </w:rPr>
            </w:pPr>
            <w:r>
              <w:rPr>
                <w:rFonts w:hint="eastAsia" w:ascii="宋体" w:hAnsi="宋体"/>
                <w:color w:val="000000"/>
                <w:sz w:val="20"/>
                <w:szCs w:val="20"/>
              </w:rPr>
              <w:t>案例分析</w:t>
            </w:r>
          </w:p>
          <w:p>
            <w:pPr>
              <w:rPr>
                <w:rFonts w:ascii="宋体" w:hAnsi="宋体"/>
                <w:color w:val="000000"/>
                <w:sz w:val="20"/>
                <w:szCs w:val="20"/>
              </w:rPr>
            </w:pPr>
            <w:r>
              <w:rPr>
                <w:rFonts w:hint="eastAsia" w:ascii="宋体" w:hAnsi="宋体"/>
                <w:color w:val="000000"/>
                <w:sz w:val="20"/>
                <w:szCs w:val="20"/>
              </w:rPr>
              <w:t>小组讨论</w:t>
            </w:r>
          </w:p>
        </w:tc>
        <w:tc>
          <w:tcPr>
            <w:tcW w:w="1696" w:type="dxa"/>
            <w:shd w:val="clear" w:color="auto" w:fill="auto"/>
          </w:tcPr>
          <w:p>
            <w:pPr>
              <w:rPr>
                <w:rFonts w:ascii="宋体" w:hAnsi="宋体"/>
                <w:color w:val="000000"/>
                <w:sz w:val="20"/>
                <w:szCs w:val="20"/>
              </w:rPr>
            </w:pPr>
            <w:r>
              <w:rPr>
                <w:rFonts w:hint="eastAsia" w:ascii="宋体" w:hAnsi="宋体"/>
                <w:color w:val="000000"/>
                <w:sz w:val="20"/>
                <w:szCs w:val="20"/>
              </w:rPr>
              <w:t>案例讨论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宋体" w:hAnsi="宋体"/>
                <w:color w:val="000000"/>
                <w:sz w:val="20"/>
                <w:szCs w:val="20"/>
              </w:rPr>
            </w:pPr>
            <w:r>
              <w:rPr>
                <w:rFonts w:hint="eastAsia" w:ascii="宋体" w:hAnsi="宋体"/>
                <w:color w:val="000000"/>
                <w:sz w:val="20"/>
                <w:szCs w:val="20"/>
              </w:rPr>
              <w:t>4</w:t>
            </w:r>
          </w:p>
        </w:tc>
        <w:tc>
          <w:tcPr>
            <w:tcW w:w="1175" w:type="dxa"/>
            <w:shd w:val="clear" w:color="auto" w:fill="auto"/>
          </w:tcPr>
          <w:p>
            <w:pPr>
              <w:rPr>
                <w:rFonts w:ascii="宋体" w:hAnsi="宋体"/>
                <w:color w:val="000000"/>
                <w:sz w:val="20"/>
                <w:szCs w:val="20"/>
              </w:rPr>
            </w:pPr>
            <w:r>
              <w:rPr>
                <w:rFonts w:hint="eastAsia" w:ascii="宋体" w:hAnsi="宋体"/>
                <w:color w:val="000000"/>
                <w:sz w:val="20"/>
                <w:szCs w:val="20"/>
              </w:rPr>
              <w:t>LO82</w:t>
            </w:r>
          </w:p>
        </w:tc>
        <w:tc>
          <w:tcPr>
            <w:tcW w:w="2470" w:type="dxa"/>
            <w:shd w:val="clear" w:color="auto" w:fill="auto"/>
          </w:tcPr>
          <w:p>
            <w:pPr>
              <w:rPr>
                <w:rFonts w:ascii="宋体" w:hAnsi="宋体"/>
                <w:color w:val="000000"/>
                <w:sz w:val="20"/>
                <w:szCs w:val="20"/>
              </w:rPr>
            </w:pPr>
            <w:r>
              <w:rPr>
                <w:rFonts w:hint="eastAsia" w:ascii="宋体" w:hAnsi="宋体"/>
                <w:color w:val="000000"/>
                <w:sz w:val="20"/>
                <w:szCs w:val="20"/>
              </w:rPr>
              <w:t>了解世界各国健康保险政策。从全球角度比较不同的发展模式和发展道路产生的效果。</w:t>
            </w:r>
          </w:p>
        </w:tc>
        <w:tc>
          <w:tcPr>
            <w:tcW w:w="2199" w:type="dxa"/>
            <w:shd w:val="clear" w:color="auto" w:fill="auto"/>
          </w:tcPr>
          <w:p>
            <w:pPr>
              <w:rPr>
                <w:rFonts w:ascii="宋体" w:hAnsi="宋体"/>
                <w:color w:val="000000"/>
                <w:sz w:val="20"/>
                <w:szCs w:val="20"/>
              </w:rPr>
            </w:pPr>
            <w:r>
              <w:rPr>
                <w:rFonts w:hint="eastAsia" w:ascii="宋体" w:hAnsi="宋体"/>
                <w:color w:val="000000"/>
                <w:sz w:val="20"/>
                <w:szCs w:val="20"/>
              </w:rPr>
              <w:t>理论讲授</w:t>
            </w:r>
          </w:p>
          <w:p>
            <w:pPr>
              <w:rPr>
                <w:rFonts w:ascii="宋体" w:hAnsi="宋体"/>
                <w:color w:val="000000"/>
                <w:sz w:val="20"/>
                <w:szCs w:val="20"/>
              </w:rPr>
            </w:pPr>
            <w:r>
              <w:rPr>
                <w:rFonts w:hint="eastAsia" w:ascii="宋体" w:hAnsi="宋体"/>
                <w:color w:val="000000"/>
                <w:sz w:val="20"/>
                <w:szCs w:val="20"/>
              </w:rPr>
              <w:t>案例分析</w:t>
            </w:r>
          </w:p>
          <w:p>
            <w:pPr>
              <w:rPr>
                <w:rFonts w:ascii="宋体" w:hAnsi="宋体"/>
                <w:color w:val="000000"/>
                <w:sz w:val="20"/>
                <w:szCs w:val="20"/>
              </w:rPr>
            </w:pPr>
            <w:r>
              <w:rPr>
                <w:rFonts w:hint="eastAsia" w:ascii="宋体" w:hAnsi="宋体"/>
                <w:color w:val="000000"/>
                <w:sz w:val="20"/>
                <w:szCs w:val="20"/>
              </w:rPr>
              <w:t>小组讨论</w:t>
            </w:r>
          </w:p>
        </w:tc>
        <w:tc>
          <w:tcPr>
            <w:tcW w:w="1696" w:type="dxa"/>
            <w:shd w:val="clear" w:color="auto" w:fill="auto"/>
          </w:tcPr>
          <w:p>
            <w:pPr>
              <w:rPr>
                <w:rFonts w:ascii="宋体" w:hAnsi="宋体"/>
                <w:color w:val="000000"/>
                <w:sz w:val="20"/>
                <w:szCs w:val="20"/>
              </w:rPr>
            </w:pPr>
            <w:r>
              <w:rPr>
                <w:rFonts w:hint="eastAsia" w:ascii="宋体" w:hAnsi="宋体"/>
                <w:color w:val="000000"/>
                <w:sz w:val="20"/>
                <w:szCs w:val="20"/>
              </w:rPr>
              <w:t>案例讨论</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p>
      <w:pPr>
        <w:snapToGrid w:val="0"/>
        <w:spacing w:line="288" w:lineRule="auto"/>
        <w:ind w:firstLine="400" w:firstLineChars="200"/>
        <w:rPr>
          <w:rFonts w:ascii="宋体" w:hAnsi="宋体"/>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572"/>
        <w:gridCol w:w="1701"/>
        <w:gridCol w:w="2086"/>
        <w:gridCol w:w="1367"/>
        <w:gridCol w:w="746"/>
        <w:gridCol w:w="465"/>
        <w:gridCol w:w="456"/>
        <w:gridCol w:w="456"/>
      </w:tblGrid>
      <w:tr>
        <w:trPr>
          <w:trHeight w:val="3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周次</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教学内容</w:t>
            </w:r>
          </w:p>
        </w:tc>
        <w:tc>
          <w:tcPr>
            <w:tcW w:w="170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知识点</w:t>
            </w:r>
          </w:p>
        </w:tc>
        <w:tc>
          <w:tcPr>
            <w:tcW w:w="208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能力目标</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情感目标</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教学难点</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理论课时</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实践课时</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总课时</w:t>
            </w:r>
          </w:p>
        </w:tc>
      </w:tr>
      <w:tr>
        <w:trPr>
          <w:trHeight w:val="9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课程介绍及导论</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健康概念界定及健康经济学发展意义</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健康经济学界定</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我国健康经济学发展</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1.能够运用自己的语言阐述健康经济学的研究内容。</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2.能够分析健康中国战略下健康经济学应如何发展。</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增进专业热情与兴趣，促使学生对专业未来发展进一步了解</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健康经济学与卫生经济学的区别</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p>
            <w:pPr>
              <w:rPr>
                <w:rFonts w:asciiTheme="minorEastAsia" w:hAnsiTheme="minorEastAsia" w:eastAsiaTheme="minorEastAsia" w:cstheme="minorEastAsia"/>
                <w:color w:val="000000"/>
                <w:kern w:val="0"/>
                <w:sz w:val="20"/>
                <w:szCs w:val="20"/>
              </w:rPr>
            </w:pPr>
          </w:p>
        </w:tc>
        <w:tc>
          <w:tcPr>
            <w:tcW w:w="456" w:type="dxa"/>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6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健康需求 </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需求曲线及需求变化因素</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消费者行为理论：需求曲线的理论依据</w:t>
            </w:r>
          </w:p>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健康需求的弹性及模型</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健康需求与利用分析的相关模型</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健康需求研究现状及展望</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1.能够对需求曲线进行分析</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2.能够分析消费者行为的变化规律</w:t>
            </w:r>
          </w:p>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3.熟悉不同健康需求模型</w:t>
            </w:r>
          </w:p>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4.探索健康需求的研究方向</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掌握经济学基本知识原理，具备计量经济学分析工具基本技能。</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健康需求公式、图形的应用</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trPr>
          <w:trHeight w:val="12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健康生产和供给理论</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经济学供给理论</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健康生产函数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健康供给与成本</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医师行为经济学</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1.能够画出健康生产函数图形并进行分析</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2.理解医师行为经济学与健康生产的关系。</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3.评价技术进步给健康供给带来的影响。</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学会回答基本健康经济学问题，提高实际操作技能。</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健康生产函数、健康替代弹性、医师供给的诱导需求分析、医师定价。</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12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医疗卫生市场</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医疗卫生市场概述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医疗卫生市场特征</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医疗卫生市场失灵</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医疗卫生市场政府作用</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1.掌握医疗卫生市场的特 征; 医疗卫生市场政府干预形式。</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2.熟悉医疗卫生市场失灵的表现;医疗卫生市场外部性对资源配置的影响。</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3.了解医疗卫生服务产品划分；医疗卫生市场政府失灵。</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培养学生理解和分析各种大众医患关系现象,医疗文化的能力。</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医疗卫生市场特征、医疗卫生市场失灵的表现、医疗卫生市场政府失灵与矫正。</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1266"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健康产业</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健康产业概述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医疗卫生服务业</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健康促进服务</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医疗制造业</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医疗仪器设备及器械制造业</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我国健康产业新业态</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1.掌握健康产业和产业经济学的定 义;医疗卫生服务业、我国社会办医的定义:健康养老服务内涵;健康管理服务内涵。</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2.熟悉国内外社会办医发展模式;健康产业和健康事业的不同分类;健康促进服务分类:健康管理服务与医学服务的区别:医药制造业分类，医疗仪器设备及器械制造业分类;与健康产业新业态相关的概念。</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3.了解我国医药制造业发展特征与产业政策;我国社会办医政策与监管框架;我国医药制造业发展特征与产业政策;我国医疗仪器设备及器械制造业发展特征;我国健康产业新业态发展状况。</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帮助学生梳理正确的学习态度价值观，深入理解大健康背景下健康经济学理论与政策发展。</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健康产业和产业经济学的定义、范畴</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医疗卫生服务业、社会办医、健康促进服务的发展概况。</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15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6</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健康与宏观经济</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健康与人口</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健康支出与国民经济收入</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健康与国民收入分配</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健康与经济增长</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1.掌握人力资本;人口老龄化:健康支出系数;国民收入分配:劳动生产率;健康投资</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2.熟悉人口老龄化的经济效应;健康支出系数的变化;健康的初次分配和再分配效应;健康投资的经济效应。</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3.了解中国优化健康投资结构的基本思路。</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帮助学生梳理正确的学习态度价值观，深入理解大健康背景下健康经济学理论与政策发展。</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人力资本、人口老龄化及其经济效应、健康支出系数、健康分配、健康投资的经济效应。</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7</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政府行为和健康政策</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健康领域政府行为的理论基础</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健康资源配置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健康政策</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1.掌握健康领域公平相关概念;基本健康资源配置方法。</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2.熟悉健康规划的基本内容;健康领域政府行为的理论基础。</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3.了解国内外健康资源配置和规划体系。</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帮助学生梳理正确的学习态度价值观，深入理解大健康背景下健康经济学理论与政策发展。</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效率与公平理论在健康领域的应用、</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健康资源配置方法：需要法、需求法、服务目标法。</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8</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健康保障</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健康保障概述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健康保险</w:t>
            </w:r>
          </w:p>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健康保障制度的典型模式</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我国健康保障体系建设与实践</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1.掌握健康保障的概念;健康保险的需求与供给。</w:t>
            </w:r>
          </w:p>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2.熟悉健康保险的需求与供给的影响因素;我国基本医疗保障体系的构成。</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3.了解世界典型国家医疗保障制度。</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带领学生理解不同国家文化背景下的保障制度，了解体会不同价值观，增强国际视野。</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不同医疗保障制度优缺点分析</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卫生费用与评价</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卫生费用概述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卫生费用核算</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卫生费用分析</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 掌握卫生费用的基本概念与特点。</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 熟悉卫生费用分析要点与研究意义。</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3.了解卫生费用发展历程、核算方法与政策应用。</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帮助学生梳理正确的学习态度价值观，深入理解大健康背景下健康经济学理论与政策发展。</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卫生费用的概念、特点、核算方法。</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15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公立医院经济运营</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公立医院经济运营概述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公立医院服务补偿与经济政策</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公立医院经济运营效率</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1.掌握政府举办的公立医院的社会责任;公立医院主要管理制度与运行机制;公立医院的政府定价和补偿机制。</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2.熟悉医疗服务质量与医院经济运营的关系;成本控制与医院的经济运营。</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3.了解公立医院经济运营评价指标。</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培养学生理解和分析各种大众医患关系现象,医疗文化的能力。</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公立医院的人事制度、运行机制、医务管理制度。</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政府投入补偿、医疗服务价格补偿。</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18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11</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健康测量与评估</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健康测量与评估概述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健康测量与评估的指标和应用原则</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健康技术评估</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1.掌握健康测量与评估的定义及意义:健康测量与评估的指标体系;健康技术评估的内容。</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2.熟悉健康测量与评估指标的应用原则;健康技术评估的方法;健康技术评估的价值。</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3.了解传统健康测量指标向整体健康测量指标的转变;健康技术评估在国际的发展和目前面临的问题。</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培养学生热爱医学事业，具备良好的职业道德、尊重生命的职业操守</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健康测量预评估的指标体系、健康技术评估的内容。</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12</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药物经济学与药物政策</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药物经济学概述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国家药物政策概述</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药物经济学与国家药物政策</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药物政策检测与评价</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1.掌握药物经济学定义;药物经济学的应用:国家基本药物政策;药物经济学评价的原则。</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2.熟悉药物经济学的评价方法;国家药物政策的关键要素与目标。</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3.了解国家药物政策监测的指标;药物经济学的发展过程。</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帮助学生梳理正确的学习态度价值观，深入理解大健康背景下健康经济学理论与政策发展。</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药物经济学的评价方法、国家基本药物政策。</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13</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健康中国建设发展</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健康中国建设背景</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健康中国2030</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健康中国相关专题</w:t>
            </w: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1.掌握健康中国建设上升为国家战略的经济社会、人口社会和居民疾病健康特征及其时代必然性:健康中国建设的理论与实践依据。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2. 熟悉《“健康中国2030”规划纲要》的主题与目标，及其“普及健康生活”“优化健康服务"“完善健康保障”“建设健康环境”和“发展健康产业”五大任务内涵。</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3.了解“互联网+”、健康大数据、“一带一路”医疗健康合作等相关涵义，及其在健康中国建设战略实施中的特殊意义。</w:t>
            </w: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促使学生参与关注“健康中国”，培养对社会健康发展的意识。</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未来可能的大健康产业的发展趋势，寻找有何机遇。</w:t>
            </w: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14</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lang w:eastAsia="zh-Hans"/>
              </w:rPr>
            </w:pPr>
            <w:r>
              <w:rPr>
                <w:rFonts w:hint="eastAsia" w:asciiTheme="minorEastAsia" w:hAnsiTheme="minorEastAsia" w:eastAsiaTheme="minorEastAsia" w:cstheme="minorEastAsia"/>
                <w:color w:val="000000"/>
                <w:kern w:val="0"/>
                <w:sz w:val="20"/>
                <w:szCs w:val="20"/>
              </w:rPr>
              <w:t>期末</w:t>
            </w:r>
            <w:r>
              <w:rPr>
                <w:rFonts w:hint="eastAsia" w:asciiTheme="minorEastAsia" w:hAnsiTheme="minorEastAsia" w:eastAsiaTheme="minorEastAsia" w:cstheme="minorEastAsia"/>
                <w:color w:val="000000"/>
                <w:kern w:val="0"/>
                <w:sz w:val="20"/>
                <w:szCs w:val="20"/>
                <w:lang w:eastAsia="zh-Hans"/>
              </w:rPr>
              <w:t>考查</w:t>
            </w: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p>
        </w:tc>
        <w:tc>
          <w:tcPr>
            <w:tcW w:w="2086" w:type="dxa"/>
            <w:vAlign w:val="center"/>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综合运用所学知识和技能，对健康议题进行分析，并对其案例做出合理评价。</w:t>
            </w:r>
          </w:p>
        </w:tc>
        <w:tc>
          <w:tcPr>
            <w:tcW w:w="1367" w:type="dxa"/>
            <w:vAlign w:val="center"/>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w:t>
            </w: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r>
      <w:tr>
        <w:trPr>
          <w:trHeight w:val="241" w:hRule="atLeast"/>
        </w:trPr>
        <w:tc>
          <w:tcPr>
            <w:tcW w:w="461"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总计</w:t>
            </w:r>
          </w:p>
        </w:tc>
        <w:tc>
          <w:tcPr>
            <w:tcW w:w="572" w:type="dxa"/>
            <w:noWrap/>
          </w:tcPr>
          <w:p>
            <w:pPr>
              <w:snapToGrid w:val="0"/>
              <w:spacing w:line="288" w:lineRule="auto"/>
              <w:rPr>
                <w:rFonts w:asciiTheme="minorEastAsia" w:hAnsiTheme="minorEastAsia" w:eastAsiaTheme="minorEastAsia" w:cstheme="minorEastAsia"/>
                <w:color w:val="000000"/>
                <w:kern w:val="0"/>
                <w:sz w:val="20"/>
                <w:szCs w:val="20"/>
              </w:rPr>
            </w:pPr>
          </w:p>
        </w:tc>
        <w:tc>
          <w:tcPr>
            <w:tcW w:w="1701" w:type="dxa"/>
          </w:tcPr>
          <w:p>
            <w:pPr>
              <w:snapToGrid w:val="0"/>
              <w:spacing w:line="288" w:lineRule="auto"/>
              <w:rPr>
                <w:rFonts w:asciiTheme="minorEastAsia" w:hAnsiTheme="minorEastAsia" w:eastAsiaTheme="minorEastAsia" w:cstheme="minorEastAsia"/>
                <w:color w:val="000000"/>
                <w:kern w:val="0"/>
                <w:sz w:val="20"/>
                <w:szCs w:val="20"/>
              </w:rPr>
            </w:pPr>
          </w:p>
        </w:tc>
        <w:tc>
          <w:tcPr>
            <w:tcW w:w="2086" w:type="dxa"/>
          </w:tcPr>
          <w:p>
            <w:pPr>
              <w:snapToGrid w:val="0"/>
              <w:spacing w:line="288" w:lineRule="auto"/>
              <w:rPr>
                <w:rFonts w:asciiTheme="minorEastAsia" w:hAnsiTheme="minorEastAsia" w:eastAsiaTheme="minorEastAsia" w:cstheme="minorEastAsia"/>
                <w:color w:val="000000"/>
                <w:kern w:val="0"/>
                <w:sz w:val="20"/>
                <w:szCs w:val="20"/>
              </w:rPr>
            </w:pPr>
          </w:p>
        </w:tc>
        <w:tc>
          <w:tcPr>
            <w:tcW w:w="1367" w:type="dxa"/>
          </w:tcPr>
          <w:p>
            <w:pPr>
              <w:snapToGrid w:val="0"/>
              <w:spacing w:line="288" w:lineRule="auto"/>
              <w:rPr>
                <w:rFonts w:asciiTheme="minorEastAsia" w:hAnsiTheme="minorEastAsia" w:eastAsiaTheme="minorEastAsia" w:cstheme="minorEastAsia"/>
                <w:color w:val="000000"/>
                <w:kern w:val="0"/>
                <w:sz w:val="20"/>
                <w:szCs w:val="20"/>
              </w:rPr>
            </w:pPr>
          </w:p>
        </w:tc>
        <w:tc>
          <w:tcPr>
            <w:tcW w:w="746" w:type="dxa"/>
          </w:tcPr>
          <w:p>
            <w:pPr>
              <w:snapToGrid w:val="0"/>
              <w:spacing w:line="288" w:lineRule="auto"/>
              <w:rPr>
                <w:rFonts w:asciiTheme="minorEastAsia" w:hAnsiTheme="minorEastAsia" w:eastAsiaTheme="minorEastAsia" w:cstheme="minorEastAsia"/>
                <w:color w:val="000000"/>
                <w:kern w:val="0"/>
                <w:sz w:val="20"/>
                <w:szCs w:val="20"/>
              </w:rPr>
            </w:pPr>
          </w:p>
        </w:tc>
        <w:tc>
          <w:tcPr>
            <w:tcW w:w="465"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24</w:t>
            </w:r>
          </w:p>
        </w:tc>
        <w:tc>
          <w:tcPr>
            <w:tcW w:w="456" w:type="dxa"/>
            <w:noWrap/>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8</w:t>
            </w:r>
          </w:p>
        </w:tc>
        <w:tc>
          <w:tcPr>
            <w:tcW w:w="456" w:type="dxa"/>
          </w:tcPr>
          <w:p>
            <w:pPr>
              <w:snapToGrid w:val="0"/>
              <w:spacing w:line="288" w:lineRule="auto"/>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32</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06"/>
        <w:gridCol w:w="2943"/>
        <w:gridCol w:w="1197"/>
        <w:gridCol w:w="152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序号</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实验名称</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主要内容</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525" w:type="dxa"/>
            <w:tcBorders>
              <w:top w:val="single" w:color="auto" w:sz="4" w:space="0"/>
              <w:left w:val="single" w:color="auto" w:sz="4" w:space="0"/>
              <w:right w:val="single" w:color="auto" w:sz="4" w:space="0"/>
            </w:tcBorders>
            <w:shd w:val="clear" w:color="auto" w:fill="auto"/>
          </w:tcPr>
          <w:p>
            <w:pPr>
              <w:snapToGrid w:val="0"/>
              <w:jc w:val="center"/>
              <w:rPr>
                <w:rFonts w:ascii="宋体"/>
                <w:sz w:val="20"/>
                <w:szCs w:val="20"/>
              </w:rPr>
            </w:pPr>
            <w:r>
              <w:rPr>
                <w:rFonts w:hint="eastAsia" w:ascii="宋体"/>
                <w:sz w:val="20"/>
                <w:szCs w:val="20"/>
              </w:rPr>
              <w:t>实验类型</w:t>
            </w:r>
          </w:p>
        </w:tc>
        <w:tc>
          <w:tcPr>
            <w:tcW w:w="1247" w:type="dxa"/>
            <w:tcBorders>
              <w:top w:val="single" w:color="auto" w:sz="4" w:space="0"/>
              <w:left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4"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知名医疗卫生企业介绍</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寻找医疗、健康、养老等领域典型或企业，就营运模式、产品/服务功能、创新特色等进行讨论分析</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525" w:type="dxa"/>
            <w:tcBorders>
              <w:left w:val="single" w:color="auto" w:sz="4" w:space="0"/>
              <w:right w:val="single" w:color="auto" w:sz="4" w:space="0"/>
            </w:tcBorders>
            <w:shd w:val="clear" w:color="auto" w:fill="auto"/>
          </w:tcPr>
          <w:p>
            <w:pPr>
              <w:snapToGrid w:val="0"/>
              <w:spacing w:before="156" w:beforeLines="50" w:after="156" w:afterLines="50" w:line="288" w:lineRule="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综合型</w:t>
            </w:r>
          </w:p>
        </w:tc>
        <w:tc>
          <w:tcPr>
            <w:tcW w:w="1247"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健康需求</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根据提供案例，进行经济学角度分析</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525" w:type="dxa"/>
            <w:tcBorders>
              <w:left w:val="single" w:color="auto" w:sz="4" w:space="0"/>
              <w:right w:val="single" w:color="auto" w:sz="4" w:space="0"/>
            </w:tcBorders>
            <w:shd w:val="clear" w:color="auto" w:fill="auto"/>
          </w:tcPr>
          <w:p>
            <w:pPr>
              <w:snapToGrid w:val="0"/>
              <w:spacing w:before="156" w:beforeLines="50" w:after="156" w:afterLines="50" w:line="288" w:lineRule="auto"/>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综合性</w:t>
            </w:r>
          </w:p>
        </w:tc>
        <w:tc>
          <w:tcPr>
            <w:tcW w:w="1247"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健康保障</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分析现有保险产品，进行产品设计</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525" w:type="dxa"/>
            <w:tcBorders>
              <w:left w:val="single" w:color="auto" w:sz="4" w:space="0"/>
              <w:right w:val="single" w:color="auto" w:sz="4" w:space="0"/>
            </w:tcBorders>
            <w:shd w:val="clear" w:color="auto" w:fill="auto"/>
          </w:tcPr>
          <w:p>
            <w:pPr>
              <w:snapToGrid w:val="0"/>
              <w:spacing w:before="156" w:beforeLines="50" w:after="156" w:afterLines="50" w:line="288" w:lineRule="auto"/>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设计型</w:t>
            </w:r>
          </w:p>
        </w:tc>
        <w:tc>
          <w:tcPr>
            <w:tcW w:w="1247"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健康评估</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认识常见评估工具，进行测试</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525" w:type="dxa"/>
            <w:tcBorders>
              <w:left w:val="single" w:color="auto" w:sz="4" w:space="0"/>
              <w:right w:val="single" w:color="auto" w:sz="4" w:space="0"/>
            </w:tcBorders>
            <w:shd w:val="clear" w:color="auto" w:fill="auto"/>
          </w:tcPr>
          <w:p>
            <w:pPr>
              <w:snapToGrid w:val="0"/>
              <w:spacing w:before="156" w:beforeLines="50" w:after="156" w:afterLines="50" w:line="288" w:lineRule="auto"/>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演示型</w:t>
            </w:r>
          </w:p>
        </w:tc>
        <w:tc>
          <w:tcPr>
            <w:tcW w:w="1247"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809" w:type="dxa"/>
            <w:shd w:val="clear" w:color="auto" w:fill="auto"/>
          </w:tcPr>
          <w:p>
            <w:pPr>
              <w:snapToGrid w:val="0"/>
              <w:spacing w:before="156" w:beforeLines="50" w:after="156" w:afterLines="50"/>
              <w:rPr>
                <w:rFonts w:ascii="黑体" w:hAnsi="黑体" w:eastAsia="黑体"/>
                <w:bCs/>
                <w:color w:val="000000"/>
                <w:szCs w:val="20"/>
              </w:rPr>
            </w:pPr>
            <w:r>
              <w:rPr>
                <w:rFonts w:hint="eastAsia" w:ascii="黑体" w:hAnsi="黑体" w:eastAsia="黑体"/>
                <w:bCs/>
                <w:color w:val="000000"/>
                <w:szCs w:val="20"/>
              </w:rPr>
              <w:t>总评构成</w:t>
            </w:r>
            <w:bookmarkStart w:id="1" w:name="_GoBack"/>
            <w:bookmarkEnd w:id="1"/>
          </w:p>
        </w:tc>
        <w:tc>
          <w:tcPr>
            <w:tcW w:w="5103" w:type="dxa"/>
            <w:shd w:val="clear" w:color="auto" w:fill="auto"/>
          </w:tcPr>
          <w:p>
            <w:pPr>
              <w:snapToGrid w:val="0"/>
              <w:spacing w:before="156" w:beforeLines="50" w:after="156" w:afterLines="50"/>
              <w:jc w:val="center"/>
              <w:rPr>
                <w:rFonts w:ascii="黑体" w:hAnsi="黑体" w:eastAsia="黑体"/>
                <w:bCs/>
                <w:color w:val="000000"/>
                <w:szCs w:val="20"/>
              </w:rPr>
            </w:pPr>
            <w:r>
              <w:rPr>
                <w:rFonts w:hint="eastAsia" w:ascii="黑体" w:hAnsi="黑体" w:eastAsia="黑体"/>
                <w:bCs/>
                <w:color w:val="000000"/>
                <w:szCs w:val="20"/>
              </w:rPr>
              <w:t>评价方式</w:t>
            </w:r>
          </w:p>
        </w:tc>
        <w:tc>
          <w:tcPr>
            <w:tcW w:w="2127" w:type="dxa"/>
            <w:shd w:val="clear" w:color="auto" w:fill="auto"/>
          </w:tcPr>
          <w:p>
            <w:pPr>
              <w:snapToGrid w:val="0"/>
              <w:spacing w:before="156" w:beforeLines="50" w:after="156" w:afterLines="50"/>
              <w:jc w:val="center"/>
              <w:rPr>
                <w:rFonts w:ascii="黑体" w:hAnsi="黑体" w:eastAsia="黑体"/>
                <w:bCs/>
                <w:color w:val="000000"/>
                <w:szCs w:val="20"/>
              </w:rPr>
            </w:pPr>
            <w:r>
              <w:rPr>
                <w:rFonts w:hint="eastAsia" w:ascii="黑体" w:hAnsi="黑体" w:eastAsia="黑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tabs>
                <w:tab w:val="left" w:pos="532"/>
              </w:tabs>
              <w:spacing w:line="340" w:lineRule="exact"/>
              <w:jc w:val="left"/>
              <w:rPr>
                <w:rFonts w:ascii="宋体" w:hAnsi="宋体"/>
              </w:rPr>
            </w:pPr>
            <w:r>
              <w:rPr>
                <w:rFonts w:hint="eastAsia" w:ascii="宋体" w:hAnsi="宋体"/>
              </w:rPr>
              <w:t>X1</w:t>
            </w:r>
          </w:p>
        </w:tc>
        <w:tc>
          <w:tcPr>
            <w:tcW w:w="5103" w:type="dxa"/>
            <w:shd w:val="clear" w:color="auto" w:fill="auto"/>
          </w:tcPr>
          <w:p>
            <w:pPr>
              <w:tabs>
                <w:tab w:val="left" w:pos="532"/>
              </w:tabs>
              <w:spacing w:line="340" w:lineRule="exact"/>
              <w:jc w:val="left"/>
              <w:rPr>
                <w:rFonts w:hint="default" w:ascii="宋体" w:hAnsi="宋体" w:eastAsia="宋体"/>
                <w:lang w:val="en-US" w:eastAsia="zh-Hans"/>
              </w:rPr>
            </w:pPr>
            <w:r>
              <w:rPr>
                <w:rFonts w:hint="eastAsia" w:ascii="宋体" w:hAnsi="宋体"/>
                <w:lang w:val="en-US" w:eastAsia="zh-Hans"/>
              </w:rPr>
              <w:t>随堂测验</w:t>
            </w:r>
          </w:p>
        </w:tc>
        <w:tc>
          <w:tcPr>
            <w:tcW w:w="2127" w:type="dxa"/>
            <w:shd w:val="clear" w:color="auto" w:fill="auto"/>
          </w:tcPr>
          <w:p>
            <w:pPr>
              <w:tabs>
                <w:tab w:val="left" w:pos="532"/>
              </w:tabs>
              <w:spacing w:line="340" w:lineRule="exact"/>
              <w:jc w:val="left"/>
              <w:rPr>
                <w:rFonts w:ascii="宋体" w:hAnsi="宋体"/>
              </w:rPr>
            </w:pPr>
            <w:r>
              <w:rPr>
                <w:rFonts w:ascii="宋体" w:hAnsi="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tabs>
                <w:tab w:val="left" w:pos="532"/>
              </w:tabs>
              <w:spacing w:line="340" w:lineRule="exact"/>
              <w:jc w:val="left"/>
              <w:rPr>
                <w:rFonts w:ascii="宋体" w:hAnsi="宋体"/>
              </w:rPr>
            </w:pPr>
            <w:r>
              <w:rPr>
                <w:rFonts w:hint="eastAsia" w:ascii="宋体" w:hAnsi="宋体"/>
              </w:rPr>
              <w:t>X2</w:t>
            </w:r>
          </w:p>
        </w:tc>
        <w:tc>
          <w:tcPr>
            <w:tcW w:w="5103" w:type="dxa"/>
            <w:shd w:val="clear" w:color="auto" w:fill="auto"/>
          </w:tcPr>
          <w:p>
            <w:pPr>
              <w:tabs>
                <w:tab w:val="left" w:pos="532"/>
              </w:tabs>
              <w:snapToGrid w:val="0"/>
              <w:spacing w:line="340" w:lineRule="exact"/>
              <w:jc w:val="left"/>
              <w:rPr>
                <w:rFonts w:ascii="宋体" w:hAnsi="宋体"/>
                <w:lang w:eastAsia="zh-Hans"/>
              </w:rPr>
            </w:pPr>
            <w:r>
              <w:rPr>
                <w:rFonts w:hint="eastAsia" w:ascii="宋体" w:hAnsi="宋体"/>
                <w:lang w:val="en-US" w:eastAsia="zh-Hans"/>
              </w:rPr>
              <w:t>课堂</w:t>
            </w:r>
            <w:r>
              <w:rPr>
                <w:rFonts w:hint="eastAsia" w:ascii="宋体" w:hAnsi="宋体"/>
                <w:lang w:eastAsia="zh-Hans"/>
              </w:rPr>
              <w:t>作业</w:t>
            </w:r>
          </w:p>
        </w:tc>
        <w:tc>
          <w:tcPr>
            <w:tcW w:w="2127" w:type="dxa"/>
            <w:shd w:val="clear" w:color="auto" w:fill="auto"/>
          </w:tcPr>
          <w:p>
            <w:pPr>
              <w:tabs>
                <w:tab w:val="left" w:pos="532"/>
              </w:tabs>
              <w:spacing w:line="340" w:lineRule="exact"/>
              <w:jc w:val="left"/>
              <w:rPr>
                <w:rFonts w:ascii="宋体" w:hAnsi="宋体"/>
              </w:rPr>
            </w:pPr>
            <w:r>
              <w:rPr>
                <w:rFonts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1809" w:type="dxa"/>
            <w:shd w:val="clear" w:color="auto" w:fill="auto"/>
          </w:tcPr>
          <w:p>
            <w:pPr>
              <w:tabs>
                <w:tab w:val="left" w:pos="532"/>
              </w:tabs>
              <w:spacing w:line="340" w:lineRule="exact"/>
              <w:jc w:val="left"/>
              <w:rPr>
                <w:rFonts w:ascii="宋体" w:hAnsi="宋体"/>
              </w:rPr>
            </w:pPr>
            <w:r>
              <w:rPr>
                <w:rFonts w:hint="eastAsia" w:ascii="宋体" w:hAnsi="宋体"/>
              </w:rPr>
              <w:t>X3</w:t>
            </w:r>
          </w:p>
        </w:tc>
        <w:tc>
          <w:tcPr>
            <w:tcW w:w="5103" w:type="dxa"/>
            <w:shd w:val="clear" w:color="auto" w:fill="auto"/>
          </w:tcPr>
          <w:p>
            <w:pPr>
              <w:tabs>
                <w:tab w:val="left" w:pos="532"/>
              </w:tabs>
              <w:spacing w:line="340" w:lineRule="exact"/>
              <w:jc w:val="left"/>
              <w:rPr>
                <w:rFonts w:ascii="宋体" w:hAnsi="宋体"/>
              </w:rPr>
            </w:pPr>
            <w:r>
              <w:rPr>
                <w:rFonts w:hint="eastAsia" w:ascii="宋体" w:hAnsi="宋体"/>
              </w:rPr>
              <w:t>平时成绩（考勤+课堂表现）</w:t>
            </w:r>
          </w:p>
        </w:tc>
        <w:tc>
          <w:tcPr>
            <w:tcW w:w="2127" w:type="dxa"/>
            <w:shd w:val="clear" w:color="auto" w:fill="auto"/>
          </w:tcPr>
          <w:p>
            <w:pPr>
              <w:tabs>
                <w:tab w:val="left" w:pos="532"/>
              </w:tabs>
              <w:spacing w:line="340" w:lineRule="exact"/>
              <w:jc w:val="left"/>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tabs>
                <w:tab w:val="left" w:pos="532"/>
              </w:tabs>
              <w:spacing w:line="340" w:lineRule="exact"/>
              <w:jc w:val="left"/>
              <w:rPr>
                <w:rFonts w:ascii="宋体" w:hAnsi="宋体"/>
              </w:rPr>
            </w:pPr>
            <w:r>
              <w:rPr>
                <w:rFonts w:hint="eastAsia" w:ascii="宋体" w:hAnsi="宋体"/>
              </w:rPr>
              <w:t>X4</w:t>
            </w:r>
          </w:p>
        </w:tc>
        <w:tc>
          <w:tcPr>
            <w:tcW w:w="5103" w:type="dxa"/>
            <w:shd w:val="clear" w:color="auto" w:fill="auto"/>
          </w:tcPr>
          <w:p>
            <w:pPr>
              <w:tabs>
                <w:tab w:val="left" w:pos="532"/>
              </w:tabs>
              <w:spacing w:line="340" w:lineRule="exact"/>
              <w:jc w:val="left"/>
              <w:rPr>
                <w:rFonts w:ascii="宋体" w:hAnsi="宋体"/>
              </w:rPr>
            </w:pPr>
            <w:r>
              <w:rPr>
                <w:rFonts w:hint="eastAsia" w:ascii="宋体" w:hAnsi="宋体"/>
              </w:rPr>
              <w:t>口头汇报</w:t>
            </w:r>
          </w:p>
        </w:tc>
        <w:tc>
          <w:tcPr>
            <w:tcW w:w="2127" w:type="dxa"/>
            <w:shd w:val="clear" w:color="auto" w:fill="auto"/>
          </w:tcPr>
          <w:p>
            <w:pPr>
              <w:tabs>
                <w:tab w:val="left" w:pos="532"/>
              </w:tabs>
              <w:spacing w:line="340" w:lineRule="exact"/>
              <w:jc w:val="left"/>
              <w:rPr>
                <w:rFonts w:ascii="宋体" w:hAnsi="宋体"/>
              </w:rPr>
            </w:pPr>
            <w:r>
              <w:rPr>
                <w:rFonts w:ascii="宋体" w:hAnsi="宋体"/>
              </w:rPr>
              <w:t>10%</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20" w:firstLineChars="200"/>
        <w:rPr>
          <w:rFonts w:ascii="宋体" w:hAnsi="宋体"/>
          <w:sz w:val="20"/>
          <w:szCs w:val="20"/>
          <w:highlight w:val="yellow"/>
        </w:rPr>
      </w:pPr>
      <w:r>
        <w:drawing>
          <wp:anchor distT="0" distB="0" distL="114300" distR="114300" simplePos="0" relativeHeight="251661312" behindDoc="0" locked="0" layoutInCell="1" allowOverlap="1">
            <wp:simplePos x="0" y="0"/>
            <wp:positionH relativeFrom="column">
              <wp:posOffset>4276725</wp:posOffset>
            </wp:positionH>
            <wp:positionV relativeFrom="paragraph">
              <wp:posOffset>40005</wp:posOffset>
            </wp:positionV>
            <wp:extent cx="908050" cy="53594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8050" cy="535940"/>
                    </a:xfrm>
                    <a:prstGeom prst="rect">
                      <a:avLst/>
                    </a:prstGeom>
                    <a:noFill/>
                    <a:ln>
                      <a:noFill/>
                    </a:ln>
                  </pic:spPr>
                </pic:pic>
              </a:graphicData>
            </a:graphic>
          </wp:anchor>
        </w:drawing>
      </w:r>
      <w:r>
        <w:rPr>
          <w:sz w:val="28"/>
          <w:szCs w:val="28"/>
        </w:rPr>
        <w:drawing>
          <wp:anchor distT="0" distB="0" distL="114300" distR="114300" simplePos="0" relativeHeight="251660288" behindDoc="0" locked="0" layoutInCell="1" allowOverlap="1">
            <wp:simplePos x="0" y="0"/>
            <wp:positionH relativeFrom="column">
              <wp:posOffset>1322070</wp:posOffset>
            </wp:positionH>
            <wp:positionV relativeFrom="paragraph">
              <wp:posOffset>41275</wp:posOffset>
            </wp:positionV>
            <wp:extent cx="426085" cy="694690"/>
            <wp:effectExtent l="5397" t="0" r="0" b="0"/>
            <wp:wrapNone/>
            <wp:docPr id="9694287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28760"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426085" cy="69469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 xml:space="preserve">审核时间：  </w:t>
      </w:r>
      <w:r>
        <w:rPr>
          <w:sz w:val="28"/>
          <w:szCs w:val="28"/>
        </w:rPr>
        <w:t>2023</w:t>
      </w:r>
      <w:r>
        <w:rPr>
          <w:rFonts w:hint="eastAsia"/>
          <w:sz w:val="28"/>
          <w:szCs w:val="28"/>
        </w:rPr>
        <w:t xml:space="preserve">年9月1日                     </w:t>
      </w:r>
    </w:p>
    <w:p/>
    <w:p>
      <w:pPr>
        <w:snapToGrid w:val="0"/>
        <w:spacing w:line="288" w:lineRule="auto"/>
        <w:rPr>
          <w:color w:val="00000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00000000" w:csb1="00000000"/>
  </w:font>
  <w:font w:name="Wingdings 2">
    <w:panose1 w:val="05020102010507070707"/>
    <w:charset w:val="00"/>
    <w:family w:val="decorative"/>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34F22"/>
    <w:rsid w:val="000901CC"/>
    <w:rsid w:val="000B3128"/>
    <w:rsid w:val="000C0A2F"/>
    <w:rsid w:val="000E4547"/>
    <w:rsid w:val="000F6FF2"/>
    <w:rsid w:val="001072BC"/>
    <w:rsid w:val="001A198E"/>
    <w:rsid w:val="001D7711"/>
    <w:rsid w:val="00205996"/>
    <w:rsid w:val="00210840"/>
    <w:rsid w:val="00225D48"/>
    <w:rsid w:val="002312EC"/>
    <w:rsid w:val="00256B39"/>
    <w:rsid w:val="0026033C"/>
    <w:rsid w:val="00265188"/>
    <w:rsid w:val="002C4912"/>
    <w:rsid w:val="002E1C1B"/>
    <w:rsid w:val="002E3721"/>
    <w:rsid w:val="002E4B2E"/>
    <w:rsid w:val="00307DA9"/>
    <w:rsid w:val="00310DC2"/>
    <w:rsid w:val="00313BBA"/>
    <w:rsid w:val="00317461"/>
    <w:rsid w:val="0032602E"/>
    <w:rsid w:val="003367AE"/>
    <w:rsid w:val="003562A2"/>
    <w:rsid w:val="003710A9"/>
    <w:rsid w:val="003833F7"/>
    <w:rsid w:val="00393146"/>
    <w:rsid w:val="00395D9C"/>
    <w:rsid w:val="00397CC3"/>
    <w:rsid w:val="003A4762"/>
    <w:rsid w:val="003B1258"/>
    <w:rsid w:val="003C024E"/>
    <w:rsid w:val="003C7B49"/>
    <w:rsid w:val="003D1798"/>
    <w:rsid w:val="004100B0"/>
    <w:rsid w:val="00432473"/>
    <w:rsid w:val="00446D20"/>
    <w:rsid w:val="00456B81"/>
    <w:rsid w:val="00462813"/>
    <w:rsid w:val="004F6044"/>
    <w:rsid w:val="00501799"/>
    <w:rsid w:val="0052414B"/>
    <w:rsid w:val="00540597"/>
    <w:rsid w:val="005430B5"/>
    <w:rsid w:val="005467DC"/>
    <w:rsid w:val="00553D03"/>
    <w:rsid w:val="005A099D"/>
    <w:rsid w:val="005B2B6D"/>
    <w:rsid w:val="005B4B4E"/>
    <w:rsid w:val="005C03BD"/>
    <w:rsid w:val="006076EE"/>
    <w:rsid w:val="00615011"/>
    <w:rsid w:val="00624FE1"/>
    <w:rsid w:val="00636C99"/>
    <w:rsid w:val="0066087B"/>
    <w:rsid w:val="00690A86"/>
    <w:rsid w:val="00690E33"/>
    <w:rsid w:val="006A3714"/>
    <w:rsid w:val="006C4434"/>
    <w:rsid w:val="006D67A5"/>
    <w:rsid w:val="006E15DF"/>
    <w:rsid w:val="006E6BF0"/>
    <w:rsid w:val="006E7908"/>
    <w:rsid w:val="00706227"/>
    <w:rsid w:val="007208D6"/>
    <w:rsid w:val="007303A7"/>
    <w:rsid w:val="007630A2"/>
    <w:rsid w:val="007864EC"/>
    <w:rsid w:val="007B6B2D"/>
    <w:rsid w:val="007C4F5C"/>
    <w:rsid w:val="007F0ACC"/>
    <w:rsid w:val="007F2779"/>
    <w:rsid w:val="007F5322"/>
    <w:rsid w:val="007F6F67"/>
    <w:rsid w:val="00807BE0"/>
    <w:rsid w:val="008600F1"/>
    <w:rsid w:val="008647FB"/>
    <w:rsid w:val="008B397C"/>
    <w:rsid w:val="008B47F4"/>
    <w:rsid w:val="008B60D1"/>
    <w:rsid w:val="00900019"/>
    <w:rsid w:val="00910127"/>
    <w:rsid w:val="0091020D"/>
    <w:rsid w:val="009162CD"/>
    <w:rsid w:val="00922BDF"/>
    <w:rsid w:val="0096412D"/>
    <w:rsid w:val="0099063E"/>
    <w:rsid w:val="009B0A91"/>
    <w:rsid w:val="009C4B02"/>
    <w:rsid w:val="009F0DF3"/>
    <w:rsid w:val="009F41F4"/>
    <w:rsid w:val="00A157D6"/>
    <w:rsid w:val="00A44699"/>
    <w:rsid w:val="00A450E2"/>
    <w:rsid w:val="00A45A7F"/>
    <w:rsid w:val="00A616C2"/>
    <w:rsid w:val="00A72516"/>
    <w:rsid w:val="00A769B1"/>
    <w:rsid w:val="00A837D5"/>
    <w:rsid w:val="00AA22C6"/>
    <w:rsid w:val="00AB73E5"/>
    <w:rsid w:val="00AC4C45"/>
    <w:rsid w:val="00AC62D1"/>
    <w:rsid w:val="00AD52C4"/>
    <w:rsid w:val="00AE49F0"/>
    <w:rsid w:val="00AF3291"/>
    <w:rsid w:val="00B00E7E"/>
    <w:rsid w:val="00B16ECC"/>
    <w:rsid w:val="00B46F21"/>
    <w:rsid w:val="00B511A5"/>
    <w:rsid w:val="00B57445"/>
    <w:rsid w:val="00B736A7"/>
    <w:rsid w:val="00B7651F"/>
    <w:rsid w:val="00B76A95"/>
    <w:rsid w:val="00BA3900"/>
    <w:rsid w:val="00BC40FD"/>
    <w:rsid w:val="00BC671B"/>
    <w:rsid w:val="00BE5AC3"/>
    <w:rsid w:val="00C151FF"/>
    <w:rsid w:val="00C17214"/>
    <w:rsid w:val="00C56E09"/>
    <w:rsid w:val="00C70DBC"/>
    <w:rsid w:val="00C722F6"/>
    <w:rsid w:val="00C97C9F"/>
    <w:rsid w:val="00CD07A3"/>
    <w:rsid w:val="00CD1DEF"/>
    <w:rsid w:val="00CE3CE5"/>
    <w:rsid w:val="00CE6602"/>
    <w:rsid w:val="00CF096B"/>
    <w:rsid w:val="00CF26F8"/>
    <w:rsid w:val="00D04A5E"/>
    <w:rsid w:val="00D36E30"/>
    <w:rsid w:val="00D37A39"/>
    <w:rsid w:val="00D734F9"/>
    <w:rsid w:val="00DF02C4"/>
    <w:rsid w:val="00E105A7"/>
    <w:rsid w:val="00E16D30"/>
    <w:rsid w:val="00E2131D"/>
    <w:rsid w:val="00E33169"/>
    <w:rsid w:val="00E64CA9"/>
    <w:rsid w:val="00E70904"/>
    <w:rsid w:val="00EC763B"/>
    <w:rsid w:val="00EC78D7"/>
    <w:rsid w:val="00EF44B1"/>
    <w:rsid w:val="00F35AA0"/>
    <w:rsid w:val="00F42A4E"/>
    <w:rsid w:val="00F4682E"/>
    <w:rsid w:val="00F54884"/>
    <w:rsid w:val="00F56368"/>
    <w:rsid w:val="00F75D70"/>
    <w:rsid w:val="00F83568"/>
    <w:rsid w:val="00F90264"/>
    <w:rsid w:val="00FB07E7"/>
    <w:rsid w:val="00FC1D9F"/>
    <w:rsid w:val="00FE7D9A"/>
    <w:rsid w:val="016E63C2"/>
    <w:rsid w:val="024B0C39"/>
    <w:rsid w:val="0A8128A6"/>
    <w:rsid w:val="0BF32A1B"/>
    <w:rsid w:val="10BD2C22"/>
    <w:rsid w:val="22987C80"/>
    <w:rsid w:val="24192CCC"/>
    <w:rsid w:val="39A66CD4"/>
    <w:rsid w:val="3CD52CE1"/>
    <w:rsid w:val="410F2E6A"/>
    <w:rsid w:val="4430136C"/>
    <w:rsid w:val="4AB0382B"/>
    <w:rsid w:val="569868B5"/>
    <w:rsid w:val="5EF7FB6F"/>
    <w:rsid w:val="611F6817"/>
    <w:rsid w:val="66CA1754"/>
    <w:rsid w:val="677214DF"/>
    <w:rsid w:val="69BDAE44"/>
    <w:rsid w:val="6D7E5D06"/>
    <w:rsid w:val="6DBDCA58"/>
    <w:rsid w:val="6F1E65D4"/>
    <w:rsid w:val="6F266C86"/>
    <w:rsid w:val="6F5042C2"/>
    <w:rsid w:val="73DBC962"/>
    <w:rsid w:val="73DFE885"/>
    <w:rsid w:val="74316312"/>
    <w:rsid w:val="780F13C8"/>
    <w:rsid w:val="7BFE8CBF"/>
    <w:rsid w:val="7C385448"/>
    <w:rsid w:val="7CB3663D"/>
    <w:rsid w:val="7EB383E6"/>
    <w:rsid w:val="7FFFC66C"/>
    <w:rsid w:val="D9EF450B"/>
    <w:rsid w:val="DFF391B0"/>
    <w:rsid w:val="DFF9F1D3"/>
    <w:rsid w:val="F7DFCBFA"/>
    <w:rsid w:val="FBF7B668"/>
    <w:rsid w:val="FBFB0086"/>
    <w:rsid w:val="FCDFE311"/>
    <w:rsid w:val="FEFBFB65"/>
    <w:rsid w:val="FF6F9733"/>
    <w:rsid w:val="FF77F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unhideWhenUsed/>
    <w:qFormat/>
    <w:uiPriority w:val="99"/>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semiHidden/>
    <w:qFormat/>
    <w:uiPriority w:val="99"/>
    <w:rPr>
      <w:sz w:val="18"/>
      <w:szCs w:val="18"/>
    </w:rPr>
  </w:style>
  <w:style w:type="character" w:customStyle="1" w:styleId="12">
    <w:name w:val="ql-font-timesnewroman"/>
    <w:basedOn w:val="7"/>
    <w:qFormat/>
    <w:uiPriority w:val="0"/>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875</Words>
  <Characters>4989</Characters>
  <Lines>41</Lines>
  <Paragraphs>11</Paragraphs>
  <TotalTime>8</TotalTime>
  <ScaleCrop>false</ScaleCrop>
  <LinksUpToDate>false</LinksUpToDate>
  <CharactersWithSpaces>5853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2023-08-24T00:49:00Z</dcterms:created>
  <dc:creator>juvg</dc:creator>
  <cp:lastModifiedBy>。wxm。</cp:lastModifiedBy>
  <dcterms:modified xsi:type="dcterms:W3CDTF">2023-09-08T09:45:19Z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5554206E026A480B8F2C595B094377F1_12</vt:lpwstr>
  </property>
</Properties>
</file>