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D90B">
      <w:pPr>
        <w:jc w:val="center"/>
        <w:rPr>
          <w:rFonts w:eastAsia="黑体"/>
          <w:sz w:val="32"/>
        </w:rPr>
      </w:pPr>
      <w:r>
        <w:rPr>
          <w:rFonts w:hint="eastAsia" w:eastAsia="黑体"/>
          <w:sz w:val="32"/>
        </w:rPr>
        <w:t>《</w:t>
      </w:r>
      <w:r>
        <w:rPr>
          <w:rFonts w:hint="eastAsia" w:eastAsia="黑体"/>
          <w:b/>
          <w:sz w:val="32"/>
        </w:rPr>
        <w:t>护用药理学</w:t>
      </w:r>
      <w:r>
        <w:rPr>
          <w:rFonts w:hint="eastAsia" w:eastAsia="黑体"/>
          <w:sz w:val="32"/>
        </w:rPr>
        <w:t>》专科课程教学大纲课程</w:t>
      </w:r>
    </w:p>
    <w:p w14:paraId="3BC7326E">
      <w:pPr>
        <w:spacing w:before="326" w:beforeLines="100"/>
        <w:outlineLvl w:val="0"/>
        <w:rPr>
          <w:rFonts w:ascii="Arial" w:hAnsi="Arial" w:eastAsia="黑体"/>
          <w:sz w:val="28"/>
        </w:rPr>
      </w:pPr>
      <w:r>
        <w:rPr>
          <w:rFonts w:ascii="Arial" w:hAnsi="Arial" w:eastAsia="黑体"/>
          <w:sz w:val="28"/>
        </w:rPr>
        <w:t>一</w:t>
      </w:r>
      <w:r>
        <w:rPr>
          <w:rFonts w:hint="eastAsia" w:ascii="Arial" w:hAnsi="Arial" w:eastAsia="黑体"/>
          <w:sz w:val="28"/>
        </w:rPr>
        <w:t>、</w:t>
      </w:r>
      <w:r>
        <w:rPr>
          <w:rFonts w:ascii="Arial" w:hAnsi="Arial" w:eastAsia="黑体"/>
          <w:sz w:val="28"/>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AE9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trPr>
        <w:tc>
          <w:tcPr>
            <w:tcW w:w="1691" w:type="dxa"/>
            <w:vMerge w:val="restart"/>
            <w:tcBorders>
              <w:top w:val="single" w:color="auto" w:sz="12" w:space="0"/>
              <w:left w:val="single" w:color="auto" w:sz="12" w:space="0"/>
            </w:tcBorders>
            <w:noWrap w:val="0"/>
            <w:vAlign w:val="center"/>
          </w:tcPr>
          <w:p w14:paraId="4814ED45">
            <w:pPr>
              <w:snapToGrid w:val="0"/>
              <w:jc w:val="center"/>
              <w:rPr>
                <w:rFonts w:ascii="Arial" w:hAnsi="Arial" w:eastAsia="黑体"/>
                <w:bCs/>
                <w:color w:val="000000"/>
                <w:sz w:val="21"/>
                <w:szCs w:val="21"/>
              </w:rPr>
            </w:pPr>
            <w:r>
              <w:rPr>
                <w:rFonts w:hint="eastAsia" w:ascii="Arial" w:hAnsi="Arial" w:eastAsia="黑体"/>
                <w:bCs/>
                <w:color w:val="000000"/>
                <w:sz w:val="21"/>
                <w:szCs w:val="21"/>
              </w:rPr>
              <w:t>课程名称</w:t>
            </w:r>
          </w:p>
        </w:tc>
        <w:tc>
          <w:tcPr>
            <w:tcW w:w="6585" w:type="dxa"/>
            <w:gridSpan w:val="6"/>
            <w:tcBorders>
              <w:top w:val="single" w:color="auto" w:sz="12" w:space="0"/>
              <w:right w:val="single" w:color="auto" w:sz="12" w:space="0"/>
            </w:tcBorders>
            <w:noWrap w:val="0"/>
            <w:vAlign w:val="center"/>
          </w:tcPr>
          <w:p w14:paraId="55F1AFE6">
            <w:pPr>
              <w:rPr>
                <w:rFonts w:ascii="Times New Roman" w:hAnsi="Times New Roman"/>
                <w:color w:val="000000"/>
                <w:sz w:val="21"/>
                <w:szCs w:val="21"/>
              </w:rPr>
            </w:pPr>
            <w:r>
              <w:rPr>
                <w:rFonts w:hint="eastAsia" w:ascii="Times New Roman" w:hAnsi="Times New Roman"/>
                <w:color w:val="000000"/>
                <w:sz w:val="21"/>
                <w:szCs w:val="21"/>
              </w:rPr>
              <w:t>护用药理学</w:t>
            </w:r>
          </w:p>
        </w:tc>
      </w:tr>
      <w:tr w14:paraId="18EF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trPr>
        <w:tc>
          <w:tcPr>
            <w:tcW w:w="1691" w:type="dxa"/>
            <w:vMerge w:val="continue"/>
            <w:tcBorders>
              <w:left w:val="single" w:color="auto" w:sz="12" w:space="0"/>
            </w:tcBorders>
            <w:noWrap w:val="0"/>
            <w:vAlign w:val="center"/>
          </w:tcPr>
          <w:p w14:paraId="744289C1">
            <w:pPr>
              <w:snapToGrid w:val="0"/>
              <w:jc w:val="center"/>
              <w:rPr>
                <w:rFonts w:ascii="Arial" w:hAnsi="Arial" w:eastAsia="黑体"/>
                <w:bCs/>
                <w:color w:val="000000"/>
                <w:sz w:val="21"/>
                <w:szCs w:val="21"/>
              </w:rPr>
            </w:pPr>
          </w:p>
        </w:tc>
        <w:tc>
          <w:tcPr>
            <w:tcW w:w="6585" w:type="dxa"/>
            <w:gridSpan w:val="6"/>
            <w:tcBorders>
              <w:right w:val="single" w:color="auto" w:sz="12" w:space="0"/>
            </w:tcBorders>
            <w:noWrap w:val="0"/>
            <w:vAlign w:val="center"/>
          </w:tcPr>
          <w:p w14:paraId="30C5E5BF">
            <w:pPr>
              <w:rPr>
                <w:rFonts w:ascii="Times New Roman" w:hAnsi="Times New Roman"/>
                <w:color w:val="000000"/>
                <w:sz w:val="21"/>
                <w:szCs w:val="21"/>
              </w:rPr>
            </w:pPr>
            <w:r>
              <w:rPr>
                <w:rFonts w:ascii="Times New Roman" w:hAnsi="Times New Roman"/>
                <w:color w:val="000000"/>
                <w:sz w:val="21"/>
                <w:szCs w:val="21"/>
              </w:rPr>
              <w:t>Nursing pharmacology</w:t>
            </w:r>
          </w:p>
        </w:tc>
      </w:tr>
      <w:tr w14:paraId="2091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trPr>
        <w:tc>
          <w:tcPr>
            <w:tcW w:w="1691" w:type="dxa"/>
            <w:tcBorders>
              <w:left w:val="single" w:color="auto" w:sz="12" w:space="0"/>
            </w:tcBorders>
            <w:noWrap w:val="0"/>
            <w:vAlign w:val="center"/>
          </w:tcPr>
          <w:p w14:paraId="3FA67B55">
            <w:pPr>
              <w:snapToGrid w:val="0"/>
              <w:jc w:val="center"/>
              <w:rPr>
                <w:rFonts w:ascii="Arial" w:hAnsi="Arial" w:eastAsia="黑体"/>
                <w:bCs/>
                <w:color w:val="000000"/>
                <w:sz w:val="21"/>
                <w:szCs w:val="21"/>
              </w:rPr>
            </w:pPr>
            <w:r>
              <w:rPr>
                <w:rFonts w:ascii="Arial" w:hAnsi="Arial" w:eastAsia="黑体"/>
                <w:bCs/>
                <w:color w:val="000000"/>
                <w:sz w:val="21"/>
                <w:szCs w:val="21"/>
              </w:rPr>
              <w:t>课程代码</w:t>
            </w:r>
          </w:p>
        </w:tc>
        <w:tc>
          <w:tcPr>
            <w:tcW w:w="2260" w:type="dxa"/>
            <w:noWrap w:val="0"/>
            <w:vAlign w:val="center"/>
          </w:tcPr>
          <w:p w14:paraId="55171D17">
            <w:pPr>
              <w:rPr>
                <w:rFonts w:ascii="Times New Roman" w:hAnsi="Times New Roman" w:cs="Times New Roman"/>
                <w:color w:val="000000"/>
                <w:sz w:val="21"/>
                <w:szCs w:val="21"/>
              </w:rPr>
            </w:pPr>
            <w:r>
              <w:rPr>
                <w:rFonts w:ascii="Times New Roman" w:hAnsi="Times New Roman" w:cs="Times New Roman"/>
                <w:color w:val="000000"/>
                <w:sz w:val="21"/>
                <w:szCs w:val="21"/>
              </w:rPr>
              <w:t>0010043</w:t>
            </w:r>
          </w:p>
        </w:tc>
        <w:tc>
          <w:tcPr>
            <w:tcW w:w="2126" w:type="dxa"/>
            <w:gridSpan w:val="2"/>
            <w:noWrap w:val="0"/>
            <w:vAlign w:val="center"/>
          </w:tcPr>
          <w:p w14:paraId="4C78793F">
            <w:pPr>
              <w:snapToGrid w:val="0"/>
              <w:jc w:val="center"/>
              <w:rPr>
                <w:rFonts w:ascii="Times New Roman" w:hAnsi="Times New Roman" w:eastAsia="黑体"/>
                <w:bCs/>
                <w:color w:val="000000"/>
                <w:sz w:val="21"/>
                <w:szCs w:val="21"/>
              </w:rPr>
            </w:pPr>
            <w:r>
              <w:rPr>
                <w:rFonts w:ascii="Times New Roman" w:hAnsi="Times New Roman" w:eastAsia="黑体"/>
                <w:bCs/>
                <w:color w:val="000000"/>
                <w:sz w:val="21"/>
                <w:szCs w:val="21"/>
              </w:rPr>
              <w:t>课程学分</w:t>
            </w:r>
          </w:p>
        </w:tc>
        <w:tc>
          <w:tcPr>
            <w:tcW w:w="2199" w:type="dxa"/>
            <w:gridSpan w:val="3"/>
            <w:tcBorders>
              <w:right w:val="single" w:color="auto" w:sz="12" w:space="0"/>
            </w:tcBorders>
            <w:noWrap w:val="0"/>
            <w:vAlign w:val="center"/>
          </w:tcPr>
          <w:p w14:paraId="4BE0E82A">
            <w:pPr>
              <w:rPr>
                <w:rFonts w:ascii="Times New Roman" w:hAnsi="Times New Roman"/>
                <w:color w:val="000000"/>
                <w:sz w:val="21"/>
                <w:szCs w:val="21"/>
              </w:rPr>
            </w:pPr>
            <w:r>
              <w:rPr>
                <w:rFonts w:hint="eastAsia" w:ascii="Times New Roman" w:hAnsi="Times New Roman"/>
                <w:color w:val="000000"/>
                <w:sz w:val="21"/>
                <w:szCs w:val="21"/>
              </w:rPr>
              <w:t>3.0</w:t>
            </w:r>
          </w:p>
        </w:tc>
      </w:tr>
      <w:tr w14:paraId="42B7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trPr>
        <w:tc>
          <w:tcPr>
            <w:tcW w:w="1691" w:type="dxa"/>
            <w:tcBorders>
              <w:left w:val="single" w:color="auto" w:sz="12" w:space="0"/>
            </w:tcBorders>
            <w:noWrap w:val="0"/>
            <w:vAlign w:val="center"/>
          </w:tcPr>
          <w:p w14:paraId="1415BC30">
            <w:pPr>
              <w:snapToGrid w:val="0"/>
              <w:jc w:val="center"/>
              <w:rPr>
                <w:rFonts w:ascii="Arial" w:hAnsi="Arial"/>
                <w:bCs/>
                <w:color w:val="000000"/>
                <w:sz w:val="21"/>
                <w:szCs w:val="21"/>
              </w:rPr>
            </w:pPr>
            <w:r>
              <w:rPr>
                <w:rFonts w:hint="eastAsia" w:ascii="Arial" w:hAnsi="Arial" w:eastAsia="黑体"/>
                <w:bCs/>
                <w:color w:val="000000"/>
                <w:sz w:val="21"/>
                <w:szCs w:val="21"/>
              </w:rPr>
              <w:t>课程学时</w:t>
            </w:r>
          </w:p>
        </w:tc>
        <w:tc>
          <w:tcPr>
            <w:tcW w:w="2260" w:type="dxa"/>
            <w:noWrap w:val="0"/>
            <w:vAlign w:val="center"/>
          </w:tcPr>
          <w:p w14:paraId="3B81A3CB">
            <w:pPr>
              <w:rPr>
                <w:rFonts w:ascii="Times New Roman" w:hAnsi="Times New Roman"/>
                <w:color w:val="000000"/>
                <w:sz w:val="21"/>
                <w:szCs w:val="21"/>
              </w:rPr>
            </w:pPr>
            <w:r>
              <w:rPr>
                <w:rFonts w:hint="eastAsia" w:ascii="Times New Roman" w:hAnsi="Times New Roman"/>
                <w:color w:val="000000"/>
                <w:sz w:val="21"/>
                <w:szCs w:val="21"/>
              </w:rPr>
              <w:t>48</w:t>
            </w:r>
          </w:p>
        </w:tc>
        <w:tc>
          <w:tcPr>
            <w:tcW w:w="1272" w:type="dxa"/>
            <w:noWrap w:val="0"/>
            <w:vAlign w:val="center"/>
          </w:tcPr>
          <w:p w14:paraId="5ECFD76F">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理论学时</w:t>
            </w:r>
          </w:p>
        </w:tc>
        <w:tc>
          <w:tcPr>
            <w:tcW w:w="854" w:type="dxa"/>
            <w:noWrap w:val="0"/>
            <w:vAlign w:val="center"/>
          </w:tcPr>
          <w:p w14:paraId="22106F95">
            <w:pPr>
              <w:rPr>
                <w:rFonts w:ascii="Times New Roman" w:hAnsi="Times New Roman"/>
                <w:color w:val="000000"/>
                <w:sz w:val="21"/>
                <w:szCs w:val="21"/>
              </w:rPr>
            </w:pPr>
            <w:r>
              <w:rPr>
                <w:rFonts w:hint="eastAsia" w:ascii="Times New Roman" w:hAnsi="Times New Roman"/>
                <w:color w:val="000000"/>
                <w:sz w:val="21"/>
                <w:szCs w:val="21"/>
              </w:rPr>
              <w:t>32</w:t>
            </w:r>
          </w:p>
        </w:tc>
        <w:tc>
          <w:tcPr>
            <w:tcW w:w="1413" w:type="dxa"/>
            <w:gridSpan w:val="2"/>
            <w:noWrap w:val="0"/>
            <w:vAlign w:val="center"/>
          </w:tcPr>
          <w:p w14:paraId="7C11D3D1">
            <w:pPr>
              <w:snapToGrid w:val="0"/>
              <w:jc w:val="center"/>
              <w:rPr>
                <w:rFonts w:ascii="Arial" w:hAnsi="Arial" w:eastAsia="黑体"/>
                <w:bCs/>
                <w:color w:val="000000"/>
                <w:sz w:val="21"/>
                <w:szCs w:val="21"/>
              </w:rPr>
            </w:pPr>
            <w:r>
              <w:rPr>
                <w:rFonts w:hint="eastAsia" w:ascii="Arial" w:hAnsi="Arial" w:eastAsia="黑体"/>
                <w:bCs/>
                <w:color w:val="000000"/>
                <w:sz w:val="21"/>
                <w:szCs w:val="21"/>
              </w:rPr>
              <w:t>实践学时</w:t>
            </w:r>
          </w:p>
        </w:tc>
        <w:tc>
          <w:tcPr>
            <w:tcW w:w="786" w:type="dxa"/>
            <w:tcBorders>
              <w:right w:val="single" w:color="auto" w:sz="12" w:space="0"/>
            </w:tcBorders>
            <w:noWrap w:val="0"/>
            <w:vAlign w:val="center"/>
          </w:tcPr>
          <w:p w14:paraId="377E246A">
            <w:pPr>
              <w:rPr>
                <w:rFonts w:ascii="Times New Roman" w:hAnsi="Times New Roman"/>
                <w:color w:val="000000"/>
                <w:sz w:val="21"/>
                <w:szCs w:val="21"/>
              </w:rPr>
            </w:pPr>
            <w:r>
              <w:rPr>
                <w:rFonts w:hint="eastAsia" w:ascii="Times New Roman" w:hAnsi="Times New Roman"/>
                <w:color w:val="000000"/>
                <w:sz w:val="21"/>
                <w:szCs w:val="21"/>
              </w:rPr>
              <w:t>16</w:t>
            </w:r>
          </w:p>
        </w:tc>
      </w:tr>
      <w:tr w14:paraId="0937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trPr>
        <w:tc>
          <w:tcPr>
            <w:tcW w:w="1691" w:type="dxa"/>
            <w:tcBorders>
              <w:left w:val="single" w:color="auto" w:sz="12" w:space="0"/>
            </w:tcBorders>
            <w:noWrap w:val="0"/>
            <w:vAlign w:val="center"/>
          </w:tcPr>
          <w:p w14:paraId="2B3A9728">
            <w:pPr>
              <w:snapToGrid w:val="0"/>
              <w:jc w:val="center"/>
              <w:rPr>
                <w:rFonts w:ascii="Arial" w:hAnsi="Arial" w:eastAsia="黑体"/>
                <w:bCs/>
                <w:color w:val="000000"/>
                <w:sz w:val="21"/>
                <w:szCs w:val="21"/>
              </w:rPr>
            </w:pPr>
            <w:r>
              <w:rPr>
                <w:rFonts w:ascii="Arial" w:hAnsi="Arial" w:eastAsia="黑体"/>
                <w:bCs/>
                <w:color w:val="000000"/>
                <w:sz w:val="21"/>
                <w:szCs w:val="21"/>
              </w:rPr>
              <w:t>开课</w:t>
            </w:r>
            <w:r>
              <w:rPr>
                <w:rFonts w:hint="eastAsia" w:ascii="Arial" w:hAnsi="Arial" w:eastAsia="黑体"/>
                <w:bCs/>
                <w:color w:val="000000"/>
                <w:sz w:val="21"/>
                <w:szCs w:val="21"/>
              </w:rPr>
              <w:t>学院</w:t>
            </w:r>
          </w:p>
        </w:tc>
        <w:tc>
          <w:tcPr>
            <w:tcW w:w="2260" w:type="dxa"/>
            <w:noWrap w:val="0"/>
            <w:vAlign w:val="center"/>
          </w:tcPr>
          <w:p w14:paraId="0D3704CF">
            <w:pPr>
              <w:rPr>
                <w:rFonts w:ascii="黑体" w:hAnsi="黑体"/>
                <w:color w:val="000000"/>
                <w:sz w:val="21"/>
                <w:szCs w:val="21"/>
              </w:rPr>
            </w:pPr>
            <w:r>
              <w:rPr>
                <w:rFonts w:hint="eastAsia" w:ascii="Times New Roman" w:hAnsi="Times New Roman"/>
                <w:color w:val="000000"/>
                <w:sz w:val="21"/>
                <w:szCs w:val="21"/>
              </w:rPr>
              <w:t>健康管理学院</w:t>
            </w:r>
          </w:p>
        </w:tc>
        <w:tc>
          <w:tcPr>
            <w:tcW w:w="2126" w:type="dxa"/>
            <w:gridSpan w:val="2"/>
            <w:noWrap w:val="0"/>
            <w:vAlign w:val="center"/>
          </w:tcPr>
          <w:p w14:paraId="5083B2AF">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适用</w:t>
            </w:r>
            <w:r>
              <w:rPr>
                <w:rFonts w:ascii="Times New Roman" w:hAnsi="Times New Roman" w:eastAsia="黑体"/>
                <w:bCs/>
                <w:color w:val="000000"/>
                <w:sz w:val="21"/>
                <w:szCs w:val="21"/>
              </w:rPr>
              <w:t>专业</w:t>
            </w:r>
            <w:r>
              <w:rPr>
                <w:rFonts w:hint="eastAsia" w:ascii="Times New Roman" w:hAnsi="Times New Roman" w:eastAsia="黑体"/>
                <w:bCs/>
                <w:color w:val="000000"/>
                <w:sz w:val="21"/>
                <w:szCs w:val="21"/>
              </w:rPr>
              <w:t>与年级</w:t>
            </w:r>
          </w:p>
        </w:tc>
        <w:tc>
          <w:tcPr>
            <w:tcW w:w="2199" w:type="dxa"/>
            <w:gridSpan w:val="3"/>
            <w:tcBorders>
              <w:right w:val="single" w:color="auto" w:sz="12" w:space="0"/>
            </w:tcBorders>
            <w:noWrap w:val="0"/>
            <w:vAlign w:val="center"/>
          </w:tcPr>
          <w:p w14:paraId="766E5881">
            <w:pPr>
              <w:rPr>
                <w:rFonts w:ascii="Times New Roman" w:hAnsi="Times New Roman"/>
                <w:color w:val="000000"/>
                <w:sz w:val="21"/>
                <w:szCs w:val="21"/>
              </w:rPr>
            </w:pPr>
            <w:r>
              <w:rPr>
                <w:rFonts w:hint="eastAsia" w:ascii="Times New Roman" w:hAnsi="Times New Roman"/>
                <w:color w:val="000000"/>
                <w:sz w:val="21"/>
                <w:szCs w:val="21"/>
              </w:rPr>
              <w:t>护理专业一年级第二学期</w:t>
            </w:r>
          </w:p>
        </w:tc>
      </w:tr>
      <w:tr w14:paraId="27B4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trPr>
        <w:tc>
          <w:tcPr>
            <w:tcW w:w="1691" w:type="dxa"/>
            <w:tcBorders>
              <w:left w:val="single" w:color="auto" w:sz="12" w:space="0"/>
            </w:tcBorders>
            <w:noWrap w:val="0"/>
            <w:vAlign w:val="center"/>
          </w:tcPr>
          <w:p w14:paraId="3F63320F">
            <w:pPr>
              <w:snapToGrid w:val="0"/>
              <w:jc w:val="center"/>
              <w:rPr>
                <w:rFonts w:ascii="Arial" w:hAnsi="Arial" w:eastAsia="黑体"/>
                <w:bCs/>
                <w:color w:val="000000"/>
                <w:sz w:val="21"/>
                <w:szCs w:val="21"/>
              </w:rPr>
            </w:pPr>
            <w:r>
              <w:rPr>
                <w:rFonts w:hint="eastAsia" w:ascii="Arial" w:hAnsi="Arial" w:eastAsia="黑体"/>
                <w:bCs/>
                <w:color w:val="000000"/>
                <w:sz w:val="21"/>
                <w:szCs w:val="21"/>
              </w:rPr>
              <w:t>课程类别与性质</w:t>
            </w:r>
          </w:p>
        </w:tc>
        <w:tc>
          <w:tcPr>
            <w:tcW w:w="2260" w:type="dxa"/>
            <w:noWrap w:val="0"/>
            <w:vAlign w:val="center"/>
          </w:tcPr>
          <w:p w14:paraId="10319F76">
            <w:pPr>
              <w:rPr>
                <w:rFonts w:ascii="Times New Roman" w:hAnsi="Times New Roman"/>
                <w:color w:val="000000"/>
                <w:sz w:val="21"/>
                <w:szCs w:val="21"/>
              </w:rPr>
            </w:pPr>
            <w:r>
              <w:rPr>
                <w:rFonts w:hint="eastAsia" w:ascii="Times New Roman" w:hAnsi="Times New Roman"/>
                <w:color w:val="000000"/>
                <w:sz w:val="21"/>
                <w:szCs w:val="21"/>
              </w:rPr>
              <w:t>专业基础必修课</w:t>
            </w:r>
          </w:p>
        </w:tc>
        <w:tc>
          <w:tcPr>
            <w:tcW w:w="2126" w:type="dxa"/>
            <w:gridSpan w:val="2"/>
            <w:noWrap w:val="0"/>
            <w:vAlign w:val="center"/>
          </w:tcPr>
          <w:p w14:paraId="2BD75B48">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考核方式</w:t>
            </w:r>
          </w:p>
        </w:tc>
        <w:tc>
          <w:tcPr>
            <w:tcW w:w="2199" w:type="dxa"/>
            <w:gridSpan w:val="3"/>
            <w:tcBorders>
              <w:right w:val="single" w:color="auto" w:sz="12" w:space="0"/>
            </w:tcBorders>
            <w:noWrap w:val="0"/>
            <w:vAlign w:val="center"/>
          </w:tcPr>
          <w:p w14:paraId="73AD397C">
            <w:pPr>
              <w:rPr>
                <w:rFonts w:ascii="Times New Roman" w:hAnsi="Times New Roman"/>
                <w:color w:val="000000"/>
                <w:sz w:val="21"/>
                <w:szCs w:val="21"/>
              </w:rPr>
            </w:pPr>
            <w:r>
              <w:rPr>
                <w:rFonts w:hint="eastAsia" w:ascii="Times New Roman" w:hAnsi="Times New Roman"/>
                <w:color w:val="000000"/>
                <w:sz w:val="21"/>
                <w:szCs w:val="21"/>
              </w:rPr>
              <w:t>考查</w:t>
            </w:r>
          </w:p>
        </w:tc>
      </w:tr>
      <w:tr w14:paraId="24D2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trPr>
        <w:tc>
          <w:tcPr>
            <w:tcW w:w="1691" w:type="dxa"/>
            <w:tcBorders>
              <w:left w:val="single" w:color="auto" w:sz="12" w:space="0"/>
            </w:tcBorders>
            <w:noWrap w:val="0"/>
            <w:vAlign w:val="center"/>
          </w:tcPr>
          <w:p w14:paraId="6E71D85A">
            <w:pPr>
              <w:snapToGrid w:val="0"/>
              <w:jc w:val="center"/>
              <w:rPr>
                <w:rFonts w:ascii="Arial" w:hAnsi="Arial" w:eastAsia="黑体"/>
                <w:bCs/>
                <w:color w:val="000000"/>
                <w:sz w:val="21"/>
                <w:szCs w:val="21"/>
              </w:rPr>
            </w:pPr>
            <w:r>
              <w:rPr>
                <w:rFonts w:hint="eastAsia" w:ascii="Arial" w:hAnsi="Arial" w:eastAsia="黑体"/>
                <w:bCs/>
                <w:color w:val="000000"/>
                <w:sz w:val="21"/>
                <w:szCs w:val="21"/>
              </w:rPr>
              <w:t>选</w:t>
            </w:r>
            <w:r>
              <w:rPr>
                <w:rFonts w:ascii="Arial" w:hAnsi="Arial" w:eastAsia="黑体"/>
                <w:bCs/>
                <w:color w:val="000000"/>
                <w:sz w:val="21"/>
                <w:szCs w:val="21"/>
              </w:rPr>
              <w:t>用教材</w:t>
            </w:r>
          </w:p>
        </w:tc>
        <w:tc>
          <w:tcPr>
            <w:tcW w:w="4386" w:type="dxa"/>
            <w:gridSpan w:val="3"/>
            <w:noWrap w:val="0"/>
            <w:vAlign w:val="center"/>
          </w:tcPr>
          <w:p w14:paraId="2771D019">
            <w:pPr>
              <w:rPr>
                <w:rFonts w:ascii="Times New Roman" w:hAnsi="Times New Roman"/>
                <w:color w:val="000000"/>
                <w:sz w:val="21"/>
                <w:szCs w:val="21"/>
              </w:rPr>
            </w:pPr>
            <w:r>
              <w:rPr>
                <w:rFonts w:hint="eastAsia" w:ascii="Times New Roman" w:hAnsi="Times New Roman" w:cs="仿宋"/>
                <w:color w:val="000000"/>
                <w:sz w:val="21"/>
                <w:szCs w:val="21"/>
              </w:rPr>
              <w:t>《护用药理学》第4版，秦红兵、姚伟，人民卫生出版社，2021年</w:t>
            </w:r>
          </w:p>
        </w:tc>
        <w:tc>
          <w:tcPr>
            <w:tcW w:w="1413" w:type="dxa"/>
            <w:gridSpan w:val="2"/>
            <w:noWrap w:val="0"/>
            <w:vAlign w:val="center"/>
          </w:tcPr>
          <w:p w14:paraId="73485BD7">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是否为</w:t>
            </w:r>
          </w:p>
          <w:p w14:paraId="485AD4F2">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马工程教材</w:t>
            </w:r>
          </w:p>
        </w:tc>
        <w:tc>
          <w:tcPr>
            <w:tcW w:w="786" w:type="dxa"/>
            <w:tcBorders>
              <w:right w:val="single" w:color="auto" w:sz="12" w:space="0"/>
            </w:tcBorders>
            <w:noWrap w:val="0"/>
            <w:vAlign w:val="center"/>
          </w:tcPr>
          <w:p w14:paraId="3EF6A6EC">
            <w:pPr>
              <w:rPr>
                <w:rFonts w:ascii="Times New Roman" w:hAnsi="Times New Roman"/>
                <w:color w:val="000000"/>
                <w:sz w:val="21"/>
                <w:szCs w:val="21"/>
              </w:rPr>
            </w:pPr>
            <w:r>
              <w:rPr>
                <w:rFonts w:hint="eastAsia" w:ascii="Times New Roman" w:hAnsi="Times New Roman"/>
                <w:color w:val="000000"/>
                <w:sz w:val="21"/>
                <w:szCs w:val="21"/>
              </w:rPr>
              <w:t>否</w:t>
            </w:r>
          </w:p>
        </w:tc>
      </w:tr>
      <w:tr w14:paraId="6687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224" w:hRule="atLeast"/>
        </w:trPr>
        <w:tc>
          <w:tcPr>
            <w:tcW w:w="1691" w:type="dxa"/>
            <w:tcBorders>
              <w:left w:val="single" w:color="auto" w:sz="12" w:space="0"/>
            </w:tcBorders>
            <w:noWrap w:val="0"/>
            <w:vAlign w:val="center"/>
          </w:tcPr>
          <w:p w14:paraId="1A5A29E8">
            <w:pPr>
              <w:snapToGrid w:val="0"/>
              <w:jc w:val="center"/>
              <w:rPr>
                <w:rFonts w:ascii="Arial" w:hAnsi="Arial" w:eastAsia="黑体"/>
                <w:bCs/>
                <w:color w:val="000000"/>
                <w:sz w:val="21"/>
                <w:szCs w:val="21"/>
              </w:rPr>
            </w:pPr>
            <w:r>
              <w:rPr>
                <w:rFonts w:ascii="Arial" w:hAnsi="Arial" w:eastAsia="黑体"/>
                <w:bCs/>
                <w:color w:val="000000"/>
                <w:sz w:val="21"/>
                <w:szCs w:val="21"/>
              </w:rPr>
              <w:t>先修课程</w:t>
            </w:r>
          </w:p>
        </w:tc>
        <w:tc>
          <w:tcPr>
            <w:tcW w:w="6585" w:type="dxa"/>
            <w:gridSpan w:val="6"/>
            <w:tcBorders>
              <w:right w:val="single" w:color="auto" w:sz="12" w:space="0"/>
            </w:tcBorders>
            <w:noWrap w:val="0"/>
            <w:vAlign w:val="center"/>
          </w:tcPr>
          <w:p w14:paraId="7E794AE9">
            <w:pPr>
              <w:rPr>
                <w:rFonts w:ascii="Times New Roman" w:hAnsi="Times New Roman"/>
                <w:color w:val="000000"/>
                <w:sz w:val="21"/>
                <w:szCs w:val="21"/>
              </w:rPr>
            </w:pPr>
            <w:r>
              <w:rPr>
                <w:rFonts w:hint="eastAsia" w:ascii="Times New Roman" w:hAnsi="Times New Roman"/>
                <w:color w:val="000000"/>
                <w:sz w:val="21"/>
                <w:szCs w:val="21"/>
              </w:rPr>
              <w:t>正常人体学基础</w:t>
            </w:r>
            <w:r>
              <w:rPr>
                <w:rFonts w:ascii="Times New Roman" w:hAnsi="Times New Roman"/>
                <w:color w:val="000000"/>
                <w:sz w:val="21"/>
                <w:szCs w:val="21"/>
              </w:rPr>
              <w:t>1 0070038</w:t>
            </w:r>
            <w:r>
              <w:rPr>
                <w:rFonts w:hint="eastAsia" w:ascii="Times New Roman" w:hAnsi="Times New Roman"/>
                <w:color w:val="000000"/>
                <w:sz w:val="21"/>
                <w:szCs w:val="21"/>
              </w:rPr>
              <w:t>（</w:t>
            </w:r>
            <w:r>
              <w:rPr>
                <w:rFonts w:ascii="Times New Roman" w:hAnsi="Times New Roman"/>
                <w:color w:val="000000"/>
                <w:sz w:val="21"/>
                <w:szCs w:val="21"/>
              </w:rPr>
              <w:t>6</w:t>
            </w:r>
            <w:r>
              <w:rPr>
                <w:rFonts w:hint="eastAsia" w:ascii="Times New Roman" w:hAnsi="Times New Roman"/>
                <w:color w:val="000000"/>
                <w:sz w:val="21"/>
                <w:szCs w:val="21"/>
              </w:rPr>
              <w:t>）、正常人体学基础</w:t>
            </w:r>
            <w:r>
              <w:rPr>
                <w:rFonts w:ascii="Times New Roman" w:hAnsi="Times New Roman"/>
                <w:color w:val="000000"/>
                <w:sz w:val="21"/>
                <w:szCs w:val="21"/>
              </w:rPr>
              <w:t>2 0070039</w:t>
            </w:r>
            <w:r>
              <w:rPr>
                <w:rFonts w:hint="eastAsia" w:ascii="Times New Roman" w:hAnsi="Times New Roman"/>
                <w:color w:val="000000"/>
                <w:sz w:val="21"/>
                <w:szCs w:val="21"/>
              </w:rPr>
              <w:t>（</w:t>
            </w:r>
            <w:r>
              <w:rPr>
                <w:rFonts w:ascii="Times New Roman" w:hAnsi="Times New Roman"/>
                <w:color w:val="000000"/>
                <w:sz w:val="21"/>
                <w:szCs w:val="21"/>
              </w:rPr>
              <w:t>4</w:t>
            </w:r>
            <w:r>
              <w:rPr>
                <w:rFonts w:hint="eastAsia" w:ascii="Times New Roman" w:hAnsi="Times New Roman"/>
                <w:color w:val="000000"/>
                <w:sz w:val="21"/>
                <w:szCs w:val="21"/>
              </w:rPr>
              <w:t>）</w:t>
            </w:r>
          </w:p>
        </w:tc>
      </w:tr>
      <w:tr w14:paraId="00C8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3604" w:hRule="atLeast"/>
        </w:trPr>
        <w:tc>
          <w:tcPr>
            <w:tcW w:w="1691" w:type="dxa"/>
            <w:tcBorders>
              <w:left w:val="single" w:color="auto" w:sz="12" w:space="0"/>
            </w:tcBorders>
            <w:noWrap w:val="0"/>
            <w:vAlign w:val="center"/>
          </w:tcPr>
          <w:p w14:paraId="161B7CC3">
            <w:pPr>
              <w:snapToGrid w:val="0"/>
              <w:jc w:val="center"/>
              <w:rPr>
                <w:rFonts w:ascii="Arial" w:hAnsi="Arial" w:eastAsia="黑体"/>
                <w:bCs/>
                <w:color w:val="000000"/>
                <w:sz w:val="21"/>
                <w:szCs w:val="21"/>
              </w:rPr>
            </w:pPr>
            <w:r>
              <w:rPr>
                <w:rFonts w:ascii="Arial" w:hAnsi="Arial" w:eastAsia="黑体"/>
                <w:bCs/>
                <w:color w:val="000000"/>
                <w:sz w:val="21"/>
                <w:szCs w:val="21"/>
              </w:rPr>
              <w:t>课程简介</w:t>
            </w:r>
          </w:p>
        </w:tc>
        <w:tc>
          <w:tcPr>
            <w:tcW w:w="6585" w:type="dxa"/>
            <w:gridSpan w:val="6"/>
            <w:tcBorders>
              <w:right w:val="single" w:color="auto" w:sz="12" w:space="0"/>
            </w:tcBorders>
            <w:noWrap w:val="0"/>
            <w:vAlign w:val="top"/>
          </w:tcPr>
          <w:p w14:paraId="0CCFDC85">
            <w:pPr>
              <w:rPr>
                <w:rFonts w:ascii="Times New Roman" w:hAnsi="Times New Roman"/>
                <w:color w:val="000000"/>
                <w:sz w:val="21"/>
                <w:szCs w:val="21"/>
              </w:rPr>
            </w:pPr>
            <w:r>
              <w:rPr>
                <w:rFonts w:hint="eastAsia" w:ascii="Times New Roman" w:hAnsi="Times New Roman"/>
                <w:color w:val="000000"/>
                <w:sz w:val="21"/>
                <w:szCs w:val="21"/>
              </w:rPr>
              <w:t>《护用药理学》是研究药物与机体（包括病原体）间相互作用及其规律的学科。是护用药理学是护理类专业一门重要的医学基础课程，也是医学基础课程与护理类专业课程之间的桥梁课程，为后续护理类专业课程服务，为未来护理临床药物治疗奠定基础。护用药理学阐明了药学与机体间相互作用和作用规律，作为临床治疗学的基础，指导临床合理用药，发挥药物最佳疗效、减少不良反应。本门课程的任务是通过护用药理学的理论与实验教学，为防病治病提供理论基础；同时在正确掌握护用药理学基础理论、基础知识和基本技能的基础上，培养学生分析、综合和独立学习的工作能力，认真严肃、关爱生命的职业素养，为学生成为护理专业人才奠定扎实的理论基础。</w:t>
            </w:r>
          </w:p>
          <w:p w14:paraId="2332DB7A">
            <w:pPr>
              <w:rPr>
                <w:rFonts w:ascii="Times New Roman" w:hAnsi="Times New Roman"/>
                <w:color w:val="000000"/>
                <w:sz w:val="21"/>
                <w:szCs w:val="21"/>
              </w:rPr>
            </w:pPr>
            <w:r>
              <w:rPr>
                <w:rFonts w:hint="eastAsia" w:ascii="Times New Roman" w:hAnsi="Times New Roman"/>
                <w:color w:val="000000"/>
                <w:sz w:val="21"/>
                <w:szCs w:val="21"/>
              </w:rPr>
              <w:t>本课程教学总时数48学时，其中理论教学32学时、实践教学16学时。</w:t>
            </w:r>
          </w:p>
          <w:p w14:paraId="475A9AA3">
            <w:pPr>
              <w:rPr>
                <w:rFonts w:ascii="Times New Roman" w:hAnsi="Times New Roman"/>
                <w:color w:val="000000"/>
                <w:sz w:val="21"/>
                <w:szCs w:val="21"/>
              </w:rPr>
            </w:pPr>
          </w:p>
        </w:tc>
      </w:tr>
      <w:tr w14:paraId="0348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1701" w:hRule="atLeast"/>
        </w:trPr>
        <w:tc>
          <w:tcPr>
            <w:tcW w:w="1691" w:type="dxa"/>
            <w:tcBorders>
              <w:left w:val="single" w:color="auto" w:sz="12" w:space="0"/>
              <w:bottom w:val="double" w:color="auto" w:sz="4" w:space="0"/>
            </w:tcBorders>
            <w:noWrap w:val="0"/>
            <w:vAlign w:val="center"/>
          </w:tcPr>
          <w:p w14:paraId="37B84C86">
            <w:pPr>
              <w:snapToGrid w:val="0"/>
              <w:jc w:val="center"/>
              <w:rPr>
                <w:rFonts w:ascii="Arial" w:hAnsi="Arial" w:eastAsia="黑体"/>
                <w:bCs/>
                <w:color w:val="000000"/>
                <w:sz w:val="21"/>
                <w:szCs w:val="21"/>
              </w:rPr>
            </w:pPr>
            <w:r>
              <w:rPr>
                <w:rFonts w:ascii="Arial" w:hAnsi="Arial" w:eastAsia="黑体"/>
                <w:bCs/>
                <w:color w:val="000000"/>
                <w:sz w:val="21"/>
                <w:szCs w:val="21"/>
              </w:rPr>
              <w:t>选课建议</w:t>
            </w:r>
            <w:r>
              <w:rPr>
                <w:rFonts w:hint="eastAsia" w:ascii="Arial" w:hAnsi="Arial" w:eastAsia="黑体"/>
                <w:bCs/>
                <w:color w:val="000000"/>
                <w:sz w:val="21"/>
                <w:szCs w:val="21"/>
              </w:rPr>
              <w:t>与学习要求</w:t>
            </w:r>
          </w:p>
        </w:tc>
        <w:tc>
          <w:tcPr>
            <w:tcW w:w="6585" w:type="dxa"/>
            <w:gridSpan w:val="6"/>
            <w:tcBorders>
              <w:bottom w:val="double" w:color="auto" w:sz="4" w:space="0"/>
              <w:right w:val="single" w:color="auto" w:sz="12" w:space="0"/>
            </w:tcBorders>
            <w:noWrap w:val="0"/>
            <w:vAlign w:val="top"/>
          </w:tcPr>
          <w:p w14:paraId="320D218B">
            <w:pPr>
              <w:rPr>
                <w:rFonts w:hint="eastAsia" w:ascii="Times New Roman" w:hAnsi="Times New Roman"/>
                <w:color w:val="000000"/>
                <w:sz w:val="21"/>
                <w:szCs w:val="21"/>
              </w:rPr>
            </w:pPr>
            <w:r>
              <w:rPr>
                <w:rFonts w:hint="eastAsia" w:ascii="Times New Roman" w:hAnsi="Times New Roman"/>
                <w:color w:val="000000"/>
                <w:sz w:val="21"/>
                <w:szCs w:val="21"/>
              </w:rPr>
              <w:t>学习《护用药理学》需要具备正常人体结构和功能学知识及疾病学基础知识。适合护理专业一年级第二学期学生学习。</w:t>
            </w:r>
          </w:p>
          <w:p w14:paraId="03C9B522">
            <w:pPr>
              <w:rPr>
                <w:rFonts w:ascii="Times New Roman" w:hAnsi="Times New Roman"/>
                <w:color w:val="000000"/>
                <w:sz w:val="21"/>
                <w:szCs w:val="21"/>
              </w:rPr>
            </w:pPr>
          </w:p>
        </w:tc>
      </w:tr>
      <w:tr w14:paraId="6DE1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573" w:hRule="atLeast"/>
        </w:trPr>
        <w:tc>
          <w:tcPr>
            <w:tcW w:w="1691" w:type="dxa"/>
            <w:tcBorders>
              <w:top w:val="double" w:color="auto" w:sz="4" w:space="0"/>
              <w:left w:val="single" w:color="auto" w:sz="12" w:space="0"/>
            </w:tcBorders>
            <w:noWrap w:val="0"/>
            <w:vAlign w:val="center"/>
          </w:tcPr>
          <w:p w14:paraId="7D3D09D0">
            <w:pPr>
              <w:snapToGrid w:val="0"/>
              <w:jc w:val="center"/>
              <w:rPr>
                <w:rFonts w:ascii="Arial" w:hAnsi="Arial" w:eastAsia="黑体"/>
                <w:bCs/>
                <w:color w:val="000000"/>
                <w:sz w:val="21"/>
                <w:szCs w:val="21"/>
              </w:rPr>
            </w:pPr>
            <w:r>
              <w:rPr>
                <w:rFonts w:hint="eastAsia" w:ascii="Arial" w:hAnsi="Arial" w:eastAsia="黑体"/>
                <w:bCs/>
                <w:color w:val="000000"/>
                <w:sz w:val="21"/>
                <w:szCs w:val="21"/>
              </w:rPr>
              <w:t>大纲编写人</w:t>
            </w:r>
          </w:p>
        </w:tc>
        <w:tc>
          <w:tcPr>
            <w:tcW w:w="3532" w:type="dxa"/>
            <w:gridSpan w:val="2"/>
            <w:tcBorders>
              <w:top w:val="double" w:color="auto" w:sz="4" w:space="0"/>
            </w:tcBorders>
            <w:noWrap w:val="0"/>
            <w:vAlign w:val="center"/>
          </w:tcPr>
          <w:p w14:paraId="3A4E6A8C">
            <w:pPr>
              <w:rPr>
                <w:rFonts w:ascii="黑体" w:hAnsi="黑体"/>
                <w:color w:val="000000"/>
                <w:sz w:val="21"/>
                <w:szCs w:val="21"/>
              </w:rPr>
            </w:pPr>
            <w:r>
              <w:rPr>
                <w:rFonts w:ascii="黑体" w:hAnsi="黑体"/>
                <w:color w:val="000000"/>
                <w:sz w:val="21"/>
                <w:szCs w:val="21"/>
                <w:lang/>
              </w:rPr>
              <w:drawing>
                <wp:inline distT="0" distB="0" distL="114300" distR="114300">
                  <wp:extent cx="424815" cy="1125855"/>
                  <wp:effectExtent l="0" t="0" r="4445" b="6985"/>
                  <wp:docPr id="1" name="图片 3" descr="b1551b5a7bfccb435c49863c66936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b1551b5a7bfccb435c49863c669369a.jpg"/>
                          <pic:cNvPicPr>
                            <a:picLocks noChangeAspect="1"/>
                          </pic:cNvPicPr>
                        </pic:nvPicPr>
                        <pic:blipFill>
                          <a:blip r:embed="rId5">
                            <a:biLevel thresh="50000"/>
                            <a:grayscl/>
                          </a:blip>
                          <a:srcRect l="41188" t="11526" r="30853" b="9485"/>
                          <a:stretch>
                            <a:fillRect/>
                          </a:stretch>
                        </pic:blipFill>
                        <pic:spPr>
                          <a:xfrm rot="5400000">
                            <a:off x="0" y="0"/>
                            <a:ext cx="424815" cy="1125855"/>
                          </a:xfrm>
                          <a:prstGeom prst="rect">
                            <a:avLst/>
                          </a:prstGeom>
                          <a:noFill/>
                          <a:ln>
                            <a:noFill/>
                          </a:ln>
                        </pic:spPr>
                      </pic:pic>
                    </a:graphicData>
                  </a:graphic>
                </wp:inline>
              </w:drawing>
            </w:r>
          </w:p>
        </w:tc>
        <w:tc>
          <w:tcPr>
            <w:tcW w:w="1425" w:type="dxa"/>
            <w:gridSpan w:val="2"/>
            <w:tcBorders>
              <w:top w:val="double" w:color="auto" w:sz="4" w:space="0"/>
            </w:tcBorders>
            <w:noWrap w:val="0"/>
            <w:vAlign w:val="center"/>
          </w:tcPr>
          <w:p w14:paraId="6AD010EE">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制/修订时间</w:t>
            </w:r>
          </w:p>
        </w:tc>
        <w:tc>
          <w:tcPr>
            <w:tcW w:w="1628" w:type="dxa"/>
            <w:gridSpan w:val="2"/>
            <w:tcBorders>
              <w:top w:val="double" w:color="auto" w:sz="4" w:space="0"/>
              <w:right w:val="single" w:color="auto" w:sz="12" w:space="0"/>
            </w:tcBorders>
            <w:noWrap w:val="0"/>
            <w:vAlign w:val="center"/>
          </w:tcPr>
          <w:p w14:paraId="4AB762E3">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4年</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月</w:t>
            </w:r>
          </w:p>
        </w:tc>
      </w:tr>
      <w:tr w14:paraId="3DA7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510" w:hRule="atLeast"/>
        </w:trPr>
        <w:tc>
          <w:tcPr>
            <w:tcW w:w="1691" w:type="dxa"/>
            <w:tcBorders>
              <w:left w:val="single" w:color="auto" w:sz="12" w:space="0"/>
            </w:tcBorders>
            <w:noWrap w:val="0"/>
            <w:vAlign w:val="center"/>
          </w:tcPr>
          <w:p w14:paraId="0CC44112">
            <w:pPr>
              <w:snapToGrid w:val="0"/>
              <w:jc w:val="center"/>
              <w:rPr>
                <w:rFonts w:ascii="Arial" w:hAnsi="Arial" w:eastAsia="黑体"/>
                <w:bCs/>
                <w:color w:val="000000"/>
                <w:sz w:val="21"/>
                <w:szCs w:val="21"/>
              </w:rPr>
            </w:pPr>
            <w:r>
              <w:rPr>
                <w:rFonts w:hint="eastAsia" w:ascii="Arial" w:hAnsi="Arial" w:eastAsia="黑体"/>
                <w:bCs/>
                <w:color w:val="000000"/>
                <w:sz w:val="21"/>
                <w:szCs w:val="21"/>
              </w:rPr>
              <w:t>专业负责人</w:t>
            </w:r>
          </w:p>
        </w:tc>
        <w:tc>
          <w:tcPr>
            <w:tcW w:w="3532" w:type="dxa"/>
            <w:gridSpan w:val="2"/>
            <w:noWrap w:val="0"/>
            <w:vAlign w:val="center"/>
          </w:tcPr>
          <w:p w14:paraId="0F5A3F78">
            <w:pPr>
              <w:rPr>
                <w:rFonts w:hint="eastAsia" w:ascii="黑体" w:hAnsi="黑体" w:eastAsia="宋体"/>
                <w:color w:val="000000"/>
                <w:sz w:val="21"/>
                <w:szCs w:val="21"/>
                <w:lang w:eastAsia="zh-CN"/>
              </w:rPr>
            </w:pPr>
            <w:r>
              <w:rPr>
                <w:rFonts w:hint="eastAsia" w:ascii="黑体" w:hAnsi="黑体" w:eastAsia="宋体"/>
                <w:color w:val="000000"/>
                <w:sz w:val="21"/>
                <w:szCs w:val="21"/>
                <w:lang w:eastAsia="zh-CN"/>
              </w:rPr>
              <w:drawing>
                <wp:inline distT="0" distB="0" distL="114300" distR="114300">
                  <wp:extent cx="748030" cy="408305"/>
                  <wp:effectExtent l="0" t="0" r="1270" b="10795"/>
                  <wp:docPr id="2" name="图片 2" descr="李中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中平"/>
                          <pic:cNvPicPr>
                            <a:picLocks noChangeAspect="1"/>
                          </pic:cNvPicPr>
                        </pic:nvPicPr>
                        <pic:blipFill>
                          <a:blip r:embed="rId6"/>
                          <a:stretch>
                            <a:fillRect/>
                          </a:stretch>
                        </pic:blipFill>
                        <pic:spPr>
                          <a:xfrm>
                            <a:off x="0" y="0"/>
                            <a:ext cx="748030" cy="408305"/>
                          </a:xfrm>
                          <a:prstGeom prst="rect">
                            <a:avLst/>
                          </a:prstGeom>
                          <a:noFill/>
                          <a:ln>
                            <a:noFill/>
                          </a:ln>
                        </pic:spPr>
                      </pic:pic>
                    </a:graphicData>
                  </a:graphic>
                </wp:inline>
              </w:drawing>
            </w:r>
          </w:p>
        </w:tc>
        <w:tc>
          <w:tcPr>
            <w:tcW w:w="1425" w:type="dxa"/>
            <w:gridSpan w:val="2"/>
            <w:noWrap w:val="0"/>
            <w:vAlign w:val="center"/>
          </w:tcPr>
          <w:p w14:paraId="5F1C61BA">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审定时间</w:t>
            </w:r>
          </w:p>
        </w:tc>
        <w:tc>
          <w:tcPr>
            <w:tcW w:w="1628" w:type="dxa"/>
            <w:gridSpan w:val="2"/>
            <w:tcBorders>
              <w:right w:val="single" w:color="auto" w:sz="12" w:space="0"/>
            </w:tcBorders>
            <w:noWrap w:val="0"/>
            <w:vAlign w:val="center"/>
          </w:tcPr>
          <w:p w14:paraId="370B5971">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4年</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月</w:t>
            </w:r>
          </w:p>
        </w:tc>
      </w:tr>
      <w:tr w14:paraId="7323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trHeight w:val="510" w:hRule="atLeast"/>
        </w:trPr>
        <w:tc>
          <w:tcPr>
            <w:tcW w:w="1691" w:type="dxa"/>
            <w:tcBorders>
              <w:left w:val="single" w:color="auto" w:sz="12" w:space="0"/>
              <w:bottom w:val="single" w:color="auto" w:sz="12" w:space="0"/>
            </w:tcBorders>
            <w:noWrap w:val="0"/>
            <w:vAlign w:val="center"/>
          </w:tcPr>
          <w:p w14:paraId="1E21B333">
            <w:pPr>
              <w:snapToGrid w:val="0"/>
              <w:jc w:val="center"/>
              <w:rPr>
                <w:rFonts w:ascii="Arial" w:hAnsi="Arial" w:eastAsia="黑体"/>
                <w:bCs/>
                <w:color w:val="000000"/>
                <w:sz w:val="21"/>
                <w:szCs w:val="21"/>
              </w:rPr>
            </w:pPr>
            <w:r>
              <w:rPr>
                <w:rFonts w:hint="eastAsia" w:ascii="Arial" w:hAnsi="Arial" w:eastAsia="黑体"/>
                <w:bCs/>
                <w:color w:val="000000"/>
                <w:sz w:val="21"/>
                <w:szCs w:val="21"/>
              </w:rPr>
              <w:t>学院负责人</w:t>
            </w:r>
          </w:p>
        </w:tc>
        <w:tc>
          <w:tcPr>
            <w:tcW w:w="3532" w:type="dxa"/>
            <w:gridSpan w:val="2"/>
            <w:tcBorders>
              <w:bottom w:val="single" w:color="auto" w:sz="12" w:space="0"/>
            </w:tcBorders>
            <w:noWrap w:val="0"/>
            <w:vAlign w:val="center"/>
          </w:tcPr>
          <w:p w14:paraId="2544F09E">
            <w:pPr>
              <w:rPr>
                <w:rFonts w:ascii="黑体" w:hAnsi="黑体"/>
                <w:color w:val="000000"/>
                <w:sz w:val="21"/>
                <w:szCs w:val="21"/>
              </w:rPr>
            </w:pPr>
            <w:r>
              <w:rPr>
                <w:rFonts w:hint="eastAsia" w:ascii="Times New Roman" w:hAnsi="Times New Roman"/>
                <w:color w:val="000000"/>
                <w:sz w:val="21"/>
                <w:szCs w:val="21"/>
              </w:rPr>
              <w:drawing>
                <wp:inline distT="0" distB="0" distL="114300" distR="114300">
                  <wp:extent cx="776605" cy="530225"/>
                  <wp:effectExtent l="0" t="0" r="1079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776605" cy="530225"/>
                          </a:xfrm>
                          <a:prstGeom prst="rect">
                            <a:avLst/>
                          </a:prstGeom>
                          <a:noFill/>
                          <a:ln>
                            <a:noFill/>
                          </a:ln>
                        </pic:spPr>
                      </pic:pic>
                    </a:graphicData>
                  </a:graphic>
                </wp:inline>
              </w:drawing>
            </w:r>
          </w:p>
        </w:tc>
        <w:tc>
          <w:tcPr>
            <w:tcW w:w="1425" w:type="dxa"/>
            <w:gridSpan w:val="2"/>
            <w:tcBorders>
              <w:bottom w:val="single" w:color="auto" w:sz="12" w:space="0"/>
            </w:tcBorders>
            <w:noWrap w:val="0"/>
            <w:vAlign w:val="center"/>
          </w:tcPr>
          <w:p w14:paraId="64B7D532">
            <w:pPr>
              <w:snapToGrid w:val="0"/>
              <w:jc w:val="center"/>
              <w:rPr>
                <w:rFonts w:ascii="Times New Roman" w:hAnsi="Times New Roman" w:eastAsia="黑体"/>
                <w:bCs/>
                <w:color w:val="000000"/>
                <w:sz w:val="21"/>
                <w:szCs w:val="21"/>
              </w:rPr>
            </w:pPr>
            <w:r>
              <w:rPr>
                <w:rFonts w:hint="eastAsia" w:ascii="Times New Roman" w:hAnsi="Times New Roman" w:eastAsia="黑体"/>
                <w:bCs/>
                <w:color w:val="000000"/>
                <w:sz w:val="21"/>
                <w:szCs w:val="21"/>
              </w:rPr>
              <w:t>批准时间</w:t>
            </w:r>
          </w:p>
        </w:tc>
        <w:tc>
          <w:tcPr>
            <w:tcW w:w="1628" w:type="dxa"/>
            <w:gridSpan w:val="2"/>
            <w:tcBorders>
              <w:bottom w:val="single" w:color="auto" w:sz="12" w:space="0"/>
              <w:right w:val="single" w:color="auto" w:sz="12" w:space="0"/>
            </w:tcBorders>
            <w:noWrap w:val="0"/>
            <w:vAlign w:val="center"/>
          </w:tcPr>
          <w:p w14:paraId="4AF6CA4B">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4年</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月</w:t>
            </w:r>
          </w:p>
        </w:tc>
      </w:tr>
    </w:tbl>
    <w:p w14:paraId="35E967F2">
      <w:pPr>
        <w:spacing w:before="326" w:beforeLines="100"/>
        <w:outlineLvl w:val="0"/>
        <w:rPr>
          <w:rFonts w:hint="eastAsia" w:ascii="Arial" w:hAnsi="Arial" w:eastAsia="黑体"/>
          <w:sz w:val="28"/>
        </w:rPr>
      </w:pPr>
      <w:r>
        <w:rPr>
          <w:rFonts w:hint="eastAsia" w:ascii="Arial" w:hAnsi="Arial" w:eastAsia="黑体"/>
          <w:sz w:val="28"/>
        </w:rPr>
        <w:t>二、课程目标与毕业要求</w:t>
      </w:r>
    </w:p>
    <w:p w14:paraId="50ED2615">
      <w:pPr>
        <w:spacing w:before="163" w:beforeLines="50" w:after="163" w:afterLines="50"/>
        <w:outlineLvl w:val="1"/>
        <w:rPr>
          <w:rFonts w:ascii="Times New Roman" w:hAnsi="Times New Roman"/>
          <w:b/>
        </w:rPr>
      </w:pPr>
      <w:r>
        <w:rPr>
          <w:rFonts w:hint="eastAsia" w:ascii="Times New Roman" w:hAnsi="Times New Roman"/>
          <w:b/>
        </w:rPr>
        <w:t>（一）课程目标</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1C4DF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wBefore w:w="0" w:type="dxa"/>
          <w:trHeight w:val="454" w:hRule="atLeast"/>
          <w:jc w:val="center"/>
        </w:trPr>
        <w:tc>
          <w:tcPr>
            <w:tcW w:w="1236" w:type="dxa"/>
            <w:noWrap w:val="0"/>
            <w:vAlign w:val="center"/>
          </w:tcPr>
          <w:p w14:paraId="13B30BD7">
            <w:pPr>
              <w:snapToGrid w:val="0"/>
              <w:jc w:val="center"/>
              <w:rPr>
                <w:rFonts w:ascii="Arial" w:hAnsi="Arial" w:eastAsia="黑体"/>
                <w:bCs/>
                <w:color w:val="000000"/>
                <w:sz w:val="21"/>
                <w:szCs w:val="20"/>
              </w:rPr>
            </w:pPr>
            <w:r>
              <w:rPr>
                <w:rFonts w:hint="eastAsia" w:ascii="Arial" w:hAnsi="Arial" w:eastAsia="黑体"/>
                <w:bCs/>
                <w:color w:val="000000"/>
                <w:sz w:val="21"/>
                <w:szCs w:val="20"/>
              </w:rPr>
              <w:t>类型</w:t>
            </w:r>
          </w:p>
        </w:tc>
        <w:tc>
          <w:tcPr>
            <w:tcW w:w="782" w:type="dxa"/>
            <w:noWrap w:val="0"/>
            <w:vAlign w:val="center"/>
          </w:tcPr>
          <w:p w14:paraId="2DB4B5D9">
            <w:pPr>
              <w:snapToGrid w:val="0"/>
              <w:jc w:val="center"/>
              <w:rPr>
                <w:rFonts w:ascii="Arial" w:hAnsi="Arial" w:eastAsia="黑体"/>
                <w:bCs/>
                <w:color w:val="000000"/>
                <w:sz w:val="21"/>
                <w:szCs w:val="20"/>
              </w:rPr>
            </w:pPr>
            <w:r>
              <w:rPr>
                <w:rFonts w:hint="eastAsia" w:ascii="Arial" w:hAnsi="Arial" w:eastAsia="黑体"/>
                <w:bCs/>
                <w:color w:val="000000"/>
                <w:sz w:val="21"/>
                <w:szCs w:val="20"/>
              </w:rPr>
              <w:t>序号</w:t>
            </w:r>
          </w:p>
        </w:tc>
        <w:tc>
          <w:tcPr>
            <w:tcW w:w="6458" w:type="dxa"/>
            <w:noWrap w:val="0"/>
            <w:vAlign w:val="center"/>
          </w:tcPr>
          <w:p w14:paraId="35BE3548">
            <w:pPr>
              <w:snapToGrid w:val="0"/>
              <w:jc w:val="center"/>
              <w:rPr>
                <w:rFonts w:ascii="Arial" w:hAnsi="Arial" w:eastAsia="黑体"/>
                <w:bCs/>
                <w:color w:val="000000"/>
                <w:sz w:val="21"/>
                <w:szCs w:val="20"/>
              </w:rPr>
            </w:pPr>
            <w:r>
              <w:rPr>
                <w:rFonts w:hint="eastAsia" w:ascii="Arial" w:hAnsi="Arial" w:eastAsia="黑体"/>
                <w:bCs/>
                <w:color w:val="000000"/>
                <w:sz w:val="21"/>
                <w:szCs w:val="20"/>
              </w:rPr>
              <w:t>内容</w:t>
            </w:r>
          </w:p>
        </w:tc>
      </w:tr>
      <w:tr w14:paraId="11768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jc w:val="center"/>
        </w:trPr>
        <w:tc>
          <w:tcPr>
            <w:tcW w:w="1206" w:type="dxa"/>
            <w:vMerge w:val="restart"/>
            <w:noWrap w:val="0"/>
            <w:vAlign w:val="center"/>
          </w:tcPr>
          <w:p w14:paraId="49258660">
            <w:pPr>
              <w:snapToGrid w:val="0"/>
              <w:jc w:val="center"/>
              <w:rPr>
                <w:rFonts w:ascii="Times New Roman" w:hAnsi="Times New Roman" w:eastAsia="黑体"/>
                <w:bCs/>
                <w:color w:val="000000"/>
                <w:szCs w:val="20"/>
              </w:rPr>
            </w:pPr>
            <w:r>
              <w:rPr>
                <w:rFonts w:hint="eastAsia" w:ascii="Times New Roman" w:hAnsi="Times New Roman" w:eastAsia="黑体"/>
                <w:bCs/>
                <w:color w:val="000000"/>
                <w:sz w:val="21"/>
                <w:szCs w:val="20"/>
              </w:rPr>
              <w:t>知识目标</w:t>
            </w:r>
          </w:p>
        </w:tc>
        <w:tc>
          <w:tcPr>
            <w:tcW w:w="764" w:type="dxa"/>
            <w:noWrap w:val="0"/>
            <w:vAlign w:val="center"/>
          </w:tcPr>
          <w:p w14:paraId="1A9DECC7">
            <w:pPr>
              <w:jc w:val="center"/>
              <w:rPr>
                <w:rFonts w:ascii="Arial" w:hAnsi="Arial" w:cs="Arial"/>
                <w:color w:val="000000"/>
                <w:sz w:val="21"/>
                <w:szCs w:val="21"/>
              </w:rPr>
            </w:pPr>
            <w:r>
              <w:rPr>
                <w:rFonts w:ascii="Arial" w:hAnsi="Arial" w:cs="Arial"/>
                <w:color w:val="000000"/>
                <w:sz w:val="21"/>
                <w:szCs w:val="21"/>
              </w:rPr>
              <w:t>1</w:t>
            </w:r>
          </w:p>
        </w:tc>
        <w:tc>
          <w:tcPr>
            <w:tcW w:w="6306" w:type="dxa"/>
            <w:noWrap w:val="0"/>
            <w:vAlign w:val="center"/>
          </w:tcPr>
          <w:p w14:paraId="1ED0E100">
            <w:pPr>
              <w:rPr>
                <w:rFonts w:ascii="Times New Roman" w:hAnsi="Times New Roman"/>
                <w:color w:val="000000"/>
                <w:sz w:val="21"/>
                <w:szCs w:val="21"/>
              </w:rPr>
            </w:pPr>
            <w:r>
              <w:rPr>
                <w:rFonts w:hint="eastAsia" w:ascii="Times New Roman" w:hAnsi="Times New Roman" w:cs="Times New Roman"/>
                <w:color w:val="000000"/>
                <w:sz w:val="21"/>
                <w:szCs w:val="21"/>
              </w:rPr>
              <w:t>掌握基本的药理知识。</w:t>
            </w:r>
          </w:p>
        </w:tc>
      </w:tr>
      <w:tr w14:paraId="00E4B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jc w:val="center"/>
        </w:trPr>
        <w:tc>
          <w:tcPr>
            <w:tcW w:w="1236" w:type="dxa"/>
            <w:vMerge w:val="continue"/>
            <w:noWrap w:val="0"/>
            <w:vAlign w:val="center"/>
          </w:tcPr>
          <w:p w14:paraId="257B2C87">
            <w:pPr>
              <w:snapToGrid w:val="0"/>
              <w:jc w:val="center"/>
              <w:rPr>
                <w:rFonts w:ascii="Times New Roman" w:hAnsi="Times New Roman" w:eastAsia="黑体"/>
                <w:bCs/>
                <w:color w:val="000000"/>
                <w:sz w:val="21"/>
                <w:szCs w:val="21"/>
              </w:rPr>
            </w:pPr>
          </w:p>
        </w:tc>
        <w:tc>
          <w:tcPr>
            <w:tcW w:w="782" w:type="dxa"/>
            <w:noWrap w:val="0"/>
            <w:vAlign w:val="center"/>
          </w:tcPr>
          <w:p w14:paraId="66A11045">
            <w:pPr>
              <w:jc w:val="center"/>
              <w:rPr>
                <w:rFonts w:ascii="Arial" w:hAnsi="Arial" w:cs="Arial"/>
                <w:color w:val="000000"/>
                <w:sz w:val="21"/>
                <w:szCs w:val="21"/>
              </w:rPr>
            </w:pPr>
            <w:r>
              <w:rPr>
                <w:rFonts w:ascii="Arial" w:hAnsi="Arial" w:cs="Arial"/>
                <w:color w:val="000000"/>
                <w:sz w:val="21"/>
                <w:szCs w:val="21"/>
              </w:rPr>
              <w:t>2</w:t>
            </w:r>
          </w:p>
        </w:tc>
        <w:tc>
          <w:tcPr>
            <w:tcW w:w="6458" w:type="dxa"/>
            <w:noWrap w:val="0"/>
            <w:vAlign w:val="center"/>
          </w:tcPr>
          <w:p w14:paraId="76BEE8C5">
            <w:pP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具有自主学习的基本能力，能够适应不断变化的社会健康保健需要</w:t>
            </w:r>
          </w:p>
        </w:tc>
      </w:tr>
      <w:tr w14:paraId="7BA1D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jc w:val="center"/>
        </w:trPr>
        <w:tc>
          <w:tcPr>
            <w:tcW w:w="1236" w:type="dxa"/>
            <w:vMerge w:val="continue"/>
            <w:noWrap w:val="0"/>
            <w:vAlign w:val="center"/>
          </w:tcPr>
          <w:p w14:paraId="245F6061">
            <w:pPr>
              <w:snapToGrid w:val="0"/>
              <w:jc w:val="center"/>
              <w:rPr>
                <w:rFonts w:ascii="Times New Roman" w:hAnsi="Times New Roman" w:eastAsia="黑体"/>
                <w:bCs/>
                <w:color w:val="000000"/>
                <w:sz w:val="21"/>
                <w:szCs w:val="21"/>
              </w:rPr>
            </w:pPr>
          </w:p>
        </w:tc>
        <w:tc>
          <w:tcPr>
            <w:tcW w:w="782" w:type="dxa"/>
            <w:noWrap w:val="0"/>
            <w:vAlign w:val="center"/>
          </w:tcPr>
          <w:p w14:paraId="5A991AF0">
            <w:pPr>
              <w:jc w:val="center"/>
              <w:rPr>
                <w:rFonts w:ascii="Arial" w:hAnsi="Arial" w:cs="Arial"/>
                <w:color w:val="000000"/>
                <w:sz w:val="21"/>
                <w:szCs w:val="21"/>
              </w:rPr>
            </w:pPr>
            <w:r>
              <w:rPr>
                <w:rFonts w:hint="eastAsia" w:ascii="Arial" w:hAnsi="Arial" w:cs="Arial"/>
                <w:color w:val="000000"/>
                <w:sz w:val="21"/>
                <w:szCs w:val="21"/>
              </w:rPr>
              <w:t>3</w:t>
            </w:r>
          </w:p>
        </w:tc>
        <w:tc>
          <w:tcPr>
            <w:tcW w:w="6458" w:type="dxa"/>
            <w:noWrap w:val="0"/>
            <w:vAlign w:val="center"/>
          </w:tcPr>
          <w:p w14:paraId="73B5BF16">
            <w:pP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掌握人体正常结构、功能、人的心理状态及其发展变化。</w:t>
            </w:r>
          </w:p>
        </w:tc>
      </w:tr>
      <w:tr w14:paraId="74881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jc w:val="center"/>
        </w:trPr>
        <w:tc>
          <w:tcPr>
            <w:tcW w:w="1236" w:type="dxa"/>
            <w:vMerge w:val="restart"/>
            <w:noWrap w:val="0"/>
            <w:vAlign w:val="center"/>
          </w:tcPr>
          <w:p w14:paraId="6A46E507">
            <w:pPr>
              <w:snapToGrid w:val="0"/>
              <w:jc w:val="center"/>
              <w:rPr>
                <w:rFonts w:ascii="Times New Roman" w:hAnsi="Times New Roman" w:eastAsia="黑体"/>
                <w:bCs/>
                <w:color w:val="000000"/>
                <w:szCs w:val="20"/>
              </w:rPr>
            </w:pPr>
            <w:r>
              <w:rPr>
                <w:rFonts w:hint="eastAsia" w:ascii="Times New Roman" w:hAnsi="Times New Roman" w:eastAsia="黑体"/>
                <w:bCs/>
                <w:color w:val="000000"/>
                <w:sz w:val="21"/>
                <w:szCs w:val="20"/>
              </w:rPr>
              <w:t>技能目标</w:t>
            </w:r>
          </w:p>
        </w:tc>
        <w:tc>
          <w:tcPr>
            <w:tcW w:w="782" w:type="dxa"/>
            <w:noWrap w:val="0"/>
            <w:vAlign w:val="center"/>
          </w:tcPr>
          <w:p w14:paraId="65710EF2">
            <w:pPr>
              <w:jc w:val="center"/>
              <w:rPr>
                <w:rFonts w:ascii="Times New Roman" w:hAnsi="Times New Roman"/>
                <w:color w:val="000000"/>
                <w:sz w:val="20"/>
                <w:szCs w:val="20"/>
              </w:rPr>
            </w:pPr>
            <w:r>
              <w:rPr>
                <w:rFonts w:hint="eastAsia" w:ascii="Arial" w:hAnsi="Arial" w:cs="Arial"/>
                <w:color w:val="000000"/>
                <w:sz w:val="21"/>
                <w:szCs w:val="21"/>
              </w:rPr>
              <w:t>4</w:t>
            </w:r>
          </w:p>
        </w:tc>
        <w:tc>
          <w:tcPr>
            <w:tcW w:w="6458" w:type="dxa"/>
            <w:noWrap w:val="0"/>
            <w:vAlign w:val="center"/>
          </w:tcPr>
          <w:p w14:paraId="6C1DA159">
            <w:pP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具有从事社区护理的基本能力，能为服务对象提供基础的健康保健服务。</w:t>
            </w:r>
          </w:p>
        </w:tc>
      </w:tr>
      <w:tr w14:paraId="3CC2F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jc w:val="center"/>
        </w:trPr>
        <w:tc>
          <w:tcPr>
            <w:tcW w:w="1236" w:type="dxa"/>
            <w:vMerge w:val="continue"/>
            <w:noWrap w:val="0"/>
            <w:vAlign w:val="center"/>
          </w:tcPr>
          <w:p w14:paraId="7BFF7121">
            <w:pPr>
              <w:snapToGrid w:val="0"/>
              <w:jc w:val="center"/>
              <w:rPr>
                <w:rFonts w:ascii="Times New Roman" w:hAnsi="Times New Roman" w:eastAsia="黑体"/>
                <w:bCs/>
                <w:color w:val="000000"/>
                <w:sz w:val="21"/>
                <w:szCs w:val="21"/>
              </w:rPr>
            </w:pPr>
          </w:p>
        </w:tc>
        <w:tc>
          <w:tcPr>
            <w:tcW w:w="782" w:type="dxa"/>
            <w:noWrap w:val="0"/>
            <w:vAlign w:val="center"/>
          </w:tcPr>
          <w:p w14:paraId="3CC3C186">
            <w:pPr>
              <w:jc w:val="center"/>
              <w:rPr>
                <w:rFonts w:ascii="Arial" w:hAnsi="Arial" w:cs="Arial"/>
                <w:color w:val="000000"/>
                <w:sz w:val="21"/>
                <w:szCs w:val="21"/>
              </w:rPr>
            </w:pPr>
            <w:r>
              <w:rPr>
                <w:rFonts w:hint="eastAsia" w:ascii="Arial" w:hAnsi="Arial" w:cs="Arial"/>
                <w:color w:val="000000"/>
                <w:sz w:val="21"/>
                <w:szCs w:val="21"/>
              </w:rPr>
              <w:t>5</w:t>
            </w:r>
          </w:p>
        </w:tc>
        <w:tc>
          <w:tcPr>
            <w:tcW w:w="6458" w:type="dxa"/>
            <w:noWrap w:val="0"/>
            <w:vAlign w:val="center"/>
          </w:tcPr>
          <w:p w14:paraId="7C9E42EC">
            <w:pPr>
              <w:rPr>
                <w:rFonts w:ascii="Times New Roman" w:hAnsi="Times New Roman"/>
                <w:color w:val="000000"/>
                <w:sz w:val="21"/>
                <w:szCs w:val="21"/>
              </w:rPr>
            </w:pPr>
            <w:r>
              <w:rPr>
                <w:rFonts w:hint="eastAsia" w:ascii="Times New Roman" w:hAnsi="Times New Roman"/>
                <w:color w:val="000000"/>
                <w:sz w:val="21"/>
                <w:szCs w:val="21"/>
              </w:rPr>
              <w:t>具有常见病、多发病的病情观察和护理能力。</w:t>
            </w:r>
          </w:p>
        </w:tc>
      </w:tr>
      <w:tr w14:paraId="41B7B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jc w:val="center"/>
        </w:trPr>
        <w:tc>
          <w:tcPr>
            <w:tcW w:w="1236" w:type="dxa"/>
            <w:vMerge w:val="restart"/>
            <w:noWrap w:val="0"/>
            <w:vAlign w:val="center"/>
          </w:tcPr>
          <w:p w14:paraId="77796447">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素养目标</w:t>
            </w:r>
          </w:p>
          <w:p w14:paraId="3F2FC23A">
            <w:pPr>
              <w:snapToGrid w:val="0"/>
              <w:jc w:val="center"/>
              <w:rPr>
                <w:rFonts w:ascii="Times New Roman" w:hAnsi="Times New Roman" w:eastAsia="黑体"/>
                <w:bCs/>
                <w:color w:val="000000"/>
                <w:szCs w:val="20"/>
              </w:rPr>
            </w:pPr>
            <w:r>
              <w:rPr>
                <w:rFonts w:hint="eastAsia" w:ascii="Times New Roman" w:hAnsi="Times New Roman" w:eastAsia="黑体"/>
                <w:bCs/>
                <w:color w:val="000000"/>
                <w:sz w:val="21"/>
                <w:szCs w:val="20"/>
              </w:rPr>
              <w:t>(含课程思政目标</w:t>
            </w:r>
            <w:r>
              <w:rPr>
                <w:rFonts w:ascii="Times New Roman" w:hAnsi="Times New Roman" w:eastAsia="黑体"/>
                <w:bCs/>
                <w:color w:val="000000"/>
                <w:sz w:val="21"/>
                <w:szCs w:val="20"/>
              </w:rPr>
              <w:t>)</w:t>
            </w:r>
          </w:p>
        </w:tc>
        <w:tc>
          <w:tcPr>
            <w:tcW w:w="782" w:type="dxa"/>
            <w:noWrap w:val="0"/>
            <w:vAlign w:val="center"/>
          </w:tcPr>
          <w:p w14:paraId="4B5780BA">
            <w:pPr>
              <w:jc w:val="center"/>
              <w:rPr>
                <w:rFonts w:ascii="Arial" w:hAnsi="Arial" w:cs="Arial"/>
                <w:color w:val="000000"/>
                <w:sz w:val="21"/>
                <w:szCs w:val="21"/>
              </w:rPr>
            </w:pPr>
            <w:r>
              <w:rPr>
                <w:rFonts w:hint="eastAsia" w:ascii="Arial" w:hAnsi="Arial" w:cs="Arial"/>
                <w:color w:val="000000"/>
                <w:sz w:val="21"/>
                <w:szCs w:val="21"/>
              </w:rPr>
              <w:t>6</w:t>
            </w:r>
          </w:p>
        </w:tc>
        <w:tc>
          <w:tcPr>
            <w:tcW w:w="6458" w:type="dxa"/>
            <w:noWrap w:val="0"/>
            <w:vAlign w:val="center"/>
          </w:tcPr>
          <w:p w14:paraId="6ED18091">
            <w:pPr>
              <w:rPr>
                <w:rFonts w:ascii="Times New Roman" w:hAnsi="Times New Roman"/>
                <w:color w:val="000000"/>
                <w:sz w:val="21"/>
                <w:szCs w:val="21"/>
              </w:rPr>
            </w:pPr>
            <w:r>
              <w:rPr>
                <w:rFonts w:hint="eastAsia" w:ascii="Times New Roman" w:hAnsi="Times New Roman"/>
                <w:color w:val="000000"/>
                <w:sz w:val="21"/>
                <w:szCs w:val="21"/>
              </w:rPr>
              <w:t>具有创新精神和创业意识，树立终身学习的观念，具有主动获取新知识、不断进行自我完善和推动专业发展的态度。</w:t>
            </w:r>
          </w:p>
        </w:tc>
      </w:tr>
      <w:tr w14:paraId="17162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wBefore w:w="0" w:type="dxa"/>
          <w:trHeight w:val="340" w:hRule="atLeast"/>
          <w:jc w:val="center"/>
        </w:trPr>
        <w:tc>
          <w:tcPr>
            <w:tcW w:w="1236" w:type="dxa"/>
            <w:vMerge w:val="continue"/>
            <w:noWrap w:val="0"/>
            <w:vAlign w:val="center"/>
          </w:tcPr>
          <w:p w14:paraId="4CDB30E7">
            <w:pPr>
              <w:rPr>
                <w:rFonts w:ascii="Times New Roman" w:hAnsi="Times New Roman"/>
                <w:color w:val="000000"/>
                <w:sz w:val="21"/>
                <w:szCs w:val="21"/>
              </w:rPr>
            </w:pPr>
          </w:p>
        </w:tc>
        <w:tc>
          <w:tcPr>
            <w:tcW w:w="782" w:type="dxa"/>
            <w:noWrap w:val="0"/>
            <w:vAlign w:val="center"/>
          </w:tcPr>
          <w:p w14:paraId="240F6398">
            <w:pPr>
              <w:jc w:val="center"/>
              <w:rPr>
                <w:rFonts w:ascii="Arial" w:hAnsi="Arial" w:cs="Arial"/>
                <w:color w:val="000000"/>
                <w:sz w:val="21"/>
                <w:szCs w:val="21"/>
              </w:rPr>
            </w:pPr>
            <w:r>
              <w:rPr>
                <w:rFonts w:hint="eastAsia" w:ascii="Arial" w:hAnsi="Arial" w:cs="Arial"/>
                <w:color w:val="000000"/>
                <w:sz w:val="21"/>
                <w:szCs w:val="21"/>
              </w:rPr>
              <w:t>7</w:t>
            </w:r>
          </w:p>
        </w:tc>
        <w:tc>
          <w:tcPr>
            <w:tcW w:w="6458" w:type="dxa"/>
            <w:noWrap w:val="0"/>
            <w:vAlign w:val="center"/>
          </w:tcPr>
          <w:p w14:paraId="0036FF7F">
            <w:pPr>
              <w:rPr>
                <w:rFonts w:ascii="Times New Roman" w:hAnsi="Times New Roman"/>
                <w:color w:val="000000"/>
                <w:sz w:val="21"/>
                <w:szCs w:val="21"/>
              </w:rPr>
            </w:pPr>
            <w:r>
              <w:rPr>
                <w:rFonts w:hint="eastAsia" w:ascii="Times New Roman" w:hAnsi="Times New Roman"/>
                <w:color w:val="000000"/>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tc>
      </w:tr>
    </w:tbl>
    <w:p w14:paraId="054B722A">
      <w:pPr>
        <w:spacing w:before="163" w:beforeLines="50" w:after="163" w:afterLines="50"/>
        <w:outlineLvl w:val="1"/>
        <w:rPr>
          <w:rFonts w:ascii="Times New Roman" w:hAnsi="Times New Roman"/>
          <w:b/>
        </w:rPr>
      </w:pPr>
      <w:r>
        <w:rPr>
          <w:rFonts w:hint="eastAsia" w:ascii="Times New Roman" w:hAnsi="Times New Roman"/>
          <w:b/>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BC09D6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wBefore w:w="0" w:type="dxa"/>
          <w:wAfter w:w="0" w:type="dxa"/>
        </w:trPr>
        <w:tc>
          <w:tcPr>
            <w:tcW w:w="8296" w:type="dxa"/>
            <w:noWrap w:val="0"/>
            <w:vAlign w:val="top"/>
          </w:tcPr>
          <w:p w14:paraId="0EF59AD7">
            <w:pPr>
              <w:rPr>
                <w:rFonts w:ascii="Times New Roman" w:hAnsi="Times New Roman" w:cs="Times New Roman"/>
                <w:b/>
                <w:bCs/>
                <w:color w:val="000000"/>
                <w:sz w:val="21"/>
                <w:szCs w:val="21"/>
              </w:rPr>
            </w:pPr>
            <w:r>
              <w:rPr>
                <w:rFonts w:ascii="Times New Roman" w:hAnsi="Times New Roman" w:cs="Times New Roman"/>
                <w:b/>
                <w:bCs/>
                <w:color w:val="000000"/>
                <w:sz w:val="21"/>
                <w:szCs w:val="21"/>
              </w:rPr>
              <w:t>LO1品德修养</w:t>
            </w:r>
            <w:r>
              <w:rPr>
                <w:rFonts w:ascii="Times New Roman" w:hAnsi="Times New Roman" w:cs="Times New Roman"/>
                <w:bCs/>
                <w:color w:val="000000"/>
                <w:sz w:val="21"/>
                <w:szCs w:val="21"/>
              </w:rPr>
              <w:t>：</w:t>
            </w:r>
            <w:r>
              <w:rPr>
                <w:rFonts w:hint="eastAsia" w:ascii="Times New Roman" w:hAnsi="Times New Roman"/>
                <w:color w:val="000000"/>
                <w:sz w:val="21"/>
                <w:szCs w:val="21"/>
              </w:rPr>
              <w:t>LO14 诚信尽责，为人诚实，信守承诺，勤奋努力，精益求精，勇于担责。</w:t>
            </w:r>
          </w:p>
        </w:tc>
      </w:tr>
      <w:tr w14:paraId="68BE733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wBefore w:w="0" w:type="dxa"/>
          <w:wAfter w:w="0" w:type="dxa"/>
        </w:trPr>
        <w:tc>
          <w:tcPr>
            <w:tcW w:w="8296" w:type="dxa"/>
            <w:noWrap w:val="0"/>
            <w:vAlign w:val="top"/>
          </w:tcPr>
          <w:p w14:paraId="07645A97">
            <w:pPr>
              <w:rPr>
                <w:rFonts w:ascii="Times New Roman" w:hAnsi="Times New Roman" w:cs="Times New Roman"/>
                <w:bCs/>
                <w:color w:val="000000"/>
                <w:sz w:val="21"/>
                <w:szCs w:val="21"/>
              </w:rPr>
            </w:pPr>
            <w:r>
              <w:rPr>
                <w:rFonts w:ascii="Times New Roman" w:hAnsi="Times New Roman" w:cs="Times New Roman"/>
                <w:b/>
                <w:bCs/>
                <w:color w:val="000000"/>
                <w:sz w:val="21"/>
                <w:szCs w:val="21"/>
              </w:rPr>
              <w:t>LO2专业能力</w:t>
            </w:r>
            <w:r>
              <w:rPr>
                <w:rFonts w:ascii="Times New Roman" w:hAnsi="Times New Roman" w:cs="Times New Roman"/>
                <w:bCs/>
                <w:color w:val="000000"/>
                <w:sz w:val="21"/>
                <w:szCs w:val="21"/>
              </w:rPr>
              <w:t>：</w:t>
            </w:r>
            <w:r>
              <w:rPr>
                <w:rFonts w:hint="eastAsia" w:ascii="Times New Roman" w:hAnsi="Times New Roman"/>
                <w:color w:val="000000"/>
                <w:sz w:val="21"/>
                <w:szCs w:val="21"/>
              </w:rPr>
              <w:t>LO22</w:t>
            </w:r>
            <w:r>
              <w:rPr>
                <w:rFonts w:hint="eastAsia" w:ascii="Times New Roman" w:hAnsi="Times New Roman"/>
                <w:bCs/>
                <w:color w:val="000000"/>
                <w:sz w:val="21"/>
                <w:szCs w:val="21"/>
              </w:rPr>
              <w:t>专业基础能力：掌握人体正常结构、功能、人的心理状态及其发展变化的知识；掌握基本的药理知识和临床用药及药品管理知识；掌握护理学基础理论和基本知识。</w:t>
            </w:r>
          </w:p>
        </w:tc>
      </w:tr>
      <w:tr w14:paraId="64FDA15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wBefore w:w="0" w:type="dxa"/>
          <w:wAfter w:w="0" w:type="dxa"/>
        </w:trPr>
        <w:tc>
          <w:tcPr>
            <w:tcW w:w="8296" w:type="dxa"/>
            <w:noWrap w:val="0"/>
            <w:vAlign w:val="top"/>
          </w:tcPr>
          <w:p w14:paraId="6F7044D2">
            <w:pPr>
              <w:rPr>
                <w:rFonts w:ascii="Times New Roman" w:hAnsi="Times New Roman"/>
                <w:b/>
                <w:color w:val="000000"/>
                <w:sz w:val="21"/>
                <w:szCs w:val="21"/>
              </w:rPr>
            </w:pPr>
            <w:r>
              <w:rPr>
                <w:rFonts w:hint="eastAsia" w:ascii="Times New Roman" w:hAnsi="Times New Roman"/>
                <w:b/>
                <w:color w:val="000000"/>
                <w:sz w:val="21"/>
                <w:szCs w:val="21"/>
              </w:rPr>
              <w:t>LO6协同创新</w:t>
            </w:r>
            <w:r>
              <w:rPr>
                <w:rFonts w:ascii="Times New Roman" w:hAnsi="Times New Roman"/>
                <w:bCs/>
                <w:color w:val="000000"/>
                <w:sz w:val="21"/>
                <w:szCs w:val="21"/>
              </w:rPr>
              <w:t>：</w:t>
            </w:r>
            <w:r>
              <w:rPr>
                <w:rFonts w:hint="eastAsia" w:ascii="Times New Roman" w:hAnsi="Times New Roman"/>
                <w:color w:val="000000"/>
                <w:sz w:val="21"/>
                <w:szCs w:val="21"/>
              </w:rPr>
              <w:t>LO63 能用创新的方法或者多种方法解决复杂问题或真实问题。</w:t>
            </w:r>
          </w:p>
        </w:tc>
      </w:tr>
    </w:tbl>
    <w:p w14:paraId="5C0A0B97">
      <w:pPr>
        <w:spacing w:before="163" w:beforeLines="50" w:after="163" w:afterLines="50"/>
        <w:outlineLvl w:val="1"/>
        <w:rPr>
          <w:rFonts w:ascii="Times New Roman" w:hAnsi="Times New Roman"/>
          <w:b/>
        </w:rPr>
      </w:pPr>
      <w:r>
        <w:rPr>
          <w:rFonts w:hint="eastAsia" w:ascii="Times New Roman" w:hAnsi="Times New Roman"/>
          <w:b/>
        </w:rPr>
        <w:t>（三）毕业要求与课程目标的关系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09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391" w:hRule="atLeast"/>
          <w:jc w:val="center"/>
        </w:trPr>
        <w:tc>
          <w:tcPr>
            <w:tcW w:w="777" w:type="dxa"/>
            <w:tcBorders>
              <w:top w:val="single" w:color="auto" w:sz="12" w:space="0"/>
              <w:left w:val="single" w:color="auto" w:sz="12" w:space="0"/>
              <w:right w:val="single" w:color="auto" w:sz="4" w:space="0"/>
            </w:tcBorders>
            <w:noWrap w:val="0"/>
            <w:vAlign w:val="center"/>
          </w:tcPr>
          <w:p w14:paraId="66E638CB">
            <w:pPr>
              <w:snapToGrid w:val="0"/>
              <w:jc w:val="center"/>
              <w:rPr>
                <w:rFonts w:ascii="Arial" w:hAnsi="Arial" w:eastAsia="黑体"/>
                <w:bCs/>
                <w:color w:val="000000"/>
                <w:sz w:val="21"/>
                <w:szCs w:val="16"/>
              </w:rPr>
            </w:pPr>
            <w:r>
              <w:rPr>
                <w:rFonts w:hint="eastAsia" w:ascii="Times New Roman" w:hAnsi="Times New Roman" w:eastAsia="黑体"/>
                <w:bCs/>
                <w:color w:val="000000"/>
                <w:sz w:val="21"/>
                <w:szCs w:val="20"/>
              </w:rPr>
              <w:t>毕业要求</w:t>
            </w:r>
          </w:p>
        </w:tc>
        <w:tc>
          <w:tcPr>
            <w:tcW w:w="794" w:type="dxa"/>
            <w:tcBorders>
              <w:top w:val="single" w:color="auto" w:sz="12" w:space="0"/>
              <w:left w:val="single" w:color="auto" w:sz="4" w:space="0"/>
            </w:tcBorders>
            <w:noWrap w:val="0"/>
            <w:vAlign w:val="center"/>
          </w:tcPr>
          <w:p w14:paraId="31F8C7CD">
            <w:pPr>
              <w:snapToGrid w:val="0"/>
              <w:jc w:val="center"/>
              <w:rPr>
                <w:rFonts w:ascii="Arial" w:hAnsi="Arial" w:eastAsia="黑体"/>
                <w:bCs/>
                <w:color w:val="000000"/>
                <w:sz w:val="21"/>
                <w:szCs w:val="16"/>
              </w:rPr>
            </w:pPr>
            <w:r>
              <w:rPr>
                <w:rFonts w:hint="eastAsia" w:ascii="Arial" w:hAnsi="Arial" w:eastAsia="黑体"/>
                <w:bCs/>
                <w:color w:val="000000"/>
                <w:sz w:val="21"/>
                <w:szCs w:val="16"/>
              </w:rPr>
              <w:t>指标点</w:t>
            </w:r>
          </w:p>
        </w:tc>
        <w:tc>
          <w:tcPr>
            <w:tcW w:w="794" w:type="dxa"/>
            <w:tcBorders>
              <w:top w:val="single" w:color="auto" w:sz="12" w:space="0"/>
              <w:right w:val="double" w:color="auto" w:sz="4" w:space="0"/>
            </w:tcBorders>
            <w:noWrap w:val="0"/>
            <w:vAlign w:val="center"/>
          </w:tcPr>
          <w:p w14:paraId="5715688D">
            <w:pPr>
              <w:snapToGrid w:val="0"/>
              <w:jc w:val="center"/>
              <w:rPr>
                <w:rFonts w:ascii="Arial" w:hAnsi="Arial" w:eastAsia="黑体"/>
                <w:bCs/>
                <w:color w:val="000000"/>
                <w:sz w:val="21"/>
                <w:szCs w:val="16"/>
              </w:rPr>
            </w:pPr>
            <w:r>
              <w:rPr>
                <w:rFonts w:hint="eastAsia" w:ascii="Arial" w:hAnsi="Arial" w:eastAsia="黑体"/>
                <w:bCs/>
                <w:color w:val="000000"/>
                <w:sz w:val="21"/>
                <w:szCs w:val="16"/>
              </w:rPr>
              <w:t>支撑度</w:t>
            </w:r>
          </w:p>
        </w:tc>
        <w:tc>
          <w:tcPr>
            <w:tcW w:w="4763" w:type="dxa"/>
            <w:tcBorders>
              <w:top w:val="single" w:color="auto" w:sz="12" w:space="0"/>
            </w:tcBorders>
            <w:noWrap w:val="0"/>
            <w:vAlign w:val="center"/>
          </w:tcPr>
          <w:p w14:paraId="03970020">
            <w:pPr>
              <w:snapToGrid w:val="0"/>
              <w:jc w:val="center"/>
              <w:rPr>
                <w:rFonts w:ascii="Arial" w:hAnsi="Arial" w:eastAsia="黑体"/>
                <w:bCs/>
                <w:color w:val="000000"/>
                <w:sz w:val="21"/>
                <w:szCs w:val="16"/>
              </w:rPr>
            </w:pPr>
            <w:r>
              <w:rPr>
                <w:rFonts w:hint="eastAsia" w:ascii="Arial" w:hAnsi="Arial" w:eastAsia="黑体"/>
                <w:bCs/>
                <w:color w:val="000000"/>
                <w:sz w:val="21"/>
                <w:szCs w:val="16"/>
              </w:rPr>
              <w:t>课程目标</w:t>
            </w:r>
          </w:p>
        </w:tc>
        <w:tc>
          <w:tcPr>
            <w:tcW w:w="1348" w:type="dxa"/>
            <w:tcBorders>
              <w:top w:val="single" w:color="auto" w:sz="12" w:space="0"/>
              <w:right w:val="single" w:color="auto" w:sz="12" w:space="0"/>
            </w:tcBorders>
            <w:noWrap w:val="0"/>
            <w:vAlign w:val="center"/>
          </w:tcPr>
          <w:p w14:paraId="760199AF">
            <w:pPr>
              <w:snapToGrid w:val="0"/>
              <w:jc w:val="center"/>
              <w:rPr>
                <w:rFonts w:ascii="Arial" w:hAnsi="Arial" w:eastAsia="黑体"/>
                <w:bCs/>
                <w:color w:val="000000"/>
                <w:sz w:val="21"/>
                <w:szCs w:val="16"/>
              </w:rPr>
            </w:pPr>
            <w:r>
              <w:rPr>
                <w:rFonts w:hint="eastAsia" w:ascii="Arial" w:hAnsi="Arial" w:eastAsia="黑体"/>
                <w:bCs/>
                <w:color w:val="000000"/>
                <w:sz w:val="21"/>
                <w:szCs w:val="16"/>
              </w:rPr>
              <w:t>对指标点的贡献度</w:t>
            </w:r>
          </w:p>
        </w:tc>
      </w:tr>
      <w:tr w14:paraId="658C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340" w:hRule="atLeast"/>
          <w:jc w:val="center"/>
        </w:trPr>
        <w:tc>
          <w:tcPr>
            <w:tcW w:w="777" w:type="dxa"/>
            <w:tcBorders>
              <w:left w:val="single" w:color="auto" w:sz="12" w:space="0"/>
              <w:right w:val="single" w:color="auto" w:sz="4" w:space="0"/>
            </w:tcBorders>
            <w:noWrap w:val="0"/>
            <w:vAlign w:val="center"/>
          </w:tcPr>
          <w:p w14:paraId="327B6604">
            <w:pPr>
              <w:jc w:val="center"/>
              <w:rPr>
                <w:rFonts w:hint="eastAsia" w:ascii="Times New Roman" w:hAnsi="Times New Roman"/>
                <w:b/>
                <w:color w:val="000000"/>
                <w:sz w:val="21"/>
                <w:szCs w:val="21"/>
              </w:rPr>
            </w:pPr>
            <w:r>
              <w:rPr>
                <w:rFonts w:ascii="Times New Roman" w:hAnsi="Times New Roman"/>
                <w:b/>
                <w:color w:val="000000"/>
                <w:sz w:val="21"/>
                <w:szCs w:val="21"/>
              </w:rPr>
              <w:t>LO1</w:t>
            </w:r>
          </w:p>
          <w:p w14:paraId="404FF92E">
            <w:pPr>
              <w:jc w:val="center"/>
              <w:rPr>
                <w:rFonts w:ascii="Times New Roman" w:hAnsi="Times New Roman"/>
                <w:color w:val="000000"/>
                <w:sz w:val="21"/>
                <w:szCs w:val="21"/>
              </w:rPr>
            </w:pPr>
            <w:r>
              <w:rPr>
                <w:rFonts w:ascii="Times New Roman" w:hAnsi="Times New Roman"/>
                <w:b/>
                <w:color w:val="000000"/>
                <w:sz w:val="21"/>
                <w:szCs w:val="21"/>
              </w:rPr>
              <w:t>品德修养</w:t>
            </w:r>
          </w:p>
        </w:tc>
        <w:tc>
          <w:tcPr>
            <w:tcW w:w="794" w:type="dxa"/>
            <w:tcBorders>
              <w:left w:val="single" w:color="auto" w:sz="4" w:space="0"/>
            </w:tcBorders>
            <w:noWrap w:val="0"/>
            <w:vAlign w:val="center"/>
          </w:tcPr>
          <w:p w14:paraId="25D6957E">
            <w:pPr>
              <w:jc w:val="center"/>
              <w:rPr>
                <w:rFonts w:ascii="Times New Roman" w:hAnsi="Times New Roman" w:cs="Times New Roman"/>
                <w:color w:val="000000"/>
                <w:sz w:val="21"/>
                <w:szCs w:val="21"/>
              </w:rPr>
            </w:pPr>
            <w:r>
              <w:rPr>
                <w:rFonts w:hint="eastAsia" w:ascii="Times New Roman" w:hAnsi="Times New Roman"/>
                <w:color w:val="000000"/>
                <w:sz w:val="21"/>
                <w:szCs w:val="21"/>
              </w:rPr>
              <w:t>LO14</w:t>
            </w:r>
          </w:p>
        </w:tc>
        <w:tc>
          <w:tcPr>
            <w:tcW w:w="794" w:type="dxa"/>
            <w:tcBorders>
              <w:right w:val="double" w:color="auto" w:sz="4" w:space="0"/>
            </w:tcBorders>
            <w:noWrap w:val="0"/>
            <w:vAlign w:val="center"/>
          </w:tcPr>
          <w:p w14:paraId="077B7FEC">
            <w:pPr>
              <w:jc w:val="center"/>
              <w:rPr>
                <w:rFonts w:ascii="Times New Roman" w:hAnsi="Times New Roman"/>
                <w:color w:val="000000"/>
                <w:sz w:val="21"/>
                <w:szCs w:val="21"/>
              </w:rPr>
            </w:pPr>
            <w:r>
              <w:rPr>
                <w:rFonts w:hint="eastAsia" w:ascii="Times New Roman" w:hAnsi="Times New Roman"/>
                <w:color w:val="000000"/>
                <w:sz w:val="21"/>
                <w:szCs w:val="21"/>
              </w:rPr>
              <w:t>M</w:t>
            </w:r>
          </w:p>
        </w:tc>
        <w:tc>
          <w:tcPr>
            <w:tcW w:w="4763" w:type="dxa"/>
            <w:noWrap w:val="0"/>
            <w:vAlign w:val="center"/>
          </w:tcPr>
          <w:p w14:paraId="3D32C30B">
            <w:pPr>
              <w:rPr>
                <w:rFonts w:ascii="Times New Roman" w:hAnsi="Times New Roman"/>
                <w:color w:val="000000"/>
                <w:sz w:val="21"/>
                <w:szCs w:val="21"/>
              </w:rPr>
            </w:pPr>
            <w:r>
              <w:rPr>
                <w:rFonts w:hint="eastAsia" w:ascii="Times New Roman" w:hAnsi="Times New Roman"/>
                <w:color w:val="000000"/>
                <w:sz w:val="21"/>
                <w:szCs w:val="21"/>
              </w:rPr>
              <w:t>7</w:t>
            </w:r>
            <w:r>
              <w:rPr>
                <w:rFonts w:ascii="Times New Roman" w:hAnsi="Times New Roman"/>
                <w:color w:val="000000"/>
                <w:sz w:val="21"/>
                <w:szCs w:val="21"/>
              </w:rPr>
              <w:t>.</w:t>
            </w:r>
            <w:r>
              <w:rPr>
                <w:rFonts w:hint="eastAsia" w:ascii="Times New Roman" w:hAnsi="Times New Roman"/>
                <w:color w:val="000000"/>
                <w:sz w:val="21"/>
                <w:szCs w:val="21"/>
              </w:rPr>
              <w:t xml:space="preserve"> 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tc>
        <w:tc>
          <w:tcPr>
            <w:tcW w:w="1348" w:type="dxa"/>
            <w:tcBorders>
              <w:right w:val="single" w:color="auto" w:sz="12" w:space="0"/>
            </w:tcBorders>
            <w:noWrap w:val="0"/>
            <w:vAlign w:val="center"/>
          </w:tcPr>
          <w:p w14:paraId="2BD16FC4">
            <w:pPr>
              <w:jc w:val="cente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r w14:paraId="269D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340" w:hRule="atLeast"/>
          <w:jc w:val="center"/>
        </w:trPr>
        <w:tc>
          <w:tcPr>
            <w:tcW w:w="777" w:type="dxa"/>
            <w:vMerge w:val="restart"/>
            <w:tcBorders>
              <w:left w:val="single" w:color="auto" w:sz="12" w:space="0"/>
              <w:right w:val="single" w:color="auto" w:sz="4" w:space="0"/>
            </w:tcBorders>
            <w:noWrap w:val="0"/>
            <w:vAlign w:val="center"/>
          </w:tcPr>
          <w:p w14:paraId="352C99B1">
            <w:pPr>
              <w:jc w:val="center"/>
              <w:rPr>
                <w:rFonts w:ascii="Times New Roman" w:hAnsi="Times New Roman"/>
                <w:color w:val="000000"/>
                <w:sz w:val="21"/>
                <w:szCs w:val="21"/>
              </w:rPr>
            </w:pPr>
            <w:r>
              <w:rPr>
                <w:rFonts w:ascii="Times New Roman" w:hAnsi="Times New Roman" w:cs="Times New Roman"/>
                <w:b/>
                <w:color w:val="000000"/>
                <w:sz w:val="21"/>
                <w:szCs w:val="21"/>
              </w:rPr>
              <w:t>LO2专业能力</w:t>
            </w:r>
          </w:p>
        </w:tc>
        <w:tc>
          <w:tcPr>
            <w:tcW w:w="794" w:type="dxa"/>
            <w:vMerge w:val="restart"/>
            <w:tcBorders>
              <w:left w:val="single" w:color="auto" w:sz="4" w:space="0"/>
            </w:tcBorders>
            <w:noWrap w:val="0"/>
            <w:vAlign w:val="center"/>
          </w:tcPr>
          <w:p w14:paraId="23624C64">
            <w:pPr>
              <w:jc w:val="center"/>
              <w:rPr>
                <w:rFonts w:ascii="Times New Roman" w:hAnsi="Times New Roman" w:cs="Times New Roman"/>
                <w:color w:val="000000"/>
                <w:sz w:val="21"/>
                <w:szCs w:val="21"/>
              </w:rPr>
            </w:pPr>
            <w:r>
              <w:rPr>
                <w:rFonts w:hint="eastAsia" w:ascii="Times New Roman" w:hAnsi="Times New Roman"/>
                <w:color w:val="000000"/>
                <w:sz w:val="21"/>
                <w:szCs w:val="21"/>
              </w:rPr>
              <w:t>LO22</w:t>
            </w:r>
          </w:p>
        </w:tc>
        <w:tc>
          <w:tcPr>
            <w:tcW w:w="794" w:type="dxa"/>
            <w:vMerge w:val="restart"/>
            <w:tcBorders>
              <w:right w:val="double" w:color="auto" w:sz="4" w:space="0"/>
            </w:tcBorders>
            <w:noWrap w:val="0"/>
            <w:vAlign w:val="center"/>
          </w:tcPr>
          <w:p w14:paraId="0D3ED23B">
            <w:pPr>
              <w:jc w:val="center"/>
              <w:rPr>
                <w:rFonts w:ascii="Times New Roman" w:hAnsi="Times New Roman"/>
                <w:color w:val="000000"/>
                <w:sz w:val="21"/>
                <w:szCs w:val="21"/>
              </w:rPr>
            </w:pPr>
            <w:r>
              <w:rPr>
                <w:rFonts w:hint="eastAsia" w:ascii="Times New Roman" w:hAnsi="Times New Roman"/>
                <w:color w:val="000000"/>
                <w:sz w:val="21"/>
                <w:szCs w:val="21"/>
              </w:rPr>
              <w:t>H</w:t>
            </w:r>
          </w:p>
          <w:p w14:paraId="5825A95D">
            <w:pPr>
              <w:jc w:val="center"/>
              <w:rPr>
                <w:rFonts w:ascii="Times New Roman" w:hAnsi="Times New Roman"/>
                <w:color w:val="000000"/>
                <w:sz w:val="21"/>
                <w:szCs w:val="21"/>
              </w:rPr>
            </w:pPr>
          </w:p>
        </w:tc>
        <w:tc>
          <w:tcPr>
            <w:tcW w:w="4763" w:type="dxa"/>
            <w:noWrap w:val="0"/>
            <w:vAlign w:val="center"/>
          </w:tcPr>
          <w:p w14:paraId="777ED61C">
            <w:pPr>
              <w:rPr>
                <w:rFonts w:ascii="Times New Roman" w:hAnsi="Times New Roman"/>
                <w:color w:val="000000"/>
                <w:sz w:val="21"/>
                <w:szCs w:val="21"/>
              </w:rPr>
            </w:pPr>
            <w:r>
              <w:rPr>
                <w:rFonts w:hint="eastAsia" w:ascii="Times New Roman" w:hAnsi="Times New Roman" w:cs="Times New Roman"/>
                <w:color w:val="000000"/>
                <w:sz w:val="21"/>
                <w:szCs w:val="21"/>
              </w:rPr>
              <w:t>1.掌握药理学专业知识。</w:t>
            </w:r>
          </w:p>
        </w:tc>
        <w:tc>
          <w:tcPr>
            <w:tcW w:w="1348" w:type="dxa"/>
            <w:tcBorders>
              <w:right w:val="single" w:color="auto" w:sz="12" w:space="0"/>
            </w:tcBorders>
            <w:noWrap w:val="0"/>
            <w:vAlign w:val="center"/>
          </w:tcPr>
          <w:p w14:paraId="67A86168">
            <w:pPr>
              <w:jc w:val="center"/>
              <w:rPr>
                <w:rFonts w:ascii="Times New Roman" w:hAnsi="Times New Roman"/>
                <w:color w:val="000000"/>
                <w:sz w:val="21"/>
                <w:szCs w:val="21"/>
              </w:rPr>
            </w:pPr>
            <w:r>
              <w:rPr>
                <w:rFonts w:hint="eastAsia" w:ascii="Times New Roman" w:hAnsi="Times New Roman"/>
                <w:color w:val="000000"/>
                <w:sz w:val="21"/>
                <w:szCs w:val="21"/>
              </w:rPr>
              <w:t>60</w:t>
            </w:r>
            <w:r>
              <w:rPr>
                <w:rFonts w:ascii="Times New Roman" w:hAnsi="Times New Roman"/>
                <w:color w:val="000000"/>
                <w:sz w:val="21"/>
                <w:szCs w:val="21"/>
              </w:rPr>
              <w:t>%</w:t>
            </w:r>
          </w:p>
        </w:tc>
      </w:tr>
      <w:tr w14:paraId="00F8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340" w:hRule="atLeast"/>
          <w:jc w:val="center"/>
        </w:trPr>
        <w:tc>
          <w:tcPr>
            <w:tcW w:w="777" w:type="dxa"/>
            <w:vMerge w:val="continue"/>
            <w:tcBorders>
              <w:left w:val="single" w:color="auto" w:sz="12" w:space="0"/>
              <w:right w:val="single" w:color="auto" w:sz="4" w:space="0"/>
            </w:tcBorders>
            <w:noWrap w:val="0"/>
            <w:vAlign w:val="center"/>
          </w:tcPr>
          <w:p w14:paraId="472D9440">
            <w:pPr>
              <w:jc w:val="center"/>
              <w:rPr>
                <w:rFonts w:ascii="Times New Roman" w:hAnsi="Times New Roman" w:cs="Times New Roman"/>
                <w:b/>
                <w:color w:val="000000"/>
                <w:sz w:val="21"/>
                <w:szCs w:val="21"/>
              </w:rPr>
            </w:pPr>
          </w:p>
        </w:tc>
        <w:tc>
          <w:tcPr>
            <w:tcW w:w="794" w:type="dxa"/>
            <w:vMerge w:val="continue"/>
            <w:tcBorders>
              <w:left w:val="single" w:color="auto" w:sz="4" w:space="0"/>
            </w:tcBorders>
            <w:noWrap w:val="0"/>
            <w:vAlign w:val="center"/>
          </w:tcPr>
          <w:p w14:paraId="69750922">
            <w:pPr>
              <w:jc w:val="center"/>
              <w:rPr>
                <w:rFonts w:hint="eastAsia" w:ascii="Times New Roman" w:hAnsi="Times New Roman" w:cs="Times New Roman"/>
                <w:color w:val="000000"/>
                <w:sz w:val="21"/>
                <w:szCs w:val="21"/>
              </w:rPr>
            </w:pPr>
          </w:p>
        </w:tc>
        <w:tc>
          <w:tcPr>
            <w:tcW w:w="794" w:type="dxa"/>
            <w:vMerge w:val="continue"/>
            <w:tcBorders>
              <w:right w:val="double" w:color="auto" w:sz="4" w:space="0"/>
            </w:tcBorders>
            <w:noWrap w:val="0"/>
            <w:vAlign w:val="center"/>
          </w:tcPr>
          <w:p w14:paraId="11917BCD">
            <w:pPr>
              <w:jc w:val="center"/>
              <w:rPr>
                <w:rFonts w:hint="eastAsia" w:ascii="Times New Roman" w:hAnsi="Times New Roman"/>
                <w:color w:val="000000"/>
                <w:sz w:val="21"/>
                <w:szCs w:val="21"/>
              </w:rPr>
            </w:pPr>
          </w:p>
        </w:tc>
        <w:tc>
          <w:tcPr>
            <w:tcW w:w="4763" w:type="dxa"/>
            <w:noWrap w:val="0"/>
            <w:vAlign w:val="center"/>
          </w:tcPr>
          <w:p w14:paraId="00C2D194">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hint="eastAsia" w:ascii="Times New Roman" w:hAnsi="Times New Roman"/>
                <w:color w:val="000000"/>
                <w:sz w:val="20"/>
                <w:szCs w:val="20"/>
              </w:rPr>
              <w:t xml:space="preserve"> 具有自主学习的基本能力，能够适应不断变化的社会健康保健需要。</w:t>
            </w:r>
          </w:p>
        </w:tc>
        <w:tc>
          <w:tcPr>
            <w:tcW w:w="1348" w:type="dxa"/>
            <w:tcBorders>
              <w:right w:val="single" w:color="auto" w:sz="12" w:space="0"/>
            </w:tcBorders>
            <w:noWrap w:val="0"/>
            <w:vAlign w:val="center"/>
          </w:tcPr>
          <w:p w14:paraId="6DAB7133">
            <w:pPr>
              <w:jc w:val="center"/>
              <w:rPr>
                <w:rFonts w:hint="eastAsia" w:ascii="Times New Roman" w:hAnsi="Times New Roman"/>
                <w:color w:val="000000"/>
                <w:sz w:val="21"/>
                <w:szCs w:val="21"/>
              </w:rPr>
            </w:pPr>
            <w:r>
              <w:rPr>
                <w:rFonts w:hint="eastAsia" w:ascii="Times New Roman" w:hAnsi="Times New Roman"/>
                <w:color w:val="000000"/>
                <w:sz w:val="21"/>
                <w:szCs w:val="21"/>
              </w:rPr>
              <w:t>20</w:t>
            </w:r>
            <w:r>
              <w:rPr>
                <w:rFonts w:ascii="Times New Roman" w:hAnsi="Times New Roman"/>
                <w:color w:val="000000"/>
                <w:sz w:val="21"/>
                <w:szCs w:val="21"/>
              </w:rPr>
              <w:t>%</w:t>
            </w:r>
          </w:p>
        </w:tc>
      </w:tr>
      <w:tr w14:paraId="704E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340" w:hRule="atLeast"/>
          <w:jc w:val="center"/>
        </w:trPr>
        <w:tc>
          <w:tcPr>
            <w:tcW w:w="777" w:type="dxa"/>
            <w:vMerge w:val="continue"/>
            <w:tcBorders>
              <w:left w:val="single" w:color="auto" w:sz="12" w:space="0"/>
              <w:right w:val="single" w:color="auto" w:sz="4" w:space="0"/>
            </w:tcBorders>
            <w:noWrap w:val="0"/>
            <w:vAlign w:val="center"/>
          </w:tcPr>
          <w:p w14:paraId="08E0B73B">
            <w:pPr>
              <w:jc w:val="center"/>
              <w:rPr>
                <w:rFonts w:ascii="Times New Roman" w:hAnsi="Times New Roman" w:cs="Times New Roman"/>
                <w:b/>
                <w:color w:val="000000"/>
                <w:sz w:val="21"/>
                <w:szCs w:val="21"/>
              </w:rPr>
            </w:pPr>
          </w:p>
        </w:tc>
        <w:tc>
          <w:tcPr>
            <w:tcW w:w="794" w:type="dxa"/>
            <w:vMerge w:val="continue"/>
            <w:tcBorders>
              <w:left w:val="single" w:color="auto" w:sz="4" w:space="0"/>
            </w:tcBorders>
            <w:noWrap w:val="0"/>
            <w:vAlign w:val="center"/>
          </w:tcPr>
          <w:p w14:paraId="5708A281">
            <w:pPr>
              <w:jc w:val="center"/>
              <w:rPr>
                <w:rFonts w:hint="eastAsia" w:ascii="Times New Roman" w:hAnsi="Times New Roman" w:cs="Times New Roman"/>
                <w:color w:val="000000"/>
                <w:sz w:val="21"/>
                <w:szCs w:val="21"/>
              </w:rPr>
            </w:pPr>
          </w:p>
        </w:tc>
        <w:tc>
          <w:tcPr>
            <w:tcW w:w="794" w:type="dxa"/>
            <w:vMerge w:val="continue"/>
            <w:tcBorders>
              <w:right w:val="double" w:color="auto" w:sz="4" w:space="0"/>
            </w:tcBorders>
            <w:noWrap w:val="0"/>
            <w:vAlign w:val="center"/>
          </w:tcPr>
          <w:p w14:paraId="1AF43E4F">
            <w:pPr>
              <w:jc w:val="center"/>
              <w:rPr>
                <w:rFonts w:hint="eastAsia" w:ascii="Times New Roman" w:hAnsi="Times New Roman"/>
                <w:color w:val="000000"/>
                <w:sz w:val="21"/>
                <w:szCs w:val="21"/>
              </w:rPr>
            </w:pPr>
          </w:p>
        </w:tc>
        <w:tc>
          <w:tcPr>
            <w:tcW w:w="4763" w:type="dxa"/>
            <w:noWrap w:val="0"/>
            <w:vAlign w:val="center"/>
          </w:tcPr>
          <w:p w14:paraId="4DA49261">
            <w:pPr>
              <w:rPr>
                <w:rFonts w:hint="eastAsia" w:ascii="Times New Roman" w:hAnsi="Times New Roman"/>
                <w:color w:val="000000"/>
                <w:sz w:val="21"/>
                <w:szCs w:val="21"/>
              </w:rPr>
            </w:pPr>
            <w:r>
              <w:rPr>
                <w:rFonts w:ascii="Times New Roman" w:hAnsi="Times New Roman" w:cs="Times New Roman"/>
                <w:color w:val="000000"/>
                <w:sz w:val="21"/>
                <w:szCs w:val="21"/>
              </w:rPr>
              <w:t>3.</w:t>
            </w:r>
            <w:r>
              <w:rPr>
                <w:rFonts w:hint="eastAsia" w:ascii="Times New Roman" w:hAnsi="Times New Roman"/>
                <w:color w:val="000000"/>
                <w:sz w:val="20"/>
                <w:szCs w:val="20"/>
              </w:rPr>
              <w:t xml:space="preserve"> </w:t>
            </w:r>
            <w:r>
              <w:rPr>
                <w:rFonts w:hint="eastAsia" w:ascii="Times New Roman" w:hAnsi="Times New Roman" w:cs="Times New Roman"/>
                <w:color w:val="000000"/>
                <w:sz w:val="20"/>
                <w:szCs w:val="20"/>
              </w:rPr>
              <w:t>掌握人体正常结构、功能、人的心理状态及其发展变化。</w:t>
            </w:r>
          </w:p>
        </w:tc>
        <w:tc>
          <w:tcPr>
            <w:tcW w:w="1348" w:type="dxa"/>
            <w:tcBorders>
              <w:right w:val="single" w:color="auto" w:sz="12" w:space="0"/>
            </w:tcBorders>
            <w:noWrap w:val="0"/>
            <w:vAlign w:val="center"/>
          </w:tcPr>
          <w:p w14:paraId="16D5C16C">
            <w:pPr>
              <w:jc w:val="center"/>
              <w:rPr>
                <w:rFonts w:hint="eastAsia" w:ascii="Times New Roman" w:hAnsi="Times New Roman"/>
                <w:color w:val="000000"/>
                <w:sz w:val="21"/>
                <w:szCs w:val="21"/>
              </w:rPr>
            </w:pPr>
            <w:r>
              <w:rPr>
                <w:rFonts w:hint="eastAsia" w:ascii="Times New Roman" w:hAnsi="Times New Roman"/>
                <w:color w:val="000000"/>
                <w:sz w:val="21"/>
                <w:szCs w:val="21"/>
              </w:rPr>
              <w:t>20</w:t>
            </w:r>
            <w:r>
              <w:rPr>
                <w:rFonts w:ascii="Times New Roman" w:hAnsi="Times New Roman"/>
                <w:color w:val="000000"/>
                <w:sz w:val="21"/>
                <w:szCs w:val="21"/>
              </w:rPr>
              <w:t>%</w:t>
            </w:r>
          </w:p>
        </w:tc>
      </w:tr>
      <w:tr w14:paraId="44F5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340" w:hRule="atLeast"/>
          <w:jc w:val="center"/>
        </w:trPr>
        <w:tc>
          <w:tcPr>
            <w:tcW w:w="777" w:type="dxa"/>
            <w:tcBorders>
              <w:left w:val="single" w:color="auto" w:sz="12" w:space="0"/>
              <w:bottom w:val="single" w:color="auto" w:sz="12" w:space="0"/>
              <w:right w:val="single" w:color="auto" w:sz="4" w:space="0"/>
            </w:tcBorders>
            <w:noWrap w:val="0"/>
            <w:vAlign w:val="center"/>
          </w:tcPr>
          <w:p w14:paraId="2CC41A11">
            <w:pPr>
              <w:jc w:val="center"/>
              <w:rPr>
                <w:rFonts w:ascii="Times New Roman" w:hAnsi="Times New Roman" w:cs="Times New Roman"/>
                <w:b/>
                <w:color w:val="000000"/>
                <w:sz w:val="21"/>
                <w:szCs w:val="21"/>
              </w:rPr>
            </w:pPr>
            <w:r>
              <w:rPr>
                <w:rFonts w:hint="eastAsia" w:ascii="Times New Roman" w:hAnsi="Times New Roman"/>
                <w:b/>
                <w:color w:val="000000"/>
                <w:sz w:val="21"/>
                <w:szCs w:val="21"/>
              </w:rPr>
              <w:t>LO6协同创新</w:t>
            </w:r>
          </w:p>
        </w:tc>
        <w:tc>
          <w:tcPr>
            <w:tcW w:w="794" w:type="dxa"/>
            <w:tcBorders>
              <w:left w:val="single" w:color="auto" w:sz="4" w:space="0"/>
              <w:bottom w:val="single" w:color="auto" w:sz="12" w:space="0"/>
              <w:right w:val="single" w:color="auto" w:sz="4" w:space="0"/>
            </w:tcBorders>
            <w:noWrap w:val="0"/>
            <w:vAlign w:val="center"/>
          </w:tcPr>
          <w:p w14:paraId="4FC48650">
            <w:pPr>
              <w:jc w:val="center"/>
              <w:rPr>
                <w:rFonts w:hint="eastAsia" w:ascii="Times New Roman" w:hAnsi="Times New Roman"/>
                <w:color w:val="000000"/>
                <w:sz w:val="21"/>
                <w:szCs w:val="21"/>
              </w:rPr>
            </w:pPr>
            <w:r>
              <w:rPr>
                <w:rFonts w:hint="eastAsia" w:ascii="Times New Roman" w:hAnsi="Times New Roman"/>
                <w:color w:val="000000"/>
                <w:sz w:val="21"/>
                <w:szCs w:val="21"/>
              </w:rPr>
              <w:t>LO63</w:t>
            </w:r>
          </w:p>
        </w:tc>
        <w:tc>
          <w:tcPr>
            <w:tcW w:w="794" w:type="dxa"/>
            <w:tcBorders>
              <w:left w:val="single" w:color="auto" w:sz="4" w:space="0"/>
              <w:bottom w:val="single" w:color="auto" w:sz="12" w:space="0"/>
              <w:right w:val="single" w:color="auto" w:sz="4" w:space="0"/>
            </w:tcBorders>
            <w:noWrap w:val="0"/>
            <w:vAlign w:val="center"/>
          </w:tcPr>
          <w:p w14:paraId="5DE2538F">
            <w:pPr>
              <w:jc w:val="center"/>
              <w:rPr>
                <w:rFonts w:hint="eastAsia" w:ascii="Times New Roman" w:hAnsi="Times New Roman"/>
                <w:color w:val="000000"/>
                <w:sz w:val="21"/>
                <w:szCs w:val="21"/>
              </w:rPr>
            </w:pPr>
            <w:r>
              <w:rPr>
                <w:rFonts w:hint="eastAsia" w:ascii="Times New Roman" w:hAnsi="Times New Roman"/>
                <w:color w:val="000000"/>
                <w:sz w:val="21"/>
                <w:szCs w:val="21"/>
              </w:rPr>
              <w:t>L</w:t>
            </w:r>
          </w:p>
        </w:tc>
        <w:tc>
          <w:tcPr>
            <w:tcW w:w="4763" w:type="dxa"/>
            <w:tcBorders>
              <w:left w:val="single" w:color="auto" w:sz="4" w:space="0"/>
              <w:bottom w:val="single" w:color="auto" w:sz="12" w:space="0"/>
              <w:right w:val="single" w:color="auto" w:sz="4" w:space="0"/>
            </w:tcBorders>
            <w:noWrap w:val="0"/>
            <w:vAlign w:val="center"/>
          </w:tcPr>
          <w:p w14:paraId="42971140">
            <w:pPr>
              <w:rPr>
                <w:rFonts w:ascii="Times New Roman" w:hAnsi="Times New Roman"/>
                <w:color w:val="000000"/>
                <w:sz w:val="21"/>
                <w:szCs w:val="21"/>
              </w:rPr>
            </w:pPr>
            <w:r>
              <w:rPr>
                <w:rFonts w:hint="eastAsia" w:ascii="Times New Roman" w:hAnsi="Times New Roman"/>
                <w:color w:val="000000"/>
                <w:sz w:val="21"/>
                <w:szCs w:val="21"/>
              </w:rPr>
              <w:t>6.</w:t>
            </w:r>
            <w:r>
              <w:rPr>
                <w:rFonts w:hint="eastAsia" w:ascii="Times New Roman" w:hAnsi="Times New Roman"/>
                <w:color w:val="000000"/>
                <w:szCs w:val="21"/>
              </w:rPr>
              <w:t xml:space="preserve"> </w:t>
            </w:r>
            <w:r>
              <w:rPr>
                <w:rFonts w:hint="eastAsia" w:ascii="Times New Roman" w:hAnsi="Times New Roman" w:cs="Times New Roman"/>
                <w:color w:val="000000"/>
                <w:sz w:val="21"/>
                <w:szCs w:val="21"/>
              </w:rPr>
              <w:t>具有创新精神和创业意识，树立终身学习的观念，具有主动获取新知识、不断进行自我完善和推动专业发展的态度。</w:t>
            </w:r>
          </w:p>
        </w:tc>
        <w:tc>
          <w:tcPr>
            <w:tcW w:w="1348" w:type="dxa"/>
            <w:tcBorders>
              <w:left w:val="single" w:color="auto" w:sz="4" w:space="0"/>
              <w:bottom w:val="single" w:color="auto" w:sz="12" w:space="0"/>
              <w:right w:val="single" w:color="auto" w:sz="12" w:space="0"/>
            </w:tcBorders>
            <w:noWrap w:val="0"/>
            <w:vAlign w:val="center"/>
          </w:tcPr>
          <w:p w14:paraId="2535CE48">
            <w:pPr>
              <w:jc w:val="center"/>
              <w:rPr>
                <w:rFonts w:hint="eastAsia"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bl>
    <w:p w14:paraId="1EFD2AED">
      <w:pPr>
        <w:spacing w:before="326" w:beforeLines="100"/>
        <w:outlineLvl w:val="0"/>
        <w:rPr>
          <w:rFonts w:ascii="Arial" w:hAnsi="Arial" w:eastAsia="黑体"/>
          <w:sz w:val="28"/>
        </w:rPr>
      </w:pPr>
      <w:r>
        <w:rPr>
          <w:rFonts w:hint="eastAsia" w:ascii="Arial" w:hAnsi="Arial" w:eastAsia="黑体"/>
          <w:sz w:val="28"/>
        </w:rPr>
        <w:t>三、</w:t>
      </w:r>
      <w:r>
        <w:rPr>
          <w:rFonts w:ascii="Arial" w:hAnsi="Arial" w:eastAsia="黑体"/>
          <w:sz w:val="28"/>
        </w:rPr>
        <w:t>课程内容</w:t>
      </w:r>
      <w:r>
        <w:rPr>
          <w:rFonts w:hint="eastAsia" w:ascii="Arial" w:hAnsi="Arial" w:eastAsia="黑体"/>
          <w:sz w:val="28"/>
        </w:rPr>
        <w:t>与教学设计</w:t>
      </w:r>
    </w:p>
    <w:p w14:paraId="674DA181">
      <w:pPr>
        <w:spacing w:before="163" w:beforeLines="50" w:after="163" w:afterLines="50"/>
        <w:outlineLvl w:val="1"/>
        <w:rPr>
          <w:rFonts w:ascii="Times New Roman" w:hAnsi="Times New Roman"/>
          <w:b/>
        </w:rPr>
      </w:pPr>
      <w:r>
        <w:rPr>
          <w:rFonts w:hint="eastAsia" w:ascii="Times New Roman" w:hAnsi="Times New Roman"/>
          <w:b/>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B73EF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0A2498A4">
            <w:pPr>
              <w:rPr>
                <w:rFonts w:hint="eastAsia" w:ascii="Times New Roman" w:hAnsi="Times New Roman"/>
                <w:color w:val="000000"/>
                <w:sz w:val="21"/>
                <w:szCs w:val="21"/>
              </w:rPr>
            </w:pPr>
            <w:r>
              <w:rPr>
                <w:rFonts w:hint="eastAsia" w:ascii="Times New Roman" w:hAnsi="Times New Roman"/>
                <w:bCs/>
                <w:color w:val="000000"/>
                <w:sz w:val="21"/>
                <w:szCs w:val="21"/>
              </w:rPr>
              <w:t xml:space="preserve">第一单元 </w:t>
            </w:r>
            <w:r>
              <w:rPr>
                <w:rFonts w:hint="eastAsia" w:ascii="Times New Roman" w:hAnsi="Times New Roman"/>
                <w:color w:val="000000"/>
                <w:sz w:val="21"/>
                <w:szCs w:val="21"/>
              </w:rPr>
              <w:t>药理学总论、药物效应动力学</w:t>
            </w:r>
          </w:p>
          <w:p w14:paraId="317D0EA5">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1D499658">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知道药物、药理学、药效学、药动学的概念。药物的基本作用、药物作用的两重性、副反应、毒性反应、过敏反应、耐受性、受体激动剂、受体阻断剂、药物的量效关系、治疗指数、效能、效价强度等概念。</w:t>
            </w:r>
          </w:p>
          <w:p w14:paraId="0F099559">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理解药理学的性质和任务、药理学学习方法。局部作用、吸收作用、药物作用的选择性、后遗效应、继发反应、对因治疗、对症治疗、安全范围、依赖性等概念。</w:t>
            </w:r>
          </w:p>
          <w:p w14:paraId="15B927BB">
            <w:pPr>
              <w:rPr>
                <w:rFonts w:hint="eastAsia"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了解药理学发展简史、新药的开发与研究。了解受体与药物作用的关系、受体调节及临床意义，药物其他作用机制。</w:t>
            </w:r>
            <w:r>
              <w:rPr>
                <w:rFonts w:hint="eastAsia" w:ascii="Times New Roman" w:hAnsi="Times New Roman"/>
                <w:color w:val="000000"/>
                <w:sz w:val="21"/>
                <w:szCs w:val="21"/>
              </w:rPr>
              <w:t xml:space="preserve">              </w:t>
            </w:r>
          </w:p>
          <w:p w14:paraId="5A5BE28D">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70985734">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 xml:space="preserve">能阐述药物、药理学、药物效应动力学、药物代谢动力学的概念；   </w:t>
            </w:r>
          </w:p>
          <w:p w14:paraId="448C31DD">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能理解药理学的发展简史；能运用药理学学习方法</w:t>
            </w:r>
          </w:p>
          <w:p w14:paraId="60E7A2C9">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能理解新药开发与研究的基本过程。</w:t>
            </w:r>
          </w:p>
          <w:p w14:paraId="1B3C839F">
            <w:pPr>
              <w:rPr>
                <w:rFonts w:hint="eastAsia"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学会归纳、比较重要的基本概念。</w:t>
            </w:r>
          </w:p>
          <w:p w14:paraId="10391E1A">
            <w:pPr>
              <w:rPr>
                <w:rFonts w:hint="eastAsia" w:ascii="Times New Roman" w:hAnsi="Times New Roman"/>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5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⑤</w:t>
            </w:r>
            <w:r>
              <w:rPr>
                <w:rFonts w:ascii="Times New Roman" w:hAnsi="Times New Roman"/>
                <w:color w:val="000000"/>
                <w:sz w:val="21"/>
                <w:szCs w:val="21"/>
              </w:rPr>
              <w:fldChar w:fldCharType="end"/>
            </w:r>
            <w:r>
              <w:rPr>
                <w:rFonts w:hint="eastAsia" w:ascii="Times New Roman" w:hAnsi="Times New Roman" w:cs="仿宋"/>
                <w:color w:val="000000"/>
                <w:sz w:val="21"/>
                <w:szCs w:val="21"/>
              </w:rPr>
              <w:t>具有药效学基本知识和基本理论，能举例解释药物作用的两重性，解释药物对机体作用道理。</w:t>
            </w:r>
          </w:p>
          <w:p w14:paraId="6102D0CE">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0CFA99AB">
            <w:pPr>
              <w:rPr>
                <w:rFonts w:ascii="Times New Roman" w:hAnsi="Times New Roman"/>
                <w:color w:val="000000"/>
                <w:sz w:val="21"/>
                <w:szCs w:val="21"/>
              </w:rPr>
            </w:pPr>
            <w:r>
              <w:rPr>
                <w:rFonts w:hint="eastAsia" w:ascii="Times New Roman" w:hAnsi="Times New Roman"/>
                <w:color w:val="000000"/>
                <w:sz w:val="21"/>
                <w:szCs w:val="21"/>
              </w:rPr>
              <w:t>通过学习药理学总论、药物效应动力学</w:t>
            </w:r>
            <w:r>
              <w:rPr>
                <w:rFonts w:hint="eastAsia" w:ascii="Times New Roman" w:hAnsi="Times New Roman"/>
                <w:bCs/>
                <w:color w:val="000000"/>
                <w:sz w:val="21"/>
                <w:szCs w:val="21"/>
              </w:rPr>
              <w:t>,</w:t>
            </w:r>
            <w:r>
              <w:rPr>
                <w:rFonts w:hint="eastAsia" w:ascii="Times New Roman" w:hAnsi="Times New Roman"/>
                <w:color w:val="000000"/>
                <w:sz w:val="21"/>
                <w:szCs w:val="21"/>
              </w:rPr>
              <w:t>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2327045E">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5EDF6941">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药物及药理学概念</w:t>
            </w:r>
          </w:p>
          <w:p w14:paraId="1B8EDE0F">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药物作用的基本规律</w:t>
            </w:r>
          </w:p>
          <w:p w14:paraId="7FB49E72">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药物常见的不良反应。</w:t>
            </w:r>
          </w:p>
          <w:p w14:paraId="0ED92F9B">
            <w:pPr>
              <w:rPr>
                <w:rFonts w:hint="eastAsia"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药物的量效关系及量效曲线。</w:t>
            </w:r>
          </w:p>
          <w:p w14:paraId="7EF93025">
            <w:pPr>
              <w:rPr>
                <w:rFonts w:hint="eastAsia"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5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⑤</w:t>
            </w:r>
            <w:r>
              <w:rPr>
                <w:rFonts w:ascii="Times New Roman" w:hAnsi="Times New Roman"/>
                <w:color w:val="000000"/>
                <w:sz w:val="21"/>
                <w:szCs w:val="21"/>
              </w:rPr>
              <w:fldChar w:fldCharType="end"/>
            </w:r>
            <w:r>
              <w:rPr>
                <w:rFonts w:hint="eastAsia" w:ascii="Times New Roman" w:hAnsi="Times New Roman" w:cs="仿宋"/>
                <w:color w:val="000000"/>
                <w:sz w:val="21"/>
                <w:szCs w:val="21"/>
              </w:rPr>
              <w:t xml:space="preserve">效能、效价强度、安全范围、治疗指数。 </w:t>
            </w:r>
          </w:p>
          <w:p w14:paraId="67A9CB17">
            <w:pPr>
              <w:rPr>
                <w:rFonts w:ascii="Times New Roman" w:hAnsi="Times New Roman"/>
                <w:color w:val="000000"/>
                <w:sz w:val="21"/>
                <w:szCs w:val="21"/>
              </w:rPr>
            </w:pPr>
            <w:r>
              <w:rPr>
                <w:rFonts w:ascii="Times New Roman" w:hAnsi="Times New Roman" w:cs="仿宋"/>
                <w:color w:val="000000"/>
                <w:sz w:val="21"/>
                <w:szCs w:val="21"/>
              </w:rPr>
              <w:fldChar w:fldCharType="begin"/>
            </w:r>
            <w:r>
              <w:rPr>
                <w:rFonts w:ascii="Times New Roman" w:hAnsi="Times New Roman" w:cs="仿宋"/>
                <w:color w:val="000000"/>
                <w:sz w:val="21"/>
                <w:szCs w:val="21"/>
              </w:rPr>
              <w:instrText xml:space="preserve"> </w:instrText>
            </w:r>
            <w:r>
              <w:rPr>
                <w:rFonts w:hint="eastAsia" w:ascii="Times New Roman" w:hAnsi="Times New Roman" w:cs="仿宋"/>
                <w:color w:val="000000"/>
                <w:sz w:val="21"/>
                <w:szCs w:val="21"/>
              </w:rPr>
              <w:instrText xml:space="preserve">= 6 \* GB3</w:instrText>
            </w:r>
            <w:r>
              <w:rPr>
                <w:rFonts w:ascii="Times New Roman" w:hAnsi="Times New Roman" w:cs="仿宋"/>
                <w:color w:val="000000"/>
                <w:sz w:val="21"/>
                <w:szCs w:val="21"/>
              </w:rPr>
              <w:instrText xml:space="preserve"> </w:instrText>
            </w:r>
            <w:r>
              <w:rPr>
                <w:rFonts w:ascii="Times New Roman" w:hAnsi="Times New Roman" w:cs="仿宋"/>
                <w:color w:val="000000"/>
                <w:sz w:val="21"/>
                <w:szCs w:val="21"/>
              </w:rPr>
              <w:fldChar w:fldCharType="separate"/>
            </w:r>
            <w:r>
              <w:rPr>
                <w:rFonts w:hint="eastAsia" w:ascii="Times New Roman" w:hAnsi="Times New Roman" w:cs="仿宋"/>
                <w:color w:val="000000"/>
                <w:sz w:val="21"/>
                <w:szCs w:val="21"/>
                <w:lang/>
              </w:rPr>
              <w:t>⑥</w:t>
            </w:r>
            <w:r>
              <w:rPr>
                <w:rFonts w:ascii="Times New Roman" w:hAnsi="Times New Roman" w:cs="仿宋"/>
                <w:color w:val="000000"/>
                <w:sz w:val="21"/>
                <w:szCs w:val="21"/>
              </w:rPr>
              <w:fldChar w:fldCharType="end"/>
            </w:r>
            <w:r>
              <w:rPr>
                <w:rFonts w:hint="eastAsia" w:ascii="Times New Roman" w:hAnsi="Times New Roman" w:cs="仿宋"/>
                <w:color w:val="000000"/>
                <w:sz w:val="21"/>
                <w:szCs w:val="21"/>
              </w:rPr>
              <w:t>受体激动剂、受体拮抗剂和受体调节：受体上调与受体下调。</w:t>
            </w:r>
          </w:p>
        </w:tc>
      </w:tr>
      <w:tr w14:paraId="2977E1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3CE2EE7F">
            <w:pPr>
              <w:rPr>
                <w:rFonts w:hint="eastAsia" w:ascii="Times New Roman" w:hAnsi="Times New Roman" w:cs="仿宋"/>
                <w:color w:val="000000"/>
                <w:sz w:val="21"/>
                <w:szCs w:val="21"/>
              </w:rPr>
            </w:pPr>
            <w:r>
              <w:rPr>
                <w:rFonts w:hint="eastAsia" w:ascii="Times New Roman" w:hAnsi="Times New Roman"/>
                <w:bCs/>
                <w:color w:val="000000"/>
                <w:sz w:val="21"/>
                <w:szCs w:val="21"/>
              </w:rPr>
              <w:t xml:space="preserve">第二单元 </w:t>
            </w:r>
            <w:r>
              <w:rPr>
                <w:rFonts w:hint="eastAsia" w:ascii="Times New Roman" w:hAnsi="Times New Roman" w:cs="仿宋"/>
                <w:color w:val="000000"/>
                <w:sz w:val="21"/>
                <w:szCs w:val="21"/>
              </w:rPr>
              <w:t>药物代谢动力学、影响药物作用的因素</w:t>
            </w:r>
          </w:p>
          <w:p w14:paraId="4386A0C9">
            <w:pPr>
              <w:rPr>
                <w:rFonts w:ascii="Times New Roman" w:hAnsi="Times New Roman" w:cs="仿宋"/>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2F0B042E">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药物的体内过程及其影响因素；首关消除、肝肠循环的概念；血-脑脊液屏障的意义；肝药酶及其特点；生物利用度、半衰期、稳态血药浓度等药动学参数概念及临床意义。影响药物作用的机体方面的因素；个体差异、高敏性等概念。</w:t>
            </w:r>
          </w:p>
          <w:p w14:paraId="260EEF07">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理解血药浓度变化的时间过程，时量曲线及其意义。表观分布容积、清除率等药动学参数的概念及其临床意义；恒比消除、恒量消除的概念和特点。</w:t>
            </w:r>
          </w:p>
          <w:p w14:paraId="2E046E63">
            <w:pPr>
              <w:rPr>
                <w:rFonts w:hint="eastAsia"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了解影响药物作用的药物方面的因素；安慰剂、配伍禁忌、协同作用、拮抗作用等概念。药物相互作用及合理用药的原则。</w:t>
            </w:r>
            <w:r>
              <w:rPr>
                <w:rFonts w:hint="eastAsia" w:ascii="Times New Roman" w:hAnsi="Times New Roman"/>
                <w:color w:val="000000"/>
                <w:sz w:val="21"/>
                <w:szCs w:val="21"/>
              </w:rPr>
              <w:t xml:space="preserve"> </w:t>
            </w:r>
          </w:p>
          <w:p w14:paraId="34943C51">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6C5529AE">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能运用药动学的知识解释药物体内过程对药物作用的影响。</w:t>
            </w:r>
          </w:p>
          <w:p w14:paraId="15868D41">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综合药动学基本知识和基本理论，能理解临床用药中采用负荷剂量给药的目的。</w:t>
            </w:r>
          </w:p>
          <w:p w14:paraId="72A859CE">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能运用药物作用的个体差异、指导患者个体化用药。</w:t>
            </w:r>
          </w:p>
          <w:p w14:paraId="2EAD8BAF">
            <w:pPr>
              <w:rPr>
                <w:rFonts w:ascii="Times New Roman" w:hAnsi="Times New Roman"/>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具有分析药物和机体的具体情况指导合理用药的能力。</w:t>
            </w:r>
            <w:r>
              <w:rPr>
                <w:rFonts w:ascii="Times New Roman" w:hAnsi="Times New Roman"/>
                <w:bCs/>
                <w:color w:val="000000"/>
                <w:sz w:val="21"/>
                <w:szCs w:val="21"/>
              </w:rPr>
              <w:t xml:space="preserve">                                                                                                                                                                                                                                                         </w:t>
            </w:r>
          </w:p>
          <w:p w14:paraId="2D9CA4CF">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6A0BD293">
            <w:pPr>
              <w:rPr>
                <w:rFonts w:ascii="Times New Roman" w:hAnsi="Times New Roman"/>
                <w:bCs/>
                <w:color w:val="000000"/>
                <w:sz w:val="21"/>
                <w:szCs w:val="21"/>
              </w:rPr>
            </w:pPr>
            <w:r>
              <w:rPr>
                <w:rFonts w:hint="eastAsia" w:ascii="Times New Roman" w:hAnsi="Times New Roman"/>
                <w:color w:val="000000"/>
                <w:sz w:val="21"/>
                <w:szCs w:val="21"/>
              </w:rPr>
              <w:t>通过学习</w:t>
            </w:r>
            <w:r>
              <w:rPr>
                <w:rFonts w:hint="eastAsia" w:ascii="Times New Roman" w:hAnsi="Times New Roman" w:cs="仿宋"/>
                <w:color w:val="000000"/>
                <w:sz w:val="21"/>
                <w:szCs w:val="21"/>
              </w:rPr>
              <w:t>药物代谢动力学、影响药物作用的因素</w:t>
            </w:r>
            <w:r>
              <w:rPr>
                <w:rFonts w:hint="eastAsia" w:ascii="Times New Roman" w:hAnsi="Times New Roman"/>
                <w:bCs/>
                <w:color w:val="000000"/>
                <w:sz w:val="21"/>
                <w:szCs w:val="21"/>
              </w:rPr>
              <w:t>,</w:t>
            </w:r>
            <w:r>
              <w:rPr>
                <w:rFonts w:hint="eastAsia" w:ascii="Times New Roman" w:hAnsi="Times New Roman"/>
                <w:color w:val="000000"/>
                <w:sz w:val="21"/>
                <w:szCs w:val="21"/>
              </w:rPr>
              <w:t xml:space="preserve"> 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746B92B8">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6703944B">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药物在体内的过程其影响因素。</w:t>
            </w:r>
          </w:p>
          <w:p w14:paraId="387D5BEA">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首关消除、肝肠循环、血-脑脊液屏障的概念与意义；</w:t>
            </w:r>
          </w:p>
          <w:p w14:paraId="402832CF">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恒比消除、恒量消除、 生物利用度、 半衰期（t1/2）的概念与意义。</w:t>
            </w:r>
          </w:p>
          <w:p w14:paraId="2DEEDD32">
            <w:pPr>
              <w:rPr>
                <w:rFonts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机体及药物方面影响药物作用的因素</w:t>
            </w:r>
          </w:p>
        </w:tc>
      </w:tr>
      <w:tr w14:paraId="2E1BFC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25DFCC1C">
            <w:pPr>
              <w:rPr>
                <w:rFonts w:hint="eastAsia" w:ascii="Times New Roman" w:hAnsi="Times New Roman"/>
                <w:color w:val="000000"/>
                <w:sz w:val="21"/>
                <w:szCs w:val="21"/>
              </w:rPr>
            </w:pPr>
            <w:r>
              <w:rPr>
                <w:rFonts w:hint="eastAsia" w:ascii="Times New Roman" w:hAnsi="Times New Roman"/>
                <w:bCs/>
                <w:color w:val="000000"/>
                <w:sz w:val="21"/>
                <w:szCs w:val="21"/>
              </w:rPr>
              <w:t xml:space="preserve">第三单元 </w:t>
            </w:r>
            <w:r>
              <w:rPr>
                <w:rFonts w:hint="eastAsia" w:ascii="Times New Roman" w:hAnsi="Times New Roman" w:cs="仿宋"/>
                <w:color w:val="000000"/>
                <w:sz w:val="21"/>
                <w:szCs w:val="21"/>
              </w:rPr>
              <w:t>传出神经系统药物概述，拟胆碱药、抗胆碱药</w:t>
            </w:r>
          </w:p>
          <w:p w14:paraId="67396799">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7ED3435F">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知道传出神经系统受体的分类、分布及效应。毛果芸香碱的药理作用、临床应用及用药注意事项。阿托品的药理作用、临床应用、不良反应及禁忌证。</w:t>
            </w:r>
          </w:p>
          <w:p w14:paraId="463372E0">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理解传出神经系统药物的作用方式及药物分类。新斯的明的药理作用、临床应用及禁忌证；有机磷酸酯类中毒机制及解毒药物的特点。东莨菪碱、山莨菪碱的作用特点及临床应用；其他M受体阻断药的作用特点。</w:t>
            </w:r>
          </w:p>
          <w:p w14:paraId="5618B95E">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了解传出神经系统的分类、递质的生物合成及代谢。有机磷酸酯类中毒的临床表现；其他拟胆碱药的作用特点。神经节阻断药的临床应用及两类骨骼肌松弛药物的异同点。</w:t>
            </w:r>
          </w:p>
          <w:p w14:paraId="07F9C264">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177D1DFF">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能分析传出神经系统受体的分类和生理效应；</w:t>
            </w:r>
          </w:p>
          <w:p w14:paraId="6F9E3832">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能运用药物作用方式对药物进行分类的方法。</w:t>
            </w:r>
          </w:p>
          <w:p w14:paraId="04F58EF6">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学会观察拟胆碱药的疗效及不良反应。M受体阻断药疗效及药物不良反应。</w:t>
            </w:r>
          </w:p>
          <w:p w14:paraId="4D4E97FE">
            <w:pPr>
              <w:rPr>
                <w:rFonts w:hint="eastAsia"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具有根据患者体征分析有机磷酸酯类中毒和抢救的能力。</w:t>
            </w:r>
          </w:p>
          <w:p w14:paraId="52F49F06">
            <w:pPr>
              <w:rPr>
                <w:rFonts w:ascii="Times New Roman" w:hAnsi="Times New Roman"/>
                <w:bCs/>
                <w:color w:val="000000"/>
                <w:sz w:val="21"/>
                <w:szCs w:val="21"/>
              </w:rPr>
            </w:pPr>
            <w:r>
              <w:rPr>
                <w:rFonts w:ascii="Times New Roman" w:hAnsi="Times New Roman" w:cs="仿宋"/>
                <w:color w:val="000000"/>
                <w:sz w:val="21"/>
                <w:szCs w:val="21"/>
              </w:rPr>
              <w:fldChar w:fldCharType="begin"/>
            </w:r>
            <w:r>
              <w:rPr>
                <w:rFonts w:ascii="Times New Roman" w:hAnsi="Times New Roman" w:cs="仿宋"/>
                <w:color w:val="000000"/>
                <w:sz w:val="21"/>
                <w:szCs w:val="21"/>
              </w:rPr>
              <w:instrText xml:space="preserve"> </w:instrText>
            </w:r>
            <w:r>
              <w:rPr>
                <w:rFonts w:hint="eastAsia" w:ascii="Times New Roman" w:hAnsi="Times New Roman" w:cs="仿宋"/>
                <w:color w:val="000000"/>
                <w:sz w:val="21"/>
                <w:szCs w:val="21"/>
              </w:rPr>
              <w:instrText xml:space="preserve">= 5 \* GB3</w:instrText>
            </w:r>
            <w:r>
              <w:rPr>
                <w:rFonts w:ascii="Times New Roman" w:hAnsi="Times New Roman" w:cs="仿宋"/>
                <w:color w:val="000000"/>
                <w:sz w:val="21"/>
                <w:szCs w:val="21"/>
              </w:rPr>
              <w:instrText xml:space="preserve"> </w:instrText>
            </w:r>
            <w:r>
              <w:rPr>
                <w:rFonts w:ascii="Times New Roman" w:hAnsi="Times New Roman" w:cs="仿宋"/>
                <w:color w:val="000000"/>
                <w:sz w:val="21"/>
                <w:szCs w:val="21"/>
              </w:rPr>
              <w:fldChar w:fldCharType="separate"/>
            </w:r>
            <w:r>
              <w:rPr>
                <w:rFonts w:hint="eastAsia" w:ascii="Times New Roman" w:hAnsi="Times New Roman" w:cs="仿宋"/>
                <w:color w:val="000000"/>
                <w:sz w:val="21"/>
                <w:szCs w:val="21"/>
                <w:lang/>
              </w:rPr>
              <w:t>⑤</w:t>
            </w:r>
            <w:r>
              <w:rPr>
                <w:rFonts w:ascii="Times New Roman" w:hAnsi="Times New Roman" w:cs="仿宋"/>
                <w:color w:val="000000"/>
                <w:sz w:val="21"/>
                <w:szCs w:val="21"/>
              </w:rPr>
              <w:fldChar w:fldCharType="end"/>
            </w:r>
            <w:r>
              <w:rPr>
                <w:rFonts w:hint="eastAsia" w:ascii="Times New Roman" w:hAnsi="Times New Roman" w:cs="仿宋"/>
                <w:color w:val="000000"/>
                <w:sz w:val="21"/>
                <w:szCs w:val="21"/>
              </w:rPr>
              <w:t>具有分析正确使用阿托品等M受体阻断药的能力。</w:t>
            </w:r>
          </w:p>
          <w:p w14:paraId="595000CA">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49CABEB2">
            <w:pPr>
              <w:rPr>
                <w:rFonts w:ascii="Times New Roman" w:hAnsi="Times New Roman"/>
                <w:bCs/>
                <w:color w:val="000000"/>
                <w:sz w:val="21"/>
                <w:szCs w:val="21"/>
              </w:rPr>
            </w:pPr>
            <w:r>
              <w:rPr>
                <w:rFonts w:hint="eastAsia" w:ascii="Times New Roman" w:hAnsi="Times New Roman"/>
                <w:color w:val="000000"/>
                <w:sz w:val="21"/>
                <w:szCs w:val="21"/>
              </w:rPr>
              <w:t>通过学习本单元</w:t>
            </w:r>
            <w:r>
              <w:rPr>
                <w:rFonts w:hint="eastAsia" w:ascii="Times New Roman" w:hAnsi="Times New Roman"/>
                <w:bCs/>
                <w:color w:val="000000"/>
                <w:sz w:val="21"/>
                <w:szCs w:val="21"/>
              </w:rPr>
              <w:t>,</w:t>
            </w:r>
            <w:r>
              <w:rPr>
                <w:rFonts w:hint="eastAsia" w:ascii="Times New Roman" w:hAnsi="Times New Roman"/>
                <w:color w:val="000000"/>
                <w:sz w:val="21"/>
                <w:szCs w:val="21"/>
              </w:rPr>
              <w:t xml:space="preserve"> 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34A5E13D">
            <w:pPr>
              <w:rPr>
                <w:rFonts w:hint="eastAsia"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6743DD05">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传出神经系统药物分类。</w:t>
            </w:r>
          </w:p>
          <w:p w14:paraId="5AD9080A">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传出神经系统按递质分类。</w:t>
            </w:r>
          </w:p>
          <w:p w14:paraId="087E3D37">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毛果芸香碱的药理作用、临床应用及用药注意事项。</w:t>
            </w:r>
          </w:p>
          <w:p w14:paraId="56264850">
            <w:pPr>
              <w:rPr>
                <w:rFonts w:hint="eastAsia"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新斯的明的药理作用、临床应用及禁忌证。</w:t>
            </w:r>
          </w:p>
          <w:p w14:paraId="7CD6ECA5">
            <w:pPr>
              <w:rPr>
                <w:rFonts w:hint="eastAsia" w:ascii="Times New Roman" w:hAnsi="Times New Roman" w:cs="仿宋"/>
                <w:color w:val="000000"/>
                <w:sz w:val="21"/>
                <w:szCs w:val="21"/>
              </w:rPr>
            </w:pPr>
            <w:r>
              <w:rPr>
                <w:rFonts w:ascii="Times New Roman" w:hAnsi="Times New Roman" w:cs="仿宋"/>
                <w:color w:val="000000"/>
                <w:sz w:val="21"/>
                <w:szCs w:val="21"/>
              </w:rPr>
              <w:fldChar w:fldCharType="begin"/>
            </w:r>
            <w:r>
              <w:rPr>
                <w:rFonts w:ascii="Times New Roman" w:hAnsi="Times New Roman" w:cs="仿宋"/>
                <w:color w:val="000000"/>
                <w:sz w:val="21"/>
                <w:szCs w:val="21"/>
              </w:rPr>
              <w:instrText xml:space="preserve"> </w:instrText>
            </w:r>
            <w:r>
              <w:rPr>
                <w:rFonts w:hint="eastAsia" w:ascii="Times New Roman" w:hAnsi="Times New Roman" w:cs="仿宋"/>
                <w:color w:val="000000"/>
                <w:sz w:val="21"/>
                <w:szCs w:val="21"/>
              </w:rPr>
              <w:instrText xml:space="preserve">= 5 \* GB3</w:instrText>
            </w:r>
            <w:r>
              <w:rPr>
                <w:rFonts w:ascii="Times New Roman" w:hAnsi="Times New Roman" w:cs="仿宋"/>
                <w:color w:val="000000"/>
                <w:sz w:val="21"/>
                <w:szCs w:val="21"/>
              </w:rPr>
              <w:instrText xml:space="preserve"> </w:instrText>
            </w:r>
            <w:r>
              <w:rPr>
                <w:rFonts w:ascii="Times New Roman" w:hAnsi="Times New Roman" w:cs="仿宋"/>
                <w:color w:val="000000"/>
                <w:sz w:val="21"/>
                <w:szCs w:val="21"/>
              </w:rPr>
              <w:fldChar w:fldCharType="separate"/>
            </w:r>
            <w:r>
              <w:rPr>
                <w:rFonts w:hint="eastAsia" w:ascii="Times New Roman" w:hAnsi="Times New Roman" w:cs="仿宋"/>
                <w:color w:val="000000"/>
                <w:sz w:val="21"/>
                <w:szCs w:val="21"/>
                <w:lang/>
              </w:rPr>
              <w:t>⑤</w:t>
            </w:r>
            <w:r>
              <w:rPr>
                <w:rFonts w:ascii="Times New Roman" w:hAnsi="Times New Roman" w:cs="仿宋"/>
                <w:color w:val="000000"/>
                <w:sz w:val="21"/>
                <w:szCs w:val="21"/>
              </w:rPr>
              <w:fldChar w:fldCharType="end"/>
            </w:r>
            <w:r>
              <w:rPr>
                <w:rFonts w:hint="eastAsia" w:ascii="Times New Roman" w:hAnsi="Times New Roman" w:cs="仿宋"/>
                <w:color w:val="000000"/>
                <w:sz w:val="21"/>
                <w:szCs w:val="21"/>
              </w:rPr>
              <w:t>阿托品的药理作用、临床应用、不良反应及禁忌证。</w:t>
            </w:r>
          </w:p>
          <w:p w14:paraId="7E1EE8B5">
            <w:pPr>
              <w:rPr>
                <w:rFonts w:ascii="Times New Roman" w:hAnsi="Times New Roman"/>
                <w:color w:val="000000"/>
                <w:sz w:val="21"/>
                <w:szCs w:val="21"/>
              </w:rPr>
            </w:pPr>
            <w:r>
              <w:rPr>
                <w:rFonts w:ascii="Times New Roman" w:hAnsi="Times New Roman" w:cs="仿宋"/>
                <w:color w:val="000000"/>
                <w:sz w:val="21"/>
                <w:szCs w:val="21"/>
              </w:rPr>
              <w:fldChar w:fldCharType="begin"/>
            </w:r>
            <w:r>
              <w:rPr>
                <w:rFonts w:ascii="Times New Roman" w:hAnsi="Times New Roman" w:cs="仿宋"/>
                <w:color w:val="000000"/>
                <w:sz w:val="21"/>
                <w:szCs w:val="21"/>
              </w:rPr>
              <w:instrText xml:space="preserve"> </w:instrText>
            </w:r>
            <w:r>
              <w:rPr>
                <w:rFonts w:hint="eastAsia" w:ascii="Times New Roman" w:hAnsi="Times New Roman" w:cs="仿宋"/>
                <w:color w:val="000000"/>
                <w:sz w:val="21"/>
                <w:szCs w:val="21"/>
              </w:rPr>
              <w:instrText xml:space="preserve">= 6 \* GB3</w:instrText>
            </w:r>
            <w:r>
              <w:rPr>
                <w:rFonts w:ascii="Times New Roman" w:hAnsi="Times New Roman" w:cs="仿宋"/>
                <w:color w:val="000000"/>
                <w:sz w:val="21"/>
                <w:szCs w:val="21"/>
              </w:rPr>
              <w:instrText xml:space="preserve"> </w:instrText>
            </w:r>
            <w:r>
              <w:rPr>
                <w:rFonts w:ascii="Times New Roman" w:hAnsi="Times New Roman" w:cs="仿宋"/>
                <w:color w:val="000000"/>
                <w:sz w:val="21"/>
                <w:szCs w:val="21"/>
              </w:rPr>
              <w:fldChar w:fldCharType="separate"/>
            </w:r>
            <w:r>
              <w:rPr>
                <w:rFonts w:hint="eastAsia" w:ascii="Times New Roman" w:hAnsi="Times New Roman" w:cs="仿宋"/>
                <w:color w:val="000000"/>
                <w:sz w:val="21"/>
                <w:szCs w:val="21"/>
                <w:lang/>
              </w:rPr>
              <w:t>⑥</w:t>
            </w:r>
            <w:r>
              <w:rPr>
                <w:rFonts w:ascii="Times New Roman" w:hAnsi="Times New Roman" w:cs="仿宋"/>
                <w:color w:val="000000"/>
                <w:sz w:val="21"/>
                <w:szCs w:val="21"/>
              </w:rPr>
              <w:fldChar w:fldCharType="end"/>
            </w:r>
            <w:r>
              <w:rPr>
                <w:rFonts w:hint="eastAsia" w:ascii="Times New Roman" w:hAnsi="Times New Roman" w:cs="仿宋"/>
                <w:color w:val="000000"/>
                <w:sz w:val="21"/>
                <w:szCs w:val="21"/>
              </w:rPr>
              <w:t>东莨菪碱、山莨菪碱的作用特点及临床应用。</w:t>
            </w:r>
          </w:p>
        </w:tc>
      </w:tr>
      <w:tr w14:paraId="53BE56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60B862F8">
            <w:pPr>
              <w:rPr>
                <w:rFonts w:hint="eastAsia" w:ascii="Times New Roman" w:hAnsi="Times New Roman" w:cs="仿宋"/>
                <w:color w:val="000000"/>
                <w:sz w:val="21"/>
                <w:szCs w:val="21"/>
              </w:rPr>
            </w:pPr>
            <w:r>
              <w:rPr>
                <w:rFonts w:hint="eastAsia" w:ascii="Times New Roman" w:hAnsi="Times New Roman"/>
                <w:bCs/>
                <w:color w:val="000000"/>
                <w:sz w:val="21"/>
                <w:szCs w:val="21"/>
              </w:rPr>
              <w:t xml:space="preserve">第四单元 </w:t>
            </w:r>
            <w:r>
              <w:rPr>
                <w:rFonts w:hint="eastAsia" w:ascii="Times New Roman" w:hAnsi="Times New Roman" w:cs="仿宋"/>
                <w:color w:val="000000"/>
                <w:sz w:val="21"/>
                <w:szCs w:val="21"/>
              </w:rPr>
              <w:t>拟肾上腺素药、抗肾上腺素药、麻醉药</w:t>
            </w:r>
          </w:p>
          <w:p w14:paraId="0FDE691E">
            <w:pPr>
              <w:rPr>
                <w:rFonts w:ascii="Times New Roman" w:hAnsi="Times New Roman"/>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314D4A3F">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肾上腺素、去甲肾上腺素、异丙肾上腺素的药理作用、临床应用及主要不良反应。β受体阻断药的药理作用、临床应用、不良反应及禁忌证。局部麻醉药的概念及药理作用、常用局部麻醉药的作用特点、临床应用和不良反应。</w:t>
            </w:r>
          </w:p>
          <w:p w14:paraId="775FECB3">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理解多巴胺、麻黄碱、间羟胺的作用特点及临床应用。α受体阻断药酚妥拉明的药理作用、临床应用、不良反应。理解局麻药的给药方法及用药注意事项。</w:t>
            </w:r>
          </w:p>
          <w:p w14:paraId="7150527A">
            <w:pPr>
              <w:rPr>
                <w:rFonts w:hint="eastAsia"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了解其他拟肾上腺素药的作用特点。其他抗肾上腺素药的作用特点及临床应用。常用的吸入性麻醉药和静脉麻醉药的临床应用。</w:t>
            </w:r>
          </w:p>
          <w:p w14:paraId="2D707388">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037D7ED8">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学会观察拟肾上腺素药的疗效及不良反应。抗肾上腺素药物疗效及防止不良反应。根据适应证合理选择局麻药物及防止不良反应。</w:t>
            </w:r>
          </w:p>
          <w:p w14:paraId="1E9E868B">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具有分析应用拟肾上腺素药及处置药物不良反应的能力。指导合理应用抗肾上腺素药的能力。</w:t>
            </w:r>
          </w:p>
          <w:p w14:paraId="4C365713">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 xml:space="preserve">具有与患者及家属就麻醉药应用、不良反应与注意事项进行有效沟通的能力 。  </w:t>
            </w:r>
          </w:p>
          <w:p w14:paraId="07329E07">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5A33E0FB">
            <w:pPr>
              <w:rPr>
                <w:rFonts w:ascii="Times New Roman" w:hAnsi="Times New Roman"/>
                <w:color w:val="000000"/>
                <w:sz w:val="21"/>
                <w:szCs w:val="21"/>
              </w:rPr>
            </w:pPr>
            <w:r>
              <w:rPr>
                <w:rFonts w:hint="eastAsia" w:ascii="Times New Roman" w:hAnsi="Times New Roman"/>
                <w:color w:val="000000"/>
                <w:sz w:val="21"/>
                <w:szCs w:val="21"/>
              </w:rPr>
              <w:t>通过本章学习</w:t>
            </w:r>
            <w:r>
              <w:rPr>
                <w:rFonts w:hint="eastAsia" w:ascii="Times New Roman" w:hAnsi="Times New Roman"/>
                <w:bCs/>
                <w:color w:val="000000"/>
                <w:sz w:val="21"/>
                <w:szCs w:val="21"/>
              </w:rPr>
              <w:t>,</w:t>
            </w:r>
            <w:r>
              <w:rPr>
                <w:rFonts w:hint="eastAsia" w:ascii="Times New Roman" w:hAnsi="Times New Roman"/>
                <w:color w:val="000000"/>
                <w:sz w:val="21"/>
                <w:szCs w:val="21"/>
              </w:rPr>
              <w:t>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244A67D0">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7D2C14B1">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肾上腺素、去甲肾上腺素、异丙肾上腺素及多巴胺主要激动的受体及药理作用。</w:t>
            </w:r>
          </w:p>
          <w:p w14:paraId="17303D68">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β受体阻断代表药的药理作用、临床应用、不良反应及禁忌证。</w:t>
            </w:r>
          </w:p>
          <w:p w14:paraId="107A9A5F">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α受体阻断药能翻转升压效应。</w:t>
            </w:r>
          </w:p>
          <w:p w14:paraId="14E5C72B">
            <w:pPr>
              <w:rPr>
                <w:rFonts w:hint="eastAsia"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局部麻醉药的概念。</w:t>
            </w:r>
          </w:p>
          <w:p w14:paraId="2BF38099">
            <w:pPr>
              <w:rPr>
                <w:rFonts w:ascii="Times New Roman" w:hAnsi="Times New Roman"/>
                <w:color w:val="000000"/>
                <w:sz w:val="21"/>
                <w:szCs w:val="21"/>
              </w:rPr>
            </w:pPr>
            <w:r>
              <w:rPr>
                <w:rFonts w:ascii="Times New Roman" w:hAnsi="Times New Roman" w:cs="仿宋"/>
                <w:color w:val="000000"/>
                <w:sz w:val="21"/>
                <w:szCs w:val="21"/>
              </w:rPr>
              <w:fldChar w:fldCharType="begin"/>
            </w:r>
            <w:r>
              <w:rPr>
                <w:rFonts w:ascii="Times New Roman" w:hAnsi="Times New Roman" w:cs="仿宋"/>
                <w:color w:val="000000"/>
                <w:sz w:val="21"/>
                <w:szCs w:val="21"/>
              </w:rPr>
              <w:instrText xml:space="preserve"> </w:instrText>
            </w:r>
            <w:r>
              <w:rPr>
                <w:rFonts w:hint="eastAsia" w:ascii="Times New Roman" w:hAnsi="Times New Roman" w:cs="仿宋"/>
                <w:color w:val="000000"/>
                <w:sz w:val="21"/>
                <w:szCs w:val="21"/>
              </w:rPr>
              <w:instrText xml:space="preserve">= 5 \* GB3</w:instrText>
            </w:r>
            <w:r>
              <w:rPr>
                <w:rFonts w:ascii="Times New Roman" w:hAnsi="Times New Roman" w:cs="仿宋"/>
                <w:color w:val="000000"/>
                <w:sz w:val="21"/>
                <w:szCs w:val="21"/>
              </w:rPr>
              <w:instrText xml:space="preserve"> </w:instrText>
            </w:r>
            <w:r>
              <w:rPr>
                <w:rFonts w:ascii="Times New Roman" w:hAnsi="Times New Roman" w:cs="仿宋"/>
                <w:color w:val="000000"/>
                <w:sz w:val="21"/>
                <w:szCs w:val="21"/>
              </w:rPr>
              <w:fldChar w:fldCharType="separate"/>
            </w:r>
            <w:r>
              <w:rPr>
                <w:rFonts w:hint="eastAsia" w:ascii="Times New Roman" w:hAnsi="Times New Roman" w:cs="仿宋"/>
                <w:color w:val="000000"/>
                <w:sz w:val="21"/>
                <w:szCs w:val="21"/>
                <w:lang/>
              </w:rPr>
              <w:t>⑤</w:t>
            </w:r>
            <w:r>
              <w:rPr>
                <w:rFonts w:ascii="Times New Roman" w:hAnsi="Times New Roman" w:cs="仿宋"/>
                <w:color w:val="000000"/>
                <w:sz w:val="21"/>
                <w:szCs w:val="21"/>
              </w:rPr>
              <w:fldChar w:fldCharType="end"/>
            </w:r>
            <w:r>
              <w:rPr>
                <w:rFonts w:hint="eastAsia" w:ascii="Times New Roman" w:hAnsi="Times New Roman" w:cs="仿宋"/>
                <w:color w:val="000000"/>
                <w:sz w:val="21"/>
                <w:szCs w:val="21"/>
              </w:rPr>
              <w:t>常用局麻药物的作用异同点。</w:t>
            </w:r>
          </w:p>
        </w:tc>
      </w:tr>
      <w:tr w14:paraId="32A36D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4386854C">
            <w:pPr>
              <w:rPr>
                <w:rFonts w:hint="eastAsia" w:ascii="Times New Roman" w:hAnsi="Times New Roman" w:cs="仿宋"/>
                <w:color w:val="000000"/>
                <w:sz w:val="21"/>
                <w:szCs w:val="21"/>
              </w:rPr>
            </w:pPr>
            <w:r>
              <w:rPr>
                <w:rFonts w:hint="eastAsia" w:ascii="Times New Roman" w:hAnsi="Times New Roman"/>
                <w:bCs/>
                <w:color w:val="000000"/>
                <w:sz w:val="21"/>
                <w:szCs w:val="21"/>
              </w:rPr>
              <w:t xml:space="preserve">第五单元 </w:t>
            </w:r>
            <w:r>
              <w:rPr>
                <w:rFonts w:hint="eastAsia" w:ascii="Times New Roman" w:hAnsi="Times New Roman" w:cs="仿宋"/>
                <w:color w:val="000000"/>
                <w:sz w:val="21"/>
                <w:szCs w:val="21"/>
              </w:rPr>
              <w:t>镇静催眠药和抗惊厥药抗癫痫药，抗帕金森病药及抗阿尔茨海默病药</w:t>
            </w:r>
          </w:p>
          <w:p w14:paraId="6E253743">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75BD03A6">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知道苯二氮䓬类药物的药理作用、临床应用及不良反应。苯妥英钠的药理作用、临床应用及不良反应，各型癫痫的合理选药。抗帕金森病药的分类及常用药名称，左旋多巴的药理作用、临床应用及不良反应。</w:t>
            </w:r>
          </w:p>
          <w:p w14:paraId="484456A5">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镇静催眠药的分类及代表药物，巴比妥类药物的作用特点、临床应用、主要不良反应及注意事项。苯巴比妥、丙戊酸钠、卡马西平、乙琥胺等药的作用特点及临床应用。抗阿尔茨海默病药的分类、常用药物的作用特点。</w:t>
            </w:r>
          </w:p>
          <w:p w14:paraId="5EBC6EDB">
            <w:pPr>
              <w:rPr>
                <w:rFonts w:hint="eastAsia"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了解水合氯醛的作用特点及临床应用；硫酸镁的药理作用及临床应用。癫痫的分型及抗癫痫药的用药原则。其他抗帕金森病药的作用特点，抗帕金林病药的用药原则。</w:t>
            </w:r>
            <w:r>
              <w:rPr>
                <w:rFonts w:hint="eastAsia" w:ascii="Times New Roman" w:hAnsi="Times New Roman"/>
                <w:color w:val="000000"/>
                <w:sz w:val="21"/>
                <w:szCs w:val="21"/>
              </w:rPr>
              <w:t xml:space="preserve">  </w:t>
            </w:r>
          </w:p>
          <w:p w14:paraId="316EA8E6">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287E1424">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学会观察本类药物的疗效及不良反应。</w:t>
            </w:r>
          </w:p>
          <w:p w14:paraId="14163BBC">
            <w:pPr>
              <w:rPr>
                <w:rFonts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具有指导患者合理用药的能力，并严格遵守精神药品管理相关法规和制度。</w:t>
            </w:r>
          </w:p>
          <w:p w14:paraId="60B4E463">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具有根据癫痫分型分析合理选用抗癫痫药物的能力。</w:t>
            </w:r>
          </w:p>
          <w:p w14:paraId="08DC86F5">
            <w:pPr>
              <w:rPr>
                <w:rFonts w:ascii="Times New Roman" w:hAnsi="Times New Roman"/>
                <w:bCs/>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具有指导患者合理用药的能力。</w:t>
            </w:r>
          </w:p>
          <w:p w14:paraId="7D5C7FBE">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4334A655">
            <w:pPr>
              <w:rPr>
                <w:rFonts w:ascii="Times New Roman" w:hAnsi="Times New Roman"/>
                <w:color w:val="000000"/>
                <w:sz w:val="21"/>
                <w:szCs w:val="21"/>
              </w:rPr>
            </w:pPr>
            <w:r>
              <w:rPr>
                <w:rFonts w:hint="eastAsia" w:ascii="Times New Roman" w:hAnsi="Times New Roman"/>
                <w:color w:val="000000"/>
                <w:sz w:val="21"/>
                <w:szCs w:val="21"/>
              </w:rPr>
              <w:t>通过本章学习</w:t>
            </w:r>
            <w:r>
              <w:rPr>
                <w:rFonts w:hint="eastAsia" w:ascii="Times New Roman" w:hAnsi="Times New Roman"/>
                <w:bCs/>
                <w:color w:val="000000"/>
                <w:sz w:val="21"/>
                <w:szCs w:val="21"/>
              </w:rPr>
              <w:t>,</w:t>
            </w:r>
            <w:r>
              <w:rPr>
                <w:rFonts w:hint="eastAsia" w:ascii="Times New Roman" w:hAnsi="Times New Roman"/>
                <w:color w:val="000000"/>
                <w:sz w:val="21"/>
                <w:szCs w:val="21"/>
              </w:rPr>
              <w:t>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58B1CB63">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7C2096FE">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苯二氮䓬类的药理作用、临床应用及不良反应。</w:t>
            </w:r>
          </w:p>
          <w:p w14:paraId="0C2C0203">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镇静催眠药的分类及代表药物</w:t>
            </w:r>
          </w:p>
          <w:p w14:paraId="4D39E184">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根据癫痫发作类型合理选择药物</w:t>
            </w:r>
          </w:p>
          <w:p w14:paraId="3D561E1C">
            <w:pPr>
              <w:rPr>
                <w:rFonts w:ascii="Times New Roman" w:hAnsi="Times New Roman"/>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抗帕金森病药的分类及常用药名称，左旋多巴的药理作用、临床应用及不良反应。</w:t>
            </w:r>
          </w:p>
        </w:tc>
      </w:tr>
      <w:tr w14:paraId="0BDED3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7AC1EA88">
            <w:pPr>
              <w:rPr>
                <w:rFonts w:ascii="Times New Roman" w:hAnsi="Times New Roman" w:cs="仿宋"/>
                <w:color w:val="000000"/>
                <w:sz w:val="21"/>
                <w:szCs w:val="21"/>
              </w:rPr>
            </w:pPr>
            <w:r>
              <w:rPr>
                <w:rFonts w:hint="eastAsia" w:ascii="Times New Roman" w:hAnsi="Times New Roman"/>
                <w:bCs/>
                <w:color w:val="000000"/>
                <w:sz w:val="21"/>
                <w:szCs w:val="21"/>
              </w:rPr>
              <w:t xml:space="preserve">第六单元 </w:t>
            </w:r>
            <w:r>
              <w:rPr>
                <w:rFonts w:hint="eastAsia" w:ascii="Times New Roman" w:hAnsi="Times New Roman" w:cs="仿宋"/>
                <w:color w:val="000000"/>
                <w:sz w:val="21"/>
                <w:szCs w:val="21"/>
              </w:rPr>
              <w:t>抗精神失常药镇痛药、解热镇痛抗炎药、枢兴奋药与促大脑功能恢复药</w:t>
            </w:r>
          </w:p>
          <w:p w14:paraId="4C6379A9">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05525CDC">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知道氯丙嗪的药理作用、临床应用、不良反应及禁忌证。吗啡、哌替啶的药理作用、临床应用、不良反应及注意事项。解热镇痛抗炎药的药理作用及作用机制、主要不良反应； 阿司匹林的药理作用、临床应用和不良反应。解热镇痛抗炎药的药理作用及作用机制、主要不良反应； 阿司匹林的药理作用、临床应用和不良反应。</w:t>
            </w:r>
          </w:p>
          <w:p w14:paraId="72563693">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氯氮平、利培酮、碳酸锂、丙米嗪的作用特点及临床应用。可待因、芬太尼、美沙酮、喷他佐辛、纳洛酮的作用特点及临床应用。对乙酰氨基酚、吲哚美辛、布洛芬的作用特点及临床应用。咖啡因、尼可刹米、洛贝林的药理作用、临床应用及不良反应。</w:t>
            </w:r>
          </w:p>
          <w:p w14:paraId="7CF7E9F7">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其他抗精神失常药的作用特点、临床应用及主要不良反应。其他镇痛药的作用特点。了解解热镇痛抗炎药的分类及代表药物名称，其他解热镇痛抗炎药的作用特点和临床应用。其他中枢兴奋药作用和临床应用。</w:t>
            </w:r>
          </w:p>
          <w:p w14:paraId="5C9A2FED">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254543A5">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学会观察本类药物的疗效及不良反应。</w:t>
            </w:r>
          </w:p>
          <w:p w14:paraId="1D690BBE">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具有指导精神失常患者合理使用抗精神失常药、镇痛药的能力，并能充分认识滥用麻醉药品的危害性。</w:t>
            </w:r>
          </w:p>
          <w:p w14:paraId="5AF0A7B5">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分析本类药物常用配伍用药的合理性；指导患者合理用药。</w:t>
            </w:r>
          </w:p>
          <w:p w14:paraId="191BE88C">
            <w:pPr>
              <w:rPr>
                <w:rFonts w:hint="eastAsia"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 xml:space="preserve">具有根据适应证合理选用解热镇痛抗炎药物及防治不良反应的能力。  </w:t>
            </w:r>
          </w:p>
          <w:p w14:paraId="0E177A07">
            <w:pPr>
              <w:rPr>
                <w:rFonts w:ascii="Times New Roman" w:hAnsi="Times New Roman"/>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5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⑤</w:t>
            </w:r>
            <w:r>
              <w:rPr>
                <w:rFonts w:ascii="Times New Roman" w:hAnsi="Times New Roman"/>
                <w:color w:val="000000"/>
                <w:sz w:val="21"/>
                <w:szCs w:val="21"/>
              </w:rPr>
              <w:fldChar w:fldCharType="end"/>
            </w:r>
            <w:r>
              <w:rPr>
                <w:rFonts w:hint="eastAsia" w:ascii="Times New Roman" w:hAnsi="Times New Roman" w:cs="仿宋"/>
                <w:color w:val="000000"/>
                <w:sz w:val="21"/>
                <w:szCs w:val="21"/>
              </w:rPr>
              <w:t>具有指导患者合理选用中枢兴奋药及促大脑功能恢复药的能力。</w:t>
            </w:r>
          </w:p>
          <w:p w14:paraId="4A8A81FD">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738DFA12">
            <w:pPr>
              <w:rPr>
                <w:rFonts w:ascii="Times New Roman" w:hAnsi="Times New Roman"/>
                <w:color w:val="000000"/>
                <w:sz w:val="21"/>
                <w:szCs w:val="21"/>
              </w:rPr>
            </w:pPr>
            <w:r>
              <w:rPr>
                <w:rFonts w:hint="eastAsia" w:ascii="Times New Roman" w:hAnsi="Times New Roman"/>
                <w:color w:val="000000"/>
                <w:sz w:val="21"/>
                <w:szCs w:val="21"/>
              </w:rPr>
              <w:t>通过本章学习</w:t>
            </w:r>
            <w:r>
              <w:rPr>
                <w:rFonts w:hint="eastAsia" w:ascii="Times New Roman" w:hAnsi="Times New Roman"/>
                <w:bCs/>
                <w:color w:val="000000"/>
                <w:sz w:val="21"/>
                <w:szCs w:val="21"/>
              </w:rPr>
              <w:t>,</w:t>
            </w:r>
            <w:r>
              <w:rPr>
                <w:rFonts w:hint="eastAsia" w:ascii="Times New Roman" w:hAnsi="Times New Roman"/>
                <w:color w:val="000000"/>
                <w:sz w:val="21"/>
                <w:szCs w:val="21"/>
              </w:rPr>
              <w:t>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1CEAE986">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72555F1F">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氯丙嗪的药理作用、临床应用、不良反应及禁忌证。</w:t>
            </w:r>
          </w:p>
          <w:p w14:paraId="5D768C22">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吗啡、哌替啶的药理作用、临床应用、不良反应及注意事项。</w:t>
            </w:r>
          </w:p>
          <w:p w14:paraId="066FA096">
            <w:pPr>
              <w:rPr>
                <w:rFonts w:ascii="Times New Roman" w:hAnsi="Times New Roman"/>
                <w:bCs/>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解热镇痛抗炎药的药理作用及作用机制、主要不良反应； 阿司匹林的药理作用、临床应用和不良反应。</w:t>
            </w:r>
          </w:p>
        </w:tc>
      </w:tr>
      <w:tr w14:paraId="476AA7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68EE678A">
            <w:pPr>
              <w:rPr>
                <w:rFonts w:hint="eastAsia" w:ascii="Times New Roman" w:hAnsi="Times New Roman"/>
                <w:color w:val="000000"/>
                <w:sz w:val="21"/>
                <w:szCs w:val="21"/>
              </w:rPr>
            </w:pPr>
            <w:r>
              <w:rPr>
                <w:rFonts w:hint="eastAsia" w:ascii="Times New Roman" w:hAnsi="Times New Roman"/>
                <w:bCs/>
                <w:color w:val="000000"/>
                <w:sz w:val="21"/>
                <w:szCs w:val="21"/>
              </w:rPr>
              <w:t xml:space="preserve">第七单元 </w:t>
            </w:r>
            <w:r>
              <w:rPr>
                <w:rFonts w:hint="eastAsia" w:ascii="Times New Roman" w:hAnsi="Times New Roman" w:cs="仿宋"/>
                <w:color w:val="000000"/>
                <w:sz w:val="21"/>
                <w:szCs w:val="21"/>
              </w:rPr>
              <w:t>抗高血压药</w:t>
            </w:r>
          </w:p>
          <w:p w14:paraId="73ACC46C">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7A1BF20F">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知道利尿药、β受体阻断药、钙通道阻滞药、血管紧张素转化酶抑制药及血管紧张素Ⅱ受体阻断药的作用机制、作用特点、临床应用及不良反应。</w:t>
            </w:r>
          </w:p>
          <w:p w14:paraId="4036767B">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理解抗高血压药的分类各类、代表药物名称及抗高血压药的临床应用原则。</w:t>
            </w:r>
          </w:p>
          <w:p w14:paraId="2ADAE6F6">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了解中枢性降压药、α1受体阻断药、血管扩张药的降压特点、作用机制和临床应用。</w:t>
            </w:r>
          </w:p>
          <w:p w14:paraId="0214D55D">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43D98639">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具有观察药物疗效和常见不良反应的能力。</w:t>
            </w:r>
          </w:p>
          <w:p w14:paraId="57B63CDC">
            <w:pPr>
              <w:rPr>
                <w:rFonts w:hint="eastAsia" w:ascii="Times New Roman" w:hAnsi="Times New Roman"/>
                <w:bCs/>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能够与患者及家属进行沟通，开展防治高血压病的健康教育，指导患者合理用药。</w:t>
            </w:r>
          </w:p>
          <w:p w14:paraId="4F07E338">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6F7B6F2D">
            <w:pPr>
              <w:rPr>
                <w:rFonts w:ascii="Times New Roman" w:hAnsi="Times New Roman"/>
                <w:color w:val="000000"/>
                <w:sz w:val="21"/>
                <w:szCs w:val="21"/>
              </w:rPr>
            </w:pPr>
            <w:r>
              <w:rPr>
                <w:rFonts w:hint="eastAsia" w:ascii="Times New Roman" w:hAnsi="Times New Roman"/>
                <w:color w:val="000000"/>
                <w:sz w:val="21"/>
                <w:szCs w:val="21"/>
              </w:rPr>
              <w:t>通过学习本章</w:t>
            </w:r>
            <w:r>
              <w:rPr>
                <w:rFonts w:hint="eastAsia" w:ascii="Times New Roman" w:hAnsi="Times New Roman"/>
                <w:bCs/>
                <w:color w:val="000000"/>
                <w:sz w:val="21"/>
                <w:szCs w:val="21"/>
              </w:rPr>
              <w:t>,</w:t>
            </w:r>
            <w:r>
              <w:rPr>
                <w:rFonts w:hint="eastAsia" w:ascii="Times New Roman" w:hAnsi="Times New Roman"/>
                <w:color w:val="000000"/>
                <w:sz w:val="21"/>
                <w:szCs w:val="21"/>
              </w:rPr>
              <w:t>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632DE31D">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533A9FE8">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一线抗高血压药的作用机制、作用特点、临床应用及不良反应。</w:t>
            </w:r>
          </w:p>
          <w:p w14:paraId="6C386873">
            <w:pPr>
              <w:rPr>
                <w:rFonts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抗高血压药的临床应用原则。</w:t>
            </w:r>
          </w:p>
        </w:tc>
      </w:tr>
      <w:tr w14:paraId="590FA7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6F1CB314">
            <w:pPr>
              <w:rPr>
                <w:rFonts w:hint="eastAsia" w:ascii="Times New Roman" w:hAnsi="Times New Roman" w:cs="仿宋"/>
                <w:color w:val="000000"/>
                <w:sz w:val="21"/>
                <w:szCs w:val="21"/>
              </w:rPr>
            </w:pPr>
            <w:r>
              <w:rPr>
                <w:rFonts w:hint="eastAsia" w:ascii="Times New Roman" w:hAnsi="Times New Roman"/>
                <w:bCs/>
                <w:color w:val="000000"/>
                <w:sz w:val="21"/>
                <w:szCs w:val="21"/>
              </w:rPr>
              <w:t xml:space="preserve">第八单元 </w:t>
            </w:r>
            <w:r>
              <w:rPr>
                <w:rFonts w:hint="eastAsia" w:ascii="Times New Roman" w:hAnsi="Times New Roman" w:cs="仿宋"/>
                <w:color w:val="000000"/>
                <w:sz w:val="21"/>
                <w:szCs w:val="21"/>
              </w:rPr>
              <w:t>抗心律失常药、抗充血性心力衰竭药</w:t>
            </w:r>
          </w:p>
          <w:p w14:paraId="4F22992F">
            <w:pPr>
              <w:rPr>
                <w:rFonts w:ascii="Times New Roman" w:hAnsi="Times New Roman" w:cs="仿宋"/>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671536A0">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知道抗心律失常药的分类，各类代表药的药理作用、临床应用及不良反应。血管紧张素转化酶抑制药、利尿药、β受体阻断药、醛固酮拮抗剂、强心苷的药理作用、临床应用、不良反应及注意事项。</w:t>
            </w:r>
          </w:p>
          <w:p w14:paraId="7EF20E23">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理解抗心律失常药的基本电生理作用及临床常见心律失常的选药。抗充血性心力衰竭药的分类及代表药物名称、血管紧张素Ⅱ受体阻断药、血管扩张药、非苷类正性肌力药的作用特点及临床应用。</w:t>
            </w:r>
          </w:p>
          <w:p w14:paraId="6072170B">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了解正常心肌电生理及心律失常发生的电生理机制。强心苷类药物的给药方法及相互作用、血管扩张药及非苷类正性肌力药的不良反应及注意事项。</w:t>
            </w:r>
            <w:r>
              <w:rPr>
                <w:rFonts w:hint="eastAsia" w:ascii="Times New Roman" w:hAnsi="Times New Roman"/>
                <w:color w:val="000000"/>
                <w:sz w:val="21"/>
                <w:szCs w:val="21"/>
              </w:rPr>
              <w:t xml:space="preserve">     </w:t>
            </w:r>
          </w:p>
          <w:p w14:paraId="21893790">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15C25DBE">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学会观察抗心律失常药物的疗效及判断不良反应的能力。</w:t>
            </w:r>
          </w:p>
          <w:p w14:paraId="537C4FB9">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具有根据适应证指导合理选择药物及防治不良反应的能力。</w:t>
            </w:r>
          </w:p>
          <w:p w14:paraId="0FB5C320">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能与患者及家属进行沟通，帮助和指导患者正确合理用药。</w:t>
            </w:r>
          </w:p>
          <w:p w14:paraId="79831136">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7022D1C5">
            <w:pPr>
              <w:rPr>
                <w:rFonts w:ascii="Times New Roman" w:hAnsi="Times New Roman"/>
                <w:bCs/>
                <w:color w:val="000000"/>
                <w:sz w:val="21"/>
                <w:szCs w:val="21"/>
              </w:rPr>
            </w:pPr>
            <w:r>
              <w:rPr>
                <w:rFonts w:hint="eastAsia" w:ascii="Times New Roman" w:hAnsi="Times New Roman"/>
                <w:color w:val="000000"/>
                <w:sz w:val="21"/>
                <w:szCs w:val="21"/>
              </w:rPr>
              <w:t>通过学习本章，增强尊重科学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46CF43F2">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370E5DC1">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抗心律失常药的分类，各类代表药的药理作用、临床应用及不良反应。</w:t>
            </w:r>
          </w:p>
          <w:p w14:paraId="6F87D0EE">
            <w:pPr>
              <w:rPr>
                <w:rFonts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血管紧张素转化酶抑制药、利尿药、β受体阻断药、醛固酮拮抗剂、强心苷的药理作用、临床应用、不良反应及注意事项。</w:t>
            </w:r>
          </w:p>
        </w:tc>
      </w:tr>
      <w:tr w14:paraId="11F3D2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1F8BF713">
            <w:pPr>
              <w:rPr>
                <w:rFonts w:ascii="Times New Roman" w:hAnsi="Times New Roman" w:cs="仿宋"/>
                <w:color w:val="000000"/>
                <w:sz w:val="21"/>
                <w:szCs w:val="21"/>
              </w:rPr>
            </w:pPr>
            <w:r>
              <w:rPr>
                <w:rFonts w:hint="eastAsia" w:ascii="Times New Roman" w:hAnsi="Times New Roman"/>
                <w:bCs/>
                <w:color w:val="000000"/>
                <w:sz w:val="21"/>
                <w:szCs w:val="21"/>
              </w:rPr>
              <w:t>第九单元</w:t>
            </w:r>
            <w:r>
              <w:rPr>
                <w:rFonts w:hint="eastAsia" w:ascii="Times New Roman" w:hAnsi="Times New Roman" w:cs="仿宋"/>
                <w:color w:val="000000"/>
                <w:sz w:val="21"/>
                <w:szCs w:val="21"/>
              </w:rPr>
              <w:t>抗心绞痛药、调血脂药、利尿药及脱水药</w:t>
            </w:r>
          </w:p>
          <w:p w14:paraId="69A90829">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2008ADDF">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抗心绞痛药的作用及分类，硝酸甘油、普萘洛尔、硝苯地平的抗心绞痛作用及临床应用。他汀类、贝特类药调血脂作用、临床应用及主要不良反应。呋塞米、氢氯噻嗪、螺内酯的利尿作用特点、临床应用、不良反应和用药注意事项。</w:t>
            </w:r>
          </w:p>
          <w:p w14:paraId="0E683059">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理解硝酸甘油的给药方法，硝酸酯类与β受体阻断药联合用药的目的和意义。调血脂药的分类及代表药物，血脂异常的选药及用药原则。利尿药的分类、各类药物的作用机制；甘露醇的作用和临床应用。</w:t>
            </w:r>
          </w:p>
          <w:p w14:paraId="4F7ABCAB">
            <w:pPr>
              <w:rPr>
                <w:rFonts w:ascii="Times New Roman" w:hAnsi="Times New Roman"/>
                <w:color w:val="000000"/>
                <w:sz w:val="21"/>
                <w:szCs w:val="21"/>
              </w:rPr>
            </w:pPr>
            <w:r>
              <w:rPr>
                <w:rFonts w:hint="eastAsia" w:ascii="Times New Roman" w:hAnsi="Times New Roman"/>
                <w:color w:val="000000"/>
                <w:sz w:val="21"/>
                <w:szCs w:val="21"/>
              </w:rPr>
              <w:t>③</w:t>
            </w:r>
            <w:r>
              <w:rPr>
                <w:rFonts w:hint="eastAsia" w:ascii="Times New Roman" w:hAnsi="Times New Roman" w:cs="仿宋"/>
                <w:color w:val="000000"/>
                <w:sz w:val="21"/>
                <w:szCs w:val="21"/>
              </w:rPr>
              <w:t>了解硝酸甘油、普萘洛尔、硝苯地平的常见不良反应。其他调血脂药的作用特点及临床适应证。其他利尿药和脱水药的作用特点及临床应用。</w:t>
            </w:r>
          </w:p>
          <w:p w14:paraId="3845EC82">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211FB9D6">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学会观察本类药物的疗效及不良反应。</w:t>
            </w:r>
          </w:p>
          <w:p w14:paraId="5B0DDD4D">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具有指导合理选用抗心绞痛药物、调血脂药物及指导患者合理用药的能力。</w:t>
            </w:r>
            <w:r>
              <w:rPr>
                <w:rFonts w:hint="eastAsia" w:ascii="Times New Roman" w:hAnsi="Times New Roman"/>
                <w:color w:val="000000"/>
                <w:sz w:val="21"/>
                <w:szCs w:val="21"/>
              </w:rPr>
              <w:t>③</w:t>
            </w:r>
            <w:r>
              <w:rPr>
                <w:rFonts w:hint="eastAsia" w:ascii="Times New Roman" w:hAnsi="Times New Roman" w:cs="仿宋"/>
                <w:color w:val="000000"/>
                <w:sz w:val="21"/>
                <w:szCs w:val="21"/>
              </w:rPr>
              <w:t>具有指导患者改变生活方式、合理用药并确定用药目标的能力。</w:t>
            </w:r>
          </w:p>
          <w:p w14:paraId="1D63B81D">
            <w:pPr>
              <w:rPr>
                <w:rFonts w:hint="eastAsia" w:ascii="Times New Roman" w:hAnsi="Times New Roman" w:cs="仿宋"/>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学会根据适应证指导合理选择利尿药、脱水药及防治不良反应。</w:t>
            </w:r>
          </w:p>
          <w:p w14:paraId="000E3525">
            <w:pPr>
              <w:rPr>
                <w:rFonts w:ascii="Times New Roman" w:hAnsi="Times New Roman"/>
                <w:color w:val="000000"/>
                <w:sz w:val="21"/>
                <w:szCs w:val="21"/>
              </w:rPr>
            </w:pPr>
            <w:r>
              <w:rPr>
                <w:rFonts w:ascii="Times New Roman" w:hAnsi="Times New Roman" w:cs="仿宋"/>
                <w:color w:val="000000"/>
                <w:sz w:val="21"/>
                <w:szCs w:val="21"/>
              </w:rPr>
              <w:fldChar w:fldCharType="begin"/>
            </w:r>
            <w:r>
              <w:rPr>
                <w:rFonts w:ascii="Times New Roman" w:hAnsi="Times New Roman" w:cs="仿宋"/>
                <w:color w:val="000000"/>
                <w:sz w:val="21"/>
                <w:szCs w:val="21"/>
              </w:rPr>
              <w:instrText xml:space="preserve"> </w:instrText>
            </w:r>
            <w:r>
              <w:rPr>
                <w:rFonts w:hint="eastAsia" w:ascii="Times New Roman" w:hAnsi="Times New Roman" w:cs="仿宋"/>
                <w:color w:val="000000"/>
                <w:sz w:val="21"/>
                <w:szCs w:val="21"/>
              </w:rPr>
              <w:instrText xml:space="preserve">= 5 \* GB3</w:instrText>
            </w:r>
            <w:r>
              <w:rPr>
                <w:rFonts w:ascii="Times New Roman" w:hAnsi="Times New Roman" w:cs="仿宋"/>
                <w:color w:val="000000"/>
                <w:sz w:val="21"/>
                <w:szCs w:val="21"/>
              </w:rPr>
              <w:instrText xml:space="preserve"> </w:instrText>
            </w:r>
            <w:r>
              <w:rPr>
                <w:rFonts w:ascii="Times New Roman" w:hAnsi="Times New Roman" w:cs="仿宋"/>
                <w:color w:val="000000"/>
                <w:sz w:val="21"/>
                <w:szCs w:val="21"/>
              </w:rPr>
              <w:fldChar w:fldCharType="separate"/>
            </w:r>
            <w:r>
              <w:rPr>
                <w:rFonts w:hint="eastAsia" w:ascii="Times New Roman" w:hAnsi="Times New Roman" w:cs="仿宋"/>
                <w:color w:val="000000"/>
                <w:sz w:val="21"/>
                <w:szCs w:val="21"/>
                <w:lang/>
              </w:rPr>
              <w:t>⑤</w:t>
            </w:r>
            <w:r>
              <w:rPr>
                <w:rFonts w:ascii="Times New Roman" w:hAnsi="Times New Roman" w:cs="仿宋"/>
                <w:color w:val="000000"/>
                <w:sz w:val="21"/>
                <w:szCs w:val="21"/>
              </w:rPr>
              <w:fldChar w:fldCharType="end"/>
            </w:r>
            <w:r>
              <w:rPr>
                <w:rFonts w:hint="eastAsia" w:ascii="Times New Roman" w:hAnsi="Times New Roman" w:cs="仿宋"/>
                <w:color w:val="000000"/>
                <w:sz w:val="21"/>
                <w:szCs w:val="21"/>
              </w:rPr>
              <w:t>具有指导患者合理应用利尿药，开展用药咨询服务的能力。</w:t>
            </w:r>
            <w:r>
              <w:rPr>
                <w:rFonts w:hint="eastAsia" w:ascii="Times New Roman" w:hAnsi="Times New Roman"/>
                <w:bCs/>
                <w:color w:val="000000"/>
                <w:sz w:val="21"/>
                <w:szCs w:val="21"/>
              </w:rPr>
              <w:t>②</w:t>
            </w:r>
            <w:r>
              <w:rPr>
                <w:rFonts w:hint="eastAsia" w:ascii="Times New Roman" w:hAnsi="Times New Roman"/>
                <w:color w:val="000000"/>
                <w:sz w:val="21"/>
                <w:szCs w:val="21"/>
              </w:rPr>
              <w:t>能说出其他利尿药、脱水药的特点；</w:t>
            </w:r>
          </w:p>
          <w:p w14:paraId="189DD17A">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2776455F">
            <w:pPr>
              <w:rPr>
                <w:rFonts w:ascii="Times New Roman" w:hAnsi="Times New Roman"/>
                <w:color w:val="000000"/>
                <w:sz w:val="21"/>
                <w:szCs w:val="21"/>
              </w:rPr>
            </w:pPr>
            <w:r>
              <w:rPr>
                <w:rFonts w:hint="eastAsia" w:ascii="Times New Roman" w:hAnsi="Times New Roman"/>
                <w:color w:val="000000"/>
                <w:sz w:val="21"/>
                <w:szCs w:val="21"/>
              </w:rPr>
              <w:t>通过学习本章</w:t>
            </w:r>
            <w:r>
              <w:rPr>
                <w:rFonts w:hint="eastAsia" w:ascii="Times New Roman" w:hAnsi="Times New Roman"/>
                <w:bCs/>
                <w:color w:val="000000"/>
                <w:sz w:val="21"/>
                <w:szCs w:val="21"/>
              </w:rPr>
              <w:t>,</w:t>
            </w:r>
            <w:r>
              <w:rPr>
                <w:rFonts w:hint="eastAsia" w:ascii="Times New Roman" w:hAnsi="Times New Roman"/>
                <w:color w:val="000000"/>
                <w:sz w:val="21"/>
                <w:szCs w:val="21"/>
              </w:rPr>
              <w:t>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32867FAE">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264580C3">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抗心绞痛药的作用及分类，硝酸甘油、普萘洛尔、硝苯地平的抗心绞痛作用及临床应用。</w:t>
            </w:r>
          </w:p>
          <w:p w14:paraId="66EB1A1A">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他汀类、贝特类药调血脂作用、临床应用及主要不良反应。</w:t>
            </w:r>
          </w:p>
          <w:p w14:paraId="72768FFD">
            <w:pPr>
              <w:rPr>
                <w:rFonts w:ascii="Times New Roman" w:hAnsi="Times New Roman"/>
                <w:color w:val="000000"/>
                <w:sz w:val="21"/>
                <w:szCs w:val="21"/>
              </w:rPr>
            </w:pPr>
            <w:r>
              <w:rPr>
                <w:rFonts w:hint="eastAsia" w:ascii="Times New Roman" w:hAnsi="Times New Roman"/>
                <w:color w:val="000000"/>
                <w:sz w:val="21"/>
                <w:szCs w:val="21"/>
              </w:rPr>
              <w:t>③</w:t>
            </w:r>
            <w:r>
              <w:rPr>
                <w:rFonts w:hint="eastAsia" w:ascii="Times New Roman" w:hAnsi="Times New Roman" w:cs="仿宋"/>
                <w:color w:val="000000"/>
                <w:sz w:val="21"/>
                <w:szCs w:val="21"/>
              </w:rPr>
              <w:t>呋塞米、氢氯噻嗪、螺内酯的利尿作用特点、临床应用、不良反应和用药注意事项。</w:t>
            </w:r>
          </w:p>
        </w:tc>
      </w:tr>
      <w:tr w14:paraId="025313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649896F6">
            <w:pPr>
              <w:rPr>
                <w:rFonts w:ascii="Times New Roman" w:hAnsi="Times New Roman" w:cs="仿宋"/>
                <w:color w:val="000000"/>
                <w:sz w:val="21"/>
                <w:szCs w:val="21"/>
              </w:rPr>
            </w:pPr>
            <w:r>
              <w:rPr>
                <w:rFonts w:hint="eastAsia" w:ascii="Times New Roman" w:hAnsi="Times New Roman"/>
                <w:bCs/>
                <w:color w:val="000000"/>
                <w:sz w:val="21"/>
                <w:szCs w:val="21"/>
              </w:rPr>
              <w:t xml:space="preserve">第十单元 </w:t>
            </w:r>
            <w:r>
              <w:rPr>
                <w:rFonts w:hint="eastAsia" w:ascii="Times New Roman" w:hAnsi="Times New Roman" w:cs="仿宋"/>
                <w:color w:val="000000"/>
                <w:sz w:val="21"/>
                <w:szCs w:val="21"/>
              </w:rPr>
              <w:t>作用于消化系统的药物、作用于呼吸系统的药物</w:t>
            </w:r>
          </w:p>
          <w:p w14:paraId="255ECED2">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1ED39C2D">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知道抗消化性溃疡药的分类及各类代表药的药理作用、临床应用和主要不良反应。糖皮质激素、沙丁胺醇、氨茶碱的平喘作用及临床应用。</w:t>
            </w:r>
          </w:p>
          <w:p w14:paraId="7AB96D1B">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理解促胃肠动力药、止吐药的药理作用及临床应用。平喘药的分类，色甘酸钠的作用及临床应用，可待因的镇咳作用及临床应用。</w:t>
            </w:r>
          </w:p>
          <w:p w14:paraId="3FF24317">
            <w:pPr>
              <w:rPr>
                <w:rFonts w:ascii="Times New Roman" w:hAnsi="Times New Roman"/>
                <w:color w:val="000000"/>
                <w:sz w:val="21"/>
                <w:szCs w:val="21"/>
              </w:rPr>
            </w:pPr>
            <w:r>
              <w:rPr>
                <w:rFonts w:hint="eastAsia" w:ascii="Times New Roman" w:hAnsi="Times New Roman"/>
                <w:color w:val="000000"/>
                <w:sz w:val="21"/>
                <w:szCs w:val="21"/>
              </w:rPr>
              <w:t>③</w:t>
            </w:r>
            <w:r>
              <w:rPr>
                <w:rFonts w:hint="eastAsia" w:ascii="Times New Roman" w:hAnsi="Times New Roman" w:cs="仿宋"/>
                <w:color w:val="000000"/>
                <w:sz w:val="21"/>
                <w:szCs w:val="21"/>
              </w:rPr>
              <w:t>了解助消化药、泻药及止泻药的药理作用及临床应用。右美沙芬、喷托维林、氯化铵、乙酰半胱氨酸的药理作用及临床应用。</w:t>
            </w:r>
          </w:p>
          <w:p w14:paraId="728820E9">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065F4CCB">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学会观察抗消化性溃疡药、止吐药、各类平喘药的疗效和不良反应。</w:t>
            </w:r>
          </w:p>
          <w:p w14:paraId="4D6EFBA1">
            <w:pPr>
              <w:rPr>
                <w:rFonts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具有根据适应证指导合理选择抗消化性溃疡药、平喘药及镇咳药，并具有指导不良反应防治的能力。</w:t>
            </w:r>
          </w:p>
          <w:p w14:paraId="2844A30D">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6045C80B">
            <w:pPr>
              <w:rPr>
                <w:rFonts w:hint="eastAsia" w:ascii="Times New Roman" w:hAnsi="Times New Roman"/>
                <w:color w:val="000000"/>
                <w:sz w:val="21"/>
                <w:szCs w:val="21"/>
              </w:rPr>
            </w:pPr>
            <w:r>
              <w:rPr>
                <w:rFonts w:hint="eastAsia" w:ascii="Times New Roman" w:hAnsi="Times New Roman"/>
                <w:color w:val="000000"/>
                <w:sz w:val="21"/>
                <w:szCs w:val="21"/>
              </w:rPr>
              <w:t>使学生认识到药理学的重要性，学会主动学习与知识转化。</w:t>
            </w:r>
          </w:p>
          <w:p w14:paraId="5F18E79C">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2776F775">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抗消化性溃疡药的分类及各类代表药的药理作用、临床应用和主要不良反应。</w:t>
            </w:r>
          </w:p>
          <w:p w14:paraId="36C277EF">
            <w:pPr>
              <w:rPr>
                <w:rFonts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糖皮质激素、沙丁胺醇、氨茶碱的平喘作用及临床应用。</w:t>
            </w:r>
          </w:p>
        </w:tc>
      </w:tr>
      <w:tr w14:paraId="416E55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0542DCA5">
            <w:pPr>
              <w:rPr>
                <w:rFonts w:hint="eastAsia" w:ascii="Times New Roman" w:hAnsi="Times New Roman" w:cs="仿宋"/>
                <w:color w:val="000000"/>
                <w:sz w:val="21"/>
                <w:szCs w:val="21"/>
              </w:rPr>
            </w:pPr>
            <w:r>
              <w:rPr>
                <w:rFonts w:hint="eastAsia" w:ascii="Times New Roman" w:hAnsi="Times New Roman"/>
                <w:bCs/>
                <w:color w:val="000000"/>
                <w:sz w:val="21"/>
                <w:szCs w:val="21"/>
              </w:rPr>
              <w:t xml:space="preserve">第十一单元 </w:t>
            </w:r>
            <w:r>
              <w:rPr>
                <w:rFonts w:hint="eastAsia" w:ascii="Times New Roman" w:hAnsi="Times New Roman" w:cs="仿宋"/>
                <w:color w:val="000000"/>
                <w:sz w:val="21"/>
                <w:szCs w:val="21"/>
              </w:rPr>
              <w:t>子宫平滑肌收缩药与舒张药、作用于血液及造血系统的药物、拟组胺药与抗组胺药</w:t>
            </w:r>
          </w:p>
          <w:p w14:paraId="131491D3">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11E25859">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 xml:space="preserve">知道缩宫素的药理作用、临床应用及主要不良反应。抗贫血药（铁制剂、叶酸、维生素B12）、抗凝血药（肝素、香豆素类）的临床应用及不良反应。 </w:t>
            </w:r>
          </w:p>
          <w:p w14:paraId="3E73A087">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理解麦角新碱的药理作用及临床应用。维生素K、氨甲苯酸、阿司匹林、双嘧达莫、链激酶、尿激酶的作用及临床应用。常用H1受体阻断药的药理作用、临床应用及不良反应。</w:t>
            </w:r>
          </w:p>
          <w:p w14:paraId="65DC6433">
            <w:pPr>
              <w:rPr>
                <w:rFonts w:hint="eastAsia"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了解其他子宫平滑肌收缩药与舒张药的药理作用及临床应用。叶酸、维生素B12的作用、血容量充药、促白细胞生成药的药理作用和临床应用</w:t>
            </w:r>
            <w:r>
              <w:rPr>
                <w:rFonts w:hint="eastAsia" w:ascii="Times New Roman" w:hAnsi="Times New Roman"/>
                <w:bCs/>
                <w:color w:val="000000"/>
                <w:sz w:val="21"/>
                <w:szCs w:val="21"/>
              </w:rPr>
              <w:t>。</w:t>
            </w:r>
          </w:p>
          <w:p w14:paraId="60A34CEC">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0799BBB0">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学会合理应用子宫平滑肌收缩药。</w:t>
            </w:r>
          </w:p>
          <w:p w14:paraId="1AE189CA">
            <w:pPr>
              <w:rPr>
                <w:rFonts w:hint="eastAsia"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具有根据适应证指导合理选择子宫平滑肌收缩药、抗贫血药、常用H1受体阻断药及观察不良反应的能力。</w:t>
            </w:r>
          </w:p>
          <w:p w14:paraId="08B0171C">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0516B26D">
            <w:pPr>
              <w:rPr>
                <w:rFonts w:hint="eastAsia" w:ascii="Times New Roman" w:hAnsi="Times New Roman"/>
                <w:color w:val="000000"/>
                <w:sz w:val="21"/>
                <w:szCs w:val="21"/>
              </w:rPr>
            </w:pPr>
            <w:r>
              <w:rPr>
                <w:rFonts w:hint="eastAsia" w:ascii="Times New Roman" w:hAnsi="Times New Roman"/>
                <w:color w:val="000000"/>
                <w:sz w:val="21"/>
                <w:szCs w:val="21"/>
              </w:rPr>
              <w:t>使学生认识到药理学的重要性，学会主动学习与知识转化。</w:t>
            </w:r>
          </w:p>
          <w:p w14:paraId="43D0ADA1">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6B771683">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缩宫素的药理作用、临床应用及主要不良反应。</w:t>
            </w:r>
          </w:p>
          <w:p w14:paraId="072CA08C">
            <w:pPr>
              <w:rPr>
                <w:rFonts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抗贫血药（铁制剂、叶酸、维生素B12）、抗凝血药（肝素、香豆素类）的临床应用及不良反应。</w:t>
            </w:r>
          </w:p>
        </w:tc>
      </w:tr>
      <w:tr w14:paraId="0D6F45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1491A333">
            <w:pPr>
              <w:rPr>
                <w:rFonts w:hint="eastAsia" w:ascii="Times New Roman" w:hAnsi="Times New Roman" w:cs="仿宋"/>
                <w:color w:val="000000"/>
                <w:sz w:val="21"/>
                <w:szCs w:val="21"/>
              </w:rPr>
            </w:pPr>
            <w:r>
              <w:rPr>
                <w:rFonts w:hint="eastAsia" w:ascii="Times New Roman" w:hAnsi="Times New Roman"/>
                <w:bCs/>
                <w:color w:val="000000"/>
                <w:sz w:val="21"/>
                <w:szCs w:val="21"/>
              </w:rPr>
              <w:t>第十二单元</w:t>
            </w:r>
            <w:r>
              <w:rPr>
                <w:rFonts w:hint="eastAsia" w:ascii="Times New Roman" w:hAnsi="Times New Roman" w:cs="仿宋"/>
                <w:color w:val="000000"/>
                <w:sz w:val="21"/>
                <w:szCs w:val="21"/>
              </w:rPr>
              <w:t>肾上腺皮质激素类药、甲状腺激素和抗甲状腺药</w:t>
            </w:r>
          </w:p>
          <w:p w14:paraId="3AF2A3E0">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15532C6C">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知道糖皮质激素类药物的药理作用、临床应用、不良反应及禁忌证。硫脲类、碘及碘化物的药理作用、临床应用及不良反应。</w:t>
            </w:r>
          </w:p>
          <w:p w14:paraId="7F4ADDD3">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理解糖皮质激素类药物的分类、分泌调节、用法、疗程及合理应用原则。甲状腺激素、β受体阻断药的药理作用及临床应用。</w:t>
            </w:r>
          </w:p>
          <w:p w14:paraId="2066D916">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了解糖皮质激素类药物的体内过程、盐皮质激素类药物及促皮质激素类药物的作用及临床应用。甲状腺激素的合成、释放与调节，放射性碘的作用特点及临床应用。</w:t>
            </w:r>
          </w:p>
          <w:p w14:paraId="6AB0F584">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4500FBCB">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学会观察肾上腺皮质激素类药、甲状腺激素类药与抗甲状腺药的疗效及不良反应。</w:t>
            </w:r>
          </w:p>
          <w:p w14:paraId="7F781BDC">
            <w:pPr>
              <w:rPr>
                <w:rFonts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具有指导患者正确使用肾上腺皮质激素类药、甲状腺激素类药与抗甲状腺药的能力。</w:t>
            </w:r>
          </w:p>
          <w:p w14:paraId="786CE42E">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536DA94F">
            <w:pPr>
              <w:rPr>
                <w:rFonts w:hint="eastAsia" w:ascii="Times New Roman" w:hAnsi="Times New Roman"/>
                <w:color w:val="000000"/>
                <w:sz w:val="21"/>
                <w:szCs w:val="21"/>
              </w:rPr>
            </w:pPr>
            <w:r>
              <w:rPr>
                <w:rFonts w:hint="eastAsia" w:ascii="Times New Roman" w:hAnsi="Times New Roman"/>
                <w:color w:val="000000"/>
                <w:sz w:val="21"/>
                <w:szCs w:val="21"/>
              </w:rPr>
              <w:t>使学生认识到药理学的重要性，学会主动学习与知识转化。</w:t>
            </w:r>
          </w:p>
          <w:p w14:paraId="6DED48BB">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3A95DE6C">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糖皮质激素类药物的药理作用、临床应用、不良反应及禁忌证。</w:t>
            </w:r>
          </w:p>
          <w:p w14:paraId="3EAAEA44">
            <w:pPr>
              <w:rPr>
                <w:rFonts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硫脲类、碘及碘化物的药理作用、临床应用及不良反应。</w:t>
            </w:r>
          </w:p>
        </w:tc>
      </w:tr>
      <w:tr w14:paraId="78EADA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38A62847">
            <w:pPr>
              <w:rPr>
                <w:rFonts w:hint="eastAsia" w:ascii="Times New Roman" w:hAnsi="Times New Roman" w:cs="仿宋"/>
                <w:color w:val="000000"/>
                <w:sz w:val="21"/>
                <w:szCs w:val="21"/>
              </w:rPr>
            </w:pPr>
            <w:r>
              <w:rPr>
                <w:rFonts w:hint="eastAsia" w:ascii="Times New Roman" w:hAnsi="Times New Roman"/>
                <w:bCs/>
                <w:color w:val="000000"/>
                <w:sz w:val="21"/>
                <w:szCs w:val="21"/>
              </w:rPr>
              <w:t>第十三单元</w:t>
            </w:r>
            <w:r>
              <w:rPr>
                <w:rFonts w:hint="eastAsia" w:ascii="Times New Roman" w:hAnsi="Times New Roman" w:cs="仿宋"/>
                <w:color w:val="000000"/>
                <w:sz w:val="21"/>
                <w:szCs w:val="21"/>
              </w:rPr>
              <w:t>胰岛素和口服降血糖药、性激素类药及避孕药、抗骨质疏松症药</w:t>
            </w:r>
          </w:p>
          <w:p w14:paraId="2AE32C0B">
            <w:pPr>
              <w:rPr>
                <w:rFonts w:ascii="Times New Roman" w:hAnsi="Times New Roman" w:cs="仿宋"/>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12F76820">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知道胰岛素的药理作用、临床应用及不良反应。避孕药的药理作用、临床应用、不良反应及注意事项。双磷酸盐、雌激素的药理作用、临床应用及不良反应。</w:t>
            </w:r>
          </w:p>
          <w:p w14:paraId="58F39CE7">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理解磺酰脲类和双胍类降糖药的药理作用、临床应用及不良反应。性激素类药物的药理作用、不良反应及注意事项。抗骨质疏松症药的分类，降钙素、钙剂、维生素D的作用及临床应用。</w:t>
            </w:r>
          </w:p>
          <w:p w14:paraId="47015727">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了解口服降糖药的分类，胰岛素增敏药、α-葡萄糖苷酶抑制剂、促胰岛素分泌药的作用特点及临床应用。抗性激素类药、促性腺激素类药的临床应用特点。其他抗骨质疏松症药的作用特点及临床应用。</w:t>
            </w:r>
          </w:p>
          <w:p w14:paraId="2275BA8B">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6A89EF24">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学会观察胰岛素、口服降血糖药、性激素类、避孕药、抗骨质疏松症药的疗效及不良反应。</w:t>
            </w:r>
          </w:p>
          <w:p w14:paraId="49338B75">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具有指导患者正确使用胰岛素及口服降血糖药的能力。</w:t>
            </w:r>
          </w:p>
          <w:p w14:paraId="6C77B27A">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具有根据适应证指导合理选择药物及防治不良反应的能力。</w:t>
            </w:r>
          </w:p>
          <w:p w14:paraId="577C3B00">
            <w:pPr>
              <w:rPr>
                <w:rFonts w:ascii="Times New Roman" w:hAnsi="Times New Roman"/>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具有指导患者正确使用抗骨质疏松症药的能力</w:t>
            </w:r>
          </w:p>
          <w:p w14:paraId="02E77DB3">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58C4EB14">
            <w:pPr>
              <w:rPr>
                <w:rFonts w:ascii="Times New Roman" w:hAnsi="Times New Roman"/>
                <w:color w:val="000000"/>
                <w:sz w:val="21"/>
                <w:szCs w:val="21"/>
              </w:rPr>
            </w:pPr>
            <w:r>
              <w:rPr>
                <w:rFonts w:hint="eastAsia" w:ascii="Times New Roman" w:hAnsi="Times New Roman"/>
                <w:color w:val="000000"/>
                <w:sz w:val="21"/>
                <w:szCs w:val="21"/>
              </w:rPr>
              <w:t>通过学习本章</w:t>
            </w:r>
            <w:r>
              <w:rPr>
                <w:rFonts w:hint="eastAsia" w:ascii="Times New Roman" w:hAnsi="Times New Roman"/>
                <w:bCs/>
                <w:color w:val="000000"/>
                <w:sz w:val="21"/>
                <w:szCs w:val="21"/>
              </w:rPr>
              <w:t>,</w:t>
            </w:r>
            <w:r>
              <w:rPr>
                <w:rFonts w:hint="eastAsia" w:ascii="Times New Roman" w:hAnsi="Times New Roman"/>
                <w:color w:val="000000"/>
                <w:sz w:val="21"/>
                <w:szCs w:val="21"/>
              </w:rPr>
              <w:t>充分认识到药理学知识的重要性，从而能进行主动、积极的学习，增强尊重科学</w:t>
            </w:r>
            <w:r>
              <w:rPr>
                <w:rFonts w:ascii="Times New Roman" w:hAnsi="Times New Roman"/>
                <w:color w:val="000000"/>
                <w:sz w:val="21"/>
                <w:szCs w:val="21"/>
              </w:rPr>
              <w:t>，</w:t>
            </w:r>
            <w:r>
              <w:rPr>
                <w:rFonts w:hint="eastAsia" w:ascii="Times New Roman" w:hAnsi="Times New Roman"/>
                <w:color w:val="000000"/>
                <w:sz w:val="21"/>
                <w:szCs w:val="21"/>
              </w:rPr>
              <w:t>珍惜健康</w:t>
            </w:r>
            <w:r>
              <w:rPr>
                <w:rFonts w:ascii="Times New Roman" w:hAnsi="Times New Roman"/>
                <w:color w:val="000000"/>
                <w:sz w:val="21"/>
                <w:szCs w:val="21"/>
              </w:rPr>
              <w:t>，</w:t>
            </w:r>
            <w:r>
              <w:rPr>
                <w:rFonts w:hint="eastAsia" w:ascii="Times New Roman" w:hAnsi="Times New Roman"/>
                <w:color w:val="000000"/>
                <w:sz w:val="21"/>
                <w:szCs w:val="21"/>
              </w:rPr>
              <w:t>救死扶伤的坚定信念。</w:t>
            </w:r>
          </w:p>
          <w:p w14:paraId="7ADD587F">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6EE78E02">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胰岛素的药理作用、临床应用及不良反应。</w:t>
            </w:r>
          </w:p>
          <w:p w14:paraId="68D96EE3">
            <w:pPr>
              <w:rPr>
                <w:rFonts w:hint="eastAsia"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避孕药的药理作用、临床应用、不良反应及注意事项。</w:t>
            </w:r>
          </w:p>
        </w:tc>
      </w:tr>
      <w:tr w14:paraId="434902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27ED2915">
            <w:pPr>
              <w:rPr>
                <w:rFonts w:hint="eastAsia" w:ascii="Times New Roman" w:hAnsi="Times New Roman" w:cs="仿宋"/>
                <w:color w:val="000000"/>
                <w:sz w:val="21"/>
                <w:szCs w:val="21"/>
              </w:rPr>
            </w:pPr>
            <w:r>
              <w:rPr>
                <w:rFonts w:hint="eastAsia" w:ascii="Times New Roman" w:hAnsi="Times New Roman"/>
                <w:bCs/>
                <w:color w:val="000000"/>
                <w:sz w:val="21"/>
                <w:szCs w:val="21"/>
              </w:rPr>
              <w:t>第十四单元</w:t>
            </w:r>
            <w:r>
              <w:rPr>
                <w:rFonts w:hint="eastAsia" w:ascii="Times New Roman" w:hAnsi="Times New Roman" w:cs="仿宋"/>
                <w:color w:val="000000"/>
                <w:sz w:val="21"/>
                <w:szCs w:val="21"/>
              </w:rPr>
              <w:t>抗菌药概述、抗生素</w:t>
            </w:r>
          </w:p>
          <w:p w14:paraId="39FE87C2">
            <w:pPr>
              <w:rPr>
                <w:rFonts w:ascii="Times New Roman" w:hAnsi="Times New Roman" w:cs="仿宋"/>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3F5D830E">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抗生素、抗菌谱、抗菌活性、化疗指数、抗菌药、抗生素后效应、耐药性等基本概念；抗菌药物、病原体、机体三者间的相互关系及临床意义。青霉素类、大环内酯类、氨基糖苷类抗生素的抗菌作用、临床应用及不良反应；头孢菌素类药物的抗菌作用规律、临床应用及不良反应。</w:t>
            </w:r>
          </w:p>
          <w:p w14:paraId="34D40BC2">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理解抗菌药物的合理应用原则，细菌耐药性的预防措施。四环素类、氯霉素类抗生素的抗菌作用、临床应用及不良反应。</w:t>
            </w:r>
          </w:p>
          <w:p w14:paraId="52AE3D0F">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了解抗菌药物的作用机制、耐药性的产生机制。其他β-内酰胺类、林可霉素类、万古霉素类抗生素的抗菌作用特点、临床应用及不良反应。</w:t>
            </w:r>
          </w:p>
          <w:p w14:paraId="69D2F47A">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33B2CCD5">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具有观察抗菌药物作用及判断不良反应的能力。</w:t>
            </w:r>
          </w:p>
          <w:p w14:paraId="6EC017B7">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树立合理使用抗菌药物的概念，能够指导正确选用抗菌药物。</w:t>
            </w:r>
          </w:p>
          <w:p w14:paraId="541D7BE1">
            <w:pPr>
              <w:rPr>
                <w:rFonts w:hint="eastAsia" w:ascii="Times New Roman" w:hAnsi="Times New Roman" w:cs="仿宋"/>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具有根据适应证合理指导选择抗生素及防治不良反应的能力。</w:t>
            </w:r>
          </w:p>
          <w:p w14:paraId="5B1E6E00">
            <w:pPr>
              <w:rPr>
                <w:rFonts w:ascii="Times New Roman" w:hAnsi="Times New Roman"/>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hint="eastAsia" w:ascii="Times New Roman" w:hAnsi="Times New Roman"/>
                <w:color w:val="000000"/>
                <w:sz w:val="21"/>
                <w:szCs w:val="21"/>
              </w:rPr>
              <w:instrText xml:space="preserve">= 4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hint="eastAsia" w:ascii="Times New Roman" w:hAnsi="Times New Roman"/>
                <w:color w:val="000000"/>
                <w:sz w:val="21"/>
                <w:szCs w:val="21"/>
                <w:lang/>
              </w:rPr>
              <w:t>④</w:t>
            </w:r>
            <w:r>
              <w:rPr>
                <w:rFonts w:ascii="Times New Roman" w:hAnsi="Times New Roman"/>
                <w:color w:val="000000"/>
                <w:sz w:val="21"/>
                <w:szCs w:val="21"/>
              </w:rPr>
              <w:fldChar w:fldCharType="end"/>
            </w:r>
            <w:r>
              <w:rPr>
                <w:rFonts w:hint="eastAsia" w:ascii="Times New Roman" w:hAnsi="Times New Roman" w:cs="仿宋"/>
                <w:color w:val="000000"/>
                <w:sz w:val="21"/>
                <w:szCs w:val="21"/>
              </w:rPr>
              <w:t>充分认识各类抗生素药理作用和不良反应，能够指导患者合理使用药物，避免</w:t>
            </w:r>
          </w:p>
          <w:p w14:paraId="3CA2EFED">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6CBC0BF5">
            <w:pPr>
              <w:rPr>
                <w:rFonts w:hint="eastAsia" w:ascii="Times New Roman" w:hAnsi="Times New Roman"/>
                <w:color w:val="000000"/>
                <w:sz w:val="21"/>
                <w:szCs w:val="21"/>
              </w:rPr>
            </w:pPr>
            <w:r>
              <w:rPr>
                <w:rFonts w:hint="eastAsia" w:ascii="Times New Roman" w:hAnsi="Times New Roman"/>
                <w:color w:val="000000"/>
                <w:sz w:val="21"/>
                <w:szCs w:val="21"/>
              </w:rPr>
              <w:t>使学生认识到药理学的重要性，学会主动学习与知识转化。</w:t>
            </w:r>
          </w:p>
          <w:p w14:paraId="3428AD8B">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3B3DD4D7">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抗生素、抗菌谱、抗菌活性、化疗指数、抗菌药、抗生素后效应、耐药性等基本概念；</w:t>
            </w:r>
          </w:p>
          <w:p w14:paraId="6B51DD0F">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抗菌药物、病原体、机体三者间的相互关系及临床意义。</w:t>
            </w:r>
          </w:p>
          <w:p w14:paraId="01CE925D">
            <w:pPr>
              <w:rPr>
                <w:rFonts w:hint="eastAsia"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青霉素类、大环内酯类、氨基糖苷类、头孢菌素类抗生素的抗菌作用、临床应用及不良反应。</w:t>
            </w:r>
          </w:p>
        </w:tc>
      </w:tr>
      <w:tr w14:paraId="7E0B8F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735F1623">
            <w:pPr>
              <w:rPr>
                <w:rFonts w:hint="eastAsia" w:ascii="Times New Roman" w:hAnsi="Times New Roman" w:cs="仿宋"/>
                <w:color w:val="000000"/>
                <w:sz w:val="21"/>
                <w:szCs w:val="21"/>
              </w:rPr>
            </w:pPr>
            <w:r>
              <w:rPr>
                <w:rFonts w:hint="eastAsia" w:ascii="Times New Roman" w:hAnsi="Times New Roman"/>
                <w:bCs/>
                <w:color w:val="000000"/>
                <w:sz w:val="21"/>
                <w:szCs w:val="21"/>
              </w:rPr>
              <w:t xml:space="preserve">第十五单元 </w:t>
            </w:r>
            <w:r>
              <w:rPr>
                <w:rFonts w:hint="eastAsia" w:ascii="Times New Roman" w:hAnsi="Times New Roman" w:cs="仿宋"/>
                <w:color w:val="000000"/>
                <w:sz w:val="21"/>
                <w:szCs w:val="21"/>
              </w:rPr>
              <w:t>人工合成抗菌药、抗结核病药</w:t>
            </w:r>
            <w:r>
              <w:rPr>
                <w:rFonts w:hint="eastAsia" w:ascii="Times New Roman" w:hAnsi="Times New Roman"/>
                <w:color w:val="000000"/>
                <w:sz w:val="21"/>
                <w:szCs w:val="21"/>
              </w:rPr>
              <w:t xml:space="preserve">  </w:t>
            </w:r>
          </w:p>
          <w:p w14:paraId="339C8A48">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3669787A">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知道氟喹诺酮类药、磺胺类药的抗菌谱、临床应用及不良反应。一线抗结核病药的抗菌作用、临床应用及不良反应。</w:t>
            </w:r>
          </w:p>
          <w:p w14:paraId="0E7119CC">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理解氟喹诺酮类药、磺胺类药的抗菌机制及甲氧苄啶的抗菌增效作用。抗结核病药的用药原则。</w:t>
            </w:r>
          </w:p>
          <w:p w14:paraId="744CB210">
            <w:pPr>
              <w:rPr>
                <w:rFonts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了解硝基呋喃、甲硝唑和小檗碱的临床应用。对氨基水杨酸等二线抗结核病药的作用特点及临床应用。</w:t>
            </w:r>
          </w:p>
          <w:p w14:paraId="33A2CB1A">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7683C8D0">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学会观察氟喹诺酮类药和磺胺类药的疗效及不良反应。</w:t>
            </w:r>
          </w:p>
          <w:p w14:paraId="4A708973">
            <w:pPr>
              <w:rPr>
                <w:rFonts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具有指导合理选用氟喹诺酮类药、磺胺类药和抗结核病的能力。</w:t>
            </w:r>
          </w:p>
          <w:p w14:paraId="159AB088">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29A4D6EB">
            <w:pPr>
              <w:rPr>
                <w:rFonts w:hint="eastAsia" w:ascii="Times New Roman" w:hAnsi="Times New Roman"/>
                <w:color w:val="000000"/>
                <w:sz w:val="21"/>
                <w:szCs w:val="21"/>
              </w:rPr>
            </w:pPr>
            <w:r>
              <w:rPr>
                <w:rFonts w:hint="eastAsia" w:ascii="Times New Roman" w:hAnsi="Times New Roman"/>
                <w:color w:val="000000"/>
                <w:sz w:val="21"/>
                <w:szCs w:val="21"/>
              </w:rPr>
              <w:t>使学生认识到药理学的重要性，学会主动学习与知识转化。</w:t>
            </w:r>
          </w:p>
          <w:p w14:paraId="0A5C0C8F">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6A84F763">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氟喹诺酮类药、磺胺类药的抗菌谱、临床应用及不良反应。</w:t>
            </w:r>
          </w:p>
          <w:p w14:paraId="48542FE5">
            <w:pPr>
              <w:rPr>
                <w:rFonts w:hint="eastAsia" w:ascii="Times New Roman" w:hAnsi="Times New Roman"/>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一线抗结核病药的抗菌作用、临床应用及不良反应。</w:t>
            </w:r>
          </w:p>
        </w:tc>
      </w:tr>
      <w:tr w14:paraId="5D3142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Pr>
        <w:tc>
          <w:tcPr>
            <w:tcW w:w="8296" w:type="dxa"/>
            <w:noWrap w:val="0"/>
            <w:vAlign w:val="top"/>
          </w:tcPr>
          <w:p w14:paraId="1E75E910">
            <w:pPr>
              <w:rPr>
                <w:rFonts w:hint="eastAsia" w:ascii="Times New Roman" w:hAnsi="Times New Roman" w:cs="仿宋"/>
                <w:color w:val="000000"/>
                <w:sz w:val="21"/>
                <w:szCs w:val="21"/>
              </w:rPr>
            </w:pPr>
            <w:r>
              <w:rPr>
                <w:rFonts w:hint="eastAsia" w:ascii="Times New Roman" w:hAnsi="Times New Roman"/>
                <w:bCs/>
                <w:color w:val="000000"/>
                <w:sz w:val="21"/>
                <w:szCs w:val="21"/>
              </w:rPr>
              <w:t xml:space="preserve">第十六单元 </w:t>
            </w:r>
            <w:r>
              <w:rPr>
                <w:rFonts w:hint="eastAsia" w:ascii="Times New Roman" w:hAnsi="Times New Roman" w:cs="仿宋"/>
                <w:color w:val="000000"/>
                <w:sz w:val="21"/>
                <w:szCs w:val="21"/>
              </w:rPr>
              <w:t>抗真菌药及抗病毒药、抗寄生虫药、抗恶性肿瘤药 、影响免疫功能的药物</w:t>
            </w:r>
          </w:p>
          <w:p w14:paraId="2F93F036">
            <w:pPr>
              <w:rPr>
                <w:rFonts w:ascii="Times New Roman" w:hAnsi="Times New Roman"/>
                <w:bCs/>
                <w:color w:val="000000"/>
                <w:sz w:val="21"/>
                <w:szCs w:val="21"/>
              </w:rPr>
            </w:pPr>
            <w:r>
              <w:rPr>
                <w:rFonts w:hint="eastAsia" w:ascii="Times New Roman" w:hAnsi="Times New Roman"/>
                <w:bCs/>
                <w:color w:val="000000"/>
                <w:sz w:val="21"/>
                <w:szCs w:val="21"/>
              </w:rPr>
              <w:t>1</w:t>
            </w:r>
            <w:r>
              <w:rPr>
                <w:rFonts w:ascii="Times New Roman" w:hAnsi="Times New Roman"/>
                <w:bCs/>
                <w:color w:val="000000"/>
                <w:sz w:val="21"/>
                <w:szCs w:val="21"/>
              </w:rPr>
              <w:t>.</w:t>
            </w:r>
            <w:r>
              <w:rPr>
                <w:rFonts w:hint="eastAsia" w:ascii="Times New Roman" w:hAnsi="Times New Roman"/>
                <w:bCs/>
                <w:color w:val="000000"/>
                <w:sz w:val="21"/>
                <w:szCs w:val="21"/>
              </w:rPr>
              <w:t>核心知识点：</w:t>
            </w:r>
          </w:p>
          <w:p w14:paraId="54E71770">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知道两性霉素B、氟康唑、特比奈芬的抗真菌作用、临床应用及不良反应。常用抗恶性肿瘤药的药理作用及临床应用。</w:t>
            </w:r>
          </w:p>
          <w:p w14:paraId="41633010">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理解阿昔洛韦、利巴韦林、干扰素的抗病毒作用、临床应用及不良反应。氯喹、伯氨喹、乙胺嘧啶的抗疟作用特点、临床应用及不良反应；甲硝唑的药理作用、临床应用及不良反应。抗恶性肿瘤药的主要不良反应。免疫抑制药的共同特点；常用免疫抑制药环孢素、抗代谢药及烷化剂的药理作用、临床应用及主要不良反应。</w:t>
            </w:r>
          </w:p>
          <w:p w14:paraId="40A4BED1">
            <w:pPr>
              <w:rPr>
                <w:rFonts w:hint="eastAsia"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了解抗真菌药、抗病毒药的分类；抗疟药的作用环节和分类；青蒿素的作用特点及临床应用；抗肠蠕虫药的作用及临床应用。抗恶性肿瘤药的作用机制，抗恶性肿瘤药的合理应用。常用免疫增强药如左旋咪唑、转移因子、胸腺素、白介素-2及干扰素等的药理作用、临床应用及不良反应。</w:t>
            </w:r>
          </w:p>
          <w:p w14:paraId="134FB43D">
            <w:pPr>
              <w:rPr>
                <w:rFonts w:ascii="Times New Roman" w:hAnsi="Times New Roman"/>
                <w:bCs/>
                <w:color w:val="000000"/>
                <w:sz w:val="21"/>
                <w:szCs w:val="21"/>
              </w:rPr>
            </w:pPr>
            <w:r>
              <w:rPr>
                <w:rFonts w:hint="eastAsia" w:ascii="Times New Roman" w:hAnsi="Times New Roman"/>
                <w:bCs/>
                <w:color w:val="000000"/>
                <w:sz w:val="21"/>
                <w:szCs w:val="21"/>
              </w:rPr>
              <w:t>2</w:t>
            </w:r>
            <w:r>
              <w:rPr>
                <w:rFonts w:ascii="Times New Roman" w:hAnsi="Times New Roman"/>
                <w:bCs/>
                <w:color w:val="000000"/>
                <w:sz w:val="21"/>
                <w:szCs w:val="21"/>
              </w:rPr>
              <w:t>.</w:t>
            </w:r>
            <w:r>
              <w:rPr>
                <w:rFonts w:hint="eastAsia" w:ascii="Times New Roman" w:hAnsi="Times New Roman"/>
                <w:bCs/>
                <w:color w:val="000000"/>
                <w:sz w:val="21"/>
                <w:szCs w:val="21"/>
              </w:rPr>
              <w:t>能力要求：</w:t>
            </w:r>
          </w:p>
          <w:p w14:paraId="09F58254">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学会观察抗真菌药、抗病毒药、抗寄生虫药、恶性肿瘤药、免疫功能药物的疗效及不良反应。</w:t>
            </w:r>
          </w:p>
          <w:p w14:paraId="41483414">
            <w:pPr>
              <w:rPr>
                <w:rFonts w:hint="eastAsia" w:ascii="Times New Roman" w:hAnsi="Times New Roman" w:cs="仿宋"/>
                <w:color w:val="000000"/>
                <w:sz w:val="21"/>
                <w:szCs w:val="21"/>
              </w:rPr>
            </w:pPr>
            <w:r>
              <w:rPr>
                <w:rFonts w:hint="eastAsia" w:ascii="Times New Roman" w:hAnsi="Times New Roman"/>
                <w:bCs/>
                <w:color w:val="000000"/>
                <w:sz w:val="21"/>
                <w:szCs w:val="21"/>
              </w:rPr>
              <w:t>②</w:t>
            </w:r>
            <w:r>
              <w:rPr>
                <w:rFonts w:hint="eastAsia" w:ascii="Times New Roman" w:hAnsi="Times New Roman" w:cs="仿宋"/>
                <w:color w:val="000000"/>
                <w:sz w:val="21"/>
                <w:szCs w:val="21"/>
              </w:rPr>
              <w:t>能与患者有效沟通，具有指导合理选用抗真菌药、抗病毒药、抗恶性肿瘤药的能力。</w:t>
            </w:r>
          </w:p>
          <w:p w14:paraId="12437BA7">
            <w:pPr>
              <w:rPr>
                <w:rFonts w:hint="eastAsia" w:ascii="Times New Roman" w:hAnsi="Times New Roman"/>
                <w:color w:val="000000"/>
                <w:sz w:val="21"/>
                <w:szCs w:val="21"/>
              </w:rPr>
            </w:pPr>
            <w:r>
              <w:rPr>
                <w:rFonts w:hint="eastAsia" w:ascii="Times New Roman" w:hAnsi="Times New Roman"/>
                <w:bCs/>
                <w:color w:val="000000"/>
                <w:sz w:val="21"/>
                <w:szCs w:val="21"/>
              </w:rPr>
              <w:t>③</w:t>
            </w:r>
            <w:r>
              <w:rPr>
                <w:rFonts w:hint="eastAsia" w:ascii="Times New Roman" w:hAnsi="Times New Roman" w:cs="仿宋"/>
                <w:color w:val="000000"/>
                <w:sz w:val="21"/>
                <w:szCs w:val="21"/>
              </w:rPr>
              <w:t>能正确认知影响免疫功能药物的利弊，并能指导患者合理用药的能力。</w:t>
            </w:r>
          </w:p>
          <w:p w14:paraId="7DF2F1DF">
            <w:pPr>
              <w:rPr>
                <w:rFonts w:ascii="Times New Roman" w:hAnsi="Times New Roman"/>
                <w:bCs/>
                <w:color w:val="000000"/>
                <w:sz w:val="21"/>
                <w:szCs w:val="21"/>
              </w:rPr>
            </w:pPr>
            <w:r>
              <w:rPr>
                <w:rFonts w:hint="eastAsia" w:ascii="Times New Roman" w:hAnsi="Times New Roman"/>
                <w:bCs/>
                <w:color w:val="000000"/>
                <w:sz w:val="21"/>
                <w:szCs w:val="21"/>
              </w:rPr>
              <w:t>3</w:t>
            </w:r>
            <w:r>
              <w:rPr>
                <w:rFonts w:ascii="Times New Roman" w:hAnsi="Times New Roman"/>
                <w:bCs/>
                <w:color w:val="000000"/>
                <w:sz w:val="21"/>
                <w:szCs w:val="21"/>
              </w:rPr>
              <w:t>.</w:t>
            </w:r>
            <w:r>
              <w:rPr>
                <w:rFonts w:hint="eastAsia" w:ascii="Times New Roman" w:hAnsi="Times New Roman"/>
                <w:bCs/>
                <w:color w:val="000000"/>
                <w:sz w:val="21"/>
                <w:szCs w:val="21"/>
              </w:rPr>
              <w:t>预期学习成果：</w:t>
            </w:r>
          </w:p>
          <w:p w14:paraId="306CCC60">
            <w:pPr>
              <w:rPr>
                <w:rFonts w:hint="eastAsia" w:ascii="Times New Roman" w:hAnsi="Times New Roman"/>
                <w:color w:val="000000"/>
                <w:sz w:val="20"/>
                <w:szCs w:val="20"/>
              </w:rPr>
            </w:pPr>
            <w:r>
              <w:rPr>
                <w:rFonts w:hint="eastAsia" w:ascii="Times New Roman" w:hAnsi="Times New Roman"/>
                <w:color w:val="000000"/>
                <w:sz w:val="20"/>
                <w:szCs w:val="20"/>
              </w:rPr>
              <w:t>理解抗真菌药，具备处理真菌感染性疾病的能力以及常见抗肿瘤药物的不良反应处理能力。养成良好的饮食、卫生习惯，确立积极、健康的生活态度，做好宣教工作。</w:t>
            </w:r>
          </w:p>
          <w:p w14:paraId="65789F08">
            <w:pPr>
              <w:rPr>
                <w:rFonts w:ascii="Times New Roman" w:hAnsi="Times New Roman"/>
                <w:bCs/>
                <w:color w:val="000000"/>
                <w:sz w:val="21"/>
                <w:szCs w:val="21"/>
              </w:rPr>
            </w:pPr>
            <w:r>
              <w:rPr>
                <w:rFonts w:hint="eastAsia" w:ascii="Times New Roman" w:hAnsi="Times New Roman"/>
                <w:bCs/>
                <w:color w:val="000000"/>
                <w:sz w:val="21"/>
                <w:szCs w:val="21"/>
              </w:rPr>
              <w:t>4</w:t>
            </w:r>
            <w:r>
              <w:rPr>
                <w:rFonts w:ascii="Times New Roman" w:hAnsi="Times New Roman"/>
                <w:bCs/>
                <w:color w:val="000000"/>
                <w:sz w:val="21"/>
                <w:szCs w:val="21"/>
              </w:rPr>
              <w:t>.</w:t>
            </w:r>
            <w:r>
              <w:rPr>
                <w:rFonts w:hint="eastAsia" w:ascii="Times New Roman" w:hAnsi="Times New Roman"/>
                <w:bCs/>
                <w:color w:val="000000"/>
                <w:sz w:val="21"/>
                <w:szCs w:val="21"/>
              </w:rPr>
              <w:t>教学难点：</w:t>
            </w:r>
          </w:p>
          <w:p w14:paraId="505E258A">
            <w:pPr>
              <w:rPr>
                <w:rFonts w:hint="eastAsia" w:ascii="Times New Roman" w:hAnsi="Times New Roman" w:cs="仿宋"/>
                <w:color w:val="000000"/>
                <w:sz w:val="21"/>
                <w:szCs w:val="21"/>
              </w:rPr>
            </w:pPr>
            <w:r>
              <w:rPr>
                <w:rFonts w:hint="eastAsia" w:ascii="Times New Roman" w:hAnsi="Times New Roman"/>
                <w:bCs/>
                <w:color w:val="000000"/>
                <w:sz w:val="21"/>
                <w:szCs w:val="21"/>
              </w:rPr>
              <w:t>①</w:t>
            </w:r>
            <w:r>
              <w:rPr>
                <w:rFonts w:hint="eastAsia" w:ascii="Times New Roman" w:hAnsi="Times New Roman" w:cs="仿宋"/>
                <w:color w:val="000000"/>
                <w:sz w:val="21"/>
                <w:szCs w:val="21"/>
              </w:rPr>
              <w:t>两性霉素B、氟康唑、特比奈芬的抗真菌作用、临床应用及不良反应。</w:t>
            </w:r>
          </w:p>
          <w:p w14:paraId="385F7286">
            <w:pPr>
              <w:rPr>
                <w:rFonts w:hint="eastAsia" w:ascii="Times New Roman" w:hAnsi="Times New Roman" w:cs="仿宋"/>
                <w:color w:val="000000"/>
                <w:sz w:val="21"/>
                <w:szCs w:val="21"/>
              </w:rPr>
            </w:pPr>
            <w:r>
              <w:rPr>
                <w:rFonts w:hint="eastAsia" w:ascii="Times New Roman" w:hAnsi="Times New Roman"/>
                <w:color w:val="000000"/>
                <w:sz w:val="21"/>
                <w:szCs w:val="21"/>
              </w:rPr>
              <w:t>②</w:t>
            </w:r>
            <w:r>
              <w:rPr>
                <w:rFonts w:hint="eastAsia" w:ascii="Times New Roman" w:hAnsi="Times New Roman" w:cs="仿宋"/>
                <w:color w:val="000000"/>
                <w:sz w:val="21"/>
                <w:szCs w:val="21"/>
              </w:rPr>
              <w:t>常用抗恶性肿瘤药的药理作用及临床应用。</w:t>
            </w:r>
          </w:p>
          <w:p w14:paraId="083F2DCC">
            <w:pPr>
              <w:rPr>
                <w:rFonts w:hint="eastAsia" w:ascii="Times New Roman" w:hAnsi="Times New Roman"/>
                <w:color w:val="000000"/>
                <w:sz w:val="21"/>
                <w:szCs w:val="21"/>
              </w:rPr>
            </w:pPr>
            <w:r>
              <w:rPr>
                <w:rFonts w:hint="eastAsia" w:ascii="Times New Roman" w:hAnsi="Times New Roman"/>
                <w:color w:val="000000"/>
                <w:sz w:val="21"/>
                <w:szCs w:val="21"/>
              </w:rPr>
              <w:t>③</w:t>
            </w:r>
            <w:r>
              <w:rPr>
                <w:rFonts w:hint="eastAsia" w:ascii="Times New Roman" w:hAnsi="Times New Roman" w:cs="仿宋"/>
                <w:color w:val="000000"/>
                <w:sz w:val="21"/>
                <w:szCs w:val="21"/>
              </w:rPr>
              <w:t>抗病毒作用、临床应用及不良反应。</w:t>
            </w:r>
          </w:p>
        </w:tc>
      </w:tr>
    </w:tbl>
    <w:p w14:paraId="4A13CD22">
      <w:pPr>
        <w:spacing w:before="163" w:beforeLines="50" w:after="163" w:afterLines="50"/>
        <w:outlineLvl w:val="1"/>
        <w:rPr>
          <w:rFonts w:ascii="Times New Roman" w:hAnsi="Times New Roman"/>
          <w:b/>
        </w:rPr>
      </w:pPr>
      <w:r>
        <w:rPr>
          <w:rFonts w:hint="eastAsia" w:ascii="Times New Roman" w:hAnsi="Times New Roman"/>
          <w:b/>
        </w:rPr>
        <w:t>（二）教学单元对课程目标的支撑关系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931"/>
        <w:gridCol w:w="905"/>
        <w:gridCol w:w="851"/>
        <w:gridCol w:w="793"/>
        <w:gridCol w:w="850"/>
        <w:gridCol w:w="992"/>
        <w:gridCol w:w="993"/>
        <w:gridCol w:w="992"/>
      </w:tblGrid>
      <w:tr w14:paraId="1936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794" w:hRule="atLeast"/>
          <w:jc w:val="center"/>
        </w:trPr>
        <w:tc>
          <w:tcPr>
            <w:tcW w:w="1931" w:type="dxa"/>
            <w:tcBorders>
              <w:top w:val="single" w:color="auto" w:sz="12" w:space="0"/>
              <w:left w:val="single" w:color="auto" w:sz="4" w:space="0"/>
              <w:tl2br w:val="single" w:color="auto" w:sz="4" w:space="0"/>
            </w:tcBorders>
            <w:noWrap w:val="0"/>
            <w:vAlign w:val="top"/>
          </w:tcPr>
          <w:p w14:paraId="4EA23636">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课程目标</w:t>
            </w:r>
          </w:p>
          <w:p w14:paraId="65E63953">
            <w:pPr>
              <w:snapToGrid w:val="0"/>
              <w:jc w:val="center"/>
              <w:rPr>
                <w:rFonts w:ascii="Times New Roman" w:hAnsi="Times New Roman" w:eastAsia="黑体"/>
                <w:bCs/>
                <w:color w:val="000000"/>
                <w:sz w:val="21"/>
                <w:szCs w:val="20"/>
              </w:rPr>
            </w:pPr>
          </w:p>
          <w:p w14:paraId="1BB7DD44">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教学单元</w:t>
            </w:r>
          </w:p>
        </w:tc>
        <w:tc>
          <w:tcPr>
            <w:tcW w:w="905" w:type="dxa"/>
            <w:tcBorders>
              <w:top w:val="single" w:color="auto" w:sz="12" w:space="0"/>
            </w:tcBorders>
            <w:noWrap w:val="0"/>
            <w:vAlign w:val="center"/>
          </w:tcPr>
          <w:p w14:paraId="6267E34E">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1</w:t>
            </w:r>
          </w:p>
        </w:tc>
        <w:tc>
          <w:tcPr>
            <w:tcW w:w="851" w:type="dxa"/>
            <w:tcBorders>
              <w:top w:val="single" w:color="auto" w:sz="12" w:space="0"/>
            </w:tcBorders>
            <w:noWrap w:val="0"/>
            <w:vAlign w:val="center"/>
          </w:tcPr>
          <w:p w14:paraId="4B24F692">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2</w:t>
            </w:r>
          </w:p>
        </w:tc>
        <w:tc>
          <w:tcPr>
            <w:tcW w:w="793" w:type="dxa"/>
            <w:tcBorders>
              <w:top w:val="single" w:color="auto" w:sz="12" w:space="0"/>
            </w:tcBorders>
            <w:noWrap w:val="0"/>
            <w:vAlign w:val="center"/>
          </w:tcPr>
          <w:p w14:paraId="591E92E2">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3</w:t>
            </w:r>
          </w:p>
        </w:tc>
        <w:tc>
          <w:tcPr>
            <w:tcW w:w="850" w:type="dxa"/>
            <w:tcBorders>
              <w:top w:val="single" w:color="auto" w:sz="12" w:space="0"/>
            </w:tcBorders>
            <w:noWrap w:val="0"/>
            <w:vAlign w:val="center"/>
          </w:tcPr>
          <w:p w14:paraId="7E8D5558">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4</w:t>
            </w:r>
          </w:p>
        </w:tc>
        <w:tc>
          <w:tcPr>
            <w:tcW w:w="992" w:type="dxa"/>
            <w:tcBorders>
              <w:top w:val="single" w:color="auto" w:sz="12" w:space="0"/>
            </w:tcBorders>
            <w:noWrap w:val="0"/>
            <w:vAlign w:val="center"/>
          </w:tcPr>
          <w:p w14:paraId="29FECA5D">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5</w:t>
            </w:r>
          </w:p>
        </w:tc>
        <w:tc>
          <w:tcPr>
            <w:tcW w:w="993" w:type="dxa"/>
            <w:tcBorders>
              <w:top w:val="single" w:color="auto" w:sz="12" w:space="0"/>
              <w:bottom w:val="single" w:color="auto" w:sz="4" w:space="0"/>
              <w:right w:val="single" w:color="auto" w:sz="4" w:space="0"/>
            </w:tcBorders>
            <w:noWrap w:val="0"/>
            <w:vAlign w:val="center"/>
          </w:tcPr>
          <w:p w14:paraId="5447FF1B">
            <w:pPr>
              <w:snapToGrid w:val="0"/>
              <w:jc w:val="center"/>
              <w:rPr>
                <w:rFonts w:ascii="Times New Roman" w:hAnsi="Times New Roman" w:eastAsia="黑体"/>
                <w:b w:val="0"/>
                <w:bCs w:val="0"/>
                <w:color w:val="000000"/>
                <w:sz w:val="21"/>
                <w:szCs w:val="20"/>
              </w:rPr>
            </w:pPr>
            <w:r>
              <w:rPr>
                <w:rFonts w:hint="eastAsia" w:ascii="Times New Roman" w:hAnsi="Times New Roman" w:eastAsia="黑体"/>
                <w:b w:val="0"/>
                <w:bCs w:val="0"/>
                <w:color w:val="000000"/>
                <w:sz w:val="21"/>
                <w:szCs w:val="20"/>
              </w:rPr>
              <w:t>6</w:t>
            </w:r>
          </w:p>
        </w:tc>
        <w:tc>
          <w:tcPr>
            <w:tcW w:w="992" w:type="dxa"/>
            <w:tcBorders>
              <w:top w:val="single" w:color="auto" w:sz="12" w:space="0"/>
              <w:left w:val="single" w:color="auto" w:sz="4" w:space="0"/>
              <w:right w:val="single" w:color="auto" w:sz="4" w:space="0"/>
            </w:tcBorders>
            <w:noWrap w:val="0"/>
            <w:vAlign w:val="center"/>
          </w:tcPr>
          <w:p w14:paraId="56B1EFD0">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7</w:t>
            </w:r>
          </w:p>
        </w:tc>
      </w:tr>
      <w:tr w14:paraId="01F8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617CC7EC">
            <w:pPr>
              <w:rPr>
                <w:rFonts w:ascii="Times New Roman" w:hAnsi="Times New Roman"/>
                <w:color w:val="000000"/>
                <w:sz w:val="21"/>
                <w:szCs w:val="21"/>
              </w:rPr>
            </w:pPr>
            <w:r>
              <w:rPr>
                <w:rFonts w:hint="eastAsia" w:ascii="Times New Roman" w:hAnsi="Times New Roman"/>
                <w:color w:val="000000"/>
                <w:sz w:val="21"/>
                <w:szCs w:val="21"/>
              </w:rPr>
              <w:t>第一单元 药理学总论、药物效应动力学</w:t>
            </w:r>
          </w:p>
        </w:tc>
        <w:tc>
          <w:tcPr>
            <w:tcW w:w="905" w:type="dxa"/>
            <w:noWrap w:val="0"/>
            <w:vAlign w:val="center"/>
          </w:tcPr>
          <w:p w14:paraId="6F0FFF07">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2A371869">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13678409">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13975E8D">
            <w:pPr>
              <w:jc w:val="center"/>
              <w:rPr>
                <w:rFonts w:ascii="Times New Roman" w:hAnsi="Times New Roman"/>
                <w:color w:val="000000"/>
                <w:sz w:val="21"/>
                <w:szCs w:val="21"/>
              </w:rPr>
            </w:pPr>
          </w:p>
        </w:tc>
        <w:tc>
          <w:tcPr>
            <w:tcW w:w="992" w:type="dxa"/>
            <w:noWrap w:val="0"/>
            <w:vAlign w:val="center"/>
          </w:tcPr>
          <w:p w14:paraId="2884D664">
            <w:pPr>
              <w:jc w:val="center"/>
              <w:rPr>
                <w:rFonts w:ascii="Times New Roman" w:hAnsi="Times New Roman"/>
                <w:color w:val="000000"/>
                <w:sz w:val="21"/>
                <w:szCs w:val="21"/>
              </w:rPr>
            </w:pPr>
          </w:p>
        </w:tc>
        <w:tc>
          <w:tcPr>
            <w:tcW w:w="993" w:type="dxa"/>
            <w:tcBorders>
              <w:top w:val="single" w:color="auto" w:sz="4" w:space="0"/>
              <w:bottom w:val="single" w:color="auto" w:sz="4" w:space="0"/>
              <w:right w:val="single" w:color="auto" w:sz="4" w:space="0"/>
            </w:tcBorders>
            <w:noWrap w:val="0"/>
            <w:vAlign w:val="center"/>
          </w:tcPr>
          <w:p w14:paraId="0B70C2B4">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top"/>
          </w:tcPr>
          <w:p w14:paraId="3E90A09E">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7A1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0B3DFC78">
            <w:pPr>
              <w:rPr>
                <w:rFonts w:ascii="Times New Roman" w:hAnsi="Times New Roman" w:cs="仿宋"/>
                <w:color w:val="000000"/>
                <w:sz w:val="21"/>
                <w:szCs w:val="21"/>
              </w:rPr>
            </w:pPr>
            <w:r>
              <w:rPr>
                <w:rFonts w:hint="eastAsia" w:ascii="Times New Roman" w:hAnsi="Times New Roman"/>
                <w:color w:val="000000"/>
                <w:sz w:val="21"/>
                <w:szCs w:val="21"/>
              </w:rPr>
              <w:t xml:space="preserve">第二单元 </w:t>
            </w:r>
            <w:r>
              <w:rPr>
                <w:rFonts w:hint="eastAsia" w:ascii="Times New Roman" w:hAnsi="Times New Roman" w:cs="仿宋"/>
                <w:color w:val="000000"/>
                <w:sz w:val="21"/>
                <w:szCs w:val="21"/>
              </w:rPr>
              <w:t>药物代谢动力学、影响药物作用的因素</w:t>
            </w:r>
          </w:p>
        </w:tc>
        <w:tc>
          <w:tcPr>
            <w:tcW w:w="905" w:type="dxa"/>
            <w:noWrap w:val="0"/>
            <w:vAlign w:val="center"/>
          </w:tcPr>
          <w:p w14:paraId="4C39E917">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2457EB6B">
            <w:pPr>
              <w:jc w:val="center"/>
              <w:rPr>
                <w:rFonts w:ascii="Times New Roman" w:hAnsi="Times New Roman"/>
                <w:color w:val="000000"/>
                <w:sz w:val="21"/>
                <w:szCs w:val="21"/>
              </w:rPr>
            </w:pPr>
          </w:p>
        </w:tc>
        <w:tc>
          <w:tcPr>
            <w:tcW w:w="793" w:type="dxa"/>
            <w:noWrap w:val="0"/>
            <w:vAlign w:val="center"/>
          </w:tcPr>
          <w:p w14:paraId="496783D1">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0B1E095C">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noWrap w:val="0"/>
            <w:vAlign w:val="center"/>
          </w:tcPr>
          <w:p w14:paraId="60F0BEA9">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top w:val="single" w:color="auto" w:sz="4" w:space="0"/>
              <w:bottom w:val="single" w:color="auto" w:sz="4" w:space="0"/>
              <w:right w:val="single" w:color="auto" w:sz="4" w:space="0"/>
            </w:tcBorders>
            <w:noWrap w:val="0"/>
            <w:vAlign w:val="center"/>
          </w:tcPr>
          <w:p w14:paraId="5723C65B">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center"/>
          </w:tcPr>
          <w:p w14:paraId="33BCDE57">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4A2F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3869FDB7">
            <w:pPr>
              <w:rPr>
                <w:rFonts w:ascii="Times New Roman" w:hAnsi="Times New Roman"/>
                <w:color w:val="000000"/>
                <w:sz w:val="21"/>
                <w:szCs w:val="21"/>
              </w:rPr>
            </w:pPr>
            <w:r>
              <w:rPr>
                <w:rFonts w:hint="eastAsia" w:ascii="Times New Roman" w:hAnsi="Times New Roman"/>
                <w:color w:val="000000"/>
                <w:sz w:val="21"/>
                <w:szCs w:val="21"/>
              </w:rPr>
              <w:t xml:space="preserve">第三单元 </w:t>
            </w:r>
            <w:r>
              <w:rPr>
                <w:rFonts w:hint="eastAsia" w:ascii="Times New Roman" w:hAnsi="Times New Roman" w:cs="仿宋"/>
                <w:color w:val="000000"/>
                <w:sz w:val="21"/>
                <w:szCs w:val="21"/>
              </w:rPr>
              <w:t>传出神经系统药物概述，拟胆碱药、抗胆碱药</w:t>
            </w:r>
          </w:p>
        </w:tc>
        <w:tc>
          <w:tcPr>
            <w:tcW w:w="905" w:type="dxa"/>
            <w:noWrap w:val="0"/>
            <w:vAlign w:val="center"/>
          </w:tcPr>
          <w:p w14:paraId="5748C94E">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77C406EB">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3989C218">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2CDBC3EA">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noWrap w:val="0"/>
            <w:vAlign w:val="center"/>
          </w:tcPr>
          <w:p w14:paraId="22452E8B">
            <w:pPr>
              <w:jc w:val="center"/>
              <w:rPr>
                <w:rFonts w:ascii="Times New Roman" w:hAnsi="Times New Roman"/>
                <w:color w:val="000000"/>
                <w:sz w:val="21"/>
                <w:szCs w:val="21"/>
              </w:rPr>
            </w:pPr>
          </w:p>
        </w:tc>
        <w:tc>
          <w:tcPr>
            <w:tcW w:w="993" w:type="dxa"/>
            <w:tcBorders>
              <w:top w:val="single" w:color="auto" w:sz="4" w:space="0"/>
              <w:bottom w:val="single" w:color="auto" w:sz="4" w:space="0"/>
              <w:right w:val="single" w:color="auto" w:sz="4" w:space="0"/>
            </w:tcBorders>
            <w:noWrap w:val="0"/>
            <w:vAlign w:val="center"/>
          </w:tcPr>
          <w:p w14:paraId="173C5AC3">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center"/>
          </w:tcPr>
          <w:p w14:paraId="79E4DC83">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5271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784" w:hRule="atLeast"/>
          <w:jc w:val="center"/>
        </w:trPr>
        <w:tc>
          <w:tcPr>
            <w:tcW w:w="1931" w:type="dxa"/>
            <w:tcBorders>
              <w:left w:val="single" w:color="auto" w:sz="4" w:space="0"/>
            </w:tcBorders>
            <w:noWrap w:val="0"/>
            <w:vAlign w:val="top"/>
          </w:tcPr>
          <w:p w14:paraId="54DC4589">
            <w:pPr>
              <w:rPr>
                <w:rFonts w:ascii="Times New Roman" w:hAnsi="Times New Roman" w:cs="仿宋"/>
                <w:color w:val="000000"/>
                <w:sz w:val="21"/>
                <w:szCs w:val="21"/>
              </w:rPr>
            </w:pPr>
            <w:r>
              <w:rPr>
                <w:rFonts w:hint="eastAsia" w:ascii="Times New Roman" w:hAnsi="Times New Roman"/>
                <w:color w:val="000000"/>
                <w:sz w:val="21"/>
                <w:szCs w:val="21"/>
              </w:rPr>
              <w:t xml:space="preserve">第四单元 </w:t>
            </w:r>
            <w:r>
              <w:rPr>
                <w:rFonts w:hint="eastAsia" w:ascii="Times New Roman" w:hAnsi="Times New Roman" w:cs="仿宋"/>
                <w:color w:val="000000"/>
                <w:sz w:val="21"/>
                <w:szCs w:val="21"/>
              </w:rPr>
              <w:t>拟肾上腺素药、抗肾上腺素药、麻醉药</w:t>
            </w:r>
          </w:p>
        </w:tc>
        <w:tc>
          <w:tcPr>
            <w:tcW w:w="905" w:type="dxa"/>
            <w:noWrap w:val="0"/>
            <w:vAlign w:val="center"/>
          </w:tcPr>
          <w:p w14:paraId="61785372">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2296C7ED">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3F58A180">
            <w:pPr>
              <w:jc w:val="center"/>
              <w:rPr>
                <w:rFonts w:ascii="Times New Roman" w:hAnsi="Times New Roman"/>
                <w:color w:val="000000"/>
                <w:sz w:val="21"/>
                <w:szCs w:val="21"/>
              </w:rPr>
            </w:pPr>
          </w:p>
        </w:tc>
        <w:tc>
          <w:tcPr>
            <w:tcW w:w="850" w:type="dxa"/>
            <w:noWrap w:val="0"/>
            <w:vAlign w:val="center"/>
          </w:tcPr>
          <w:p w14:paraId="0CFC9010">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noWrap w:val="0"/>
            <w:vAlign w:val="center"/>
          </w:tcPr>
          <w:p w14:paraId="044F2DAA">
            <w:pPr>
              <w:jc w:val="center"/>
              <w:rPr>
                <w:rFonts w:ascii="Times New Roman" w:hAnsi="Times New Roman"/>
                <w:color w:val="000000"/>
                <w:sz w:val="21"/>
                <w:szCs w:val="21"/>
              </w:rPr>
            </w:pPr>
          </w:p>
        </w:tc>
        <w:tc>
          <w:tcPr>
            <w:tcW w:w="993" w:type="dxa"/>
            <w:tcBorders>
              <w:top w:val="single" w:color="auto" w:sz="4" w:space="0"/>
              <w:bottom w:val="single" w:color="auto" w:sz="4" w:space="0"/>
              <w:right w:val="single" w:color="auto" w:sz="4" w:space="0"/>
            </w:tcBorders>
            <w:noWrap w:val="0"/>
            <w:vAlign w:val="center"/>
          </w:tcPr>
          <w:p w14:paraId="0BEC58AE">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left w:val="single" w:color="auto" w:sz="4" w:space="0"/>
              <w:right w:val="single" w:color="auto" w:sz="4" w:space="0"/>
            </w:tcBorders>
            <w:noWrap w:val="0"/>
            <w:vAlign w:val="center"/>
          </w:tcPr>
          <w:p w14:paraId="7AB04D82">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4493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0D4184C9">
            <w:pPr>
              <w:rPr>
                <w:rFonts w:ascii="Times New Roman" w:hAnsi="Times New Roman" w:cs="仿宋"/>
                <w:color w:val="000000"/>
                <w:sz w:val="21"/>
                <w:szCs w:val="21"/>
              </w:rPr>
            </w:pPr>
            <w:r>
              <w:rPr>
                <w:rFonts w:hint="eastAsia" w:ascii="Times New Roman" w:hAnsi="Times New Roman"/>
                <w:color w:val="000000"/>
                <w:sz w:val="21"/>
                <w:szCs w:val="21"/>
              </w:rPr>
              <w:t xml:space="preserve">第五单元 </w:t>
            </w:r>
            <w:r>
              <w:rPr>
                <w:rFonts w:hint="eastAsia" w:ascii="Times New Roman" w:hAnsi="Times New Roman" w:cs="仿宋"/>
                <w:color w:val="000000"/>
                <w:sz w:val="21"/>
                <w:szCs w:val="21"/>
              </w:rPr>
              <w:t>镇静催眠药和抗惊厥药抗癫痫药，抗帕金森病药及抗阿尔茨海默病药</w:t>
            </w:r>
          </w:p>
        </w:tc>
        <w:tc>
          <w:tcPr>
            <w:tcW w:w="905" w:type="dxa"/>
            <w:noWrap w:val="0"/>
            <w:vAlign w:val="center"/>
          </w:tcPr>
          <w:p w14:paraId="5DD14FA7">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46DEB598">
            <w:pPr>
              <w:jc w:val="center"/>
              <w:rPr>
                <w:rFonts w:ascii="Times New Roman" w:hAnsi="Times New Roman"/>
                <w:color w:val="000000"/>
                <w:sz w:val="21"/>
                <w:szCs w:val="21"/>
              </w:rPr>
            </w:pPr>
          </w:p>
        </w:tc>
        <w:tc>
          <w:tcPr>
            <w:tcW w:w="793" w:type="dxa"/>
            <w:noWrap w:val="0"/>
            <w:vAlign w:val="center"/>
          </w:tcPr>
          <w:p w14:paraId="1E48BBB4">
            <w:pPr>
              <w:jc w:val="center"/>
              <w:rPr>
                <w:rFonts w:ascii="Times New Roman" w:hAnsi="Times New Roman"/>
                <w:color w:val="000000"/>
                <w:sz w:val="21"/>
                <w:szCs w:val="21"/>
              </w:rPr>
            </w:pPr>
          </w:p>
        </w:tc>
        <w:tc>
          <w:tcPr>
            <w:tcW w:w="850" w:type="dxa"/>
            <w:noWrap w:val="0"/>
            <w:vAlign w:val="center"/>
          </w:tcPr>
          <w:p w14:paraId="6E627CBE">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noWrap w:val="0"/>
            <w:vAlign w:val="center"/>
          </w:tcPr>
          <w:p w14:paraId="64858035">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top w:val="single" w:color="auto" w:sz="4" w:space="0"/>
              <w:bottom w:val="single" w:color="auto" w:sz="4" w:space="0"/>
              <w:right w:val="single" w:color="auto" w:sz="4" w:space="0"/>
            </w:tcBorders>
            <w:noWrap w:val="0"/>
            <w:vAlign w:val="center"/>
          </w:tcPr>
          <w:p w14:paraId="6D31D235">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left w:val="single" w:color="auto" w:sz="4" w:space="0"/>
              <w:right w:val="single" w:color="auto" w:sz="4" w:space="0"/>
            </w:tcBorders>
            <w:noWrap w:val="0"/>
            <w:vAlign w:val="center"/>
          </w:tcPr>
          <w:p w14:paraId="3B45A734">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0A37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5C038C73">
            <w:pPr>
              <w:rPr>
                <w:rFonts w:ascii="Times New Roman" w:hAnsi="Times New Roman"/>
                <w:color w:val="000000"/>
                <w:sz w:val="20"/>
                <w:szCs w:val="20"/>
              </w:rPr>
            </w:pPr>
            <w:r>
              <w:rPr>
                <w:rFonts w:hint="eastAsia" w:ascii="Times New Roman" w:hAnsi="Times New Roman"/>
                <w:color w:val="000000"/>
                <w:sz w:val="21"/>
                <w:szCs w:val="21"/>
              </w:rPr>
              <w:t xml:space="preserve">第六单元 </w:t>
            </w:r>
            <w:r>
              <w:rPr>
                <w:rFonts w:hint="eastAsia" w:ascii="Times New Roman" w:hAnsi="Times New Roman" w:cs="仿宋"/>
                <w:color w:val="000000"/>
                <w:sz w:val="21"/>
                <w:szCs w:val="21"/>
              </w:rPr>
              <w:t>抗精神失常药镇痛药、解热镇痛抗炎药、枢兴奋药与促大脑功能恢复药</w:t>
            </w:r>
          </w:p>
        </w:tc>
        <w:tc>
          <w:tcPr>
            <w:tcW w:w="905" w:type="dxa"/>
            <w:noWrap w:val="0"/>
            <w:vAlign w:val="center"/>
          </w:tcPr>
          <w:p w14:paraId="563EFCF2">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005EA48E">
            <w:pPr>
              <w:jc w:val="center"/>
              <w:rPr>
                <w:rFonts w:ascii="Times New Roman" w:hAnsi="Times New Roman"/>
                <w:color w:val="000000"/>
                <w:sz w:val="21"/>
                <w:szCs w:val="21"/>
              </w:rPr>
            </w:pPr>
          </w:p>
        </w:tc>
        <w:tc>
          <w:tcPr>
            <w:tcW w:w="793" w:type="dxa"/>
            <w:noWrap w:val="0"/>
            <w:vAlign w:val="center"/>
          </w:tcPr>
          <w:p w14:paraId="0BD5FD05">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6AA6DD14">
            <w:pPr>
              <w:jc w:val="center"/>
              <w:rPr>
                <w:rFonts w:ascii="Times New Roman" w:hAnsi="Times New Roman"/>
                <w:color w:val="000000"/>
                <w:sz w:val="21"/>
                <w:szCs w:val="21"/>
              </w:rPr>
            </w:pPr>
          </w:p>
        </w:tc>
        <w:tc>
          <w:tcPr>
            <w:tcW w:w="992" w:type="dxa"/>
            <w:noWrap w:val="0"/>
            <w:vAlign w:val="center"/>
          </w:tcPr>
          <w:p w14:paraId="12FCDECF">
            <w:pPr>
              <w:jc w:val="center"/>
              <w:rPr>
                <w:rFonts w:ascii="Times New Roman" w:hAnsi="Times New Roman"/>
                <w:color w:val="000000"/>
                <w:sz w:val="21"/>
                <w:szCs w:val="21"/>
              </w:rPr>
            </w:pPr>
          </w:p>
        </w:tc>
        <w:tc>
          <w:tcPr>
            <w:tcW w:w="993" w:type="dxa"/>
            <w:tcBorders>
              <w:top w:val="single" w:color="auto" w:sz="4" w:space="0"/>
              <w:bottom w:val="single" w:color="auto" w:sz="4" w:space="0"/>
              <w:right w:val="single" w:color="auto" w:sz="4" w:space="0"/>
            </w:tcBorders>
            <w:noWrap w:val="0"/>
            <w:vAlign w:val="center"/>
          </w:tcPr>
          <w:p w14:paraId="2E474069">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top"/>
          </w:tcPr>
          <w:p w14:paraId="5C8ED0E9">
            <w:pPr>
              <w:jc w:val="center"/>
              <w:rPr>
                <w:rFonts w:ascii="Times New Roman" w:hAnsi="Times New Roman"/>
                <w:color w:val="000000"/>
                <w:sz w:val="21"/>
                <w:szCs w:val="21"/>
              </w:rPr>
            </w:pPr>
          </w:p>
        </w:tc>
      </w:tr>
      <w:tr w14:paraId="0E80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336736DC">
            <w:pPr>
              <w:rPr>
                <w:rFonts w:ascii="Times New Roman" w:hAnsi="Times New Roman"/>
                <w:color w:val="000000"/>
                <w:sz w:val="21"/>
                <w:szCs w:val="21"/>
              </w:rPr>
            </w:pPr>
            <w:r>
              <w:rPr>
                <w:rFonts w:hint="eastAsia" w:ascii="Times New Roman" w:hAnsi="Times New Roman"/>
                <w:color w:val="000000"/>
                <w:sz w:val="21"/>
                <w:szCs w:val="21"/>
              </w:rPr>
              <w:t xml:space="preserve">第七单元 </w:t>
            </w:r>
            <w:r>
              <w:rPr>
                <w:rFonts w:hint="eastAsia" w:ascii="Times New Roman" w:hAnsi="Times New Roman" w:cs="仿宋"/>
                <w:color w:val="000000"/>
                <w:sz w:val="21"/>
                <w:szCs w:val="21"/>
              </w:rPr>
              <w:t>抗高血压药</w:t>
            </w:r>
          </w:p>
        </w:tc>
        <w:tc>
          <w:tcPr>
            <w:tcW w:w="905" w:type="dxa"/>
            <w:noWrap w:val="0"/>
            <w:vAlign w:val="center"/>
          </w:tcPr>
          <w:p w14:paraId="3E17594C">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67B63175">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0DE8755E">
            <w:pPr>
              <w:jc w:val="center"/>
              <w:rPr>
                <w:rFonts w:ascii="Times New Roman" w:hAnsi="Times New Roman"/>
                <w:color w:val="000000"/>
                <w:sz w:val="21"/>
                <w:szCs w:val="21"/>
              </w:rPr>
            </w:pPr>
          </w:p>
        </w:tc>
        <w:tc>
          <w:tcPr>
            <w:tcW w:w="850" w:type="dxa"/>
            <w:noWrap w:val="0"/>
            <w:vAlign w:val="center"/>
          </w:tcPr>
          <w:p w14:paraId="22E00551">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noWrap w:val="0"/>
            <w:vAlign w:val="center"/>
          </w:tcPr>
          <w:p w14:paraId="5CDF4568">
            <w:pPr>
              <w:jc w:val="center"/>
              <w:rPr>
                <w:rFonts w:ascii="Times New Roman" w:hAnsi="Times New Roman"/>
                <w:color w:val="000000"/>
                <w:sz w:val="21"/>
                <w:szCs w:val="21"/>
              </w:rPr>
            </w:pPr>
          </w:p>
        </w:tc>
        <w:tc>
          <w:tcPr>
            <w:tcW w:w="993" w:type="dxa"/>
            <w:tcBorders>
              <w:top w:val="single" w:color="auto" w:sz="4" w:space="0"/>
              <w:right w:val="single" w:color="auto" w:sz="4" w:space="0"/>
            </w:tcBorders>
            <w:noWrap w:val="0"/>
            <w:vAlign w:val="center"/>
          </w:tcPr>
          <w:p w14:paraId="67818A41">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left w:val="single" w:color="auto" w:sz="4" w:space="0"/>
              <w:bottom w:val="single" w:color="auto" w:sz="4" w:space="0"/>
              <w:right w:val="single" w:color="auto" w:sz="4" w:space="0"/>
            </w:tcBorders>
            <w:noWrap w:val="0"/>
            <w:vAlign w:val="top"/>
          </w:tcPr>
          <w:p w14:paraId="7C4494A3">
            <w:pPr>
              <w:jc w:val="center"/>
              <w:rPr>
                <w:rFonts w:hint="eastAsia" w:ascii="Times New Roman" w:hAnsi="Times New Roman"/>
                <w:color w:val="000000"/>
                <w:sz w:val="21"/>
                <w:szCs w:val="21"/>
              </w:rPr>
            </w:pPr>
          </w:p>
        </w:tc>
      </w:tr>
      <w:tr w14:paraId="3A38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258" w:hRule="atLeast"/>
          <w:jc w:val="center"/>
        </w:trPr>
        <w:tc>
          <w:tcPr>
            <w:tcW w:w="1931" w:type="dxa"/>
            <w:tcBorders>
              <w:left w:val="single" w:color="auto" w:sz="4" w:space="0"/>
            </w:tcBorders>
            <w:noWrap w:val="0"/>
            <w:vAlign w:val="top"/>
          </w:tcPr>
          <w:p w14:paraId="16AB8D9A">
            <w:pPr>
              <w:rPr>
                <w:rFonts w:ascii="Times New Roman" w:hAnsi="Times New Roman" w:cs="仿宋"/>
                <w:color w:val="000000"/>
                <w:sz w:val="21"/>
                <w:szCs w:val="21"/>
              </w:rPr>
            </w:pPr>
            <w:r>
              <w:rPr>
                <w:rFonts w:hint="eastAsia" w:ascii="Times New Roman" w:hAnsi="Times New Roman"/>
                <w:color w:val="000000"/>
                <w:sz w:val="21"/>
                <w:szCs w:val="21"/>
              </w:rPr>
              <w:t xml:space="preserve">第八单元 </w:t>
            </w:r>
            <w:r>
              <w:rPr>
                <w:rFonts w:hint="eastAsia" w:ascii="Times New Roman" w:hAnsi="Times New Roman" w:cs="仿宋"/>
                <w:color w:val="000000"/>
                <w:sz w:val="21"/>
                <w:szCs w:val="21"/>
              </w:rPr>
              <w:t>抗心律失常药、抗充血性心力衰竭药</w:t>
            </w:r>
          </w:p>
        </w:tc>
        <w:tc>
          <w:tcPr>
            <w:tcW w:w="905" w:type="dxa"/>
            <w:noWrap w:val="0"/>
            <w:vAlign w:val="center"/>
          </w:tcPr>
          <w:p w14:paraId="6164776D">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140E4E45">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6F01D1D1">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060830B8">
            <w:pPr>
              <w:jc w:val="center"/>
              <w:rPr>
                <w:rFonts w:ascii="Times New Roman" w:hAnsi="Times New Roman"/>
                <w:color w:val="000000"/>
                <w:sz w:val="21"/>
                <w:szCs w:val="21"/>
              </w:rPr>
            </w:pPr>
          </w:p>
        </w:tc>
        <w:tc>
          <w:tcPr>
            <w:tcW w:w="992" w:type="dxa"/>
            <w:noWrap w:val="0"/>
            <w:vAlign w:val="center"/>
          </w:tcPr>
          <w:p w14:paraId="73A2ED8C">
            <w:pPr>
              <w:jc w:val="center"/>
              <w:rPr>
                <w:rFonts w:ascii="Times New Roman" w:hAnsi="Times New Roman"/>
                <w:color w:val="000000"/>
                <w:sz w:val="21"/>
                <w:szCs w:val="21"/>
              </w:rPr>
            </w:pPr>
          </w:p>
        </w:tc>
        <w:tc>
          <w:tcPr>
            <w:tcW w:w="993" w:type="dxa"/>
            <w:tcBorders>
              <w:right w:val="single" w:color="auto" w:sz="4" w:space="0"/>
            </w:tcBorders>
            <w:noWrap w:val="0"/>
            <w:vAlign w:val="center"/>
          </w:tcPr>
          <w:p w14:paraId="0CBF23D7">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left w:val="single" w:color="auto" w:sz="4" w:space="0"/>
              <w:right w:val="single" w:color="auto" w:sz="4" w:space="0"/>
            </w:tcBorders>
            <w:noWrap w:val="0"/>
            <w:vAlign w:val="center"/>
          </w:tcPr>
          <w:p w14:paraId="176C9FA7">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0942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4FE90D72">
            <w:pPr>
              <w:rPr>
                <w:rFonts w:ascii="Times New Roman" w:hAnsi="Times New Roman"/>
                <w:color w:val="000000"/>
                <w:sz w:val="21"/>
                <w:szCs w:val="21"/>
              </w:rPr>
            </w:pPr>
            <w:r>
              <w:rPr>
                <w:rFonts w:hint="eastAsia" w:ascii="Times New Roman" w:hAnsi="Times New Roman"/>
                <w:color w:val="000000"/>
                <w:sz w:val="21"/>
                <w:szCs w:val="21"/>
              </w:rPr>
              <w:t xml:space="preserve">第九单元 </w:t>
            </w:r>
            <w:r>
              <w:rPr>
                <w:rFonts w:hint="eastAsia" w:ascii="Times New Roman" w:hAnsi="Times New Roman" w:cs="仿宋"/>
                <w:color w:val="000000"/>
                <w:sz w:val="21"/>
                <w:szCs w:val="21"/>
              </w:rPr>
              <w:t>抗心绞痛药、调血脂药、利尿药及脱水药</w:t>
            </w:r>
          </w:p>
        </w:tc>
        <w:tc>
          <w:tcPr>
            <w:tcW w:w="905" w:type="dxa"/>
            <w:noWrap w:val="0"/>
            <w:vAlign w:val="center"/>
          </w:tcPr>
          <w:p w14:paraId="505BE58B">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60FDD290">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277B4668">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30816CE5">
            <w:pPr>
              <w:jc w:val="center"/>
              <w:rPr>
                <w:rFonts w:ascii="Times New Roman" w:hAnsi="Times New Roman"/>
                <w:color w:val="000000"/>
                <w:sz w:val="21"/>
                <w:szCs w:val="21"/>
              </w:rPr>
            </w:pPr>
          </w:p>
        </w:tc>
        <w:tc>
          <w:tcPr>
            <w:tcW w:w="992" w:type="dxa"/>
            <w:noWrap w:val="0"/>
            <w:vAlign w:val="center"/>
          </w:tcPr>
          <w:p w14:paraId="03F8C8EB">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right w:val="single" w:color="auto" w:sz="4" w:space="0"/>
            </w:tcBorders>
            <w:noWrap w:val="0"/>
            <w:vAlign w:val="center"/>
          </w:tcPr>
          <w:p w14:paraId="53DE8E16">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center"/>
          </w:tcPr>
          <w:p w14:paraId="2F208B63">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0EA4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3B717613">
            <w:pPr>
              <w:rPr>
                <w:rFonts w:hint="eastAsia" w:ascii="Times New Roman" w:hAnsi="Times New Roman" w:cs="仿宋"/>
                <w:color w:val="000000"/>
                <w:sz w:val="21"/>
                <w:szCs w:val="21"/>
              </w:rPr>
            </w:pPr>
            <w:r>
              <w:rPr>
                <w:rFonts w:hint="eastAsia" w:ascii="Times New Roman" w:hAnsi="Times New Roman"/>
                <w:color w:val="000000"/>
                <w:sz w:val="21"/>
                <w:szCs w:val="21"/>
              </w:rPr>
              <w:t xml:space="preserve">第十单元 </w:t>
            </w:r>
            <w:r>
              <w:rPr>
                <w:rFonts w:hint="eastAsia" w:ascii="Times New Roman" w:hAnsi="Times New Roman" w:cs="仿宋"/>
                <w:color w:val="000000"/>
                <w:sz w:val="21"/>
                <w:szCs w:val="21"/>
              </w:rPr>
              <w:t>作用于消化系统的药物、作用于呼吸系统的药物</w:t>
            </w:r>
          </w:p>
        </w:tc>
        <w:tc>
          <w:tcPr>
            <w:tcW w:w="905" w:type="dxa"/>
            <w:noWrap w:val="0"/>
            <w:vAlign w:val="center"/>
          </w:tcPr>
          <w:p w14:paraId="3D13105E">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441B8C2A">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5B0F62CF">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74F4338C">
            <w:pPr>
              <w:jc w:val="center"/>
              <w:rPr>
                <w:rFonts w:ascii="Times New Roman" w:hAnsi="Times New Roman"/>
                <w:color w:val="000000"/>
                <w:sz w:val="21"/>
                <w:szCs w:val="21"/>
              </w:rPr>
            </w:pPr>
          </w:p>
        </w:tc>
        <w:tc>
          <w:tcPr>
            <w:tcW w:w="992" w:type="dxa"/>
            <w:noWrap w:val="0"/>
            <w:vAlign w:val="center"/>
          </w:tcPr>
          <w:p w14:paraId="6660BECF">
            <w:pPr>
              <w:jc w:val="center"/>
              <w:rPr>
                <w:rFonts w:hint="eastAsia" w:ascii="Times New Roman" w:hAnsi="Times New Roman"/>
                <w:color w:val="000000"/>
                <w:sz w:val="21"/>
                <w:szCs w:val="21"/>
              </w:rPr>
            </w:pPr>
          </w:p>
        </w:tc>
        <w:tc>
          <w:tcPr>
            <w:tcW w:w="993" w:type="dxa"/>
            <w:tcBorders>
              <w:right w:val="single" w:color="auto" w:sz="4" w:space="0"/>
            </w:tcBorders>
            <w:noWrap w:val="0"/>
            <w:vAlign w:val="center"/>
          </w:tcPr>
          <w:p w14:paraId="394D8CCC">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top"/>
          </w:tcPr>
          <w:p w14:paraId="4432B5C6">
            <w:pPr>
              <w:jc w:val="center"/>
              <w:rPr>
                <w:rFonts w:ascii="Times New Roman" w:hAnsi="Times New Roman"/>
                <w:color w:val="000000"/>
                <w:sz w:val="21"/>
                <w:szCs w:val="21"/>
              </w:rPr>
            </w:pPr>
          </w:p>
        </w:tc>
      </w:tr>
      <w:tr w14:paraId="7D20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53C957D5">
            <w:pPr>
              <w:rPr>
                <w:rFonts w:hint="eastAsia" w:ascii="Times New Roman" w:hAnsi="Times New Roman" w:cs="仿宋"/>
                <w:color w:val="000000"/>
                <w:sz w:val="21"/>
                <w:szCs w:val="21"/>
              </w:rPr>
            </w:pPr>
            <w:r>
              <w:rPr>
                <w:rFonts w:hint="eastAsia" w:ascii="Times New Roman" w:hAnsi="Times New Roman"/>
                <w:color w:val="000000"/>
                <w:sz w:val="21"/>
                <w:szCs w:val="21"/>
              </w:rPr>
              <w:t xml:space="preserve">第十一单元 子宫平滑肌收缩药与舒张药、作用于血液及造血系统的药物、拟组胺药与抗组胺药  </w:t>
            </w:r>
          </w:p>
        </w:tc>
        <w:tc>
          <w:tcPr>
            <w:tcW w:w="905" w:type="dxa"/>
            <w:noWrap w:val="0"/>
            <w:vAlign w:val="center"/>
          </w:tcPr>
          <w:p w14:paraId="3A115BAD">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767BC416">
            <w:pPr>
              <w:jc w:val="center"/>
              <w:rPr>
                <w:rFonts w:hint="eastAsia" w:ascii="Times New Roman" w:hAnsi="Times New Roman"/>
                <w:color w:val="000000"/>
                <w:sz w:val="21"/>
                <w:szCs w:val="21"/>
              </w:rPr>
            </w:pPr>
          </w:p>
        </w:tc>
        <w:tc>
          <w:tcPr>
            <w:tcW w:w="793" w:type="dxa"/>
            <w:noWrap w:val="0"/>
            <w:vAlign w:val="center"/>
          </w:tcPr>
          <w:p w14:paraId="749140E5">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7344385D">
            <w:pPr>
              <w:jc w:val="center"/>
              <w:rPr>
                <w:rFonts w:ascii="Times New Roman" w:hAnsi="Times New Roman"/>
                <w:color w:val="000000"/>
                <w:sz w:val="21"/>
                <w:szCs w:val="21"/>
              </w:rPr>
            </w:pPr>
          </w:p>
        </w:tc>
        <w:tc>
          <w:tcPr>
            <w:tcW w:w="992" w:type="dxa"/>
            <w:noWrap w:val="0"/>
            <w:vAlign w:val="center"/>
          </w:tcPr>
          <w:p w14:paraId="15835510">
            <w:pPr>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993" w:type="dxa"/>
            <w:tcBorders>
              <w:right w:val="single" w:color="auto" w:sz="4" w:space="0"/>
            </w:tcBorders>
            <w:noWrap w:val="0"/>
            <w:vAlign w:val="center"/>
          </w:tcPr>
          <w:p w14:paraId="6FA9F769">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top"/>
          </w:tcPr>
          <w:p w14:paraId="75E8FF51">
            <w:pPr>
              <w:jc w:val="center"/>
              <w:rPr>
                <w:rFonts w:ascii="Times New Roman" w:hAnsi="Times New Roman"/>
                <w:color w:val="000000"/>
                <w:sz w:val="21"/>
                <w:szCs w:val="21"/>
              </w:rPr>
            </w:pPr>
          </w:p>
        </w:tc>
      </w:tr>
      <w:tr w14:paraId="27AF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1EB11519">
            <w:pPr>
              <w:rPr>
                <w:rFonts w:hint="eastAsia" w:ascii="Times New Roman" w:hAnsi="Times New Roman" w:cs="仿宋"/>
                <w:color w:val="000000"/>
                <w:sz w:val="21"/>
                <w:szCs w:val="21"/>
              </w:rPr>
            </w:pPr>
            <w:r>
              <w:rPr>
                <w:rFonts w:hint="eastAsia" w:ascii="Times New Roman" w:hAnsi="Times New Roman"/>
                <w:color w:val="000000"/>
                <w:sz w:val="21"/>
                <w:szCs w:val="21"/>
              </w:rPr>
              <w:t>第十二单元</w:t>
            </w:r>
            <w:r>
              <w:rPr>
                <w:rFonts w:hint="eastAsia" w:ascii="Times New Roman" w:hAnsi="Times New Roman" w:cs="仿宋"/>
                <w:color w:val="000000"/>
                <w:sz w:val="21"/>
                <w:szCs w:val="21"/>
              </w:rPr>
              <w:t>肾上腺皮质激素类药、甲状腺激素和抗甲状腺药</w:t>
            </w:r>
          </w:p>
        </w:tc>
        <w:tc>
          <w:tcPr>
            <w:tcW w:w="905" w:type="dxa"/>
            <w:noWrap w:val="0"/>
            <w:vAlign w:val="center"/>
          </w:tcPr>
          <w:p w14:paraId="212E267E">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00024FB1">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5259A87F">
            <w:pPr>
              <w:jc w:val="center"/>
              <w:rPr>
                <w:rFonts w:hint="eastAsia" w:ascii="Times New Roman" w:hAnsi="Times New Roman"/>
                <w:color w:val="000000"/>
                <w:sz w:val="21"/>
                <w:szCs w:val="21"/>
              </w:rPr>
            </w:pPr>
          </w:p>
        </w:tc>
        <w:tc>
          <w:tcPr>
            <w:tcW w:w="850" w:type="dxa"/>
            <w:noWrap w:val="0"/>
            <w:vAlign w:val="center"/>
          </w:tcPr>
          <w:p w14:paraId="28B6203E">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noWrap w:val="0"/>
            <w:vAlign w:val="center"/>
          </w:tcPr>
          <w:p w14:paraId="0FD85DD7">
            <w:pPr>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993" w:type="dxa"/>
            <w:tcBorders>
              <w:right w:val="single" w:color="auto" w:sz="4" w:space="0"/>
            </w:tcBorders>
            <w:noWrap w:val="0"/>
            <w:vAlign w:val="center"/>
          </w:tcPr>
          <w:p w14:paraId="19C7DB9E">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center"/>
          </w:tcPr>
          <w:p w14:paraId="05955317">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34B4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2C5CB33E">
            <w:pPr>
              <w:rPr>
                <w:rFonts w:hint="eastAsia" w:ascii="Times New Roman" w:hAnsi="Times New Roman" w:cs="仿宋"/>
                <w:color w:val="000000"/>
                <w:sz w:val="21"/>
                <w:szCs w:val="21"/>
              </w:rPr>
            </w:pPr>
            <w:r>
              <w:rPr>
                <w:rFonts w:hint="eastAsia" w:ascii="Times New Roman" w:hAnsi="Times New Roman"/>
                <w:color w:val="000000"/>
                <w:sz w:val="21"/>
                <w:szCs w:val="21"/>
              </w:rPr>
              <w:t>第十三单元</w:t>
            </w:r>
            <w:r>
              <w:rPr>
                <w:rFonts w:hint="eastAsia" w:ascii="Times New Roman" w:hAnsi="Times New Roman" w:cs="仿宋"/>
                <w:color w:val="000000"/>
                <w:sz w:val="21"/>
                <w:szCs w:val="21"/>
              </w:rPr>
              <w:t>胰岛素和口服降血糖药、性激素类药及避孕药、抗骨质疏松症药</w:t>
            </w:r>
          </w:p>
        </w:tc>
        <w:tc>
          <w:tcPr>
            <w:tcW w:w="905" w:type="dxa"/>
            <w:noWrap w:val="0"/>
            <w:vAlign w:val="center"/>
          </w:tcPr>
          <w:p w14:paraId="0F142FAE">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3F231F13">
            <w:pPr>
              <w:jc w:val="center"/>
              <w:rPr>
                <w:rFonts w:hint="eastAsia" w:ascii="Times New Roman" w:hAnsi="Times New Roman"/>
                <w:color w:val="000000"/>
                <w:sz w:val="21"/>
                <w:szCs w:val="21"/>
              </w:rPr>
            </w:pPr>
          </w:p>
        </w:tc>
        <w:tc>
          <w:tcPr>
            <w:tcW w:w="793" w:type="dxa"/>
            <w:noWrap w:val="0"/>
            <w:vAlign w:val="center"/>
          </w:tcPr>
          <w:p w14:paraId="6460DF6F">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0" w:type="dxa"/>
            <w:noWrap w:val="0"/>
            <w:vAlign w:val="center"/>
          </w:tcPr>
          <w:p w14:paraId="592A4A2E">
            <w:pPr>
              <w:jc w:val="center"/>
              <w:rPr>
                <w:rFonts w:ascii="Times New Roman" w:hAnsi="Times New Roman"/>
                <w:color w:val="000000"/>
                <w:sz w:val="21"/>
                <w:szCs w:val="21"/>
              </w:rPr>
            </w:pPr>
          </w:p>
        </w:tc>
        <w:tc>
          <w:tcPr>
            <w:tcW w:w="992" w:type="dxa"/>
            <w:noWrap w:val="0"/>
            <w:vAlign w:val="center"/>
          </w:tcPr>
          <w:p w14:paraId="3A48463E">
            <w:pPr>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993" w:type="dxa"/>
            <w:tcBorders>
              <w:right w:val="single" w:color="auto" w:sz="4" w:space="0"/>
            </w:tcBorders>
            <w:noWrap w:val="0"/>
            <w:vAlign w:val="center"/>
          </w:tcPr>
          <w:p w14:paraId="0496DA40">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top"/>
          </w:tcPr>
          <w:p w14:paraId="0C6F345F">
            <w:pPr>
              <w:jc w:val="center"/>
              <w:rPr>
                <w:rFonts w:ascii="Times New Roman" w:hAnsi="Times New Roman"/>
                <w:color w:val="000000"/>
                <w:sz w:val="21"/>
                <w:szCs w:val="21"/>
              </w:rPr>
            </w:pPr>
          </w:p>
        </w:tc>
      </w:tr>
      <w:tr w14:paraId="2711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620767DA">
            <w:pPr>
              <w:rPr>
                <w:rFonts w:hint="eastAsia" w:ascii="Times New Roman" w:hAnsi="Times New Roman"/>
                <w:color w:val="000000"/>
                <w:sz w:val="21"/>
                <w:szCs w:val="21"/>
              </w:rPr>
            </w:pPr>
            <w:r>
              <w:rPr>
                <w:rFonts w:hint="eastAsia" w:ascii="Times New Roman" w:hAnsi="Times New Roman"/>
                <w:color w:val="000000"/>
                <w:sz w:val="21"/>
                <w:szCs w:val="21"/>
              </w:rPr>
              <w:t>第十四单元</w:t>
            </w:r>
            <w:r>
              <w:rPr>
                <w:rFonts w:hint="eastAsia" w:ascii="Times New Roman" w:hAnsi="Times New Roman" w:cs="仿宋"/>
                <w:color w:val="000000"/>
                <w:sz w:val="21"/>
                <w:szCs w:val="21"/>
              </w:rPr>
              <w:t>抗菌药概述、抗生素</w:t>
            </w:r>
          </w:p>
        </w:tc>
        <w:tc>
          <w:tcPr>
            <w:tcW w:w="905" w:type="dxa"/>
            <w:noWrap w:val="0"/>
            <w:vAlign w:val="center"/>
          </w:tcPr>
          <w:p w14:paraId="7CABAF77">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68D36BEE">
            <w:pPr>
              <w:jc w:val="center"/>
              <w:rPr>
                <w:rFonts w:hint="eastAsia" w:ascii="Times New Roman" w:hAnsi="Times New Roman"/>
                <w:color w:val="000000"/>
                <w:sz w:val="21"/>
                <w:szCs w:val="21"/>
              </w:rPr>
            </w:pPr>
          </w:p>
        </w:tc>
        <w:tc>
          <w:tcPr>
            <w:tcW w:w="793" w:type="dxa"/>
            <w:noWrap w:val="0"/>
            <w:vAlign w:val="center"/>
          </w:tcPr>
          <w:p w14:paraId="29BA3E52">
            <w:pPr>
              <w:jc w:val="center"/>
              <w:rPr>
                <w:rFonts w:hint="eastAsia" w:ascii="Times New Roman" w:hAnsi="Times New Roman"/>
                <w:color w:val="000000"/>
                <w:sz w:val="21"/>
                <w:szCs w:val="21"/>
              </w:rPr>
            </w:pPr>
          </w:p>
        </w:tc>
        <w:tc>
          <w:tcPr>
            <w:tcW w:w="850" w:type="dxa"/>
            <w:noWrap w:val="0"/>
            <w:vAlign w:val="center"/>
          </w:tcPr>
          <w:p w14:paraId="5E1AA72B">
            <w:pPr>
              <w:jc w:val="center"/>
              <w:rPr>
                <w:rFonts w:ascii="Times New Roman" w:hAnsi="Times New Roman"/>
                <w:color w:val="000000"/>
                <w:sz w:val="21"/>
                <w:szCs w:val="21"/>
              </w:rPr>
            </w:pPr>
          </w:p>
        </w:tc>
        <w:tc>
          <w:tcPr>
            <w:tcW w:w="992" w:type="dxa"/>
            <w:noWrap w:val="0"/>
            <w:vAlign w:val="center"/>
          </w:tcPr>
          <w:p w14:paraId="78E04FE8">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right w:val="single" w:color="auto" w:sz="4" w:space="0"/>
            </w:tcBorders>
            <w:noWrap w:val="0"/>
            <w:vAlign w:val="center"/>
          </w:tcPr>
          <w:p w14:paraId="7EC304CF">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left w:val="single" w:color="auto" w:sz="4" w:space="0"/>
              <w:right w:val="single" w:color="auto" w:sz="4" w:space="0"/>
            </w:tcBorders>
            <w:noWrap w:val="0"/>
            <w:vAlign w:val="top"/>
          </w:tcPr>
          <w:p w14:paraId="1592EEC6">
            <w:pPr>
              <w:jc w:val="center"/>
              <w:rPr>
                <w:rFonts w:ascii="Times New Roman" w:hAnsi="Times New Roman"/>
                <w:color w:val="000000"/>
                <w:sz w:val="21"/>
                <w:szCs w:val="21"/>
              </w:rPr>
            </w:pPr>
          </w:p>
        </w:tc>
      </w:tr>
      <w:tr w14:paraId="7616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24BC1BCF">
            <w:pPr>
              <w:rPr>
                <w:rFonts w:hint="eastAsia" w:ascii="Times New Roman" w:hAnsi="Times New Roman"/>
                <w:color w:val="000000"/>
                <w:sz w:val="21"/>
                <w:szCs w:val="21"/>
              </w:rPr>
            </w:pPr>
            <w:r>
              <w:rPr>
                <w:rFonts w:hint="eastAsia" w:ascii="Times New Roman" w:hAnsi="Times New Roman"/>
                <w:color w:val="000000"/>
                <w:sz w:val="21"/>
                <w:szCs w:val="21"/>
              </w:rPr>
              <w:t xml:space="preserve">第十五单元 </w:t>
            </w:r>
            <w:r>
              <w:rPr>
                <w:rFonts w:hint="eastAsia" w:ascii="Times New Roman" w:hAnsi="Times New Roman" w:cs="仿宋"/>
                <w:color w:val="000000"/>
                <w:sz w:val="21"/>
                <w:szCs w:val="21"/>
              </w:rPr>
              <w:t>人工合成抗菌药、抗结核病药</w:t>
            </w:r>
          </w:p>
        </w:tc>
        <w:tc>
          <w:tcPr>
            <w:tcW w:w="905" w:type="dxa"/>
            <w:noWrap w:val="0"/>
            <w:vAlign w:val="center"/>
          </w:tcPr>
          <w:p w14:paraId="5703B4A2">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005AAEB9">
            <w:pPr>
              <w:jc w:val="center"/>
              <w:rPr>
                <w:rFonts w:hint="eastAsia" w:ascii="Times New Roman" w:hAnsi="Times New Roman"/>
                <w:color w:val="000000"/>
                <w:sz w:val="21"/>
                <w:szCs w:val="21"/>
              </w:rPr>
            </w:pPr>
          </w:p>
        </w:tc>
        <w:tc>
          <w:tcPr>
            <w:tcW w:w="793" w:type="dxa"/>
            <w:noWrap w:val="0"/>
            <w:vAlign w:val="center"/>
          </w:tcPr>
          <w:p w14:paraId="2DEC658F">
            <w:pPr>
              <w:jc w:val="center"/>
              <w:rPr>
                <w:rFonts w:hint="eastAsia" w:ascii="Times New Roman" w:hAnsi="Times New Roman"/>
                <w:color w:val="000000"/>
                <w:sz w:val="21"/>
                <w:szCs w:val="21"/>
              </w:rPr>
            </w:pPr>
          </w:p>
        </w:tc>
        <w:tc>
          <w:tcPr>
            <w:tcW w:w="850" w:type="dxa"/>
            <w:noWrap w:val="0"/>
            <w:vAlign w:val="center"/>
          </w:tcPr>
          <w:p w14:paraId="4D523472">
            <w:pPr>
              <w:jc w:val="center"/>
              <w:rPr>
                <w:rFonts w:ascii="Times New Roman" w:hAnsi="Times New Roman"/>
                <w:color w:val="000000"/>
                <w:sz w:val="21"/>
                <w:szCs w:val="21"/>
              </w:rPr>
            </w:pPr>
          </w:p>
        </w:tc>
        <w:tc>
          <w:tcPr>
            <w:tcW w:w="992" w:type="dxa"/>
            <w:noWrap w:val="0"/>
            <w:vAlign w:val="center"/>
          </w:tcPr>
          <w:p w14:paraId="3AEAEA6E">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3" w:type="dxa"/>
            <w:tcBorders>
              <w:right w:val="single" w:color="auto" w:sz="4" w:space="0"/>
            </w:tcBorders>
            <w:noWrap w:val="0"/>
            <w:vAlign w:val="center"/>
          </w:tcPr>
          <w:p w14:paraId="319D34AA">
            <w:pPr>
              <w:jc w:val="center"/>
              <w:rPr>
                <w:rFonts w:ascii="Times New Roman" w:hAnsi="Times New Roman"/>
                <w:color w:val="000000"/>
                <w:sz w:val="21"/>
                <w:szCs w:val="21"/>
              </w:rPr>
            </w:pPr>
          </w:p>
        </w:tc>
        <w:tc>
          <w:tcPr>
            <w:tcW w:w="992" w:type="dxa"/>
            <w:tcBorders>
              <w:left w:val="single" w:color="auto" w:sz="4" w:space="0"/>
              <w:right w:val="single" w:color="auto" w:sz="4" w:space="0"/>
            </w:tcBorders>
            <w:noWrap w:val="0"/>
            <w:vAlign w:val="center"/>
          </w:tcPr>
          <w:p w14:paraId="3E197E68">
            <w:pPr>
              <w:jc w:val="center"/>
              <w:rPr>
                <w:rFonts w:ascii="Times New Roman" w:hAnsi="Times New Roman"/>
                <w:color w:val="000000"/>
                <w:sz w:val="21"/>
                <w:szCs w:val="21"/>
              </w:rPr>
            </w:pPr>
            <w:r>
              <w:rPr>
                <w:rFonts w:hint="eastAsia" w:ascii="Times New Roman" w:hAnsi="Times New Roman"/>
                <w:color w:val="000000"/>
                <w:sz w:val="21"/>
                <w:szCs w:val="21"/>
              </w:rPr>
              <w:t>√</w:t>
            </w:r>
          </w:p>
        </w:tc>
      </w:tr>
      <w:tr w14:paraId="36B5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auto"/>
          <w:wAfter w:w="0" w:type="auto"/>
          <w:trHeight w:val="340" w:hRule="atLeast"/>
          <w:jc w:val="center"/>
        </w:trPr>
        <w:tc>
          <w:tcPr>
            <w:tcW w:w="1931" w:type="dxa"/>
            <w:tcBorders>
              <w:left w:val="single" w:color="auto" w:sz="4" w:space="0"/>
            </w:tcBorders>
            <w:noWrap w:val="0"/>
            <w:vAlign w:val="top"/>
          </w:tcPr>
          <w:p w14:paraId="151BCBD2">
            <w:pPr>
              <w:rPr>
                <w:rFonts w:hint="eastAsia" w:ascii="Times New Roman" w:hAnsi="Times New Roman"/>
                <w:color w:val="000000"/>
                <w:sz w:val="21"/>
                <w:szCs w:val="21"/>
              </w:rPr>
            </w:pPr>
            <w:r>
              <w:rPr>
                <w:rFonts w:hint="eastAsia" w:ascii="Times New Roman" w:hAnsi="Times New Roman"/>
                <w:color w:val="000000"/>
                <w:sz w:val="21"/>
                <w:szCs w:val="21"/>
              </w:rPr>
              <w:t>第十六单元 抗真菌药及抗病毒药、抗寄生虫药、抗恶性肿瘤药 、影响免疫功能的药物</w:t>
            </w:r>
          </w:p>
        </w:tc>
        <w:tc>
          <w:tcPr>
            <w:tcW w:w="905" w:type="dxa"/>
            <w:noWrap w:val="0"/>
            <w:vAlign w:val="center"/>
          </w:tcPr>
          <w:p w14:paraId="5E00FA64">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851" w:type="dxa"/>
            <w:noWrap w:val="0"/>
            <w:vAlign w:val="center"/>
          </w:tcPr>
          <w:p w14:paraId="2529E4C1">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793" w:type="dxa"/>
            <w:noWrap w:val="0"/>
            <w:vAlign w:val="center"/>
          </w:tcPr>
          <w:p w14:paraId="5218751C">
            <w:pPr>
              <w:jc w:val="center"/>
              <w:rPr>
                <w:rFonts w:hint="eastAsia" w:ascii="Times New Roman" w:hAnsi="Times New Roman"/>
                <w:color w:val="000000"/>
                <w:sz w:val="21"/>
                <w:szCs w:val="21"/>
              </w:rPr>
            </w:pPr>
          </w:p>
        </w:tc>
        <w:tc>
          <w:tcPr>
            <w:tcW w:w="850" w:type="dxa"/>
            <w:noWrap w:val="0"/>
            <w:vAlign w:val="center"/>
          </w:tcPr>
          <w:p w14:paraId="57B33C96">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noWrap w:val="0"/>
            <w:vAlign w:val="center"/>
          </w:tcPr>
          <w:p w14:paraId="3D0BA264">
            <w:pPr>
              <w:jc w:val="center"/>
              <w:rPr>
                <w:rFonts w:hint="eastAsia" w:ascii="Times New Roman" w:hAnsi="Times New Roman"/>
                <w:color w:val="000000"/>
                <w:sz w:val="21"/>
                <w:szCs w:val="21"/>
              </w:rPr>
            </w:pPr>
          </w:p>
        </w:tc>
        <w:tc>
          <w:tcPr>
            <w:tcW w:w="993" w:type="dxa"/>
            <w:tcBorders>
              <w:right w:val="single" w:color="auto" w:sz="4" w:space="0"/>
            </w:tcBorders>
            <w:noWrap w:val="0"/>
            <w:vAlign w:val="center"/>
          </w:tcPr>
          <w:p w14:paraId="1354FEB0">
            <w:pPr>
              <w:jc w:val="center"/>
              <w:rPr>
                <w:rFonts w:ascii="Times New Roman" w:hAnsi="Times New Roman"/>
                <w:color w:val="000000"/>
                <w:sz w:val="21"/>
                <w:szCs w:val="21"/>
              </w:rPr>
            </w:pPr>
            <w:r>
              <w:rPr>
                <w:rFonts w:hint="eastAsia" w:ascii="Times New Roman" w:hAnsi="Times New Roman"/>
                <w:color w:val="000000"/>
                <w:sz w:val="21"/>
                <w:szCs w:val="21"/>
              </w:rPr>
              <w:t>√</w:t>
            </w:r>
          </w:p>
        </w:tc>
        <w:tc>
          <w:tcPr>
            <w:tcW w:w="992" w:type="dxa"/>
            <w:tcBorders>
              <w:left w:val="single" w:color="auto" w:sz="4" w:space="0"/>
              <w:right w:val="single" w:color="auto" w:sz="4" w:space="0"/>
            </w:tcBorders>
            <w:noWrap w:val="0"/>
            <w:vAlign w:val="center"/>
          </w:tcPr>
          <w:p w14:paraId="03FEB324">
            <w:pPr>
              <w:jc w:val="center"/>
              <w:rPr>
                <w:rFonts w:ascii="Times New Roman" w:hAnsi="Times New Roman"/>
                <w:color w:val="000000"/>
                <w:sz w:val="21"/>
                <w:szCs w:val="21"/>
              </w:rPr>
            </w:pPr>
            <w:r>
              <w:rPr>
                <w:rFonts w:hint="eastAsia" w:ascii="Times New Roman" w:hAnsi="Times New Roman"/>
                <w:color w:val="000000"/>
                <w:sz w:val="21"/>
                <w:szCs w:val="21"/>
              </w:rPr>
              <w:t>√</w:t>
            </w:r>
          </w:p>
        </w:tc>
      </w:tr>
    </w:tbl>
    <w:p w14:paraId="797C2141">
      <w:pPr>
        <w:spacing w:before="163" w:beforeLines="50" w:after="163" w:afterLines="50"/>
        <w:outlineLvl w:val="1"/>
        <w:rPr>
          <w:rFonts w:ascii="Times New Roman" w:hAnsi="Times New Roman"/>
          <w:b/>
        </w:rPr>
      </w:pPr>
      <w:r>
        <w:rPr>
          <w:rFonts w:hint="eastAsia" w:ascii="Times New Roman" w:hAnsi="Times New Roman"/>
          <w:b/>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12"/>
        <w:gridCol w:w="2415"/>
        <w:gridCol w:w="1738"/>
        <w:gridCol w:w="725"/>
        <w:gridCol w:w="669"/>
        <w:gridCol w:w="717"/>
      </w:tblGrid>
      <w:tr w14:paraId="4D51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340" w:hRule="atLeast"/>
          <w:jc w:val="center"/>
        </w:trPr>
        <w:tc>
          <w:tcPr>
            <w:tcW w:w="2212" w:type="dxa"/>
            <w:vMerge w:val="restart"/>
            <w:tcBorders>
              <w:top w:val="single" w:color="auto" w:sz="12" w:space="0"/>
              <w:left w:val="single" w:color="auto" w:sz="12" w:space="0"/>
            </w:tcBorders>
            <w:noWrap w:val="0"/>
            <w:vAlign w:val="center"/>
          </w:tcPr>
          <w:p w14:paraId="74B14B94">
            <w:pPr>
              <w:snapToGrid w:val="0"/>
              <w:jc w:val="center"/>
              <w:rPr>
                <w:rFonts w:ascii="Arial" w:hAnsi="Arial" w:eastAsia="黑体"/>
                <w:bCs/>
                <w:color w:val="000000"/>
                <w:sz w:val="21"/>
                <w:szCs w:val="21"/>
              </w:rPr>
            </w:pPr>
            <w:r>
              <w:rPr>
                <w:rFonts w:hint="eastAsia" w:ascii="Arial" w:hAnsi="Arial" w:eastAsia="黑体"/>
                <w:bCs/>
                <w:color w:val="000000"/>
                <w:sz w:val="21"/>
                <w:szCs w:val="21"/>
              </w:rPr>
              <w:t>教学单元</w:t>
            </w:r>
          </w:p>
        </w:tc>
        <w:tc>
          <w:tcPr>
            <w:tcW w:w="2415" w:type="dxa"/>
            <w:vMerge w:val="restart"/>
            <w:tcBorders>
              <w:top w:val="single" w:color="auto" w:sz="12" w:space="0"/>
            </w:tcBorders>
            <w:noWrap w:val="0"/>
            <w:vAlign w:val="center"/>
          </w:tcPr>
          <w:p w14:paraId="65FAF01E">
            <w:pPr>
              <w:snapToGrid w:val="0"/>
              <w:jc w:val="center"/>
              <w:rPr>
                <w:rFonts w:ascii="Arial" w:hAnsi="Arial" w:eastAsia="黑体"/>
                <w:bCs/>
                <w:color w:val="000000"/>
                <w:sz w:val="21"/>
                <w:szCs w:val="21"/>
              </w:rPr>
            </w:pPr>
            <w:r>
              <w:rPr>
                <w:rFonts w:hint="eastAsia" w:ascii="Arial" w:hAnsi="Arial" w:eastAsia="黑体"/>
                <w:bCs/>
                <w:color w:val="000000"/>
                <w:sz w:val="21"/>
                <w:szCs w:val="21"/>
              </w:rPr>
              <w:t>教与学方式</w:t>
            </w:r>
          </w:p>
        </w:tc>
        <w:tc>
          <w:tcPr>
            <w:tcW w:w="1738" w:type="dxa"/>
            <w:vMerge w:val="restart"/>
            <w:tcBorders>
              <w:top w:val="single" w:color="auto" w:sz="12" w:space="0"/>
            </w:tcBorders>
            <w:noWrap w:val="0"/>
            <w:vAlign w:val="center"/>
          </w:tcPr>
          <w:p w14:paraId="004C69F4">
            <w:pPr>
              <w:snapToGrid w:val="0"/>
              <w:jc w:val="center"/>
              <w:rPr>
                <w:rFonts w:ascii="Arial" w:hAnsi="Arial" w:eastAsia="黑体"/>
                <w:bCs/>
                <w:color w:val="000000"/>
                <w:sz w:val="21"/>
                <w:szCs w:val="21"/>
              </w:rPr>
            </w:pPr>
            <w:r>
              <w:rPr>
                <w:rFonts w:hint="eastAsia" w:ascii="Arial" w:hAnsi="Arial" w:eastAsia="黑体"/>
                <w:bCs/>
                <w:color w:val="000000"/>
                <w:sz w:val="21"/>
                <w:szCs w:val="21"/>
              </w:rPr>
              <w:t>考核方式</w:t>
            </w:r>
          </w:p>
        </w:tc>
        <w:tc>
          <w:tcPr>
            <w:tcW w:w="2111" w:type="dxa"/>
            <w:gridSpan w:val="3"/>
            <w:tcBorders>
              <w:top w:val="single" w:color="auto" w:sz="12" w:space="0"/>
              <w:right w:val="single" w:color="auto" w:sz="12" w:space="0"/>
            </w:tcBorders>
            <w:noWrap w:val="0"/>
            <w:vAlign w:val="center"/>
          </w:tcPr>
          <w:p w14:paraId="21FC689A">
            <w:pPr>
              <w:snapToGrid w:val="0"/>
              <w:jc w:val="center"/>
              <w:rPr>
                <w:rFonts w:ascii="Arial" w:hAnsi="Arial" w:eastAsia="黑体"/>
                <w:bCs/>
                <w:color w:val="000000"/>
                <w:sz w:val="21"/>
                <w:szCs w:val="21"/>
              </w:rPr>
            </w:pPr>
            <w:r>
              <w:rPr>
                <w:rFonts w:hint="eastAsia" w:ascii="Arial" w:hAnsi="Arial" w:eastAsia="黑体"/>
                <w:bCs/>
                <w:color w:val="000000"/>
                <w:sz w:val="21"/>
                <w:szCs w:val="21"/>
              </w:rPr>
              <w:t>学时分配</w:t>
            </w:r>
          </w:p>
        </w:tc>
      </w:tr>
      <w:tr w14:paraId="350B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340" w:hRule="atLeast"/>
          <w:jc w:val="center"/>
        </w:trPr>
        <w:tc>
          <w:tcPr>
            <w:tcW w:w="2212" w:type="dxa"/>
            <w:vMerge w:val="continue"/>
            <w:tcBorders>
              <w:left w:val="single" w:color="auto" w:sz="12" w:space="0"/>
            </w:tcBorders>
            <w:noWrap w:val="0"/>
            <w:vAlign w:val="top"/>
          </w:tcPr>
          <w:p w14:paraId="191A0D87">
            <w:pPr>
              <w:snapToGrid w:val="0"/>
              <w:jc w:val="center"/>
              <w:rPr>
                <w:rFonts w:ascii="Arial" w:hAnsi="Arial" w:eastAsia="黑体"/>
                <w:bCs/>
                <w:color w:val="000000"/>
                <w:sz w:val="21"/>
                <w:szCs w:val="21"/>
              </w:rPr>
            </w:pPr>
          </w:p>
        </w:tc>
        <w:tc>
          <w:tcPr>
            <w:tcW w:w="2415" w:type="dxa"/>
            <w:vMerge w:val="continue"/>
            <w:noWrap w:val="0"/>
            <w:vAlign w:val="top"/>
          </w:tcPr>
          <w:p w14:paraId="6EDD75A7">
            <w:pPr>
              <w:snapToGrid w:val="0"/>
              <w:jc w:val="center"/>
              <w:rPr>
                <w:rFonts w:ascii="Arial" w:hAnsi="Arial" w:eastAsia="黑体"/>
                <w:bCs/>
                <w:color w:val="000000"/>
                <w:sz w:val="21"/>
                <w:szCs w:val="21"/>
              </w:rPr>
            </w:pPr>
          </w:p>
        </w:tc>
        <w:tc>
          <w:tcPr>
            <w:tcW w:w="1738" w:type="dxa"/>
            <w:vMerge w:val="continue"/>
            <w:noWrap w:val="0"/>
            <w:vAlign w:val="top"/>
          </w:tcPr>
          <w:p w14:paraId="29369DA3">
            <w:pPr>
              <w:snapToGrid w:val="0"/>
              <w:jc w:val="center"/>
              <w:rPr>
                <w:rFonts w:ascii="Arial" w:hAnsi="Arial" w:eastAsia="黑体"/>
                <w:bCs/>
                <w:color w:val="000000"/>
                <w:sz w:val="21"/>
                <w:szCs w:val="21"/>
              </w:rPr>
            </w:pPr>
          </w:p>
        </w:tc>
        <w:tc>
          <w:tcPr>
            <w:tcW w:w="725" w:type="dxa"/>
            <w:noWrap w:val="0"/>
            <w:vAlign w:val="center"/>
          </w:tcPr>
          <w:p w14:paraId="061CE425">
            <w:pPr>
              <w:snapToGrid w:val="0"/>
              <w:jc w:val="center"/>
              <w:rPr>
                <w:rFonts w:ascii="Arial" w:hAnsi="Arial" w:eastAsia="黑体"/>
                <w:bCs/>
                <w:color w:val="000000"/>
                <w:sz w:val="21"/>
                <w:szCs w:val="21"/>
              </w:rPr>
            </w:pPr>
            <w:r>
              <w:rPr>
                <w:rFonts w:hint="eastAsia" w:ascii="Arial" w:hAnsi="Arial" w:eastAsia="黑体"/>
                <w:bCs/>
                <w:color w:val="000000"/>
                <w:sz w:val="21"/>
                <w:szCs w:val="21"/>
              </w:rPr>
              <w:t>理论</w:t>
            </w:r>
          </w:p>
        </w:tc>
        <w:tc>
          <w:tcPr>
            <w:tcW w:w="669" w:type="dxa"/>
            <w:noWrap w:val="0"/>
            <w:vAlign w:val="center"/>
          </w:tcPr>
          <w:p w14:paraId="245464B2">
            <w:pPr>
              <w:snapToGrid w:val="0"/>
              <w:jc w:val="center"/>
              <w:rPr>
                <w:rFonts w:ascii="Arial" w:hAnsi="Arial" w:eastAsia="黑体"/>
                <w:bCs/>
                <w:color w:val="000000"/>
                <w:sz w:val="21"/>
                <w:szCs w:val="21"/>
              </w:rPr>
            </w:pPr>
            <w:r>
              <w:rPr>
                <w:rFonts w:hint="eastAsia" w:ascii="Arial" w:hAnsi="Arial" w:eastAsia="黑体"/>
                <w:bCs/>
                <w:color w:val="000000"/>
                <w:sz w:val="21"/>
                <w:szCs w:val="21"/>
              </w:rPr>
              <w:t>实践</w:t>
            </w:r>
          </w:p>
        </w:tc>
        <w:tc>
          <w:tcPr>
            <w:tcW w:w="717" w:type="dxa"/>
            <w:tcBorders>
              <w:right w:val="single" w:color="auto" w:sz="12" w:space="0"/>
            </w:tcBorders>
            <w:noWrap w:val="0"/>
            <w:vAlign w:val="center"/>
          </w:tcPr>
          <w:p w14:paraId="3BB626D8">
            <w:pPr>
              <w:snapToGrid w:val="0"/>
              <w:jc w:val="center"/>
              <w:rPr>
                <w:rFonts w:ascii="Arial" w:hAnsi="Arial" w:eastAsia="黑体"/>
                <w:bCs/>
                <w:color w:val="000000"/>
                <w:sz w:val="21"/>
                <w:szCs w:val="21"/>
              </w:rPr>
            </w:pPr>
            <w:r>
              <w:rPr>
                <w:rFonts w:hint="eastAsia" w:ascii="Arial" w:hAnsi="Arial" w:eastAsia="黑体"/>
                <w:bCs/>
                <w:color w:val="000000"/>
                <w:sz w:val="21"/>
                <w:szCs w:val="21"/>
              </w:rPr>
              <w:t>小计</w:t>
            </w:r>
          </w:p>
        </w:tc>
      </w:tr>
      <w:tr w14:paraId="1E34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55CCB228">
            <w:pPr>
              <w:rPr>
                <w:rFonts w:ascii="Times New Roman" w:hAnsi="Times New Roman"/>
                <w:color w:val="000000"/>
                <w:sz w:val="21"/>
                <w:szCs w:val="21"/>
              </w:rPr>
            </w:pPr>
            <w:r>
              <w:rPr>
                <w:rFonts w:hint="eastAsia" w:ascii="Times New Roman" w:hAnsi="Times New Roman"/>
                <w:color w:val="000000"/>
                <w:sz w:val="21"/>
                <w:szCs w:val="21"/>
              </w:rPr>
              <w:t>第一单元 药理学总论、药物效应动力学</w:t>
            </w:r>
          </w:p>
        </w:tc>
        <w:tc>
          <w:tcPr>
            <w:tcW w:w="2415" w:type="dxa"/>
            <w:noWrap w:val="0"/>
            <w:vAlign w:val="center"/>
          </w:tcPr>
          <w:p w14:paraId="2AFF5B11">
            <w:pPr>
              <w:rPr>
                <w:rFonts w:ascii="Times New Roman" w:hAnsi="Times New Roman"/>
                <w:color w:val="000000"/>
                <w:sz w:val="21"/>
                <w:szCs w:val="21"/>
              </w:rPr>
            </w:pPr>
            <w:r>
              <w:rPr>
                <w:rFonts w:hint="eastAsia" w:ascii="Times New Roman" w:hAnsi="Times New Roman"/>
                <w:color w:val="000000"/>
                <w:sz w:val="21"/>
                <w:szCs w:val="21"/>
              </w:rPr>
              <w:t>直接教学法</w:t>
            </w:r>
          </w:p>
          <w:p w14:paraId="1409238D">
            <w:pPr>
              <w:rPr>
                <w:rFonts w:ascii="Times New Roman" w:hAnsi="Times New Roman"/>
                <w:color w:val="000000"/>
                <w:sz w:val="21"/>
                <w:szCs w:val="21"/>
              </w:rPr>
            </w:pPr>
            <w:r>
              <w:rPr>
                <w:rFonts w:hint="eastAsia" w:ascii="Times New Roman" w:hAnsi="Times New Roman"/>
                <w:color w:val="000000"/>
                <w:sz w:val="21"/>
                <w:szCs w:val="21"/>
              </w:rPr>
              <w:t>讨论教学法</w:t>
            </w:r>
          </w:p>
        </w:tc>
        <w:tc>
          <w:tcPr>
            <w:tcW w:w="1738" w:type="dxa"/>
            <w:noWrap w:val="0"/>
            <w:vAlign w:val="top"/>
          </w:tcPr>
          <w:p w14:paraId="5237FCBC">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35B513BD">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58D71FCB">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3BA46953">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3DC19DE8">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717" w:type="dxa"/>
            <w:tcBorders>
              <w:right w:val="single" w:color="auto" w:sz="12" w:space="0"/>
            </w:tcBorders>
            <w:noWrap w:val="0"/>
            <w:vAlign w:val="center"/>
          </w:tcPr>
          <w:p w14:paraId="00936AE8">
            <w:pPr>
              <w:jc w:val="center"/>
              <w:rPr>
                <w:rFonts w:ascii="Times New Roman" w:hAnsi="Times New Roman"/>
                <w:color w:val="000000"/>
                <w:sz w:val="21"/>
                <w:szCs w:val="21"/>
              </w:rPr>
            </w:pPr>
            <w:r>
              <w:rPr>
                <w:rFonts w:hint="eastAsia" w:ascii="Times New Roman" w:hAnsi="Times New Roman"/>
                <w:color w:val="000000"/>
                <w:sz w:val="21"/>
                <w:szCs w:val="21"/>
              </w:rPr>
              <w:t>4</w:t>
            </w:r>
          </w:p>
        </w:tc>
      </w:tr>
      <w:tr w14:paraId="0788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71C66A5C">
            <w:pPr>
              <w:rPr>
                <w:rFonts w:ascii="Times New Roman" w:hAnsi="Times New Roman" w:cs="仿宋"/>
                <w:color w:val="000000"/>
                <w:sz w:val="21"/>
                <w:szCs w:val="21"/>
              </w:rPr>
            </w:pPr>
            <w:r>
              <w:rPr>
                <w:rFonts w:hint="eastAsia" w:ascii="Times New Roman" w:hAnsi="Times New Roman"/>
                <w:color w:val="000000"/>
                <w:sz w:val="21"/>
                <w:szCs w:val="21"/>
              </w:rPr>
              <w:t xml:space="preserve">第二单元 </w:t>
            </w:r>
            <w:r>
              <w:rPr>
                <w:rFonts w:hint="eastAsia" w:ascii="Times New Roman" w:hAnsi="Times New Roman" w:cs="仿宋"/>
                <w:color w:val="000000"/>
                <w:sz w:val="21"/>
                <w:szCs w:val="21"/>
              </w:rPr>
              <w:t>药物代谢动力学、影响药物作用的因素</w:t>
            </w:r>
          </w:p>
        </w:tc>
        <w:tc>
          <w:tcPr>
            <w:tcW w:w="2415" w:type="dxa"/>
            <w:noWrap w:val="0"/>
            <w:vAlign w:val="center"/>
          </w:tcPr>
          <w:p w14:paraId="1B4D5899">
            <w:pPr>
              <w:rPr>
                <w:rFonts w:ascii="Times New Roman" w:hAnsi="Times New Roman"/>
                <w:color w:val="000000"/>
                <w:sz w:val="21"/>
                <w:szCs w:val="21"/>
              </w:rPr>
            </w:pPr>
            <w:r>
              <w:rPr>
                <w:rFonts w:hint="eastAsia" w:ascii="Times New Roman" w:hAnsi="Times New Roman"/>
                <w:color w:val="000000"/>
                <w:sz w:val="21"/>
                <w:szCs w:val="21"/>
              </w:rPr>
              <w:t>直接教学法</w:t>
            </w:r>
          </w:p>
          <w:p w14:paraId="38C18A8A">
            <w:pPr>
              <w:rPr>
                <w:rFonts w:ascii="Times New Roman" w:hAnsi="Times New Roman"/>
                <w:color w:val="000000"/>
                <w:sz w:val="21"/>
                <w:szCs w:val="21"/>
              </w:rPr>
            </w:pPr>
            <w:r>
              <w:rPr>
                <w:rFonts w:hint="eastAsia" w:ascii="Times New Roman" w:hAnsi="Times New Roman"/>
                <w:color w:val="000000"/>
                <w:sz w:val="21"/>
                <w:szCs w:val="21"/>
              </w:rPr>
              <w:t>示范教学法</w:t>
            </w:r>
          </w:p>
        </w:tc>
        <w:tc>
          <w:tcPr>
            <w:tcW w:w="1738" w:type="dxa"/>
            <w:noWrap w:val="0"/>
            <w:vAlign w:val="top"/>
          </w:tcPr>
          <w:p w14:paraId="3B815538">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11BF7A29">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7E749B12">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5868E451">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1E7B6CAD">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717" w:type="dxa"/>
            <w:tcBorders>
              <w:right w:val="single" w:color="auto" w:sz="12" w:space="0"/>
            </w:tcBorders>
            <w:noWrap w:val="0"/>
            <w:vAlign w:val="center"/>
          </w:tcPr>
          <w:p w14:paraId="78541B08">
            <w:pPr>
              <w:jc w:val="center"/>
              <w:rPr>
                <w:rFonts w:ascii="Times New Roman" w:hAnsi="Times New Roman"/>
                <w:color w:val="000000"/>
                <w:sz w:val="21"/>
                <w:szCs w:val="21"/>
              </w:rPr>
            </w:pPr>
            <w:r>
              <w:rPr>
                <w:rFonts w:hint="eastAsia" w:ascii="Times New Roman" w:hAnsi="Times New Roman"/>
                <w:color w:val="000000"/>
                <w:sz w:val="21"/>
                <w:szCs w:val="21"/>
              </w:rPr>
              <w:t>4</w:t>
            </w:r>
          </w:p>
        </w:tc>
      </w:tr>
      <w:tr w14:paraId="7AF3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3C51A40C">
            <w:pPr>
              <w:rPr>
                <w:rFonts w:ascii="Times New Roman" w:hAnsi="Times New Roman"/>
                <w:color w:val="000000"/>
                <w:sz w:val="21"/>
                <w:szCs w:val="21"/>
              </w:rPr>
            </w:pPr>
            <w:r>
              <w:rPr>
                <w:rFonts w:hint="eastAsia" w:ascii="Times New Roman" w:hAnsi="Times New Roman"/>
                <w:color w:val="000000"/>
                <w:sz w:val="21"/>
                <w:szCs w:val="21"/>
              </w:rPr>
              <w:t xml:space="preserve">第三单元 </w:t>
            </w:r>
            <w:r>
              <w:rPr>
                <w:rFonts w:hint="eastAsia" w:ascii="Times New Roman" w:hAnsi="Times New Roman" w:cs="仿宋"/>
                <w:color w:val="000000"/>
                <w:sz w:val="21"/>
                <w:szCs w:val="21"/>
              </w:rPr>
              <w:t>传出神经系统药物概述，拟胆碱药、抗胆碱药</w:t>
            </w:r>
          </w:p>
        </w:tc>
        <w:tc>
          <w:tcPr>
            <w:tcW w:w="2415" w:type="dxa"/>
            <w:noWrap w:val="0"/>
            <w:vAlign w:val="center"/>
          </w:tcPr>
          <w:p w14:paraId="050DB228">
            <w:pPr>
              <w:rPr>
                <w:rFonts w:ascii="Times New Roman" w:hAnsi="Times New Roman"/>
                <w:color w:val="000000"/>
                <w:sz w:val="21"/>
                <w:szCs w:val="21"/>
              </w:rPr>
            </w:pPr>
            <w:r>
              <w:rPr>
                <w:rFonts w:hint="eastAsia" w:ascii="Times New Roman" w:hAnsi="Times New Roman"/>
                <w:color w:val="000000"/>
                <w:sz w:val="21"/>
                <w:szCs w:val="21"/>
              </w:rPr>
              <w:t>直接教学法</w:t>
            </w:r>
          </w:p>
          <w:p w14:paraId="5AE2EF51">
            <w:pPr>
              <w:rPr>
                <w:rFonts w:ascii="Times New Roman" w:hAnsi="Times New Roman"/>
                <w:color w:val="000000"/>
                <w:sz w:val="21"/>
                <w:szCs w:val="21"/>
              </w:rPr>
            </w:pPr>
            <w:r>
              <w:rPr>
                <w:rFonts w:hint="eastAsia" w:ascii="Times New Roman" w:hAnsi="Times New Roman"/>
                <w:color w:val="000000"/>
                <w:sz w:val="21"/>
                <w:szCs w:val="21"/>
              </w:rPr>
              <w:t>示范教学法</w:t>
            </w:r>
          </w:p>
        </w:tc>
        <w:tc>
          <w:tcPr>
            <w:tcW w:w="1738" w:type="dxa"/>
            <w:noWrap w:val="0"/>
            <w:vAlign w:val="top"/>
          </w:tcPr>
          <w:p w14:paraId="00A663D7">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331B7F3F">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7880A458">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7830ED78">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56D7C6FC">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717" w:type="dxa"/>
            <w:tcBorders>
              <w:right w:val="single" w:color="auto" w:sz="12" w:space="0"/>
            </w:tcBorders>
            <w:noWrap w:val="0"/>
            <w:vAlign w:val="center"/>
          </w:tcPr>
          <w:p w14:paraId="0875B2C9">
            <w:pPr>
              <w:jc w:val="center"/>
              <w:rPr>
                <w:rFonts w:ascii="Times New Roman" w:hAnsi="Times New Roman"/>
                <w:color w:val="000000"/>
                <w:sz w:val="21"/>
                <w:szCs w:val="21"/>
              </w:rPr>
            </w:pPr>
            <w:r>
              <w:rPr>
                <w:rFonts w:hint="eastAsia" w:ascii="Times New Roman" w:hAnsi="Times New Roman"/>
                <w:color w:val="000000"/>
                <w:sz w:val="21"/>
                <w:szCs w:val="21"/>
              </w:rPr>
              <w:t>4</w:t>
            </w:r>
          </w:p>
        </w:tc>
      </w:tr>
      <w:tr w14:paraId="6B2D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3D073F6C">
            <w:pPr>
              <w:rPr>
                <w:rFonts w:ascii="Times New Roman" w:hAnsi="Times New Roman" w:cs="仿宋"/>
                <w:color w:val="000000"/>
                <w:sz w:val="21"/>
                <w:szCs w:val="21"/>
              </w:rPr>
            </w:pPr>
            <w:r>
              <w:rPr>
                <w:rFonts w:hint="eastAsia" w:ascii="Times New Roman" w:hAnsi="Times New Roman"/>
                <w:color w:val="000000"/>
                <w:sz w:val="21"/>
                <w:szCs w:val="21"/>
              </w:rPr>
              <w:t xml:space="preserve">第四单元 </w:t>
            </w:r>
            <w:r>
              <w:rPr>
                <w:rFonts w:hint="eastAsia" w:ascii="Times New Roman" w:hAnsi="Times New Roman" w:cs="仿宋"/>
                <w:color w:val="000000"/>
                <w:sz w:val="21"/>
                <w:szCs w:val="21"/>
              </w:rPr>
              <w:t>拟肾上腺素药、抗肾上腺素药、麻醉药</w:t>
            </w:r>
          </w:p>
        </w:tc>
        <w:tc>
          <w:tcPr>
            <w:tcW w:w="2415" w:type="dxa"/>
            <w:noWrap w:val="0"/>
            <w:vAlign w:val="center"/>
          </w:tcPr>
          <w:p w14:paraId="486BB93B">
            <w:pPr>
              <w:rPr>
                <w:rFonts w:ascii="Times New Roman" w:hAnsi="Times New Roman"/>
                <w:color w:val="000000"/>
                <w:sz w:val="21"/>
                <w:szCs w:val="21"/>
              </w:rPr>
            </w:pPr>
            <w:r>
              <w:rPr>
                <w:rFonts w:hint="eastAsia" w:ascii="Times New Roman" w:hAnsi="Times New Roman"/>
                <w:color w:val="000000"/>
                <w:sz w:val="21"/>
                <w:szCs w:val="21"/>
              </w:rPr>
              <w:t>直接教学法</w:t>
            </w:r>
          </w:p>
          <w:p w14:paraId="045B5ABD">
            <w:pPr>
              <w:rPr>
                <w:rFonts w:ascii="Times New Roman" w:hAnsi="Times New Roman"/>
                <w:color w:val="000000"/>
                <w:sz w:val="21"/>
                <w:szCs w:val="21"/>
              </w:rPr>
            </w:pPr>
            <w:r>
              <w:rPr>
                <w:rFonts w:hint="eastAsia" w:ascii="Times New Roman" w:hAnsi="Times New Roman"/>
                <w:color w:val="000000"/>
                <w:sz w:val="21"/>
                <w:szCs w:val="21"/>
              </w:rPr>
              <w:t>示范教学法</w:t>
            </w:r>
          </w:p>
        </w:tc>
        <w:tc>
          <w:tcPr>
            <w:tcW w:w="1738" w:type="dxa"/>
            <w:noWrap w:val="0"/>
            <w:vAlign w:val="top"/>
          </w:tcPr>
          <w:p w14:paraId="6EDDB8FE">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381DA11D">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35FAD72D">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2BD611FE">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4BDADBB4">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717" w:type="dxa"/>
            <w:tcBorders>
              <w:right w:val="single" w:color="auto" w:sz="12" w:space="0"/>
            </w:tcBorders>
            <w:noWrap w:val="0"/>
            <w:vAlign w:val="center"/>
          </w:tcPr>
          <w:p w14:paraId="298A17D4">
            <w:pPr>
              <w:jc w:val="center"/>
              <w:rPr>
                <w:rFonts w:ascii="Times New Roman" w:hAnsi="Times New Roman"/>
                <w:color w:val="000000"/>
                <w:sz w:val="21"/>
                <w:szCs w:val="21"/>
              </w:rPr>
            </w:pPr>
            <w:r>
              <w:rPr>
                <w:rFonts w:hint="eastAsia" w:ascii="Times New Roman" w:hAnsi="Times New Roman"/>
                <w:color w:val="000000"/>
                <w:sz w:val="21"/>
                <w:szCs w:val="21"/>
              </w:rPr>
              <w:t>4</w:t>
            </w:r>
          </w:p>
        </w:tc>
      </w:tr>
      <w:tr w14:paraId="334A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17C78098">
            <w:pPr>
              <w:rPr>
                <w:rFonts w:ascii="Times New Roman" w:hAnsi="Times New Roman" w:cs="仿宋"/>
                <w:color w:val="000000"/>
                <w:sz w:val="21"/>
                <w:szCs w:val="21"/>
              </w:rPr>
            </w:pPr>
            <w:r>
              <w:rPr>
                <w:rFonts w:hint="eastAsia" w:ascii="Times New Roman" w:hAnsi="Times New Roman"/>
                <w:color w:val="000000"/>
                <w:sz w:val="21"/>
                <w:szCs w:val="21"/>
              </w:rPr>
              <w:t xml:space="preserve">第五单元 </w:t>
            </w:r>
            <w:r>
              <w:rPr>
                <w:rFonts w:hint="eastAsia" w:ascii="Times New Roman" w:hAnsi="Times New Roman" w:cs="仿宋"/>
                <w:color w:val="000000"/>
                <w:sz w:val="21"/>
                <w:szCs w:val="21"/>
              </w:rPr>
              <w:t>镇静催眠药和抗惊厥药抗癫痫药，抗帕金森病药及抗阿尔茨海默病药</w:t>
            </w:r>
          </w:p>
        </w:tc>
        <w:tc>
          <w:tcPr>
            <w:tcW w:w="2415" w:type="dxa"/>
            <w:noWrap w:val="0"/>
            <w:vAlign w:val="center"/>
          </w:tcPr>
          <w:p w14:paraId="1579155A">
            <w:pPr>
              <w:rPr>
                <w:rFonts w:ascii="Times New Roman" w:hAnsi="Times New Roman"/>
                <w:color w:val="000000"/>
                <w:sz w:val="21"/>
                <w:szCs w:val="21"/>
              </w:rPr>
            </w:pPr>
            <w:r>
              <w:rPr>
                <w:rFonts w:hint="eastAsia" w:ascii="Times New Roman" w:hAnsi="Times New Roman"/>
                <w:color w:val="000000"/>
                <w:sz w:val="21"/>
                <w:szCs w:val="21"/>
              </w:rPr>
              <w:t>直接教学法</w:t>
            </w:r>
          </w:p>
          <w:p w14:paraId="2E2602EF">
            <w:pPr>
              <w:rPr>
                <w:rFonts w:ascii="Times New Roman" w:hAnsi="Times New Roman"/>
                <w:color w:val="000000"/>
                <w:sz w:val="21"/>
                <w:szCs w:val="21"/>
              </w:rPr>
            </w:pPr>
            <w:r>
              <w:rPr>
                <w:rFonts w:hint="eastAsia" w:ascii="Times New Roman" w:hAnsi="Times New Roman"/>
                <w:color w:val="000000"/>
                <w:sz w:val="21"/>
                <w:szCs w:val="21"/>
              </w:rPr>
              <w:t>示范教学法</w:t>
            </w:r>
          </w:p>
        </w:tc>
        <w:tc>
          <w:tcPr>
            <w:tcW w:w="1738" w:type="dxa"/>
            <w:noWrap w:val="0"/>
            <w:vAlign w:val="top"/>
          </w:tcPr>
          <w:p w14:paraId="602AD3CF">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7E9B028F">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20A6F590">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41AD2BE6">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1EEA8EC9">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717" w:type="dxa"/>
            <w:tcBorders>
              <w:right w:val="single" w:color="auto" w:sz="12" w:space="0"/>
            </w:tcBorders>
            <w:noWrap w:val="0"/>
            <w:vAlign w:val="center"/>
          </w:tcPr>
          <w:p w14:paraId="2BFD32FD">
            <w:pPr>
              <w:jc w:val="center"/>
              <w:rPr>
                <w:rFonts w:ascii="Times New Roman" w:hAnsi="Times New Roman"/>
                <w:color w:val="000000"/>
                <w:sz w:val="21"/>
                <w:szCs w:val="21"/>
              </w:rPr>
            </w:pPr>
            <w:r>
              <w:rPr>
                <w:rFonts w:hint="eastAsia" w:ascii="Times New Roman" w:hAnsi="Times New Roman"/>
                <w:color w:val="000000"/>
                <w:sz w:val="21"/>
                <w:szCs w:val="21"/>
              </w:rPr>
              <w:t>4</w:t>
            </w:r>
          </w:p>
        </w:tc>
      </w:tr>
      <w:tr w14:paraId="70D6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352558E4">
            <w:pPr>
              <w:rPr>
                <w:rFonts w:ascii="Times New Roman" w:hAnsi="Times New Roman"/>
                <w:color w:val="000000"/>
                <w:sz w:val="21"/>
                <w:szCs w:val="21"/>
              </w:rPr>
            </w:pPr>
            <w:r>
              <w:rPr>
                <w:rFonts w:hint="eastAsia" w:ascii="Times New Roman" w:hAnsi="Times New Roman"/>
                <w:color w:val="000000"/>
                <w:sz w:val="21"/>
                <w:szCs w:val="21"/>
              </w:rPr>
              <w:t xml:space="preserve">第六单元 </w:t>
            </w:r>
            <w:r>
              <w:rPr>
                <w:rFonts w:hint="eastAsia" w:ascii="Times New Roman" w:hAnsi="Times New Roman" w:cs="仿宋"/>
                <w:color w:val="000000"/>
                <w:sz w:val="21"/>
                <w:szCs w:val="21"/>
              </w:rPr>
              <w:t>抗精神失常药镇痛药、解热镇痛抗炎药、枢兴奋药与促大脑功能恢复药</w:t>
            </w:r>
          </w:p>
        </w:tc>
        <w:tc>
          <w:tcPr>
            <w:tcW w:w="2415" w:type="dxa"/>
            <w:noWrap w:val="0"/>
            <w:vAlign w:val="center"/>
          </w:tcPr>
          <w:p w14:paraId="162AC1C0">
            <w:pPr>
              <w:rPr>
                <w:rFonts w:ascii="Times New Roman" w:hAnsi="Times New Roman"/>
                <w:color w:val="000000"/>
                <w:sz w:val="21"/>
                <w:szCs w:val="21"/>
              </w:rPr>
            </w:pPr>
            <w:r>
              <w:rPr>
                <w:rFonts w:hint="eastAsia" w:ascii="Times New Roman" w:hAnsi="Times New Roman"/>
                <w:color w:val="000000"/>
                <w:sz w:val="21"/>
                <w:szCs w:val="21"/>
              </w:rPr>
              <w:t>直接教学法</w:t>
            </w:r>
          </w:p>
          <w:p w14:paraId="445EAEBF">
            <w:pPr>
              <w:rPr>
                <w:rFonts w:ascii="Times New Roman" w:hAnsi="Times New Roman"/>
                <w:color w:val="000000"/>
                <w:sz w:val="21"/>
                <w:szCs w:val="21"/>
              </w:rPr>
            </w:pPr>
            <w:r>
              <w:rPr>
                <w:rFonts w:hint="eastAsia" w:ascii="Times New Roman" w:hAnsi="Times New Roman"/>
                <w:color w:val="000000"/>
                <w:sz w:val="21"/>
                <w:szCs w:val="21"/>
              </w:rPr>
              <w:t>讨论教学法</w:t>
            </w:r>
          </w:p>
        </w:tc>
        <w:tc>
          <w:tcPr>
            <w:tcW w:w="1738" w:type="dxa"/>
            <w:noWrap w:val="0"/>
            <w:vAlign w:val="top"/>
          </w:tcPr>
          <w:p w14:paraId="26D76E4F">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059B3312">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4AA29A32">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005D39FD">
            <w:pPr>
              <w:jc w:val="center"/>
              <w:rPr>
                <w:rFonts w:ascii="Times New Roman" w:hAnsi="Times New Roman"/>
                <w:color w:val="000000"/>
                <w:sz w:val="21"/>
                <w:szCs w:val="21"/>
              </w:rPr>
            </w:pPr>
            <w:r>
              <w:rPr>
                <w:rFonts w:hint="eastAsia" w:ascii="Times New Roman" w:hAnsi="Times New Roman"/>
                <w:color w:val="000000"/>
                <w:sz w:val="21"/>
                <w:szCs w:val="21"/>
              </w:rPr>
              <w:t>0</w:t>
            </w:r>
          </w:p>
        </w:tc>
        <w:tc>
          <w:tcPr>
            <w:tcW w:w="717" w:type="dxa"/>
            <w:tcBorders>
              <w:right w:val="single" w:color="auto" w:sz="12" w:space="0"/>
            </w:tcBorders>
            <w:noWrap w:val="0"/>
            <w:vAlign w:val="center"/>
          </w:tcPr>
          <w:p w14:paraId="569BEC66">
            <w:pPr>
              <w:jc w:val="center"/>
              <w:rPr>
                <w:rFonts w:ascii="Times New Roman" w:hAnsi="Times New Roman"/>
                <w:color w:val="000000"/>
                <w:sz w:val="21"/>
                <w:szCs w:val="21"/>
              </w:rPr>
            </w:pPr>
            <w:r>
              <w:rPr>
                <w:rFonts w:hint="eastAsia" w:ascii="Times New Roman" w:hAnsi="Times New Roman"/>
                <w:color w:val="000000"/>
                <w:sz w:val="21"/>
                <w:szCs w:val="21"/>
              </w:rPr>
              <w:t>2</w:t>
            </w:r>
          </w:p>
        </w:tc>
      </w:tr>
      <w:tr w14:paraId="07D0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0C614E17">
            <w:pPr>
              <w:rPr>
                <w:rFonts w:ascii="Times New Roman" w:hAnsi="Times New Roman"/>
                <w:color w:val="000000"/>
                <w:sz w:val="21"/>
                <w:szCs w:val="21"/>
              </w:rPr>
            </w:pPr>
            <w:r>
              <w:rPr>
                <w:rFonts w:hint="eastAsia" w:ascii="Times New Roman" w:hAnsi="Times New Roman"/>
                <w:color w:val="000000"/>
                <w:sz w:val="21"/>
                <w:szCs w:val="21"/>
              </w:rPr>
              <w:t xml:space="preserve">第七单元 </w:t>
            </w:r>
            <w:r>
              <w:rPr>
                <w:rFonts w:hint="eastAsia" w:ascii="Times New Roman" w:hAnsi="Times New Roman" w:cs="仿宋"/>
                <w:color w:val="000000"/>
                <w:sz w:val="21"/>
                <w:szCs w:val="21"/>
              </w:rPr>
              <w:t>抗高血压药</w:t>
            </w:r>
          </w:p>
        </w:tc>
        <w:tc>
          <w:tcPr>
            <w:tcW w:w="2415" w:type="dxa"/>
            <w:noWrap w:val="0"/>
            <w:vAlign w:val="center"/>
          </w:tcPr>
          <w:p w14:paraId="0A35776C">
            <w:pPr>
              <w:rPr>
                <w:rFonts w:ascii="Times New Roman" w:hAnsi="Times New Roman"/>
                <w:color w:val="000000"/>
                <w:sz w:val="21"/>
                <w:szCs w:val="21"/>
              </w:rPr>
            </w:pPr>
            <w:r>
              <w:rPr>
                <w:rFonts w:hint="eastAsia" w:ascii="Times New Roman" w:hAnsi="Times New Roman"/>
                <w:color w:val="000000"/>
                <w:sz w:val="21"/>
                <w:szCs w:val="21"/>
              </w:rPr>
              <w:t>直接教学法</w:t>
            </w:r>
          </w:p>
          <w:p w14:paraId="425602AF">
            <w:pPr>
              <w:rPr>
                <w:rFonts w:ascii="Times New Roman" w:hAnsi="Times New Roman"/>
                <w:color w:val="000000"/>
                <w:sz w:val="21"/>
                <w:szCs w:val="21"/>
              </w:rPr>
            </w:pPr>
            <w:r>
              <w:rPr>
                <w:rFonts w:hint="eastAsia" w:ascii="Times New Roman" w:hAnsi="Times New Roman"/>
                <w:color w:val="000000"/>
                <w:sz w:val="21"/>
                <w:szCs w:val="21"/>
              </w:rPr>
              <w:t>讨论教学法</w:t>
            </w:r>
          </w:p>
        </w:tc>
        <w:tc>
          <w:tcPr>
            <w:tcW w:w="1738" w:type="dxa"/>
            <w:noWrap w:val="0"/>
            <w:vAlign w:val="top"/>
          </w:tcPr>
          <w:p w14:paraId="1F53F560">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150BFD5B">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59E3F701">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22F2962B">
            <w:pPr>
              <w:jc w:val="center"/>
              <w:rPr>
                <w:rFonts w:ascii="Times New Roman" w:hAnsi="Times New Roman"/>
                <w:color w:val="000000"/>
                <w:sz w:val="21"/>
                <w:szCs w:val="21"/>
              </w:rPr>
            </w:pPr>
            <w:r>
              <w:rPr>
                <w:rFonts w:hint="eastAsia" w:ascii="Times New Roman" w:hAnsi="Times New Roman"/>
                <w:color w:val="000000"/>
                <w:sz w:val="21"/>
                <w:szCs w:val="21"/>
              </w:rPr>
              <w:t>0</w:t>
            </w:r>
          </w:p>
        </w:tc>
        <w:tc>
          <w:tcPr>
            <w:tcW w:w="717" w:type="dxa"/>
            <w:tcBorders>
              <w:right w:val="single" w:color="auto" w:sz="12" w:space="0"/>
            </w:tcBorders>
            <w:noWrap w:val="0"/>
            <w:vAlign w:val="center"/>
          </w:tcPr>
          <w:p w14:paraId="0B3DF3D0">
            <w:pPr>
              <w:jc w:val="center"/>
              <w:rPr>
                <w:rFonts w:ascii="Times New Roman" w:hAnsi="Times New Roman"/>
                <w:color w:val="000000"/>
                <w:sz w:val="21"/>
                <w:szCs w:val="21"/>
              </w:rPr>
            </w:pPr>
            <w:r>
              <w:rPr>
                <w:rFonts w:hint="eastAsia" w:ascii="Times New Roman" w:hAnsi="Times New Roman"/>
                <w:color w:val="000000"/>
                <w:sz w:val="21"/>
                <w:szCs w:val="21"/>
              </w:rPr>
              <w:t>2</w:t>
            </w:r>
          </w:p>
        </w:tc>
      </w:tr>
      <w:tr w14:paraId="236E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665C05EB">
            <w:pPr>
              <w:rPr>
                <w:rFonts w:ascii="Times New Roman" w:hAnsi="Times New Roman" w:cs="仿宋"/>
                <w:color w:val="000000"/>
                <w:sz w:val="21"/>
                <w:szCs w:val="21"/>
              </w:rPr>
            </w:pPr>
            <w:r>
              <w:rPr>
                <w:rFonts w:hint="eastAsia" w:ascii="Times New Roman" w:hAnsi="Times New Roman"/>
                <w:color w:val="000000"/>
                <w:sz w:val="21"/>
                <w:szCs w:val="21"/>
              </w:rPr>
              <w:t xml:space="preserve">第八单元 </w:t>
            </w:r>
            <w:r>
              <w:rPr>
                <w:rFonts w:hint="eastAsia" w:ascii="Times New Roman" w:hAnsi="Times New Roman" w:cs="仿宋"/>
                <w:color w:val="000000"/>
                <w:sz w:val="21"/>
                <w:szCs w:val="21"/>
              </w:rPr>
              <w:t>抗心律失常药、抗充血性心力衰竭药</w:t>
            </w:r>
          </w:p>
        </w:tc>
        <w:tc>
          <w:tcPr>
            <w:tcW w:w="2415" w:type="dxa"/>
            <w:noWrap w:val="0"/>
            <w:vAlign w:val="center"/>
          </w:tcPr>
          <w:p w14:paraId="7A36FB06">
            <w:pPr>
              <w:rPr>
                <w:rFonts w:hint="eastAsia" w:ascii="Times New Roman" w:hAnsi="Times New Roman"/>
                <w:color w:val="000000"/>
                <w:sz w:val="21"/>
                <w:szCs w:val="21"/>
              </w:rPr>
            </w:pPr>
            <w:r>
              <w:rPr>
                <w:rFonts w:hint="eastAsia" w:ascii="Times New Roman" w:hAnsi="Times New Roman"/>
                <w:color w:val="000000"/>
                <w:sz w:val="21"/>
                <w:szCs w:val="21"/>
              </w:rPr>
              <w:t>直接教学法</w:t>
            </w:r>
          </w:p>
          <w:p w14:paraId="2278C93A">
            <w:pPr>
              <w:rPr>
                <w:rFonts w:ascii="Times New Roman" w:hAnsi="Times New Roman"/>
                <w:color w:val="000000"/>
                <w:sz w:val="21"/>
                <w:szCs w:val="21"/>
              </w:rPr>
            </w:pPr>
            <w:r>
              <w:rPr>
                <w:rFonts w:hint="eastAsia" w:ascii="Times New Roman" w:hAnsi="Times New Roman"/>
                <w:color w:val="000000"/>
                <w:sz w:val="21"/>
                <w:szCs w:val="21"/>
              </w:rPr>
              <w:t>探究教学法</w:t>
            </w:r>
          </w:p>
        </w:tc>
        <w:tc>
          <w:tcPr>
            <w:tcW w:w="1738" w:type="dxa"/>
            <w:noWrap w:val="0"/>
            <w:vAlign w:val="top"/>
          </w:tcPr>
          <w:p w14:paraId="6A71C3E2">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2EE52B89">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0AC3BDA2">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786F6C62">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0F2129D6">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717" w:type="dxa"/>
            <w:tcBorders>
              <w:right w:val="single" w:color="auto" w:sz="12" w:space="0"/>
            </w:tcBorders>
            <w:noWrap w:val="0"/>
            <w:vAlign w:val="center"/>
          </w:tcPr>
          <w:p w14:paraId="38F81BF2">
            <w:pPr>
              <w:jc w:val="center"/>
              <w:rPr>
                <w:rFonts w:ascii="Times New Roman" w:hAnsi="Times New Roman"/>
                <w:color w:val="000000"/>
                <w:sz w:val="21"/>
                <w:szCs w:val="21"/>
              </w:rPr>
            </w:pPr>
            <w:r>
              <w:rPr>
                <w:rFonts w:hint="eastAsia" w:ascii="Times New Roman" w:hAnsi="Times New Roman"/>
                <w:color w:val="000000"/>
                <w:sz w:val="21"/>
                <w:szCs w:val="21"/>
              </w:rPr>
              <w:t>4</w:t>
            </w:r>
          </w:p>
        </w:tc>
      </w:tr>
      <w:tr w14:paraId="10C6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72FD0773">
            <w:pPr>
              <w:rPr>
                <w:rFonts w:ascii="Times New Roman" w:hAnsi="Times New Roman"/>
                <w:color w:val="000000"/>
                <w:sz w:val="21"/>
                <w:szCs w:val="21"/>
              </w:rPr>
            </w:pPr>
            <w:r>
              <w:rPr>
                <w:rFonts w:hint="eastAsia" w:ascii="Times New Roman" w:hAnsi="Times New Roman"/>
                <w:color w:val="000000"/>
                <w:sz w:val="21"/>
                <w:szCs w:val="21"/>
              </w:rPr>
              <w:t xml:space="preserve">第九单元 </w:t>
            </w:r>
            <w:r>
              <w:rPr>
                <w:rFonts w:hint="eastAsia" w:ascii="Times New Roman" w:hAnsi="Times New Roman" w:cs="仿宋"/>
                <w:color w:val="000000"/>
                <w:sz w:val="21"/>
                <w:szCs w:val="21"/>
              </w:rPr>
              <w:t>抗心绞痛药、调血脂药、利尿药及脱水药</w:t>
            </w:r>
          </w:p>
        </w:tc>
        <w:tc>
          <w:tcPr>
            <w:tcW w:w="2415" w:type="dxa"/>
            <w:noWrap w:val="0"/>
            <w:vAlign w:val="center"/>
          </w:tcPr>
          <w:p w14:paraId="38CFB49F">
            <w:pPr>
              <w:rPr>
                <w:rFonts w:hint="eastAsia" w:ascii="Times New Roman" w:hAnsi="Times New Roman"/>
                <w:color w:val="000000"/>
                <w:sz w:val="21"/>
                <w:szCs w:val="21"/>
              </w:rPr>
            </w:pPr>
            <w:r>
              <w:rPr>
                <w:rFonts w:hint="eastAsia" w:ascii="Times New Roman" w:hAnsi="Times New Roman"/>
                <w:color w:val="000000"/>
                <w:sz w:val="21"/>
                <w:szCs w:val="21"/>
              </w:rPr>
              <w:t>直接教学法</w:t>
            </w:r>
          </w:p>
          <w:p w14:paraId="6EF04E5C">
            <w:pPr>
              <w:rPr>
                <w:rFonts w:ascii="Times New Roman" w:hAnsi="Times New Roman"/>
                <w:color w:val="000000"/>
                <w:sz w:val="21"/>
                <w:szCs w:val="21"/>
              </w:rPr>
            </w:pPr>
            <w:r>
              <w:rPr>
                <w:rFonts w:hint="eastAsia" w:ascii="Times New Roman" w:hAnsi="Times New Roman"/>
                <w:color w:val="000000"/>
                <w:sz w:val="21"/>
                <w:szCs w:val="21"/>
              </w:rPr>
              <w:t>探究教学法</w:t>
            </w:r>
          </w:p>
        </w:tc>
        <w:tc>
          <w:tcPr>
            <w:tcW w:w="1738" w:type="dxa"/>
            <w:noWrap w:val="0"/>
            <w:vAlign w:val="top"/>
          </w:tcPr>
          <w:p w14:paraId="3D921DFE">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125EFDAC">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4623B55A">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508A614D">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0A769B82">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717" w:type="dxa"/>
            <w:tcBorders>
              <w:right w:val="single" w:color="auto" w:sz="12" w:space="0"/>
            </w:tcBorders>
            <w:noWrap w:val="0"/>
            <w:vAlign w:val="center"/>
          </w:tcPr>
          <w:p w14:paraId="68BB1329">
            <w:pPr>
              <w:jc w:val="center"/>
              <w:rPr>
                <w:rFonts w:ascii="Times New Roman" w:hAnsi="Times New Roman"/>
                <w:color w:val="000000"/>
                <w:sz w:val="21"/>
                <w:szCs w:val="21"/>
              </w:rPr>
            </w:pPr>
            <w:r>
              <w:rPr>
                <w:rFonts w:hint="eastAsia" w:ascii="Times New Roman" w:hAnsi="Times New Roman"/>
                <w:color w:val="000000"/>
                <w:sz w:val="21"/>
                <w:szCs w:val="21"/>
              </w:rPr>
              <w:t>4</w:t>
            </w:r>
          </w:p>
        </w:tc>
      </w:tr>
      <w:tr w14:paraId="55B3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37B74041">
            <w:pPr>
              <w:rPr>
                <w:rFonts w:hint="eastAsia" w:ascii="Times New Roman" w:hAnsi="Times New Roman" w:cs="仿宋"/>
                <w:color w:val="000000"/>
                <w:sz w:val="21"/>
                <w:szCs w:val="21"/>
              </w:rPr>
            </w:pPr>
            <w:r>
              <w:rPr>
                <w:rFonts w:hint="eastAsia" w:ascii="Times New Roman" w:hAnsi="Times New Roman"/>
                <w:color w:val="000000"/>
                <w:sz w:val="21"/>
                <w:szCs w:val="21"/>
              </w:rPr>
              <w:t xml:space="preserve">第十单元 </w:t>
            </w:r>
            <w:r>
              <w:rPr>
                <w:rFonts w:hint="eastAsia" w:ascii="Times New Roman" w:hAnsi="Times New Roman" w:cs="仿宋"/>
                <w:color w:val="000000"/>
                <w:sz w:val="21"/>
                <w:szCs w:val="21"/>
              </w:rPr>
              <w:t>作用于消化系统的药物、作用于呼吸系统的药物</w:t>
            </w:r>
          </w:p>
        </w:tc>
        <w:tc>
          <w:tcPr>
            <w:tcW w:w="2415" w:type="dxa"/>
            <w:noWrap w:val="0"/>
            <w:vAlign w:val="center"/>
          </w:tcPr>
          <w:p w14:paraId="61CFA083">
            <w:pPr>
              <w:rPr>
                <w:rFonts w:hint="eastAsia" w:ascii="Times New Roman" w:hAnsi="Times New Roman"/>
                <w:color w:val="000000"/>
                <w:sz w:val="21"/>
                <w:szCs w:val="21"/>
              </w:rPr>
            </w:pPr>
            <w:r>
              <w:rPr>
                <w:rFonts w:hint="eastAsia" w:ascii="Times New Roman" w:hAnsi="Times New Roman"/>
                <w:color w:val="000000"/>
                <w:sz w:val="21"/>
                <w:szCs w:val="21"/>
              </w:rPr>
              <w:t>直接教学法</w:t>
            </w:r>
          </w:p>
          <w:p w14:paraId="597867BF">
            <w:pPr>
              <w:rPr>
                <w:rFonts w:hint="eastAsia" w:ascii="Times New Roman" w:hAnsi="Times New Roman"/>
                <w:color w:val="000000"/>
                <w:sz w:val="21"/>
                <w:szCs w:val="21"/>
              </w:rPr>
            </w:pPr>
            <w:r>
              <w:rPr>
                <w:rFonts w:hint="eastAsia" w:ascii="Times New Roman" w:hAnsi="Times New Roman"/>
                <w:color w:val="000000"/>
                <w:sz w:val="21"/>
                <w:szCs w:val="21"/>
              </w:rPr>
              <w:t>示范教学法</w:t>
            </w:r>
          </w:p>
        </w:tc>
        <w:tc>
          <w:tcPr>
            <w:tcW w:w="1738" w:type="dxa"/>
            <w:noWrap w:val="0"/>
            <w:vAlign w:val="top"/>
          </w:tcPr>
          <w:p w14:paraId="0C1F5E1B">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415F31F8">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7ED1DADE">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027ADFC9">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2779CA7B">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717" w:type="dxa"/>
            <w:tcBorders>
              <w:right w:val="single" w:color="auto" w:sz="12" w:space="0"/>
            </w:tcBorders>
            <w:noWrap w:val="0"/>
            <w:vAlign w:val="center"/>
          </w:tcPr>
          <w:p w14:paraId="40C0AADE">
            <w:pPr>
              <w:jc w:val="center"/>
              <w:rPr>
                <w:rFonts w:ascii="Times New Roman" w:hAnsi="Times New Roman"/>
                <w:color w:val="000000"/>
                <w:sz w:val="21"/>
                <w:szCs w:val="21"/>
              </w:rPr>
            </w:pPr>
            <w:r>
              <w:rPr>
                <w:rFonts w:hint="eastAsia" w:ascii="Times New Roman" w:hAnsi="Times New Roman"/>
                <w:color w:val="000000"/>
                <w:sz w:val="21"/>
                <w:szCs w:val="21"/>
              </w:rPr>
              <w:t>4</w:t>
            </w:r>
          </w:p>
        </w:tc>
      </w:tr>
      <w:tr w14:paraId="1F26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4B60657D">
            <w:pPr>
              <w:rPr>
                <w:rFonts w:hint="eastAsia" w:ascii="Times New Roman" w:hAnsi="Times New Roman" w:cs="仿宋"/>
                <w:color w:val="000000"/>
                <w:sz w:val="21"/>
                <w:szCs w:val="21"/>
              </w:rPr>
            </w:pPr>
            <w:r>
              <w:rPr>
                <w:rFonts w:hint="eastAsia" w:ascii="Times New Roman" w:hAnsi="Times New Roman"/>
                <w:color w:val="000000"/>
                <w:sz w:val="21"/>
                <w:szCs w:val="21"/>
              </w:rPr>
              <w:t xml:space="preserve">第十一单元 子宫平滑肌收缩药与舒张药、作用于血液及造血系统的药物、拟组胺药与抗组胺药  </w:t>
            </w:r>
          </w:p>
        </w:tc>
        <w:tc>
          <w:tcPr>
            <w:tcW w:w="2415" w:type="dxa"/>
            <w:noWrap w:val="0"/>
            <w:vAlign w:val="center"/>
          </w:tcPr>
          <w:p w14:paraId="2A5ABEDF">
            <w:pPr>
              <w:rPr>
                <w:rFonts w:ascii="Times New Roman" w:hAnsi="Times New Roman"/>
                <w:color w:val="000000"/>
                <w:sz w:val="21"/>
                <w:szCs w:val="21"/>
              </w:rPr>
            </w:pPr>
            <w:r>
              <w:rPr>
                <w:rFonts w:hint="eastAsia" w:ascii="Times New Roman" w:hAnsi="Times New Roman"/>
                <w:color w:val="000000"/>
                <w:sz w:val="21"/>
                <w:szCs w:val="21"/>
              </w:rPr>
              <w:t>直接教学法</w:t>
            </w:r>
          </w:p>
          <w:p w14:paraId="020A2B08">
            <w:pPr>
              <w:rPr>
                <w:rFonts w:hint="eastAsia" w:ascii="Times New Roman" w:hAnsi="Times New Roman"/>
                <w:color w:val="000000"/>
                <w:sz w:val="21"/>
                <w:szCs w:val="21"/>
              </w:rPr>
            </w:pPr>
            <w:r>
              <w:rPr>
                <w:rFonts w:hint="eastAsia" w:ascii="Times New Roman" w:hAnsi="Times New Roman"/>
                <w:color w:val="000000"/>
                <w:sz w:val="21"/>
                <w:szCs w:val="21"/>
              </w:rPr>
              <w:t>讨论教学法</w:t>
            </w:r>
          </w:p>
        </w:tc>
        <w:tc>
          <w:tcPr>
            <w:tcW w:w="1738" w:type="dxa"/>
            <w:noWrap w:val="0"/>
            <w:vAlign w:val="top"/>
          </w:tcPr>
          <w:p w14:paraId="69661D13">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04340C65">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026C144A">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760B064A">
            <w:pPr>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717" w:type="dxa"/>
            <w:tcBorders>
              <w:right w:val="single" w:color="auto" w:sz="12" w:space="0"/>
            </w:tcBorders>
            <w:noWrap w:val="0"/>
            <w:vAlign w:val="center"/>
          </w:tcPr>
          <w:p w14:paraId="602EDC44">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r>
      <w:tr w14:paraId="53F4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693D8980">
            <w:pPr>
              <w:rPr>
                <w:rFonts w:hint="eastAsia" w:ascii="Times New Roman" w:hAnsi="Times New Roman" w:cs="仿宋"/>
                <w:color w:val="000000"/>
                <w:sz w:val="21"/>
                <w:szCs w:val="21"/>
              </w:rPr>
            </w:pPr>
            <w:r>
              <w:rPr>
                <w:rFonts w:hint="eastAsia" w:ascii="Times New Roman" w:hAnsi="Times New Roman"/>
                <w:color w:val="000000"/>
                <w:sz w:val="21"/>
                <w:szCs w:val="21"/>
              </w:rPr>
              <w:t>第十二单元</w:t>
            </w:r>
            <w:r>
              <w:rPr>
                <w:rFonts w:hint="eastAsia" w:ascii="Times New Roman" w:hAnsi="Times New Roman" w:cs="仿宋"/>
                <w:color w:val="000000"/>
                <w:sz w:val="21"/>
                <w:szCs w:val="21"/>
              </w:rPr>
              <w:t>肾上腺皮质激素类药、甲状腺激素和抗甲状腺药</w:t>
            </w:r>
          </w:p>
        </w:tc>
        <w:tc>
          <w:tcPr>
            <w:tcW w:w="2415" w:type="dxa"/>
            <w:noWrap w:val="0"/>
            <w:vAlign w:val="center"/>
          </w:tcPr>
          <w:p w14:paraId="178DABEE">
            <w:pPr>
              <w:rPr>
                <w:rFonts w:ascii="Times New Roman" w:hAnsi="Times New Roman"/>
                <w:color w:val="000000"/>
                <w:sz w:val="21"/>
                <w:szCs w:val="21"/>
              </w:rPr>
            </w:pPr>
            <w:r>
              <w:rPr>
                <w:rFonts w:hint="eastAsia" w:ascii="Times New Roman" w:hAnsi="Times New Roman"/>
                <w:color w:val="000000"/>
                <w:sz w:val="21"/>
                <w:szCs w:val="21"/>
              </w:rPr>
              <w:t>直接教学法</w:t>
            </w:r>
          </w:p>
          <w:p w14:paraId="279FDF8A">
            <w:pPr>
              <w:rPr>
                <w:rFonts w:hint="eastAsia" w:ascii="Times New Roman" w:hAnsi="Times New Roman"/>
                <w:color w:val="000000"/>
                <w:sz w:val="21"/>
                <w:szCs w:val="21"/>
              </w:rPr>
            </w:pPr>
            <w:r>
              <w:rPr>
                <w:rFonts w:hint="eastAsia" w:ascii="Times New Roman" w:hAnsi="Times New Roman"/>
                <w:color w:val="000000"/>
                <w:sz w:val="21"/>
                <w:szCs w:val="21"/>
              </w:rPr>
              <w:t>示范教学法</w:t>
            </w:r>
          </w:p>
        </w:tc>
        <w:tc>
          <w:tcPr>
            <w:tcW w:w="1738" w:type="dxa"/>
            <w:noWrap w:val="0"/>
            <w:vAlign w:val="top"/>
          </w:tcPr>
          <w:p w14:paraId="1CF5F9DD">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5F3E89E7">
            <w:pPr>
              <w:rPr>
                <w:rFonts w:hint="eastAsia" w:ascii="Times New Roman" w:hAnsi="Times New Roman" w:cs="Arial"/>
                <w:color w:val="000000"/>
                <w:sz w:val="21"/>
                <w:szCs w:val="21"/>
              </w:rPr>
            </w:pPr>
            <w:r>
              <w:rPr>
                <w:rFonts w:hint="eastAsia" w:ascii="Times New Roman" w:hAnsi="Times New Roman" w:cs="Arial"/>
                <w:color w:val="000000"/>
                <w:sz w:val="21"/>
                <w:szCs w:val="21"/>
              </w:rPr>
              <w:t>实验报告</w:t>
            </w:r>
          </w:p>
          <w:p w14:paraId="09D748C8">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52B5D992">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32EE66DC">
            <w:pPr>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717" w:type="dxa"/>
            <w:tcBorders>
              <w:right w:val="single" w:color="auto" w:sz="12" w:space="0"/>
            </w:tcBorders>
            <w:noWrap w:val="0"/>
            <w:vAlign w:val="center"/>
          </w:tcPr>
          <w:p w14:paraId="42097E40">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r>
      <w:tr w14:paraId="5A84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169CE0D9">
            <w:pPr>
              <w:rPr>
                <w:rFonts w:hint="eastAsia" w:ascii="Times New Roman" w:hAnsi="Times New Roman" w:cs="仿宋"/>
                <w:color w:val="000000"/>
                <w:sz w:val="21"/>
                <w:szCs w:val="21"/>
              </w:rPr>
            </w:pPr>
            <w:r>
              <w:rPr>
                <w:rFonts w:hint="eastAsia" w:ascii="Times New Roman" w:hAnsi="Times New Roman"/>
                <w:color w:val="000000"/>
                <w:sz w:val="21"/>
                <w:szCs w:val="21"/>
              </w:rPr>
              <w:t>第十三单元</w:t>
            </w:r>
            <w:r>
              <w:rPr>
                <w:rFonts w:hint="eastAsia" w:ascii="Times New Roman" w:hAnsi="Times New Roman" w:cs="仿宋"/>
                <w:color w:val="000000"/>
                <w:sz w:val="21"/>
                <w:szCs w:val="21"/>
              </w:rPr>
              <w:t>胰岛素和口服降血糖药、性激素类药及避孕药、抗骨质疏松症药</w:t>
            </w:r>
          </w:p>
        </w:tc>
        <w:tc>
          <w:tcPr>
            <w:tcW w:w="2415" w:type="dxa"/>
            <w:noWrap w:val="0"/>
            <w:vAlign w:val="center"/>
          </w:tcPr>
          <w:p w14:paraId="30EBDBD6">
            <w:pPr>
              <w:rPr>
                <w:rFonts w:ascii="Times New Roman" w:hAnsi="Times New Roman"/>
                <w:color w:val="000000"/>
                <w:sz w:val="21"/>
                <w:szCs w:val="21"/>
              </w:rPr>
            </w:pPr>
            <w:r>
              <w:rPr>
                <w:rFonts w:hint="eastAsia" w:ascii="Times New Roman" w:hAnsi="Times New Roman"/>
                <w:color w:val="000000"/>
                <w:sz w:val="21"/>
                <w:szCs w:val="21"/>
              </w:rPr>
              <w:t>直接教学法</w:t>
            </w:r>
          </w:p>
          <w:p w14:paraId="36E3D5E1">
            <w:pPr>
              <w:rPr>
                <w:rFonts w:hint="eastAsia" w:ascii="Times New Roman" w:hAnsi="Times New Roman"/>
                <w:color w:val="000000"/>
                <w:sz w:val="21"/>
                <w:szCs w:val="21"/>
              </w:rPr>
            </w:pPr>
            <w:r>
              <w:rPr>
                <w:rFonts w:hint="eastAsia" w:ascii="Times New Roman" w:hAnsi="Times New Roman"/>
                <w:color w:val="000000"/>
                <w:sz w:val="21"/>
                <w:szCs w:val="21"/>
              </w:rPr>
              <w:t>讨论教学法</w:t>
            </w:r>
          </w:p>
        </w:tc>
        <w:tc>
          <w:tcPr>
            <w:tcW w:w="1738" w:type="dxa"/>
            <w:noWrap w:val="0"/>
            <w:vAlign w:val="top"/>
          </w:tcPr>
          <w:p w14:paraId="1346519A">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3170FB96">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13532C8E">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1B85376C">
            <w:pPr>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717" w:type="dxa"/>
            <w:tcBorders>
              <w:right w:val="single" w:color="auto" w:sz="12" w:space="0"/>
            </w:tcBorders>
            <w:noWrap w:val="0"/>
            <w:vAlign w:val="center"/>
          </w:tcPr>
          <w:p w14:paraId="1DE3A671">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r>
      <w:tr w14:paraId="3DE1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44C5892E">
            <w:pPr>
              <w:rPr>
                <w:rFonts w:hint="eastAsia" w:ascii="Times New Roman" w:hAnsi="Times New Roman"/>
                <w:color w:val="000000"/>
                <w:sz w:val="21"/>
                <w:szCs w:val="21"/>
              </w:rPr>
            </w:pPr>
            <w:r>
              <w:rPr>
                <w:rFonts w:hint="eastAsia" w:ascii="Times New Roman" w:hAnsi="Times New Roman"/>
                <w:color w:val="000000"/>
                <w:sz w:val="21"/>
                <w:szCs w:val="21"/>
              </w:rPr>
              <w:t>第十四单元</w:t>
            </w:r>
            <w:r>
              <w:rPr>
                <w:rFonts w:hint="eastAsia" w:ascii="Times New Roman" w:hAnsi="Times New Roman" w:cs="仿宋"/>
                <w:color w:val="000000"/>
                <w:sz w:val="21"/>
                <w:szCs w:val="21"/>
              </w:rPr>
              <w:t>抗菌药概述、抗生素</w:t>
            </w:r>
          </w:p>
        </w:tc>
        <w:tc>
          <w:tcPr>
            <w:tcW w:w="2415" w:type="dxa"/>
            <w:noWrap w:val="0"/>
            <w:vAlign w:val="center"/>
          </w:tcPr>
          <w:p w14:paraId="1CACE349">
            <w:pPr>
              <w:rPr>
                <w:rFonts w:ascii="Times New Roman" w:hAnsi="Times New Roman"/>
                <w:color w:val="000000"/>
                <w:sz w:val="21"/>
                <w:szCs w:val="21"/>
              </w:rPr>
            </w:pPr>
            <w:r>
              <w:rPr>
                <w:rFonts w:hint="eastAsia" w:ascii="Times New Roman" w:hAnsi="Times New Roman"/>
                <w:color w:val="000000"/>
                <w:sz w:val="21"/>
                <w:szCs w:val="21"/>
              </w:rPr>
              <w:t>直接教学法</w:t>
            </w:r>
          </w:p>
          <w:p w14:paraId="75E456CD">
            <w:pPr>
              <w:rPr>
                <w:rFonts w:hint="eastAsia" w:ascii="Times New Roman" w:hAnsi="Times New Roman"/>
                <w:color w:val="000000"/>
                <w:sz w:val="21"/>
                <w:szCs w:val="21"/>
              </w:rPr>
            </w:pPr>
            <w:r>
              <w:rPr>
                <w:rFonts w:hint="eastAsia" w:ascii="Times New Roman" w:hAnsi="Times New Roman"/>
                <w:color w:val="000000"/>
                <w:sz w:val="21"/>
                <w:szCs w:val="21"/>
              </w:rPr>
              <w:t>讨论教学法</w:t>
            </w:r>
          </w:p>
        </w:tc>
        <w:tc>
          <w:tcPr>
            <w:tcW w:w="1738" w:type="dxa"/>
            <w:noWrap w:val="0"/>
            <w:vAlign w:val="top"/>
          </w:tcPr>
          <w:p w14:paraId="31149DAA">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1FD63557">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3963239D">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384DEB88">
            <w:pPr>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717" w:type="dxa"/>
            <w:tcBorders>
              <w:right w:val="single" w:color="auto" w:sz="12" w:space="0"/>
            </w:tcBorders>
            <w:noWrap w:val="0"/>
            <w:vAlign w:val="center"/>
          </w:tcPr>
          <w:p w14:paraId="01573EB9">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r>
      <w:tr w14:paraId="71B1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12BB768C">
            <w:pPr>
              <w:rPr>
                <w:rFonts w:hint="eastAsia" w:ascii="Times New Roman" w:hAnsi="Times New Roman"/>
                <w:color w:val="000000"/>
                <w:sz w:val="21"/>
                <w:szCs w:val="21"/>
              </w:rPr>
            </w:pPr>
            <w:r>
              <w:rPr>
                <w:rFonts w:hint="eastAsia" w:ascii="Times New Roman" w:hAnsi="Times New Roman"/>
                <w:color w:val="000000"/>
                <w:sz w:val="21"/>
                <w:szCs w:val="21"/>
              </w:rPr>
              <w:t xml:space="preserve">第十五单元 </w:t>
            </w:r>
            <w:r>
              <w:rPr>
                <w:rFonts w:hint="eastAsia" w:ascii="Times New Roman" w:hAnsi="Times New Roman" w:cs="仿宋"/>
                <w:color w:val="000000"/>
                <w:sz w:val="21"/>
                <w:szCs w:val="21"/>
              </w:rPr>
              <w:t>人工合成抗菌药、抗结核病药</w:t>
            </w:r>
          </w:p>
        </w:tc>
        <w:tc>
          <w:tcPr>
            <w:tcW w:w="2415" w:type="dxa"/>
            <w:noWrap w:val="0"/>
            <w:vAlign w:val="center"/>
          </w:tcPr>
          <w:p w14:paraId="1EB00588">
            <w:pPr>
              <w:rPr>
                <w:rFonts w:ascii="Times New Roman" w:hAnsi="Times New Roman"/>
                <w:color w:val="000000"/>
                <w:sz w:val="21"/>
                <w:szCs w:val="21"/>
              </w:rPr>
            </w:pPr>
            <w:r>
              <w:rPr>
                <w:rFonts w:hint="eastAsia" w:ascii="Times New Roman" w:hAnsi="Times New Roman"/>
                <w:color w:val="000000"/>
                <w:sz w:val="21"/>
                <w:szCs w:val="21"/>
              </w:rPr>
              <w:t>直接教学法</w:t>
            </w:r>
          </w:p>
          <w:p w14:paraId="5C7EBD6F">
            <w:pPr>
              <w:rPr>
                <w:rFonts w:hint="eastAsia" w:ascii="Times New Roman" w:hAnsi="Times New Roman"/>
                <w:color w:val="000000"/>
                <w:sz w:val="21"/>
                <w:szCs w:val="21"/>
              </w:rPr>
            </w:pPr>
            <w:r>
              <w:rPr>
                <w:rFonts w:hint="eastAsia" w:ascii="Times New Roman" w:hAnsi="Times New Roman"/>
                <w:color w:val="000000"/>
                <w:sz w:val="21"/>
                <w:szCs w:val="21"/>
              </w:rPr>
              <w:t>讨论教学法</w:t>
            </w:r>
          </w:p>
        </w:tc>
        <w:tc>
          <w:tcPr>
            <w:tcW w:w="1738" w:type="dxa"/>
            <w:noWrap w:val="0"/>
            <w:vAlign w:val="top"/>
          </w:tcPr>
          <w:p w14:paraId="5D058377">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78223F77">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79B624E1">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130E2CCA">
            <w:pPr>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717" w:type="dxa"/>
            <w:tcBorders>
              <w:right w:val="single" w:color="auto" w:sz="12" w:space="0"/>
            </w:tcBorders>
            <w:noWrap w:val="0"/>
            <w:vAlign w:val="center"/>
          </w:tcPr>
          <w:p w14:paraId="2A57C0A2">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r>
      <w:tr w14:paraId="0D2A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2212" w:type="dxa"/>
            <w:tcBorders>
              <w:left w:val="single" w:color="auto" w:sz="12" w:space="0"/>
            </w:tcBorders>
            <w:noWrap w:val="0"/>
            <w:vAlign w:val="top"/>
          </w:tcPr>
          <w:p w14:paraId="43C12915">
            <w:pPr>
              <w:rPr>
                <w:rFonts w:hint="eastAsia" w:ascii="Times New Roman" w:hAnsi="Times New Roman"/>
                <w:color w:val="000000"/>
                <w:sz w:val="21"/>
                <w:szCs w:val="21"/>
              </w:rPr>
            </w:pPr>
            <w:r>
              <w:rPr>
                <w:rFonts w:hint="eastAsia" w:ascii="Times New Roman" w:hAnsi="Times New Roman"/>
                <w:color w:val="000000"/>
                <w:sz w:val="21"/>
                <w:szCs w:val="21"/>
              </w:rPr>
              <w:t>第十六单元 抗真菌药及抗病毒药、抗寄生虫药、抗恶性肿瘤药 、影响免疫功能的药物</w:t>
            </w:r>
          </w:p>
        </w:tc>
        <w:tc>
          <w:tcPr>
            <w:tcW w:w="2415" w:type="dxa"/>
            <w:noWrap w:val="0"/>
            <w:vAlign w:val="center"/>
          </w:tcPr>
          <w:p w14:paraId="40EAC563">
            <w:pPr>
              <w:rPr>
                <w:rFonts w:ascii="Times New Roman" w:hAnsi="Times New Roman"/>
                <w:color w:val="000000"/>
                <w:sz w:val="21"/>
                <w:szCs w:val="21"/>
              </w:rPr>
            </w:pPr>
            <w:r>
              <w:rPr>
                <w:rFonts w:hint="eastAsia" w:ascii="Times New Roman" w:hAnsi="Times New Roman"/>
                <w:color w:val="000000"/>
                <w:sz w:val="21"/>
                <w:szCs w:val="21"/>
              </w:rPr>
              <w:t>直接教学法</w:t>
            </w:r>
          </w:p>
          <w:p w14:paraId="6BBE8EC5">
            <w:pPr>
              <w:rPr>
                <w:rFonts w:hint="eastAsia" w:ascii="Times New Roman" w:hAnsi="Times New Roman"/>
                <w:color w:val="000000"/>
                <w:sz w:val="21"/>
                <w:szCs w:val="21"/>
              </w:rPr>
            </w:pPr>
            <w:r>
              <w:rPr>
                <w:rFonts w:hint="eastAsia" w:ascii="Times New Roman" w:hAnsi="Times New Roman"/>
                <w:color w:val="000000"/>
                <w:sz w:val="21"/>
                <w:szCs w:val="21"/>
              </w:rPr>
              <w:t>讨论教学法</w:t>
            </w:r>
          </w:p>
        </w:tc>
        <w:tc>
          <w:tcPr>
            <w:tcW w:w="1738" w:type="dxa"/>
            <w:noWrap w:val="0"/>
            <w:vAlign w:val="top"/>
          </w:tcPr>
          <w:p w14:paraId="24B4908D">
            <w:pPr>
              <w:rPr>
                <w:rFonts w:hint="eastAsia" w:ascii="Times New Roman" w:hAnsi="Times New Roman" w:cs="Arial"/>
                <w:color w:val="000000"/>
                <w:sz w:val="21"/>
                <w:szCs w:val="21"/>
              </w:rPr>
            </w:pPr>
            <w:r>
              <w:rPr>
                <w:rFonts w:hint="eastAsia" w:ascii="Times New Roman" w:hAnsi="Times New Roman" w:cs="Arial"/>
                <w:color w:val="000000"/>
                <w:sz w:val="21"/>
                <w:szCs w:val="21"/>
              </w:rPr>
              <w:t>期末闭卷考试</w:t>
            </w:r>
          </w:p>
          <w:p w14:paraId="77A35A60">
            <w:pPr>
              <w:rPr>
                <w:rFonts w:ascii="Times New Roman" w:hAnsi="Times New Roman"/>
                <w:color w:val="000000"/>
                <w:sz w:val="21"/>
                <w:szCs w:val="21"/>
              </w:rPr>
            </w:pPr>
            <w:r>
              <w:rPr>
                <w:rFonts w:hint="eastAsia" w:ascii="Times New Roman" w:hAnsi="Times New Roman" w:cs="Arial"/>
                <w:color w:val="000000"/>
                <w:sz w:val="21"/>
                <w:szCs w:val="21"/>
              </w:rPr>
              <w:t>阶段测验</w:t>
            </w:r>
          </w:p>
        </w:tc>
        <w:tc>
          <w:tcPr>
            <w:tcW w:w="725" w:type="dxa"/>
            <w:noWrap w:val="0"/>
            <w:vAlign w:val="center"/>
          </w:tcPr>
          <w:p w14:paraId="17F709A1">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c>
          <w:tcPr>
            <w:tcW w:w="669" w:type="dxa"/>
            <w:noWrap w:val="0"/>
            <w:vAlign w:val="center"/>
          </w:tcPr>
          <w:p w14:paraId="7D3B8073">
            <w:pPr>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717" w:type="dxa"/>
            <w:tcBorders>
              <w:right w:val="single" w:color="auto" w:sz="12" w:space="0"/>
            </w:tcBorders>
            <w:noWrap w:val="0"/>
            <w:vAlign w:val="center"/>
          </w:tcPr>
          <w:p w14:paraId="14E2F934">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r>
      <w:tr w14:paraId="0217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wBefore w:w="0" w:type="dxa"/>
          <w:wAfter w:w="0" w:type="dxa"/>
          <w:trHeight w:val="454" w:hRule="atLeast"/>
          <w:jc w:val="center"/>
        </w:trPr>
        <w:tc>
          <w:tcPr>
            <w:tcW w:w="6365" w:type="dxa"/>
            <w:gridSpan w:val="3"/>
            <w:tcBorders>
              <w:left w:val="single" w:color="auto" w:sz="12" w:space="0"/>
              <w:bottom w:val="single" w:color="auto" w:sz="12" w:space="0"/>
            </w:tcBorders>
            <w:noWrap w:val="0"/>
            <w:vAlign w:val="center"/>
          </w:tcPr>
          <w:p w14:paraId="181114AE">
            <w:pPr>
              <w:jc w:val="center"/>
              <w:rPr>
                <w:rFonts w:ascii="Arial" w:hAnsi="Arial"/>
                <w:color w:val="000000"/>
                <w:sz w:val="21"/>
                <w:szCs w:val="21"/>
              </w:rPr>
            </w:pPr>
            <w:r>
              <w:rPr>
                <w:rFonts w:hint="eastAsia" w:ascii="Arial" w:hAnsi="Arial"/>
                <w:color w:val="000000"/>
                <w:sz w:val="21"/>
                <w:szCs w:val="21"/>
              </w:rPr>
              <w:t>合计</w:t>
            </w:r>
          </w:p>
        </w:tc>
        <w:tc>
          <w:tcPr>
            <w:tcW w:w="725" w:type="dxa"/>
            <w:tcBorders>
              <w:bottom w:val="single" w:color="auto" w:sz="12" w:space="0"/>
            </w:tcBorders>
            <w:noWrap w:val="0"/>
            <w:vAlign w:val="center"/>
          </w:tcPr>
          <w:p w14:paraId="6CE839CA">
            <w:pPr>
              <w:jc w:val="center"/>
              <w:rPr>
                <w:rFonts w:ascii="Times New Roman" w:hAnsi="Times New Roman"/>
                <w:color w:val="000000"/>
                <w:sz w:val="21"/>
                <w:szCs w:val="21"/>
              </w:rPr>
            </w:pPr>
            <w:r>
              <w:rPr>
                <w:rFonts w:hint="eastAsia" w:ascii="Times New Roman" w:hAnsi="Times New Roman"/>
                <w:color w:val="000000"/>
                <w:sz w:val="21"/>
                <w:szCs w:val="21"/>
              </w:rPr>
              <w:t>32</w:t>
            </w:r>
          </w:p>
        </w:tc>
        <w:tc>
          <w:tcPr>
            <w:tcW w:w="669" w:type="dxa"/>
            <w:tcBorders>
              <w:bottom w:val="single" w:color="auto" w:sz="12" w:space="0"/>
            </w:tcBorders>
            <w:noWrap w:val="0"/>
            <w:vAlign w:val="center"/>
          </w:tcPr>
          <w:p w14:paraId="0D011F04">
            <w:pPr>
              <w:jc w:val="center"/>
              <w:rPr>
                <w:rFonts w:ascii="Times New Roman" w:hAnsi="Times New Roman"/>
                <w:color w:val="000000"/>
                <w:sz w:val="21"/>
                <w:szCs w:val="21"/>
              </w:rPr>
            </w:pPr>
            <w:r>
              <w:rPr>
                <w:rFonts w:hint="eastAsia" w:ascii="Times New Roman" w:hAnsi="Times New Roman"/>
                <w:color w:val="000000"/>
                <w:sz w:val="21"/>
                <w:szCs w:val="21"/>
              </w:rPr>
              <w:t>16</w:t>
            </w:r>
          </w:p>
        </w:tc>
        <w:tc>
          <w:tcPr>
            <w:tcW w:w="717" w:type="dxa"/>
            <w:tcBorders>
              <w:bottom w:val="single" w:color="auto" w:sz="12" w:space="0"/>
              <w:right w:val="single" w:color="auto" w:sz="12" w:space="0"/>
            </w:tcBorders>
            <w:noWrap w:val="0"/>
            <w:vAlign w:val="center"/>
          </w:tcPr>
          <w:p w14:paraId="505368AE">
            <w:pPr>
              <w:jc w:val="center"/>
              <w:rPr>
                <w:rFonts w:ascii="Times New Roman" w:hAnsi="Times New Roman"/>
                <w:color w:val="000000"/>
                <w:sz w:val="21"/>
                <w:szCs w:val="21"/>
              </w:rPr>
            </w:pPr>
            <w:r>
              <w:rPr>
                <w:rFonts w:hint="eastAsia" w:ascii="Times New Roman" w:hAnsi="Times New Roman"/>
                <w:color w:val="000000"/>
                <w:sz w:val="21"/>
                <w:szCs w:val="21"/>
              </w:rPr>
              <w:t>48</w:t>
            </w:r>
          </w:p>
        </w:tc>
      </w:tr>
    </w:tbl>
    <w:p w14:paraId="6315C866">
      <w:pPr>
        <w:spacing w:before="163" w:beforeLines="50" w:after="163" w:afterLines="50"/>
        <w:outlineLvl w:val="1"/>
        <w:rPr>
          <w:rFonts w:ascii="Times New Roman" w:hAnsi="Times New Roman"/>
          <w:b/>
        </w:rPr>
      </w:pPr>
      <w:r>
        <w:rPr>
          <w:rFonts w:hint="eastAsia" w:ascii="Times New Roman" w:hAnsi="Times New Roman"/>
          <w:b/>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2168"/>
        <w:gridCol w:w="3775"/>
        <w:gridCol w:w="862"/>
        <w:gridCol w:w="950"/>
      </w:tblGrid>
      <w:tr w14:paraId="7914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454" w:hRule="atLeast"/>
          <w:jc w:val="center"/>
        </w:trPr>
        <w:tc>
          <w:tcPr>
            <w:tcW w:w="721" w:type="dxa"/>
            <w:tcBorders>
              <w:top w:val="single" w:color="auto" w:sz="12" w:space="0"/>
              <w:left w:val="single" w:color="auto" w:sz="12" w:space="0"/>
              <w:bottom w:val="single" w:color="auto" w:sz="4" w:space="0"/>
              <w:right w:val="single" w:color="auto" w:sz="4" w:space="0"/>
            </w:tcBorders>
            <w:noWrap w:val="0"/>
            <w:vAlign w:val="center"/>
          </w:tcPr>
          <w:p w14:paraId="6BF31094">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序号</w:t>
            </w:r>
          </w:p>
        </w:tc>
        <w:tc>
          <w:tcPr>
            <w:tcW w:w="2168" w:type="dxa"/>
            <w:tcBorders>
              <w:top w:val="single" w:color="auto" w:sz="12" w:space="0"/>
              <w:left w:val="single" w:color="auto" w:sz="4" w:space="0"/>
              <w:bottom w:val="single" w:color="auto" w:sz="4" w:space="0"/>
              <w:right w:val="single" w:color="auto" w:sz="4" w:space="0"/>
            </w:tcBorders>
            <w:noWrap w:val="0"/>
            <w:vAlign w:val="center"/>
          </w:tcPr>
          <w:p w14:paraId="51F31342">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实验项目名称</w:t>
            </w:r>
          </w:p>
        </w:tc>
        <w:tc>
          <w:tcPr>
            <w:tcW w:w="3775" w:type="dxa"/>
            <w:tcBorders>
              <w:top w:val="single" w:color="auto" w:sz="12" w:space="0"/>
              <w:left w:val="single" w:color="auto" w:sz="4" w:space="0"/>
              <w:bottom w:val="single" w:color="auto" w:sz="4" w:space="0"/>
              <w:right w:val="single" w:color="auto" w:sz="4" w:space="0"/>
            </w:tcBorders>
            <w:noWrap w:val="0"/>
            <w:vAlign w:val="center"/>
          </w:tcPr>
          <w:p w14:paraId="3D97A971">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目标要求与主要内容</w:t>
            </w:r>
          </w:p>
        </w:tc>
        <w:tc>
          <w:tcPr>
            <w:tcW w:w="862" w:type="dxa"/>
            <w:tcBorders>
              <w:top w:val="single" w:color="auto" w:sz="12" w:space="0"/>
              <w:left w:val="single" w:color="auto" w:sz="4" w:space="0"/>
              <w:right w:val="single" w:color="auto" w:sz="4" w:space="0"/>
            </w:tcBorders>
            <w:noWrap w:val="0"/>
            <w:vAlign w:val="center"/>
          </w:tcPr>
          <w:p w14:paraId="08542CF5">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实验</w:t>
            </w:r>
          </w:p>
          <w:p w14:paraId="35B4C4FB">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时数</w:t>
            </w:r>
          </w:p>
        </w:tc>
        <w:tc>
          <w:tcPr>
            <w:tcW w:w="950" w:type="dxa"/>
            <w:tcBorders>
              <w:top w:val="single" w:color="auto" w:sz="12" w:space="0"/>
              <w:left w:val="single" w:color="auto" w:sz="4" w:space="0"/>
              <w:right w:val="single" w:color="auto" w:sz="12" w:space="0"/>
            </w:tcBorders>
            <w:noWrap w:val="0"/>
            <w:vAlign w:val="center"/>
          </w:tcPr>
          <w:p w14:paraId="339DD27F">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实验</w:t>
            </w:r>
          </w:p>
          <w:p w14:paraId="213F84C8">
            <w:pPr>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类型</w:t>
            </w:r>
          </w:p>
        </w:tc>
      </w:tr>
      <w:tr w14:paraId="4D13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454" w:hRule="atLeast"/>
          <w:jc w:val="center"/>
        </w:trPr>
        <w:tc>
          <w:tcPr>
            <w:tcW w:w="721" w:type="dxa"/>
            <w:tcBorders>
              <w:top w:val="single" w:color="auto" w:sz="4" w:space="0"/>
              <w:left w:val="single" w:color="auto" w:sz="12" w:space="0"/>
              <w:bottom w:val="single" w:color="auto" w:sz="4" w:space="0"/>
              <w:right w:val="single" w:color="auto" w:sz="4" w:space="0"/>
            </w:tcBorders>
            <w:noWrap w:val="0"/>
            <w:vAlign w:val="center"/>
          </w:tcPr>
          <w:p w14:paraId="1B291DE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33C48A5B">
            <w:pPr>
              <w:rPr>
                <w:rFonts w:hint="eastAsia" w:ascii="宋体" w:hAnsi="宋体" w:eastAsia="宋体" w:cs="宋体"/>
                <w:color w:val="000000"/>
                <w:sz w:val="21"/>
                <w:szCs w:val="21"/>
              </w:rPr>
            </w:pPr>
            <w:r>
              <w:rPr>
                <w:rFonts w:hint="eastAsia" w:ascii="宋体" w:hAnsi="宋体" w:eastAsia="宋体" w:cs="宋体"/>
                <w:color w:val="000000"/>
                <w:sz w:val="21"/>
                <w:szCs w:val="21"/>
              </w:rPr>
              <w:t>实验一：给药剂量对药物血浓度的影响</w:t>
            </w:r>
          </w:p>
        </w:tc>
        <w:tc>
          <w:tcPr>
            <w:tcW w:w="3775" w:type="dxa"/>
            <w:tcBorders>
              <w:top w:val="single" w:color="auto" w:sz="4" w:space="0"/>
              <w:left w:val="single" w:color="auto" w:sz="4" w:space="0"/>
              <w:bottom w:val="single" w:color="auto" w:sz="4" w:space="0"/>
              <w:right w:val="single" w:color="auto" w:sz="4" w:space="0"/>
            </w:tcBorders>
            <w:noWrap w:val="0"/>
            <w:vAlign w:val="center"/>
          </w:tcPr>
          <w:p w14:paraId="0BB60804">
            <w:pPr>
              <w:rPr>
                <w:rFonts w:hint="eastAsia" w:ascii="宋体" w:hAnsi="宋体" w:eastAsia="宋体" w:cs="宋体"/>
                <w:color w:val="000000"/>
                <w:sz w:val="21"/>
                <w:szCs w:val="21"/>
              </w:rPr>
            </w:pPr>
            <w:r>
              <w:rPr>
                <w:rFonts w:hint="eastAsia" w:ascii="宋体" w:hAnsi="宋体" w:eastAsia="宋体" w:cs="宋体"/>
                <w:color w:val="000000"/>
                <w:sz w:val="21"/>
                <w:szCs w:val="21"/>
              </w:rPr>
              <w:t>观察不同给药剂量对药物血药浓度的影响。</w:t>
            </w:r>
          </w:p>
        </w:tc>
        <w:tc>
          <w:tcPr>
            <w:tcW w:w="862" w:type="dxa"/>
            <w:tcBorders>
              <w:left w:val="single" w:color="auto" w:sz="4" w:space="0"/>
              <w:right w:val="single" w:color="auto" w:sz="4" w:space="0"/>
            </w:tcBorders>
            <w:noWrap w:val="0"/>
            <w:vAlign w:val="center"/>
          </w:tcPr>
          <w:p w14:paraId="1230A0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50" w:type="dxa"/>
            <w:tcBorders>
              <w:left w:val="single" w:color="auto" w:sz="4" w:space="0"/>
              <w:right w:val="single" w:color="auto" w:sz="12" w:space="0"/>
            </w:tcBorders>
            <w:noWrap w:val="0"/>
            <w:vAlign w:val="center"/>
          </w:tcPr>
          <w:p w14:paraId="435C138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④</w:t>
            </w:r>
          </w:p>
        </w:tc>
      </w:tr>
      <w:tr w14:paraId="70EB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454" w:hRule="atLeast"/>
          <w:jc w:val="center"/>
        </w:trPr>
        <w:tc>
          <w:tcPr>
            <w:tcW w:w="721" w:type="dxa"/>
            <w:tcBorders>
              <w:top w:val="single" w:color="auto" w:sz="4" w:space="0"/>
              <w:left w:val="single" w:color="auto" w:sz="12" w:space="0"/>
              <w:bottom w:val="single" w:color="auto" w:sz="4" w:space="0"/>
              <w:right w:val="single" w:color="auto" w:sz="4" w:space="0"/>
            </w:tcBorders>
            <w:noWrap w:val="0"/>
            <w:vAlign w:val="center"/>
          </w:tcPr>
          <w:p w14:paraId="28E9A27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512E837">
            <w:pP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实验二：给药途径对药物血浓度的影响</w:t>
            </w:r>
          </w:p>
        </w:tc>
        <w:tc>
          <w:tcPr>
            <w:tcW w:w="3775" w:type="dxa"/>
            <w:tcBorders>
              <w:top w:val="single" w:color="auto" w:sz="4" w:space="0"/>
              <w:left w:val="single" w:color="auto" w:sz="4" w:space="0"/>
              <w:bottom w:val="single" w:color="auto" w:sz="4" w:space="0"/>
              <w:right w:val="single" w:color="auto" w:sz="4" w:space="0"/>
            </w:tcBorders>
            <w:noWrap w:val="0"/>
            <w:vAlign w:val="center"/>
          </w:tcPr>
          <w:p w14:paraId="0CFA9723">
            <w:pPr>
              <w:rPr>
                <w:rFonts w:hint="eastAsia" w:ascii="宋体" w:hAnsi="宋体" w:eastAsia="宋体" w:cs="宋体"/>
                <w:color w:val="000000"/>
                <w:sz w:val="21"/>
                <w:szCs w:val="21"/>
              </w:rPr>
            </w:pPr>
            <w:r>
              <w:rPr>
                <w:rFonts w:hint="eastAsia" w:ascii="宋体" w:hAnsi="宋体" w:eastAsia="宋体" w:cs="宋体"/>
                <w:color w:val="000000"/>
                <w:sz w:val="21"/>
                <w:szCs w:val="21"/>
              </w:rPr>
              <w:t>观察不同给药途径对药物血药浓度的影响，掌握小白鼠的口服给药法及尾静脉注射法。</w:t>
            </w:r>
          </w:p>
        </w:tc>
        <w:tc>
          <w:tcPr>
            <w:tcW w:w="862" w:type="dxa"/>
            <w:tcBorders>
              <w:left w:val="single" w:color="auto" w:sz="4" w:space="0"/>
              <w:bottom w:val="single" w:color="auto" w:sz="4" w:space="0"/>
              <w:right w:val="single" w:color="auto" w:sz="4" w:space="0"/>
            </w:tcBorders>
            <w:noWrap w:val="0"/>
            <w:vAlign w:val="center"/>
          </w:tcPr>
          <w:p w14:paraId="13ECC6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50" w:type="dxa"/>
            <w:tcBorders>
              <w:left w:val="single" w:color="auto" w:sz="4" w:space="0"/>
              <w:bottom w:val="single" w:color="auto" w:sz="4" w:space="0"/>
              <w:right w:val="single" w:color="auto" w:sz="12" w:space="0"/>
            </w:tcBorders>
            <w:noWrap w:val="0"/>
            <w:vAlign w:val="center"/>
          </w:tcPr>
          <w:p w14:paraId="78D4F7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④</w:t>
            </w:r>
          </w:p>
        </w:tc>
      </w:tr>
      <w:tr w14:paraId="2173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454" w:hRule="atLeast"/>
          <w:jc w:val="center"/>
        </w:trPr>
        <w:tc>
          <w:tcPr>
            <w:tcW w:w="721" w:type="dxa"/>
            <w:tcBorders>
              <w:top w:val="single" w:color="auto" w:sz="4" w:space="0"/>
              <w:left w:val="single" w:color="auto" w:sz="12" w:space="0"/>
              <w:bottom w:val="single" w:color="auto" w:sz="4" w:space="0"/>
              <w:right w:val="single" w:color="auto" w:sz="4" w:space="0"/>
            </w:tcBorders>
            <w:noWrap w:val="0"/>
            <w:vAlign w:val="center"/>
          </w:tcPr>
          <w:p w14:paraId="380931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34B284A">
            <w:pPr>
              <w:rPr>
                <w:rFonts w:hint="eastAsia" w:ascii="宋体" w:hAnsi="宋体" w:eastAsia="宋体" w:cs="宋体"/>
                <w:color w:val="000000"/>
                <w:sz w:val="21"/>
                <w:szCs w:val="21"/>
              </w:rPr>
            </w:pPr>
            <w:r>
              <w:rPr>
                <w:rFonts w:hint="eastAsia" w:ascii="宋体" w:hAnsi="宋体" w:eastAsia="宋体" w:cs="宋体"/>
                <w:color w:val="000000"/>
                <w:sz w:val="21"/>
                <w:szCs w:val="21"/>
              </w:rPr>
              <w:t>实验三：药物在体内的分布</w:t>
            </w:r>
          </w:p>
        </w:tc>
        <w:tc>
          <w:tcPr>
            <w:tcW w:w="3775" w:type="dxa"/>
            <w:tcBorders>
              <w:top w:val="single" w:color="auto" w:sz="4" w:space="0"/>
              <w:left w:val="single" w:color="auto" w:sz="4" w:space="0"/>
              <w:bottom w:val="single" w:color="auto" w:sz="4" w:space="0"/>
              <w:right w:val="single" w:color="auto" w:sz="4" w:space="0"/>
            </w:tcBorders>
            <w:noWrap w:val="0"/>
            <w:vAlign w:val="center"/>
          </w:tcPr>
          <w:p w14:paraId="77E6C549">
            <w:pPr>
              <w:rPr>
                <w:rFonts w:hint="eastAsia" w:ascii="宋体" w:hAnsi="宋体" w:eastAsia="宋体" w:cs="宋体"/>
                <w:color w:val="000000"/>
                <w:sz w:val="21"/>
                <w:szCs w:val="21"/>
              </w:rPr>
            </w:pPr>
            <w:r>
              <w:rPr>
                <w:rFonts w:hint="eastAsia" w:ascii="宋体" w:hAnsi="宋体" w:eastAsia="宋体" w:cs="宋体"/>
                <w:color w:val="000000"/>
                <w:sz w:val="21"/>
                <w:szCs w:val="21"/>
              </w:rPr>
              <w:t>观察大鼠口服磺胺嘧啶钠后一定时间血液、肝脏、脑组织中药物的浓度，以了解药物在体内的分布情况。</w:t>
            </w:r>
          </w:p>
        </w:tc>
        <w:tc>
          <w:tcPr>
            <w:tcW w:w="862" w:type="dxa"/>
            <w:tcBorders>
              <w:left w:val="single" w:color="auto" w:sz="4" w:space="0"/>
              <w:bottom w:val="single" w:color="auto" w:sz="4" w:space="0"/>
              <w:right w:val="single" w:color="auto" w:sz="4" w:space="0"/>
            </w:tcBorders>
            <w:noWrap w:val="0"/>
            <w:vAlign w:val="center"/>
          </w:tcPr>
          <w:p w14:paraId="1C9AD26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50" w:type="dxa"/>
            <w:tcBorders>
              <w:left w:val="single" w:color="auto" w:sz="4" w:space="0"/>
              <w:bottom w:val="single" w:color="auto" w:sz="4" w:space="0"/>
              <w:right w:val="single" w:color="auto" w:sz="12" w:space="0"/>
            </w:tcBorders>
            <w:noWrap w:val="0"/>
            <w:vAlign w:val="center"/>
          </w:tcPr>
          <w:p w14:paraId="386705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④</w:t>
            </w:r>
          </w:p>
        </w:tc>
      </w:tr>
      <w:tr w14:paraId="2045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454" w:hRule="atLeast"/>
          <w:jc w:val="center"/>
        </w:trPr>
        <w:tc>
          <w:tcPr>
            <w:tcW w:w="721" w:type="dxa"/>
            <w:tcBorders>
              <w:top w:val="single" w:color="auto" w:sz="4" w:space="0"/>
              <w:left w:val="single" w:color="auto" w:sz="12" w:space="0"/>
              <w:bottom w:val="single" w:color="auto" w:sz="4" w:space="0"/>
              <w:right w:val="single" w:color="auto" w:sz="4" w:space="0"/>
            </w:tcBorders>
            <w:noWrap w:val="0"/>
            <w:vAlign w:val="center"/>
          </w:tcPr>
          <w:p w14:paraId="16FD052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0CA79E4B">
            <w:pPr>
              <w:rPr>
                <w:rFonts w:hint="eastAsia" w:ascii="宋体" w:hAnsi="宋体" w:eastAsia="宋体" w:cs="宋体"/>
                <w:color w:val="000000"/>
                <w:sz w:val="21"/>
                <w:szCs w:val="21"/>
              </w:rPr>
            </w:pPr>
            <w:r>
              <w:rPr>
                <w:rFonts w:hint="eastAsia" w:ascii="宋体" w:hAnsi="宋体" w:eastAsia="宋体" w:cs="宋体"/>
                <w:color w:val="000000"/>
                <w:sz w:val="21"/>
                <w:szCs w:val="21"/>
              </w:rPr>
              <w:t>实验四：传出神经系统药物对血压的影响</w:t>
            </w:r>
          </w:p>
        </w:tc>
        <w:tc>
          <w:tcPr>
            <w:tcW w:w="3775" w:type="dxa"/>
            <w:tcBorders>
              <w:top w:val="single" w:color="auto" w:sz="4" w:space="0"/>
              <w:left w:val="single" w:color="auto" w:sz="4" w:space="0"/>
              <w:bottom w:val="single" w:color="auto" w:sz="4" w:space="0"/>
              <w:right w:val="single" w:color="auto" w:sz="4" w:space="0"/>
            </w:tcBorders>
            <w:noWrap w:val="0"/>
            <w:vAlign w:val="center"/>
          </w:tcPr>
          <w:p w14:paraId="7C705991">
            <w:pPr>
              <w:rPr>
                <w:rFonts w:hint="eastAsia" w:ascii="宋体" w:hAnsi="宋体" w:eastAsia="宋体" w:cs="宋体"/>
                <w:color w:val="000000"/>
                <w:sz w:val="21"/>
                <w:szCs w:val="21"/>
              </w:rPr>
            </w:pPr>
            <w:r>
              <w:rPr>
                <w:rFonts w:hint="eastAsia" w:ascii="宋体" w:hAnsi="宋体" w:eastAsia="宋体" w:cs="宋体"/>
                <w:color w:val="000000"/>
                <w:sz w:val="21"/>
                <w:szCs w:val="21"/>
              </w:rPr>
              <w:t>观察神经体液因素及药物对心血管活动的影响；学习哺乳动物动脉血压的直接测量方法。</w:t>
            </w:r>
          </w:p>
        </w:tc>
        <w:tc>
          <w:tcPr>
            <w:tcW w:w="862" w:type="dxa"/>
            <w:tcBorders>
              <w:left w:val="single" w:color="auto" w:sz="4" w:space="0"/>
              <w:bottom w:val="single" w:color="auto" w:sz="4" w:space="0"/>
              <w:right w:val="single" w:color="auto" w:sz="4" w:space="0"/>
            </w:tcBorders>
            <w:noWrap w:val="0"/>
            <w:vAlign w:val="center"/>
          </w:tcPr>
          <w:p w14:paraId="2FA968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50" w:type="dxa"/>
            <w:tcBorders>
              <w:left w:val="single" w:color="auto" w:sz="4" w:space="0"/>
              <w:bottom w:val="single" w:color="auto" w:sz="4" w:space="0"/>
              <w:right w:val="single" w:color="auto" w:sz="12" w:space="0"/>
            </w:tcBorders>
            <w:noWrap w:val="0"/>
            <w:vAlign w:val="center"/>
          </w:tcPr>
          <w:p w14:paraId="558047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④</w:t>
            </w:r>
          </w:p>
        </w:tc>
      </w:tr>
      <w:tr w14:paraId="76C6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454" w:hRule="atLeast"/>
          <w:jc w:val="center"/>
        </w:trPr>
        <w:tc>
          <w:tcPr>
            <w:tcW w:w="721" w:type="dxa"/>
            <w:tcBorders>
              <w:top w:val="single" w:color="auto" w:sz="4" w:space="0"/>
              <w:left w:val="single" w:color="auto" w:sz="12" w:space="0"/>
              <w:bottom w:val="single" w:color="auto" w:sz="4" w:space="0"/>
              <w:right w:val="single" w:color="auto" w:sz="4" w:space="0"/>
            </w:tcBorders>
            <w:noWrap w:val="0"/>
            <w:vAlign w:val="center"/>
          </w:tcPr>
          <w:p w14:paraId="4BF121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0E322AC1">
            <w:pPr>
              <w:rPr>
                <w:rFonts w:hint="eastAsia" w:ascii="宋体" w:hAnsi="宋体" w:eastAsia="宋体" w:cs="宋体"/>
                <w:color w:val="000000"/>
                <w:sz w:val="21"/>
                <w:szCs w:val="21"/>
              </w:rPr>
            </w:pPr>
            <w:r>
              <w:rPr>
                <w:rFonts w:hint="eastAsia" w:ascii="宋体" w:hAnsi="宋体" w:eastAsia="宋体" w:cs="宋体"/>
                <w:color w:val="000000"/>
                <w:sz w:val="21"/>
                <w:szCs w:val="21"/>
              </w:rPr>
              <w:t>实验五：去甲肾上腺素的缩血管作用</w:t>
            </w:r>
          </w:p>
        </w:tc>
        <w:tc>
          <w:tcPr>
            <w:tcW w:w="3775" w:type="dxa"/>
            <w:tcBorders>
              <w:top w:val="single" w:color="auto" w:sz="4" w:space="0"/>
              <w:left w:val="single" w:color="auto" w:sz="4" w:space="0"/>
              <w:bottom w:val="single" w:color="auto" w:sz="4" w:space="0"/>
              <w:right w:val="single" w:color="auto" w:sz="4" w:space="0"/>
            </w:tcBorders>
            <w:noWrap w:val="0"/>
            <w:vAlign w:val="center"/>
          </w:tcPr>
          <w:p w14:paraId="2107F583">
            <w:pPr>
              <w:rPr>
                <w:rFonts w:hint="eastAsia" w:ascii="宋体" w:hAnsi="宋体" w:eastAsia="宋体" w:cs="宋体"/>
                <w:color w:val="000000"/>
                <w:sz w:val="21"/>
                <w:szCs w:val="21"/>
              </w:rPr>
            </w:pPr>
            <w:r>
              <w:rPr>
                <w:rFonts w:hint="eastAsia" w:ascii="宋体" w:hAnsi="宋体" w:eastAsia="宋体" w:cs="宋体"/>
                <w:color w:val="000000"/>
                <w:sz w:val="21"/>
                <w:szCs w:val="21"/>
              </w:rPr>
              <w:t>观察去甲肾上腺素的缩血管作用；练习蛙的捉拿及破坏其脑脊髓的方法。</w:t>
            </w:r>
          </w:p>
        </w:tc>
        <w:tc>
          <w:tcPr>
            <w:tcW w:w="862" w:type="dxa"/>
            <w:tcBorders>
              <w:left w:val="single" w:color="auto" w:sz="4" w:space="0"/>
              <w:bottom w:val="single" w:color="auto" w:sz="4" w:space="0"/>
              <w:right w:val="single" w:color="auto" w:sz="4" w:space="0"/>
            </w:tcBorders>
            <w:noWrap w:val="0"/>
            <w:vAlign w:val="center"/>
          </w:tcPr>
          <w:p w14:paraId="77462E4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50" w:type="dxa"/>
            <w:tcBorders>
              <w:left w:val="single" w:color="auto" w:sz="4" w:space="0"/>
              <w:bottom w:val="single" w:color="auto" w:sz="4" w:space="0"/>
              <w:right w:val="single" w:color="auto" w:sz="12" w:space="0"/>
            </w:tcBorders>
            <w:noWrap w:val="0"/>
            <w:vAlign w:val="center"/>
          </w:tcPr>
          <w:p w14:paraId="6301F83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④</w:t>
            </w:r>
          </w:p>
        </w:tc>
      </w:tr>
      <w:tr w14:paraId="4816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454" w:hRule="atLeast"/>
          <w:jc w:val="center"/>
        </w:trPr>
        <w:tc>
          <w:tcPr>
            <w:tcW w:w="721" w:type="dxa"/>
            <w:tcBorders>
              <w:top w:val="single" w:color="auto" w:sz="4" w:space="0"/>
              <w:left w:val="single" w:color="auto" w:sz="12" w:space="0"/>
              <w:bottom w:val="single" w:color="auto" w:sz="4" w:space="0"/>
              <w:right w:val="single" w:color="auto" w:sz="4" w:space="0"/>
            </w:tcBorders>
            <w:noWrap w:val="0"/>
            <w:vAlign w:val="center"/>
          </w:tcPr>
          <w:p w14:paraId="44DFC50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0C8327C">
            <w:pPr>
              <w:rPr>
                <w:rFonts w:hint="eastAsia" w:ascii="宋体" w:hAnsi="宋体" w:eastAsia="宋体" w:cs="宋体"/>
                <w:color w:val="000000"/>
                <w:sz w:val="21"/>
                <w:szCs w:val="21"/>
              </w:rPr>
            </w:pPr>
            <w:r>
              <w:rPr>
                <w:rFonts w:hint="eastAsia" w:ascii="宋体" w:hAnsi="宋体" w:eastAsia="宋体" w:cs="宋体"/>
                <w:color w:val="000000"/>
                <w:sz w:val="21"/>
                <w:szCs w:val="21"/>
              </w:rPr>
              <w:t>实验六：氨茶碱和异丙肾上腺素的平喘作用</w:t>
            </w:r>
          </w:p>
        </w:tc>
        <w:tc>
          <w:tcPr>
            <w:tcW w:w="3775" w:type="dxa"/>
            <w:tcBorders>
              <w:top w:val="single" w:color="auto" w:sz="4" w:space="0"/>
              <w:left w:val="single" w:color="auto" w:sz="4" w:space="0"/>
              <w:bottom w:val="single" w:color="auto" w:sz="4" w:space="0"/>
              <w:right w:val="single" w:color="auto" w:sz="4" w:space="0"/>
            </w:tcBorders>
            <w:noWrap w:val="0"/>
            <w:vAlign w:val="center"/>
          </w:tcPr>
          <w:p w14:paraId="2C17C6F8">
            <w:pPr>
              <w:rPr>
                <w:rFonts w:hint="eastAsia" w:ascii="宋体" w:hAnsi="宋体" w:eastAsia="宋体" w:cs="宋体"/>
                <w:color w:val="000000"/>
                <w:sz w:val="21"/>
                <w:szCs w:val="21"/>
              </w:rPr>
            </w:pPr>
            <w:r>
              <w:rPr>
                <w:rFonts w:hint="eastAsia" w:ascii="宋体" w:hAnsi="宋体" w:eastAsia="宋体" w:cs="宋体"/>
                <w:color w:val="000000"/>
                <w:sz w:val="21"/>
                <w:szCs w:val="21"/>
              </w:rPr>
              <w:t>学习喷雾乙酰胆碱和组胺引起豚鼠支气管哮喘的实验方法，观察氨茶碱和异丙肾上腺素的平喘作用。</w:t>
            </w:r>
          </w:p>
        </w:tc>
        <w:tc>
          <w:tcPr>
            <w:tcW w:w="862" w:type="dxa"/>
            <w:tcBorders>
              <w:left w:val="single" w:color="auto" w:sz="4" w:space="0"/>
              <w:bottom w:val="single" w:color="auto" w:sz="4" w:space="0"/>
              <w:right w:val="single" w:color="auto" w:sz="4" w:space="0"/>
            </w:tcBorders>
            <w:noWrap w:val="0"/>
            <w:vAlign w:val="center"/>
          </w:tcPr>
          <w:p w14:paraId="092E06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50" w:type="dxa"/>
            <w:tcBorders>
              <w:left w:val="single" w:color="auto" w:sz="4" w:space="0"/>
              <w:bottom w:val="single" w:color="auto" w:sz="4" w:space="0"/>
              <w:right w:val="single" w:color="auto" w:sz="12" w:space="0"/>
            </w:tcBorders>
            <w:noWrap w:val="0"/>
            <w:vAlign w:val="center"/>
          </w:tcPr>
          <w:p w14:paraId="63FBEBE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④</w:t>
            </w:r>
          </w:p>
        </w:tc>
      </w:tr>
      <w:tr w14:paraId="131C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wBefore w:w="0" w:type="dxa"/>
          <w:wAfter w:w="0" w:type="dxa"/>
          <w:trHeight w:val="454" w:hRule="atLeast"/>
          <w:jc w:val="center"/>
        </w:trPr>
        <w:tc>
          <w:tcPr>
            <w:tcW w:w="8476" w:type="dxa"/>
            <w:gridSpan w:val="5"/>
            <w:tcBorders>
              <w:top w:val="single" w:color="auto" w:sz="12" w:space="0"/>
              <w:left w:val="nil"/>
              <w:bottom w:val="nil"/>
              <w:right w:val="nil"/>
            </w:tcBorders>
            <w:noWrap w:val="0"/>
            <w:vAlign w:val="center"/>
          </w:tcPr>
          <w:p w14:paraId="694B8CF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实验类型：①演示型②验证型③设计型④综合型</w:t>
            </w:r>
          </w:p>
        </w:tc>
      </w:tr>
    </w:tbl>
    <w:p w14:paraId="264D53B1">
      <w:pPr>
        <w:spacing w:before="326" w:beforeLines="100"/>
        <w:outlineLvl w:val="0"/>
        <w:rPr>
          <w:rFonts w:ascii="Arial" w:hAnsi="Arial" w:eastAsia="黑体"/>
          <w:sz w:val="28"/>
        </w:rPr>
      </w:pPr>
      <w:r>
        <w:rPr>
          <w:rFonts w:hint="eastAsia" w:ascii="Arial" w:hAnsi="Arial" w:eastAsia="黑体"/>
          <w:sz w:val="28"/>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120"/>
        <w:gridCol w:w="1186"/>
        <w:gridCol w:w="6170"/>
      </w:tblGrid>
      <w:tr w14:paraId="2B6B0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496167F2">
            <w:pPr>
              <w:snapToGrid w:val="0"/>
              <w:jc w:val="both"/>
              <w:rPr>
                <w:rFonts w:hint="eastAsia" w:ascii="Times New Roman" w:hAnsi="Times New Roman" w:eastAsia="黑体"/>
                <w:bCs/>
                <w:color w:val="000000"/>
                <w:sz w:val="21"/>
                <w:szCs w:val="20"/>
              </w:rPr>
            </w:pPr>
            <w:r>
              <w:rPr>
                <w:rFonts w:hint="eastAsia" w:ascii="Times New Roman" w:hAnsi="Times New Roman" w:eastAsia="黑体"/>
                <w:bCs/>
                <w:color w:val="000000"/>
                <w:sz w:val="21"/>
                <w:szCs w:val="20"/>
              </w:rPr>
              <w:t>序号</w:t>
            </w:r>
          </w:p>
        </w:tc>
        <w:tc>
          <w:tcPr>
            <w:tcW w:w="1186" w:type="dxa"/>
            <w:noWrap w:val="0"/>
            <w:vAlign w:val="center"/>
          </w:tcPr>
          <w:p w14:paraId="400DC645">
            <w:pPr>
              <w:snapToGrid w:val="0"/>
              <w:jc w:val="both"/>
              <w:rPr>
                <w:rFonts w:ascii="Times New Roman" w:hAnsi="Times New Roman" w:eastAsia="黑体"/>
                <w:bCs/>
                <w:color w:val="000000"/>
                <w:sz w:val="21"/>
                <w:szCs w:val="20"/>
              </w:rPr>
            </w:pPr>
            <w:r>
              <w:rPr>
                <w:rFonts w:hint="eastAsia" w:ascii="Times New Roman" w:hAnsi="Times New Roman" w:eastAsia="黑体"/>
                <w:bCs/>
                <w:color w:val="000000"/>
                <w:sz w:val="21"/>
                <w:szCs w:val="20"/>
              </w:rPr>
              <w:t>教学模块</w:t>
            </w:r>
          </w:p>
        </w:tc>
        <w:tc>
          <w:tcPr>
            <w:tcW w:w="6170" w:type="dxa"/>
            <w:noWrap w:val="0"/>
            <w:vAlign w:val="center"/>
          </w:tcPr>
          <w:p w14:paraId="238F2C0E">
            <w:pPr>
              <w:snapToGrid w:val="0"/>
              <w:jc w:val="both"/>
              <w:rPr>
                <w:rFonts w:ascii="Times New Roman" w:hAnsi="Times New Roman" w:eastAsia="黑体"/>
                <w:bCs/>
                <w:color w:val="000000"/>
                <w:sz w:val="21"/>
                <w:szCs w:val="20"/>
              </w:rPr>
            </w:pPr>
            <w:r>
              <w:rPr>
                <w:rFonts w:hint="eastAsia" w:ascii="Times New Roman" w:hAnsi="Times New Roman" w:eastAsia="黑体"/>
                <w:bCs/>
                <w:color w:val="000000"/>
                <w:sz w:val="21"/>
                <w:szCs w:val="20"/>
              </w:rPr>
              <w:t>课程思政教学要点</w:t>
            </w:r>
          </w:p>
        </w:tc>
      </w:tr>
      <w:tr w14:paraId="048A2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23442E1A">
            <w:pPr>
              <w:jc w:val="center"/>
              <w:rPr>
                <w:rFonts w:hint="eastAsia" w:ascii="Times New Roman" w:hAnsi="Times New Roman"/>
                <w:color w:val="000000"/>
                <w:sz w:val="21"/>
                <w:szCs w:val="21"/>
              </w:rPr>
            </w:pPr>
            <w:r>
              <w:rPr>
                <w:rFonts w:hint="eastAsia" w:ascii="Times New Roman" w:hAnsi="Times New Roman"/>
                <w:color w:val="000000"/>
                <w:sz w:val="21"/>
                <w:szCs w:val="21"/>
              </w:rPr>
              <w:t>1</w:t>
            </w:r>
          </w:p>
        </w:tc>
        <w:tc>
          <w:tcPr>
            <w:tcW w:w="1186" w:type="dxa"/>
            <w:noWrap w:val="0"/>
            <w:vAlign w:val="center"/>
          </w:tcPr>
          <w:p w14:paraId="69DE467C">
            <w:pPr>
              <w:jc w:val="center"/>
              <w:rPr>
                <w:rFonts w:ascii="Times New Roman" w:hAnsi="Times New Roman"/>
                <w:color w:val="000000"/>
                <w:sz w:val="21"/>
                <w:szCs w:val="21"/>
              </w:rPr>
            </w:pPr>
            <w:r>
              <w:rPr>
                <w:rFonts w:hint="eastAsia" w:ascii="Times New Roman" w:hAnsi="Times New Roman"/>
                <w:color w:val="000000"/>
                <w:sz w:val="21"/>
                <w:szCs w:val="21"/>
              </w:rPr>
              <w:t>药理学总论</w:t>
            </w:r>
          </w:p>
        </w:tc>
        <w:tc>
          <w:tcPr>
            <w:tcW w:w="6170" w:type="dxa"/>
            <w:noWrap w:val="0"/>
            <w:vAlign w:val="center"/>
          </w:tcPr>
          <w:p w14:paraId="00DC44A4">
            <w:pPr>
              <w:jc w:val="both"/>
              <w:rPr>
                <w:rFonts w:hint="eastAsia" w:ascii="Times New Roman" w:hAnsi="Times New Roman"/>
                <w:color w:val="000000"/>
                <w:sz w:val="21"/>
                <w:szCs w:val="21"/>
              </w:rPr>
            </w:pPr>
            <w:r>
              <w:rPr>
                <w:rFonts w:hint="eastAsia" w:ascii="Times New Roman" w:hAnsi="Times New Roman"/>
                <w:color w:val="000000"/>
                <w:sz w:val="21"/>
                <w:szCs w:val="21"/>
              </w:rPr>
              <w:t>1.药物和药理学的发展简史，国内外药理学的发展近况。屠呦呦教授获得诺贝尔奖</w:t>
            </w:r>
            <w:r>
              <w:rPr>
                <w:rFonts w:ascii="Times New Roman" w:hAnsi="Times New Roman"/>
                <w:color w:val="000000"/>
                <w:sz w:val="21"/>
                <w:szCs w:val="21"/>
              </w:rPr>
              <w:t>；</w:t>
            </w:r>
            <w:r>
              <w:rPr>
                <w:rFonts w:hint="eastAsia" w:ascii="Times New Roman" w:hAnsi="Times New Roman"/>
                <w:color w:val="000000"/>
                <w:sz w:val="21"/>
                <w:szCs w:val="21"/>
              </w:rPr>
              <w:t>反应停事件</w:t>
            </w:r>
            <w:r>
              <w:rPr>
                <w:rFonts w:ascii="Times New Roman" w:hAnsi="Times New Roman"/>
                <w:color w:val="000000"/>
                <w:sz w:val="21"/>
                <w:szCs w:val="21"/>
              </w:rPr>
              <w:t>。</w:t>
            </w:r>
          </w:p>
          <w:p w14:paraId="66B65084">
            <w:pPr>
              <w:jc w:val="both"/>
              <w:rPr>
                <w:rFonts w:ascii="Times New Roman" w:hAnsi="Times New Roman"/>
                <w:color w:val="000000"/>
                <w:sz w:val="21"/>
                <w:szCs w:val="21"/>
              </w:rPr>
            </w:pPr>
            <w:r>
              <w:rPr>
                <w:rFonts w:hint="eastAsia" w:ascii="Times New Roman" w:hAnsi="Times New Roman"/>
                <w:color w:val="000000"/>
                <w:sz w:val="21"/>
                <w:szCs w:val="21"/>
              </w:rPr>
              <w:t>2.这些事件增强爱国情怀及民族自豪感</w:t>
            </w:r>
            <w:r>
              <w:rPr>
                <w:rFonts w:ascii="Times New Roman" w:hAnsi="Times New Roman"/>
                <w:color w:val="000000"/>
                <w:sz w:val="21"/>
                <w:szCs w:val="21"/>
              </w:rPr>
              <w:t>;学生的时代紧迫感</w:t>
            </w:r>
            <w:r>
              <w:rPr>
                <w:rFonts w:hint="eastAsia" w:ascii="Times New Roman" w:hAnsi="Times New Roman"/>
                <w:color w:val="000000"/>
                <w:sz w:val="21"/>
                <w:szCs w:val="21"/>
              </w:rPr>
              <w:t>和责任感</w:t>
            </w:r>
            <w:r>
              <w:rPr>
                <w:rFonts w:ascii="Times New Roman" w:hAnsi="Times New Roman"/>
                <w:color w:val="000000"/>
                <w:sz w:val="21"/>
                <w:szCs w:val="21"/>
              </w:rPr>
              <w:t>；警示学生养成</w:t>
            </w:r>
            <w:r>
              <w:rPr>
                <w:rFonts w:hint="eastAsia" w:ascii="Times New Roman" w:hAnsi="Times New Roman"/>
                <w:color w:val="000000"/>
                <w:sz w:val="21"/>
                <w:szCs w:val="21"/>
              </w:rPr>
              <w:t>良好的职业道德和职业素养</w:t>
            </w:r>
            <w:r>
              <w:rPr>
                <w:rFonts w:ascii="Times New Roman" w:hAnsi="Times New Roman"/>
                <w:color w:val="000000"/>
                <w:sz w:val="21"/>
                <w:szCs w:val="21"/>
              </w:rPr>
              <w:t>。</w:t>
            </w:r>
          </w:p>
        </w:tc>
      </w:tr>
      <w:tr w14:paraId="59CAC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4156DE2F">
            <w:pPr>
              <w:jc w:val="center"/>
              <w:rPr>
                <w:rFonts w:hint="eastAsia" w:ascii="Times New Roman" w:hAnsi="Times New Roman"/>
                <w:color w:val="000000"/>
                <w:sz w:val="21"/>
                <w:szCs w:val="21"/>
              </w:rPr>
            </w:pPr>
            <w:r>
              <w:rPr>
                <w:rFonts w:hint="eastAsia" w:ascii="Times New Roman" w:hAnsi="Times New Roman"/>
                <w:color w:val="000000"/>
                <w:sz w:val="21"/>
                <w:szCs w:val="21"/>
              </w:rPr>
              <w:t>2</w:t>
            </w:r>
          </w:p>
        </w:tc>
        <w:tc>
          <w:tcPr>
            <w:tcW w:w="1186" w:type="dxa"/>
            <w:noWrap w:val="0"/>
            <w:vAlign w:val="center"/>
          </w:tcPr>
          <w:p w14:paraId="50910474">
            <w:pPr>
              <w:jc w:val="center"/>
              <w:rPr>
                <w:rFonts w:ascii="Times New Roman" w:hAnsi="Times New Roman"/>
                <w:color w:val="000000"/>
                <w:sz w:val="21"/>
                <w:szCs w:val="21"/>
              </w:rPr>
            </w:pPr>
            <w:r>
              <w:rPr>
                <w:rFonts w:hint="eastAsia" w:ascii="Times New Roman" w:hAnsi="Times New Roman"/>
                <w:color w:val="000000"/>
                <w:sz w:val="21"/>
                <w:szCs w:val="21"/>
              </w:rPr>
              <w:t>传出神经</w:t>
            </w:r>
          </w:p>
          <w:p w14:paraId="56634238">
            <w:pPr>
              <w:jc w:val="center"/>
              <w:rPr>
                <w:rFonts w:ascii="Times New Roman" w:hAnsi="Times New Roman"/>
                <w:color w:val="000000"/>
                <w:sz w:val="20"/>
                <w:szCs w:val="21"/>
              </w:rPr>
            </w:pPr>
            <w:r>
              <w:rPr>
                <w:rFonts w:hint="eastAsia" w:ascii="Times New Roman" w:hAnsi="Times New Roman"/>
                <w:color w:val="000000"/>
                <w:sz w:val="21"/>
                <w:szCs w:val="21"/>
              </w:rPr>
              <w:t>系统药理</w:t>
            </w:r>
          </w:p>
        </w:tc>
        <w:tc>
          <w:tcPr>
            <w:tcW w:w="6170" w:type="dxa"/>
            <w:noWrap w:val="0"/>
            <w:vAlign w:val="center"/>
          </w:tcPr>
          <w:p w14:paraId="4E2A1067">
            <w:pPr>
              <w:jc w:val="both"/>
              <w:rPr>
                <w:rFonts w:hint="eastAsia" w:ascii="Times New Roman" w:hAnsi="Times New Roman"/>
                <w:color w:val="000000"/>
                <w:sz w:val="21"/>
                <w:szCs w:val="21"/>
              </w:rPr>
            </w:pPr>
            <w:r>
              <w:rPr>
                <w:rFonts w:hint="eastAsia" w:ascii="Times New Roman" w:hAnsi="Times New Roman"/>
                <w:color w:val="000000"/>
                <w:sz w:val="21"/>
                <w:szCs w:val="21"/>
              </w:rPr>
              <w:t>1. 将课堂内容与生活中的实际例子相结合</w:t>
            </w:r>
            <w:r>
              <w:rPr>
                <w:rFonts w:ascii="Times New Roman" w:hAnsi="Times New Roman"/>
                <w:color w:val="000000"/>
                <w:sz w:val="21"/>
                <w:szCs w:val="21"/>
              </w:rPr>
              <w:t>：青霉素导致的过敏性休克说明皮</w:t>
            </w:r>
            <w:r>
              <w:rPr>
                <w:rFonts w:hint="eastAsia" w:ascii="Times New Roman" w:hAnsi="Times New Roman"/>
                <w:color w:val="000000"/>
                <w:sz w:val="21"/>
                <w:szCs w:val="21"/>
              </w:rPr>
              <w:t>试的重要性</w:t>
            </w:r>
            <w:r>
              <w:rPr>
                <w:rFonts w:ascii="Times New Roman" w:hAnsi="Times New Roman"/>
                <w:color w:val="000000"/>
                <w:sz w:val="21"/>
                <w:szCs w:val="21"/>
              </w:rPr>
              <w:t>；在用药护理讲解中引出</w:t>
            </w:r>
            <w:r>
              <w:rPr>
                <w:rFonts w:hint="eastAsia" w:ascii="Times New Roman" w:hAnsi="Times New Roman"/>
                <w:color w:val="000000"/>
                <w:sz w:val="21"/>
                <w:szCs w:val="21"/>
              </w:rPr>
              <w:t>医疗机构不按护理流程致死等严重后果的案例</w:t>
            </w:r>
            <w:r>
              <w:rPr>
                <w:rFonts w:ascii="Times New Roman" w:hAnsi="Times New Roman"/>
                <w:color w:val="000000"/>
                <w:sz w:val="21"/>
                <w:szCs w:val="21"/>
              </w:rPr>
              <w:t>;陈克恢在中药麻黄中分离</w:t>
            </w:r>
            <w:r>
              <w:rPr>
                <w:rFonts w:hint="eastAsia" w:ascii="Times New Roman" w:hAnsi="Times New Roman"/>
                <w:color w:val="000000"/>
                <w:sz w:val="21"/>
                <w:szCs w:val="21"/>
              </w:rPr>
              <w:t>麻黄碱，研究其药理作用，做出巨大贡献</w:t>
            </w:r>
            <w:r>
              <w:rPr>
                <w:rFonts w:ascii="Times New Roman" w:hAnsi="Times New Roman"/>
                <w:color w:val="000000"/>
                <w:sz w:val="21"/>
                <w:szCs w:val="21"/>
              </w:rPr>
              <w:t>；麻黄碱与冰毒结构相似导致被限</w:t>
            </w:r>
            <w:r>
              <w:rPr>
                <w:rFonts w:hint="eastAsia" w:ascii="Times New Roman" w:hAnsi="Times New Roman"/>
                <w:color w:val="000000"/>
                <w:sz w:val="21"/>
                <w:szCs w:val="21"/>
              </w:rPr>
              <w:t>制销售。</w:t>
            </w:r>
          </w:p>
          <w:p w14:paraId="146DEDCF">
            <w:pPr>
              <w:jc w:val="both"/>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 xml:space="preserve"> </w:t>
            </w:r>
            <w:r>
              <w:rPr>
                <w:rFonts w:hint="eastAsia" w:ascii="Times New Roman" w:hAnsi="Times New Roman"/>
                <w:color w:val="000000"/>
                <w:sz w:val="21"/>
                <w:szCs w:val="21"/>
              </w:rPr>
              <w:t>培养学生的学习兴趣的同时，警示学生养成良好的职业道德和职业素养</w:t>
            </w:r>
            <w:r>
              <w:rPr>
                <w:rFonts w:ascii="Times New Roman" w:hAnsi="Times New Roman"/>
                <w:color w:val="000000"/>
                <w:sz w:val="21"/>
                <w:szCs w:val="21"/>
              </w:rPr>
              <w:t>；</w:t>
            </w:r>
            <w:r>
              <w:rPr>
                <w:rFonts w:hint="eastAsia" w:ascii="Times New Roman" w:hAnsi="Times New Roman"/>
                <w:color w:val="000000"/>
                <w:sz w:val="21"/>
                <w:szCs w:val="21"/>
              </w:rPr>
              <w:t>引发学生的法制意识</w:t>
            </w:r>
            <w:r>
              <w:rPr>
                <w:rFonts w:ascii="Times New Roman" w:hAnsi="Times New Roman"/>
                <w:color w:val="000000"/>
                <w:sz w:val="21"/>
                <w:szCs w:val="21"/>
              </w:rPr>
              <w:t>;增</w:t>
            </w:r>
            <w:r>
              <w:rPr>
                <w:rFonts w:hint="eastAsia" w:ascii="Times New Roman" w:hAnsi="Times New Roman"/>
                <w:color w:val="000000"/>
                <w:sz w:val="21"/>
                <w:szCs w:val="21"/>
              </w:rPr>
              <w:t>强爱国情怀和民族自豪感</w:t>
            </w:r>
            <w:r>
              <w:rPr>
                <w:rFonts w:ascii="Times New Roman" w:hAnsi="Times New Roman"/>
                <w:color w:val="000000"/>
                <w:sz w:val="21"/>
                <w:szCs w:val="21"/>
              </w:rPr>
              <w:t>。</w:t>
            </w:r>
          </w:p>
        </w:tc>
      </w:tr>
      <w:tr w14:paraId="36868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4D6AAD39">
            <w:pPr>
              <w:jc w:val="center"/>
              <w:rPr>
                <w:rFonts w:hint="eastAsia" w:ascii="Times New Roman" w:hAnsi="Times New Roman"/>
                <w:color w:val="000000"/>
                <w:sz w:val="21"/>
                <w:szCs w:val="21"/>
              </w:rPr>
            </w:pPr>
            <w:r>
              <w:rPr>
                <w:rFonts w:hint="eastAsia" w:ascii="Times New Roman" w:hAnsi="Times New Roman"/>
                <w:color w:val="000000"/>
                <w:sz w:val="21"/>
                <w:szCs w:val="21"/>
              </w:rPr>
              <w:t>3</w:t>
            </w:r>
          </w:p>
        </w:tc>
        <w:tc>
          <w:tcPr>
            <w:tcW w:w="1186" w:type="dxa"/>
            <w:noWrap w:val="0"/>
            <w:vAlign w:val="center"/>
          </w:tcPr>
          <w:p w14:paraId="54BA99D3">
            <w:pPr>
              <w:jc w:val="center"/>
              <w:rPr>
                <w:rFonts w:ascii="Times New Roman" w:hAnsi="Times New Roman"/>
                <w:color w:val="000000"/>
                <w:sz w:val="21"/>
                <w:szCs w:val="21"/>
              </w:rPr>
            </w:pPr>
            <w:r>
              <w:rPr>
                <w:rFonts w:hint="eastAsia" w:ascii="Times New Roman" w:hAnsi="Times New Roman"/>
                <w:color w:val="000000"/>
                <w:sz w:val="21"/>
                <w:szCs w:val="21"/>
              </w:rPr>
              <w:t>中枢神经</w:t>
            </w:r>
          </w:p>
          <w:p w14:paraId="40066C5B">
            <w:pPr>
              <w:jc w:val="center"/>
              <w:rPr>
                <w:rFonts w:ascii="Times New Roman" w:hAnsi="Times New Roman"/>
                <w:color w:val="000000"/>
                <w:sz w:val="20"/>
                <w:szCs w:val="21"/>
              </w:rPr>
            </w:pPr>
            <w:r>
              <w:rPr>
                <w:rFonts w:hint="eastAsia" w:ascii="Times New Roman" w:hAnsi="Times New Roman"/>
                <w:color w:val="000000"/>
                <w:sz w:val="21"/>
                <w:szCs w:val="21"/>
              </w:rPr>
              <w:t>系统药理</w:t>
            </w:r>
          </w:p>
        </w:tc>
        <w:tc>
          <w:tcPr>
            <w:tcW w:w="6170" w:type="dxa"/>
            <w:noWrap w:val="0"/>
            <w:vAlign w:val="center"/>
          </w:tcPr>
          <w:p w14:paraId="1C8C99C2">
            <w:pPr>
              <w:jc w:val="both"/>
              <w:rPr>
                <w:rFonts w:hint="eastAsia"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xml:space="preserve"> 运用案例讲解麻醉药品滥用导致的后果</w:t>
            </w:r>
            <w:r>
              <w:rPr>
                <w:rFonts w:ascii="Times New Roman" w:hAnsi="Times New Roman"/>
                <w:color w:val="000000"/>
                <w:sz w:val="21"/>
                <w:szCs w:val="21"/>
              </w:rPr>
              <w:t>;前脑叶白质切除术治疗精神分类</w:t>
            </w:r>
            <w:r>
              <w:rPr>
                <w:rFonts w:hint="eastAsia" w:ascii="Times New Roman" w:hAnsi="Times New Roman"/>
                <w:color w:val="000000"/>
                <w:sz w:val="21"/>
                <w:szCs w:val="21"/>
              </w:rPr>
              <w:t>症案例引出氯丙嗪是精神分类症治疗史上的里程碑</w:t>
            </w:r>
            <w:r>
              <w:rPr>
                <w:rFonts w:ascii="Times New Roman" w:hAnsi="Times New Roman"/>
                <w:color w:val="000000"/>
                <w:sz w:val="21"/>
                <w:szCs w:val="21"/>
              </w:rPr>
              <w:t>;英国画家路易斯·韦</w:t>
            </w:r>
            <w:r>
              <w:rPr>
                <w:rFonts w:hint="eastAsia" w:ascii="Times New Roman" w:hAnsi="Times New Roman"/>
                <w:color w:val="000000"/>
                <w:sz w:val="21"/>
                <w:szCs w:val="21"/>
              </w:rPr>
              <w:t>恩案例讲解罹患精神分裂症眼中的世界。</w:t>
            </w:r>
          </w:p>
          <w:p w14:paraId="6914E449">
            <w:pPr>
              <w:jc w:val="both"/>
              <w:rPr>
                <w:rFonts w:ascii="Times New Roman" w:hAnsi="Times New Roman"/>
                <w:color w:val="000000"/>
                <w:sz w:val="21"/>
                <w:szCs w:val="21"/>
              </w:rPr>
            </w:pPr>
            <w:r>
              <w:rPr>
                <w:rFonts w:hint="eastAsia" w:ascii="Times New Roman" w:hAnsi="Times New Roman"/>
                <w:color w:val="000000"/>
                <w:sz w:val="21"/>
                <w:szCs w:val="21"/>
              </w:rPr>
              <w:t>2. 吗啡是我国法律上明确定义的毒品，也是世界卫生组织推荐癌症晚期患者缓解病痛的止痛药，人类因为吗啡才能免受各种剧烈疼痛的折磨，因此也被称为现代医学史上最伟大的发明之一。学生通过查阅资料和翻转课堂讨论，求同存异。吗啡究竟是天使还是恶魔，完全取决于使用途径，临床合理使用是救命的天使，滥用享乐则是害人的恶魔。进而培育学生辩证唯物主义思维，实现知识传授与价值引领功能的深度融合。</w:t>
            </w:r>
          </w:p>
        </w:tc>
      </w:tr>
      <w:tr w14:paraId="0014E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3DE5ACF9">
            <w:pPr>
              <w:jc w:val="center"/>
              <w:rPr>
                <w:rFonts w:hint="eastAsia" w:ascii="Times New Roman" w:hAnsi="Times New Roman"/>
                <w:color w:val="000000"/>
                <w:sz w:val="21"/>
                <w:szCs w:val="21"/>
              </w:rPr>
            </w:pPr>
            <w:r>
              <w:rPr>
                <w:rFonts w:hint="eastAsia" w:ascii="Times New Roman" w:hAnsi="Times New Roman"/>
                <w:color w:val="000000"/>
                <w:sz w:val="21"/>
                <w:szCs w:val="21"/>
              </w:rPr>
              <w:t>4</w:t>
            </w:r>
          </w:p>
        </w:tc>
        <w:tc>
          <w:tcPr>
            <w:tcW w:w="1186" w:type="dxa"/>
            <w:noWrap w:val="0"/>
            <w:vAlign w:val="center"/>
          </w:tcPr>
          <w:p w14:paraId="5D306D77">
            <w:pPr>
              <w:jc w:val="center"/>
              <w:rPr>
                <w:rFonts w:ascii="Times New Roman" w:hAnsi="Times New Roman"/>
                <w:color w:val="000000"/>
                <w:sz w:val="21"/>
                <w:szCs w:val="21"/>
              </w:rPr>
            </w:pPr>
            <w:r>
              <w:rPr>
                <w:rFonts w:hint="eastAsia" w:ascii="Times New Roman" w:hAnsi="Times New Roman"/>
                <w:color w:val="000000"/>
                <w:sz w:val="21"/>
                <w:szCs w:val="21"/>
              </w:rPr>
              <w:t>心血管</w:t>
            </w:r>
          </w:p>
          <w:p w14:paraId="6ED6C924">
            <w:pPr>
              <w:jc w:val="center"/>
              <w:rPr>
                <w:rFonts w:ascii="Times New Roman" w:hAnsi="Times New Roman"/>
                <w:color w:val="000000"/>
                <w:sz w:val="20"/>
                <w:szCs w:val="21"/>
              </w:rPr>
            </w:pPr>
            <w:r>
              <w:rPr>
                <w:rFonts w:hint="eastAsia" w:ascii="Times New Roman" w:hAnsi="Times New Roman"/>
                <w:color w:val="000000"/>
                <w:sz w:val="21"/>
                <w:szCs w:val="21"/>
              </w:rPr>
              <w:t>系统药物</w:t>
            </w:r>
          </w:p>
        </w:tc>
        <w:tc>
          <w:tcPr>
            <w:tcW w:w="6170" w:type="dxa"/>
            <w:noWrap w:val="0"/>
            <w:vAlign w:val="center"/>
          </w:tcPr>
          <w:p w14:paraId="1AC61C71">
            <w:pPr>
              <w:jc w:val="both"/>
              <w:rPr>
                <w:rFonts w:hint="eastAsia"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 xml:space="preserve"> 普萘洛尔是治疗冠心病和高血压的经典药物，而后该药物被发现可用于骨质疏松症和黑色素瘤的治疗。培育学生科学精神，形成批判思维，厚植科研创新沃土。</w:t>
            </w:r>
          </w:p>
          <w:p w14:paraId="4FB779C0">
            <w:pPr>
              <w:jc w:val="both"/>
              <w:rPr>
                <w:rFonts w:hint="eastAsia" w:ascii="Times New Roman" w:hAnsi="Times New Roman"/>
                <w:color w:val="000000"/>
                <w:sz w:val="21"/>
                <w:szCs w:val="21"/>
              </w:rPr>
            </w:pPr>
            <w:r>
              <w:rPr>
                <w:rFonts w:hint="eastAsia" w:ascii="Times New Roman" w:hAnsi="Times New Roman"/>
                <w:color w:val="000000"/>
                <w:sz w:val="21"/>
                <w:szCs w:val="21"/>
              </w:rPr>
              <w:t>2.</w:t>
            </w:r>
            <w:r>
              <w:rPr>
                <w:rFonts w:hint="eastAsia" w:ascii="Microsoft YaHei UI" w:hAnsi="Microsoft YaHei UI" w:eastAsia="Microsoft YaHei UI"/>
                <w:color w:val="000000"/>
                <w:spacing w:val="5"/>
                <w:sz w:val="15"/>
                <w:szCs w:val="15"/>
                <w:shd w:val="clear" w:color="auto" w:fill="FFFFFF"/>
              </w:rPr>
              <w:t xml:space="preserve"> </w:t>
            </w:r>
            <w:r>
              <w:rPr>
                <w:rFonts w:hint="eastAsia" w:ascii="Times New Roman" w:hAnsi="Times New Roman"/>
                <w:color w:val="000000"/>
                <w:sz w:val="21"/>
                <w:szCs w:val="21"/>
              </w:rPr>
              <w:t>围绕国际性的疾病节日，如世界高血压日等，设计案例，通过案例中的疾病</w:t>
            </w:r>
            <w:r>
              <w:rPr>
                <w:rFonts w:ascii="Times New Roman" w:hAnsi="Times New Roman"/>
                <w:color w:val="000000"/>
                <w:sz w:val="21"/>
                <w:szCs w:val="21"/>
              </w:rPr>
              <w:t>-药物相关元素，系统化培育医德精神及人文素养。</w:t>
            </w:r>
          </w:p>
          <w:p w14:paraId="1CEEB446">
            <w:pPr>
              <w:jc w:val="both"/>
              <w:rPr>
                <w:rFonts w:ascii="Times New Roman" w:hAnsi="Times New Roman"/>
                <w:color w:val="000000"/>
                <w:sz w:val="21"/>
                <w:szCs w:val="21"/>
              </w:rPr>
            </w:pPr>
            <w:r>
              <w:rPr>
                <w:rFonts w:hint="eastAsia" w:ascii="Times New Roman" w:hAnsi="Times New Roman"/>
                <w:color w:val="000000"/>
                <w:sz w:val="21"/>
                <w:szCs w:val="21"/>
              </w:rPr>
              <w:t>3. 当代我国葛均波院士在全球首次发现心肌桥在</w:t>
            </w:r>
            <w:r>
              <w:rPr>
                <w:rFonts w:ascii="Times New Roman" w:hAnsi="Times New Roman"/>
                <w:color w:val="000000"/>
                <w:sz w:val="21"/>
                <w:szCs w:val="21"/>
              </w:rPr>
              <w:t>IVUS影像中的“半月征”，展现中华民族上下五千年的无尽魅力，提高学生的民族自豪感和文化自信。</w:t>
            </w:r>
          </w:p>
        </w:tc>
      </w:tr>
      <w:tr w14:paraId="7EB0D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0C8B5149">
            <w:pPr>
              <w:jc w:val="center"/>
              <w:rPr>
                <w:rFonts w:hint="eastAsia" w:ascii="Times New Roman" w:hAnsi="Times New Roman"/>
                <w:color w:val="000000"/>
                <w:sz w:val="21"/>
                <w:szCs w:val="21"/>
              </w:rPr>
            </w:pPr>
            <w:r>
              <w:rPr>
                <w:rFonts w:hint="eastAsia" w:ascii="Times New Roman" w:hAnsi="Times New Roman"/>
                <w:color w:val="000000"/>
                <w:sz w:val="21"/>
                <w:szCs w:val="21"/>
              </w:rPr>
              <w:t>5</w:t>
            </w:r>
          </w:p>
        </w:tc>
        <w:tc>
          <w:tcPr>
            <w:tcW w:w="1186" w:type="dxa"/>
            <w:noWrap w:val="0"/>
            <w:vAlign w:val="center"/>
          </w:tcPr>
          <w:p w14:paraId="64F44D6D">
            <w:pPr>
              <w:jc w:val="center"/>
              <w:rPr>
                <w:rFonts w:ascii="Times New Roman" w:hAnsi="Times New Roman"/>
                <w:color w:val="000000"/>
                <w:sz w:val="21"/>
                <w:szCs w:val="21"/>
              </w:rPr>
            </w:pPr>
            <w:r>
              <w:rPr>
                <w:rFonts w:hint="eastAsia" w:ascii="Times New Roman" w:hAnsi="Times New Roman"/>
                <w:color w:val="000000"/>
                <w:sz w:val="21"/>
                <w:szCs w:val="21"/>
              </w:rPr>
              <w:t>内脏</w:t>
            </w:r>
          </w:p>
          <w:p w14:paraId="37378536">
            <w:pPr>
              <w:jc w:val="center"/>
              <w:rPr>
                <w:rFonts w:ascii="Times New Roman" w:hAnsi="Times New Roman"/>
                <w:color w:val="000000"/>
                <w:sz w:val="20"/>
                <w:szCs w:val="21"/>
              </w:rPr>
            </w:pPr>
            <w:r>
              <w:rPr>
                <w:rFonts w:hint="eastAsia" w:ascii="Times New Roman" w:hAnsi="Times New Roman"/>
                <w:color w:val="000000"/>
                <w:sz w:val="21"/>
                <w:szCs w:val="21"/>
              </w:rPr>
              <w:t>系统药理</w:t>
            </w:r>
          </w:p>
        </w:tc>
        <w:tc>
          <w:tcPr>
            <w:tcW w:w="6170" w:type="dxa"/>
            <w:noWrap w:val="0"/>
            <w:vAlign w:val="center"/>
          </w:tcPr>
          <w:p w14:paraId="5B1B19B7">
            <w:pPr>
              <w:jc w:val="both"/>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结合中药剂的发展使学生认识到中药有效成分提取越来越受到行业重视</w:t>
            </w:r>
            <w:r>
              <w:rPr>
                <w:rFonts w:ascii="Times New Roman" w:hAnsi="Times New Roman"/>
                <w:color w:val="000000"/>
                <w:sz w:val="21"/>
                <w:szCs w:val="21"/>
              </w:rPr>
              <w:t>；消化道</w:t>
            </w:r>
            <w:r>
              <w:rPr>
                <w:rFonts w:hint="eastAsia" w:ascii="Times New Roman" w:hAnsi="Times New Roman"/>
                <w:color w:val="000000"/>
                <w:sz w:val="21"/>
                <w:szCs w:val="21"/>
              </w:rPr>
              <w:t>溃疡的防治中号召大家聚餐用公筷，避免出现幽门螺旋杆菌的交叉感染</w:t>
            </w:r>
            <w:r>
              <w:rPr>
                <w:rFonts w:ascii="Times New Roman" w:hAnsi="Times New Roman"/>
                <w:color w:val="000000"/>
                <w:sz w:val="21"/>
                <w:szCs w:val="21"/>
              </w:rPr>
              <w:t>。</w:t>
            </w:r>
          </w:p>
          <w:p w14:paraId="5FA6623E">
            <w:pPr>
              <w:jc w:val="both"/>
              <w:rPr>
                <w:rFonts w:ascii="Times New Roman" w:hAnsi="Times New Roman"/>
                <w:color w:val="000000"/>
                <w:sz w:val="21"/>
                <w:szCs w:val="21"/>
              </w:rPr>
            </w:pPr>
            <w:r>
              <w:rPr>
                <w:rFonts w:hint="eastAsia" w:ascii="Times New Roman" w:hAnsi="Times New Roman"/>
                <w:color w:val="000000"/>
                <w:sz w:val="21"/>
                <w:szCs w:val="21"/>
              </w:rPr>
              <w:t>2. 西咪替丁是治疗消化性胃溃疡的革命性药物，随着深入研究，发现可用于治疗慢性阻塞性肺疾病、</w:t>
            </w:r>
            <w:r>
              <w:rPr>
                <w:rFonts w:ascii="Times New Roman" w:hAnsi="Times New Roman"/>
                <w:color w:val="000000"/>
                <w:sz w:val="21"/>
                <w:szCs w:val="21"/>
              </w:rPr>
              <w:t>HIV病毒感染等。深入剖析客观事物辩证发展的过程，培养学生勇于探索、不断创新的科学精神。</w:t>
            </w:r>
          </w:p>
        </w:tc>
      </w:tr>
      <w:tr w14:paraId="2435E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49AC011B">
            <w:pPr>
              <w:jc w:val="center"/>
              <w:rPr>
                <w:rFonts w:hint="eastAsia" w:ascii="Times New Roman" w:hAnsi="Times New Roman"/>
                <w:color w:val="000000"/>
                <w:sz w:val="21"/>
                <w:szCs w:val="21"/>
              </w:rPr>
            </w:pPr>
            <w:r>
              <w:rPr>
                <w:rFonts w:hint="eastAsia" w:ascii="Times New Roman" w:hAnsi="Times New Roman"/>
                <w:color w:val="000000"/>
                <w:sz w:val="21"/>
                <w:szCs w:val="21"/>
              </w:rPr>
              <w:t>6</w:t>
            </w:r>
          </w:p>
        </w:tc>
        <w:tc>
          <w:tcPr>
            <w:tcW w:w="1186" w:type="dxa"/>
            <w:noWrap w:val="0"/>
            <w:vAlign w:val="center"/>
          </w:tcPr>
          <w:p w14:paraId="28F85250">
            <w:pPr>
              <w:jc w:val="center"/>
              <w:rPr>
                <w:rFonts w:ascii="Times New Roman" w:hAnsi="Times New Roman"/>
                <w:color w:val="000000"/>
                <w:sz w:val="21"/>
                <w:szCs w:val="21"/>
              </w:rPr>
            </w:pPr>
            <w:r>
              <w:rPr>
                <w:rFonts w:hint="eastAsia" w:ascii="Times New Roman" w:hAnsi="Times New Roman"/>
                <w:color w:val="000000"/>
                <w:sz w:val="21"/>
                <w:szCs w:val="21"/>
              </w:rPr>
              <w:t>内分泌</w:t>
            </w:r>
          </w:p>
          <w:p w14:paraId="062C1E18">
            <w:pPr>
              <w:jc w:val="center"/>
              <w:rPr>
                <w:rFonts w:ascii="Times New Roman" w:hAnsi="Times New Roman"/>
                <w:color w:val="000000"/>
                <w:sz w:val="20"/>
                <w:szCs w:val="21"/>
              </w:rPr>
            </w:pPr>
            <w:r>
              <w:rPr>
                <w:rFonts w:hint="eastAsia" w:ascii="Times New Roman" w:hAnsi="Times New Roman"/>
                <w:color w:val="000000"/>
                <w:sz w:val="21"/>
                <w:szCs w:val="21"/>
              </w:rPr>
              <w:t>系统药理</w:t>
            </w:r>
          </w:p>
        </w:tc>
        <w:tc>
          <w:tcPr>
            <w:tcW w:w="6170" w:type="dxa"/>
            <w:noWrap w:val="0"/>
            <w:vAlign w:val="center"/>
          </w:tcPr>
          <w:p w14:paraId="6A692FB7">
            <w:pPr>
              <w:jc w:val="both"/>
              <w:rPr>
                <w:rFonts w:hint="eastAsia"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xml:space="preserve"> 糖皮质激素的治疗案例，消除学生对激素使用误解</w:t>
            </w:r>
            <w:r>
              <w:rPr>
                <w:rFonts w:ascii="Times New Roman" w:hAnsi="Times New Roman"/>
                <w:color w:val="000000"/>
                <w:sz w:val="21"/>
                <w:szCs w:val="21"/>
              </w:rPr>
              <w:t>；“激素宝宝霜”案例。</w:t>
            </w:r>
          </w:p>
          <w:p w14:paraId="4526FC4F">
            <w:pPr>
              <w:jc w:val="both"/>
              <w:rPr>
                <w:rFonts w:ascii="Times New Roman" w:hAnsi="Times New Roman"/>
                <w:color w:val="000000"/>
                <w:sz w:val="21"/>
                <w:szCs w:val="21"/>
              </w:rPr>
            </w:pPr>
            <w:r>
              <w:rPr>
                <w:rFonts w:hint="eastAsia" w:ascii="Times New Roman" w:hAnsi="Times New Roman"/>
                <w:color w:val="000000"/>
                <w:sz w:val="21"/>
                <w:szCs w:val="21"/>
              </w:rPr>
              <w:t>2. 提升学生职业自豪感</w:t>
            </w:r>
            <w:r>
              <w:rPr>
                <w:rFonts w:ascii="Times New Roman" w:hAnsi="Times New Roman"/>
                <w:color w:val="000000"/>
                <w:sz w:val="21"/>
                <w:szCs w:val="21"/>
              </w:rPr>
              <w:t>；培</w:t>
            </w:r>
            <w:r>
              <w:rPr>
                <w:rFonts w:hint="eastAsia" w:ascii="Times New Roman" w:hAnsi="Times New Roman"/>
                <w:color w:val="000000"/>
                <w:sz w:val="21"/>
                <w:szCs w:val="21"/>
              </w:rPr>
              <w:t>养学生社会责任感、医学伦理、形成正确的价值观。</w:t>
            </w:r>
          </w:p>
        </w:tc>
      </w:tr>
      <w:tr w14:paraId="0761B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4B4D4542">
            <w:pPr>
              <w:jc w:val="center"/>
              <w:rPr>
                <w:rFonts w:hint="eastAsia" w:ascii="Times New Roman" w:hAnsi="Times New Roman"/>
                <w:color w:val="000000"/>
                <w:sz w:val="21"/>
                <w:szCs w:val="21"/>
              </w:rPr>
            </w:pPr>
            <w:r>
              <w:rPr>
                <w:rFonts w:hint="eastAsia" w:ascii="Times New Roman" w:hAnsi="Times New Roman"/>
                <w:color w:val="000000"/>
                <w:sz w:val="21"/>
                <w:szCs w:val="21"/>
              </w:rPr>
              <w:t>7</w:t>
            </w:r>
          </w:p>
        </w:tc>
        <w:tc>
          <w:tcPr>
            <w:tcW w:w="1186" w:type="dxa"/>
            <w:noWrap w:val="0"/>
            <w:vAlign w:val="center"/>
          </w:tcPr>
          <w:p w14:paraId="77EAB8F6">
            <w:pPr>
              <w:jc w:val="center"/>
              <w:rPr>
                <w:rFonts w:ascii="Times New Roman" w:hAnsi="Times New Roman"/>
                <w:color w:val="000000"/>
                <w:sz w:val="21"/>
                <w:szCs w:val="21"/>
              </w:rPr>
            </w:pPr>
            <w:r>
              <w:rPr>
                <w:rFonts w:hint="eastAsia" w:ascii="Times New Roman" w:hAnsi="Times New Roman"/>
                <w:color w:val="000000"/>
                <w:sz w:val="21"/>
                <w:szCs w:val="21"/>
              </w:rPr>
              <w:t>抗病原微</w:t>
            </w:r>
          </w:p>
          <w:p w14:paraId="7FD84EB5">
            <w:pPr>
              <w:jc w:val="center"/>
              <w:rPr>
                <w:rFonts w:ascii="Times New Roman" w:hAnsi="Times New Roman"/>
                <w:color w:val="000000"/>
                <w:sz w:val="20"/>
                <w:szCs w:val="21"/>
              </w:rPr>
            </w:pPr>
            <w:r>
              <w:rPr>
                <w:rFonts w:hint="eastAsia" w:ascii="Times New Roman" w:hAnsi="Times New Roman"/>
                <w:color w:val="000000"/>
                <w:sz w:val="21"/>
                <w:szCs w:val="21"/>
              </w:rPr>
              <w:t>生物药物</w:t>
            </w:r>
          </w:p>
        </w:tc>
        <w:tc>
          <w:tcPr>
            <w:tcW w:w="6170" w:type="dxa"/>
            <w:noWrap w:val="0"/>
            <w:vAlign w:val="center"/>
          </w:tcPr>
          <w:p w14:paraId="47CB38D2">
            <w:pPr>
              <w:jc w:val="both"/>
              <w:rPr>
                <w:rFonts w:hint="eastAsia"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 xml:space="preserve"> 青霉素的发现</w:t>
            </w:r>
            <w:r>
              <w:rPr>
                <w:rFonts w:ascii="Times New Roman" w:hAnsi="Times New Roman"/>
                <w:color w:val="000000"/>
                <w:sz w:val="21"/>
                <w:szCs w:val="21"/>
              </w:rPr>
              <w:t>；抗生素的滥用案例，超</w:t>
            </w:r>
            <w:r>
              <w:rPr>
                <w:rFonts w:hint="eastAsia" w:ascii="Times New Roman" w:hAnsi="Times New Roman"/>
                <w:color w:val="000000"/>
                <w:sz w:val="21"/>
                <w:szCs w:val="21"/>
              </w:rPr>
              <w:t>级细菌的出现</w:t>
            </w:r>
            <w:r>
              <w:rPr>
                <w:rFonts w:ascii="Times New Roman" w:hAnsi="Times New Roman"/>
                <w:color w:val="000000"/>
                <w:sz w:val="21"/>
                <w:szCs w:val="21"/>
              </w:rPr>
              <w:t>；布置任务在亲朋好友</w:t>
            </w:r>
            <w:r>
              <w:rPr>
                <w:rFonts w:hint="eastAsia" w:ascii="Times New Roman" w:hAnsi="Times New Roman"/>
                <w:color w:val="000000"/>
                <w:sz w:val="21"/>
                <w:szCs w:val="21"/>
              </w:rPr>
              <w:t>中进行健康宣讲。</w:t>
            </w:r>
          </w:p>
          <w:p w14:paraId="07832657">
            <w:pPr>
              <w:jc w:val="both"/>
              <w:rPr>
                <w:rFonts w:ascii="Times New Roman" w:hAnsi="Times New Roman"/>
                <w:color w:val="000000"/>
                <w:sz w:val="21"/>
                <w:szCs w:val="21"/>
              </w:rPr>
            </w:pPr>
            <w:r>
              <w:rPr>
                <w:rFonts w:hint="eastAsia" w:ascii="Times New Roman" w:hAnsi="Times New Roman"/>
                <w:color w:val="000000"/>
                <w:sz w:val="21"/>
                <w:szCs w:val="21"/>
              </w:rPr>
              <w:t>2. 培养学生社会责任感，严谨的工作态度</w:t>
            </w:r>
            <w:r>
              <w:rPr>
                <w:rFonts w:ascii="Times New Roman" w:hAnsi="Times New Roman"/>
                <w:color w:val="000000"/>
                <w:sz w:val="21"/>
                <w:szCs w:val="21"/>
              </w:rPr>
              <w:t>；提升学生</w:t>
            </w:r>
            <w:r>
              <w:rPr>
                <w:rFonts w:hint="eastAsia" w:ascii="Times New Roman" w:hAnsi="Times New Roman"/>
                <w:color w:val="000000"/>
                <w:sz w:val="21"/>
                <w:szCs w:val="21"/>
              </w:rPr>
              <w:t>的职业自豪感。</w:t>
            </w:r>
          </w:p>
        </w:tc>
      </w:tr>
      <w:tr w14:paraId="4B2BC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120" w:type="dxa"/>
            <w:noWrap w:val="0"/>
            <w:vAlign w:val="center"/>
          </w:tcPr>
          <w:p w14:paraId="44A5E1C6">
            <w:pPr>
              <w:jc w:val="center"/>
              <w:rPr>
                <w:rFonts w:hint="eastAsia" w:ascii="Times New Roman" w:hAnsi="Times New Roman"/>
                <w:color w:val="000000"/>
                <w:sz w:val="21"/>
                <w:szCs w:val="21"/>
              </w:rPr>
            </w:pPr>
            <w:r>
              <w:rPr>
                <w:rFonts w:hint="eastAsia" w:ascii="Times New Roman" w:hAnsi="Times New Roman"/>
                <w:color w:val="000000"/>
                <w:sz w:val="21"/>
                <w:szCs w:val="21"/>
              </w:rPr>
              <w:t>8</w:t>
            </w:r>
          </w:p>
        </w:tc>
        <w:tc>
          <w:tcPr>
            <w:tcW w:w="1186" w:type="dxa"/>
            <w:noWrap w:val="0"/>
            <w:vAlign w:val="center"/>
          </w:tcPr>
          <w:p w14:paraId="2AEC54D9">
            <w:pPr>
              <w:jc w:val="center"/>
              <w:rPr>
                <w:rFonts w:ascii="Times New Roman" w:hAnsi="Times New Roman"/>
                <w:color w:val="000000"/>
                <w:sz w:val="20"/>
                <w:szCs w:val="21"/>
              </w:rPr>
            </w:pPr>
            <w:r>
              <w:rPr>
                <w:rFonts w:hint="eastAsia" w:ascii="Times New Roman" w:hAnsi="Times New Roman"/>
                <w:color w:val="000000"/>
                <w:sz w:val="21"/>
                <w:szCs w:val="21"/>
              </w:rPr>
              <w:t>药理实验</w:t>
            </w:r>
          </w:p>
        </w:tc>
        <w:tc>
          <w:tcPr>
            <w:tcW w:w="6170" w:type="dxa"/>
            <w:noWrap w:val="0"/>
            <w:vAlign w:val="center"/>
          </w:tcPr>
          <w:p w14:paraId="6D831771">
            <w:pPr>
              <w:jc w:val="both"/>
              <w:rPr>
                <w:rFonts w:hint="eastAsia"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 xml:space="preserve">. </w:t>
            </w:r>
            <w:r>
              <w:rPr>
                <w:rFonts w:hint="eastAsia" w:ascii="Times New Roman" w:hAnsi="Times New Roman"/>
                <w:color w:val="000000"/>
                <w:sz w:val="21"/>
                <w:szCs w:val="21"/>
              </w:rPr>
              <w:t>讲解实验设计原则，空白对照组原则</w:t>
            </w:r>
            <w:r>
              <w:rPr>
                <w:rFonts w:ascii="Times New Roman" w:hAnsi="Times New Roman"/>
                <w:color w:val="000000"/>
                <w:sz w:val="21"/>
                <w:szCs w:val="21"/>
              </w:rPr>
              <w:t>。</w:t>
            </w:r>
          </w:p>
          <w:p w14:paraId="130FB3CE">
            <w:pPr>
              <w:jc w:val="both"/>
              <w:rPr>
                <w:rFonts w:ascii="Times New Roman" w:hAnsi="Times New Roman"/>
                <w:color w:val="000000"/>
                <w:sz w:val="21"/>
                <w:szCs w:val="21"/>
              </w:rPr>
            </w:pPr>
            <w:r>
              <w:rPr>
                <w:rFonts w:hint="eastAsia" w:ascii="Times New Roman" w:hAnsi="Times New Roman"/>
                <w:color w:val="000000"/>
                <w:sz w:val="21"/>
                <w:szCs w:val="21"/>
              </w:rPr>
              <w:t>2. 培养学生严谨的科研素养，训练学生逻辑思维能力。</w:t>
            </w:r>
          </w:p>
        </w:tc>
      </w:tr>
    </w:tbl>
    <w:p w14:paraId="3F81B366">
      <w:pPr>
        <w:spacing w:before="326" w:beforeLines="100"/>
        <w:outlineLvl w:val="0"/>
        <w:rPr>
          <w:rFonts w:ascii="Arial" w:hAnsi="Arial" w:eastAsia="黑体"/>
          <w:sz w:val="28"/>
        </w:rPr>
      </w:pPr>
      <w:r>
        <w:rPr>
          <w:rFonts w:hint="eastAsia" w:ascii="Arial" w:hAnsi="Arial" w:eastAsia="黑体"/>
          <w:sz w:val="28"/>
        </w:rPr>
        <w:t>五、</w:t>
      </w:r>
      <w:r>
        <w:rPr>
          <w:rFonts w:ascii="Arial" w:hAnsi="Arial" w:eastAsia="黑体"/>
          <w:sz w:val="28"/>
        </w:rPr>
        <w:t>文理融合、医工融合教学设计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300"/>
        <w:gridCol w:w="7176"/>
      </w:tblGrid>
      <w:tr w14:paraId="4B465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300" w:type="dxa"/>
            <w:noWrap w:val="0"/>
            <w:vAlign w:val="center"/>
          </w:tcPr>
          <w:p w14:paraId="689B6EF9">
            <w:pPr>
              <w:snapToGrid w:val="0"/>
              <w:jc w:val="center"/>
              <w:rPr>
                <w:rFonts w:ascii="Arial" w:hAnsi="Arial" w:eastAsia="黑体"/>
                <w:bCs/>
                <w:color w:val="000000"/>
                <w:sz w:val="21"/>
                <w:szCs w:val="20"/>
              </w:rPr>
            </w:pPr>
            <w:r>
              <w:rPr>
                <w:rFonts w:hint="eastAsia" w:ascii="Arial" w:hAnsi="Arial" w:eastAsia="黑体"/>
                <w:bCs/>
                <w:color w:val="000000"/>
                <w:sz w:val="21"/>
                <w:szCs w:val="20"/>
              </w:rPr>
              <w:t>教学单元</w:t>
            </w:r>
          </w:p>
        </w:tc>
        <w:tc>
          <w:tcPr>
            <w:tcW w:w="7176" w:type="dxa"/>
            <w:noWrap w:val="0"/>
            <w:vAlign w:val="center"/>
          </w:tcPr>
          <w:p w14:paraId="74C3A75A">
            <w:pPr>
              <w:snapToGrid w:val="0"/>
              <w:jc w:val="center"/>
              <w:rPr>
                <w:rFonts w:ascii="Arial" w:hAnsi="Arial" w:eastAsia="黑体"/>
                <w:bCs/>
                <w:color w:val="000000"/>
                <w:sz w:val="21"/>
                <w:szCs w:val="20"/>
              </w:rPr>
            </w:pPr>
            <w:r>
              <w:rPr>
                <w:rFonts w:ascii="Arial" w:hAnsi="Arial" w:eastAsia="黑体"/>
                <w:bCs/>
                <w:color w:val="000000"/>
                <w:sz w:val="21"/>
                <w:szCs w:val="20"/>
              </w:rPr>
              <w:t>文理融合、医工融合</w:t>
            </w:r>
            <w:r>
              <w:rPr>
                <w:rFonts w:hint="eastAsia" w:ascii="Arial" w:hAnsi="Arial" w:eastAsia="黑体"/>
                <w:bCs/>
                <w:color w:val="000000"/>
                <w:sz w:val="21"/>
                <w:szCs w:val="20"/>
              </w:rPr>
              <w:t>教学要点</w:t>
            </w:r>
          </w:p>
        </w:tc>
      </w:tr>
      <w:tr w14:paraId="39C86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300" w:type="dxa"/>
            <w:noWrap w:val="0"/>
            <w:vAlign w:val="center"/>
          </w:tcPr>
          <w:p w14:paraId="7EECE759">
            <w:pPr>
              <w:rPr>
                <w:rFonts w:hint="eastAsia" w:ascii="Times New Roman" w:hAnsi="Times New Roman"/>
                <w:color w:val="000000"/>
                <w:sz w:val="21"/>
                <w:szCs w:val="21"/>
              </w:rPr>
            </w:pPr>
            <w:r>
              <w:rPr>
                <w:rFonts w:hint="eastAsia" w:ascii="Times New Roman" w:hAnsi="Times New Roman"/>
                <w:color w:val="000000"/>
                <w:sz w:val="21"/>
                <w:szCs w:val="21"/>
              </w:rPr>
              <w:t>实验一：给药剂量对药物血浓度的影响</w:t>
            </w:r>
          </w:p>
        </w:tc>
        <w:tc>
          <w:tcPr>
            <w:tcW w:w="7176" w:type="dxa"/>
            <w:noWrap w:val="0"/>
            <w:vAlign w:val="center"/>
          </w:tcPr>
          <w:p w14:paraId="73C3BE5F">
            <w:pPr>
              <w:rPr>
                <w:rFonts w:hint="eastAsia"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离心机的使用。</w:t>
            </w:r>
          </w:p>
          <w:p w14:paraId="41E2604C">
            <w:pPr>
              <w:rPr>
                <w:rFonts w:hint="eastAsia" w:ascii="Times New Roman" w:hAnsi="Times New Roman"/>
                <w:color w:val="000000"/>
                <w:sz w:val="21"/>
                <w:szCs w:val="21"/>
              </w:rPr>
            </w:pPr>
            <w:r>
              <w:rPr>
                <w:rFonts w:hint="eastAsia" w:ascii="Times New Roman" w:hAnsi="Times New Roman"/>
                <w:color w:val="000000"/>
                <w:sz w:val="21"/>
                <w:szCs w:val="19"/>
                <w:shd w:val="clear" w:color="auto" w:fill="FFFFFF"/>
              </w:rPr>
              <w:t>2.分光光度计</w:t>
            </w:r>
            <w:r>
              <w:rPr>
                <w:rFonts w:ascii="Times New Roman" w:hAnsi="Times New Roman"/>
                <w:color w:val="000000"/>
                <w:sz w:val="21"/>
                <w:szCs w:val="21"/>
              </w:rPr>
              <w:t>。</w:t>
            </w:r>
          </w:p>
          <w:p w14:paraId="0D57E4CB">
            <w:pPr>
              <w:rPr>
                <w:rFonts w:ascii="Times New Roman" w:hAnsi="Times New Roman"/>
                <w:color w:val="000000"/>
                <w:sz w:val="21"/>
                <w:szCs w:val="21"/>
              </w:rPr>
            </w:pPr>
            <w:r>
              <w:rPr>
                <w:rFonts w:hint="eastAsia" w:ascii="Times New Roman" w:hAnsi="Times New Roman"/>
                <w:color w:val="000000"/>
                <w:sz w:val="21"/>
                <w:szCs w:val="21"/>
              </w:rPr>
              <w:t>3. 精准分剂量配药机的介绍。</w:t>
            </w:r>
          </w:p>
        </w:tc>
      </w:tr>
      <w:tr w14:paraId="6B870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300" w:type="dxa"/>
            <w:noWrap w:val="0"/>
            <w:vAlign w:val="center"/>
          </w:tcPr>
          <w:p w14:paraId="575195D5">
            <w:pPr>
              <w:rPr>
                <w:rFonts w:hint="eastAsia" w:ascii="Times New Roman" w:hAnsi="Times New Roman"/>
                <w:color w:val="000000"/>
                <w:sz w:val="21"/>
                <w:szCs w:val="21"/>
              </w:rPr>
            </w:pPr>
            <w:r>
              <w:rPr>
                <w:rFonts w:hint="eastAsia" w:ascii="Times New Roman" w:hAnsi="Times New Roman"/>
                <w:color w:val="000000"/>
                <w:sz w:val="21"/>
                <w:szCs w:val="21"/>
              </w:rPr>
              <w:t>实验二：给药途径对药物血浓度的影响</w:t>
            </w:r>
          </w:p>
        </w:tc>
        <w:tc>
          <w:tcPr>
            <w:tcW w:w="7176" w:type="dxa"/>
            <w:noWrap w:val="0"/>
            <w:vAlign w:val="center"/>
          </w:tcPr>
          <w:p w14:paraId="4D660D06">
            <w:pPr>
              <w:rPr>
                <w:rFonts w:hint="eastAsia"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w:t>
            </w:r>
            <w:r>
              <w:rPr>
                <w:rFonts w:hint="eastAsia" w:ascii="Times New Roman" w:hAnsi="Times New Roman"/>
                <w:color w:val="000000"/>
                <w:sz w:val="21"/>
                <w:szCs w:val="21"/>
              </w:rPr>
              <w:t>离心机的使用。</w:t>
            </w:r>
          </w:p>
          <w:p w14:paraId="4F0635CC">
            <w:pPr>
              <w:rPr>
                <w:rFonts w:hint="eastAsia" w:ascii="Times New Roman" w:hAnsi="Times New Roman"/>
                <w:color w:val="000000"/>
                <w:sz w:val="21"/>
                <w:szCs w:val="21"/>
              </w:rPr>
            </w:pPr>
            <w:r>
              <w:rPr>
                <w:rFonts w:hint="eastAsia" w:ascii="Times New Roman" w:hAnsi="Times New Roman"/>
                <w:color w:val="000000"/>
                <w:sz w:val="21"/>
                <w:szCs w:val="19"/>
                <w:shd w:val="clear" w:color="auto" w:fill="FFFFFF"/>
              </w:rPr>
              <w:t>2.分光光度计的介绍及使用注意事项。</w:t>
            </w:r>
            <w:r>
              <w:rPr>
                <w:rFonts w:ascii="Times New Roman" w:hAnsi="Times New Roman"/>
                <w:color w:val="000000"/>
                <w:sz w:val="21"/>
                <w:szCs w:val="21"/>
              </w:rPr>
              <w:t xml:space="preserve"> </w:t>
            </w:r>
          </w:p>
          <w:p w14:paraId="23D558D2">
            <w:pPr>
              <w:rPr>
                <w:rFonts w:ascii="Times New Roman" w:hAnsi="Times New Roman"/>
                <w:color w:val="000000"/>
                <w:sz w:val="21"/>
                <w:szCs w:val="21"/>
              </w:rPr>
            </w:pPr>
            <w:r>
              <w:rPr>
                <w:rFonts w:hint="eastAsia" w:ascii="Times New Roman" w:hAnsi="Times New Roman"/>
                <w:color w:val="000000"/>
                <w:sz w:val="21"/>
                <w:szCs w:val="21"/>
              </w:rPr>
              <w:t>3.灌胃器的分类介绍。</w:t>
            </w:r>
          </w:p>
        </w:tc>
      </w:tr>
      <w:tr w14:paraId="22F1F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300" w:type="dxa"/>
            <w:noWrap w:val="0"/>
            <w:vAlign w:val="center"/>
          </w:tcPr>
          <w:p w14:paraId="1F6AF457">
            <w:pPr>
              <w:rPr>
                <w:rFonts w:hint="eastAsia" w:ascii="Times New Roman" w:hAnsi="Times New Roman"/>
                <w:color w:val="000000"/>
                <w:sz w:val="21"/>
                <w:szCs w:val="21"/>
              </w:rPr>
            </w:pPr>
            <w:r>
              <w:rPr>
                <w:rFonts w:hint="eastAsia" w:ascii="Times New Roman" w:hAnsi="Times New Roman"/>
                <w:color w:val="000000"/>
                <w:sz w:val="21"/>
                <w:szCs w:val="21"/>
              </w:rPr>
              <w:t>实验三：药物在体内的分布</w:t>
            </w:r>
          </w:p>
        </w:tc>
        <w:tc>
          <w:tcPr>
            <w:tcW w:w="7176" w:type="dxa"/>
            <w:noWrap w:val="0"/>
            <w:vAlign w:val="center"/>
          </w:tcPr>
          <w:p w14:paraId="71BA8E35">
            <w:pPr>
              <w:rPr>
                <w:rFonts w:hint="eastAsia"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xml:space="preserve"> 灌胃器的介绍。</w:t>
            </w:r>
          </w:p>
          <w:p w14:paraId="75B31347">
            <w:pPr>
              <w:rPr>
                <w:rFonts w:hint="eastAsia" w:ascii="Times New Roman" w:hAnsi="Times New Roman"/>
                <w:color w:val="000000"/>
                <w:sz w:val="21"/>
                <w:szCs w:val="21"/>
              </w:rPr>
            </w:pPr>
            <w:r>
              <w:rPr>
                <w:rFonts w:hint="eastAsia" w:ascii="Times New Roman" w:hAnsi="Times New Roman"/>
                <w:color w:val="000000"/>
                <w:sz w:val="21"/>
                <w:szCs w:val="21"/>
              </w:rPr>
              <w:t>2. 离心机的使用。</w:t>
            </w:r>
          </w:p>
          <w:p w14:paraId="17BF7D2F">
            <w:pPr>
              <w:rPr>
                <w:rFonts w:hint="eastAsia" w:ascii="Times New Roman" w:hAnsi="Times New Roman"/>
                <w:color w:val="000000"/>
                <w:sz w:val="21"/>
                <w:szCs w:val="21"/>
              </w:rPr>
            </w:pPr>
            <w:r>
              <w:rPr>
                <w:rFonts w:hint="eastAsia" w:ascii="Times New Roman" w:hAnsi="Times New Roman"/>
                <w:color w:val="000000"/>
                <w:sz w:val="21"/>
                <w:szCs w:val="21"/>
              </w:rPr>
              <w:t>3. 组织匀浆器的使用。</w:t>
            </w:r>
          </w:p>
          <w:p w14:paraId="24AF5506">
            <w:pPr>
              <w:rPr>
                <w:rFonts w:hint="eastAsia" w:ascii="Times New Roman" w:hAnsi="Times New Roman"/>
                <w:color w:val="000000"/>
                <w:sz w:val="21"/>
                <w:szCs w:val="19"/>
                <w:shd w:val="clear" w:color="auto" w:fill="FFFFFF"/>
              </w:rPr>
            </w:pPr>
            <w:r>
              <w:rPr>
                <w:rFonts w:hint="eastAsia" w:ascii="Times New Roman" w:hAnsi="Times New Roman"/>
                <w:color w:val="000000"/>
                <w:sz w:val="21"/>
                <w:szCs w:val="21"/>
              </w:rPr>
              <w:t>4.</w:t>
            </w:r>
            <w:r>
              <w:rPr>
                <w:rFonts w:hint="eastAsia" w:ascii="Times New Roman" w:hAnsi="Times New Roman"/>
                <w:color w:val="000000"/>
                <w:sz w:val="21"/>
                <w:szCs w:val="19"/>
                <w:shd w:val="clear" w:color="auto" w:fill="FFFFFF"/>
              </w:rPr>
              <w:t xml:space="preserve"> 分光光度计的介绍及使用注意事项。</w:t>
            </w:r>
          </w:p>
          <w:p w14:paraId="32F812F4">
            <w:pPr>
              <w:rPr>
                <w:rFonts w:ascii="Times New Roman" w:hAnsi="Times New Roman"/>
                <w:color w:val="000000"/>
                <w:sz w:val="21"/>
                <w:szCs w:val="21"/>
              </w:rPr>
            </w:pPr>
            <w:r>
              <w:rPr>
                <w:rFonts w:hint="eastAsia" w:ascii="Times New Roman" w:hAnsi="Times New Roman"/>
                <w:color w:val="000000"/>
                <w:sz w:val="21"/>
                <w:szCs w:val="19"/>
                <w:shd w:val="clear" w:color="auto" w:fill="FFFFFF"/>
              </w:rPr>
              <w:t>5.培养皿的分类介绍及使用方法。</w:t>
            </w:r>
          </w:p>
        </w:tc>
      </w:tr>
      <w:tr w14:paraId="75CCD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300" w:type="dxa"/>
            <w:noWrap w:val="0"/>
            <w:vAlign w:val="center"/>
          </w:tcPr>
          <w:p w14:paraId="42A06C5C">
            <w:pPr>
              <w:rPr>
                <w:rFonts w:hint="eastAsia" w:ascii="Times New Roman" w:hAnsi="Times New Roman"/>
                <w:color w:val="000000"/>
                <w:sz w:val="21"/>
                <w:szCs w:val="21"/>
              </w:rPr>
            </w:pPr>
            <w:r>
              <w:rPr>
                <w:rFonts w:hint="eastAsia" w:ascii="Times New Roman" w:hAnsi="Times New Roman"/>
                <w:color w:val="000000"/>
                <w:sz w:val="21"/>
                <w:szCs w:val="21"/>
              </w:rPr>
              <w:t>实验四：传出神经系统药物对血压的影响</w:t>
            </w:r>
          </w:p>
        </w:tc>
        <w:tc>
          <w:tcPr>
            <w:tcW w:w="7176" w:type="dxa"/>
            <w:noWrap w:val="0"/>
            <w:vAlign w:val="center"/>
          </w:tcPr>
          <w:p w14:paraId="42BEB2D7">
            <w:pPr>
              <w:rPr>
                <w:rFonts w:hint="eastAsia"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xml:space="preserve"> BL-420生物机能实验系统的使用。</w:t>
            </w:r>
          </w:p>
          <w:p w14:paraId="1CC1D2C4">
            <w:pPr>
              <w:rPr>
                <w:rFonts w:hint="eastAsia" w:ascii="Times New Roman" w:hAnsi="Times New Roman"/>
                <w:color w:val="000000"/>
                <w:sz w:val="21"/>
                <w:szCs w:val="21"/>
              </w:rPr>
            </w:pPr>
            <w:r>
              <w:rPr>
                <w:rFonts w:hint="eastAsia" w:ascii="Times New Roman" w:hAnsi="Times New Roman"/>
                <w:color w:val="000000"/>
                <w:sz w:val="21"/>
                <w:szCs w:val="21"/>
              </w:rPr>
              <w:t>2. 压力换能器的使用。</w:t>
            </w:r>
          </w:p>
          <w:p w14:paraId="054CA34B">
            <w:pPr>
              <w:rPr>
                <w:rFonts w:hint="eastAsia" w:ascii="Times New Roman" w:hAnsi="Times New Roman"/>
                <w:color w:val="000000"/>
                <w:sz w:val="21"/>
                <w:szCs w:val="21"/>
              </w:rPr>
            </w:pPr>
            <w:r>
              <w:rPr>
                <w:rFonts w:hint="eastAsia" w:ascii="Times New Roman" w:hAnsi="Times New Roman"/>
                <w:color w:val="000000"/>
                <w:sz w:val="21"/>
                <w:szCs w:val="21"/>
              </w:rPr>
              <w:t>3. 动脉夹和三通管的适用范围和</w:t>
            </w:r>
            <w:bookmarkStart w:id="0" w:name="_GoBack"/>
            <w:bookmarkEnd w:id="0"/>
            <w:r>
              <w:rPr>
                <w:rFonts w:hint="eastAsia" w:ascii="Times New Roman" w:hAnsi="Times New Roman"/>
                <w:color w:val="000000"/>
                <w:sz w:val="21"/>
                <w:szCs w:val="21"/>
              </w:rPr>
              <w:t>注意事项。</w:t>
            </w:r>
          </w:p>
          <w:p w14:paraId="5272091C">
            <w:pPr>
              <w:rPr>
                <w:rFonts w:ascii="Times New Roman" w:hAnsi="Times New Roman"/>
                <w:color w:val="000000"/>
                <w:sz w:val="21"/>
                <w:szCs w:val="21"/>
              </w:rPr>
            </w:pPr>
            <w:r>
              <w:rPr>
                <w:rFonts w:hint="eastAsia" w:ascii="Times New Roman" w:hAnsi="Times New Roman"/>
                <w:color w:val="000000"/>
                <w:sz w:val="21"/>
                <w:szCs w:val="21"/>
              </w:rPr>
              <w:t>4. 动脉插管的操作注意事项。</w:t>
            </w:r>
          </w:p>
          <w:p w14:paraId="1071527D">
            <w:pPr>
              <w:rPr>
                <w:rFonts w:ascii="Times New Roman" w:hAnsi="Times New Roman"/>
                <w:color w:val="000000"/>
                <w:sz w:val="21"/>
                <w:szCs w:val="21"/>
              </w:rPr>
            </w:pPr>
            <w:r>
              <w:rPr>
                <w:rFonts w:hint="eastAsia" w:ascii="Times New Roman" w:hAnsi="Times New Roman"/>
                <w:color w:val="000000"/>
                <w:sz w:val="21"/>
                <w:szCs w:val="21"/>
              </w:rPr>
              <w:t>5. 手术灯的介绍。</w:t>
            </w:r>
          </w:p>
        </w:tc>
      </w:tr>
      <w:tr w14:paraId="2920A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300" w:type="dxa"/>
            <w:noWrap w:val="0"/>
            <w:vAlign w:val="center"/>
          </w:tcPr>
          <w:p w14:paraId="1AB316B4">
            <w:pPr>
              <w:rPr>
                <w:rFonts w:hint="eastAsia" w:ascii="Times New Roman" w:hAnsi="Times New Roman"/>
                <w:color w:val="000000"/>
                <w:sz w:val="21"/>
                <w:szCs w:val="21"/>
              </w:rPr>
            </w:pPr>
            <w:r>
              <w:rPr>
                <w:rFonts w:hint="eastAsia" w:ascii="Times New Roman" w:hAnsi="Times New Roman"/>
                <w:color w:val="000000"/>
                <w:sz w:val="21"/>
                <w:szCs w:val="21"/>
              </w:rPr>
              <w:t>实验五：去甲肾上腺素的缩血管作用</w:t>
            </w:r>
          </w:p>
        </w:tc>
        <w:tc>
          <w:tcPr>
            <w:tcW w:w="7176" w:type="dxa"/>
            <w:noWrap w:val="0"/>
            <w:vAlign w:val="center"/>
          </w:tcPr>
          <w:p w14:paraId="1370DEBE">
            <w:pPr>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毁髓针的介绍和使用注意事项。</w:t>
            </w:r>
          </w:p>
          <w:p w14:paraId="79AC4FBF">
            <w:pPr>
              <w:rPr>
                <w:rFonts w:hint="eastAsia" w:ascii="Times New Roman" w:hAnsi="Times New Roman"/>
                <w:color w:val="000000"/>
                <w:sz w:val="21"/>
                <w:szCs w:val="21"/>
              </w:rPr>
            </w:pPr>
            <w:r>
              <w:rPr>
                <w:rFonts w:hint="eastAsia" w:ascii="Times New Roman" w:hAnsi="Times New Roman"/>
                <w:color w:val="000000"/>
                <w:sz w:val="21"/>
                <w:szCs w:val="21"/>
              </w:rPr>
              <w:t>2. 手术剪的分类介绍和适用范围。</w:t>
            </w:r>
          </w:p>
          <w:p w14:paraId="32BF7693">
            <w:pPr>
              <w:rPr>
                <w:rFonts w:hint="eastAsia" w:ascii="Times New Roman" w:hAnsi="Times New Roman"/>
                <w:color w:val="000000"/>
                <w:sz w:val="21"/>
                <w:szCs w:val="21"/>
              </w:rPr>
            </w:pPr>
            <w:r>
              <w:rPr>
                <w:rFonts w:hint="eastAsia" w:ascii="Times New Roman" w:hAnsi="Times New Roman"/>
                <w:color w:val="000000"/>
                <w:sz w:val="21"/>
                <w:szCs w:val="21"/>
              </w:rPr>
              <w:t>3. 镊子的分类和选取原则。</w:t>
            </w:r>
          </w:p>
          <w:p w14:paraId="0BF7984B">
            <w:pPr>
              <w:rPr>
                <w:rFonts w:ascii="Times New Roman" w:hAnsi="Times New Roman"/>
                <w:color w:val="000000"/>
                <w:sz w:val="21"/>
                <w:szCs w:val="21"/>
              </w:rPr>
            </w:pPr>
            <w:r>
              <w:rPr>
                <w:rFonts w:hint="eastAsia" w:ascii="Times New Roman" w:hAnsi="Times New Roman"/>
                <w:color w:val="000000"/>
                <w:sz w:val="21"/>
                <w:szCs w:val="21"/>
              </w:rPr>
              <w:t>4. 医用图像分析仪的介绍。</w:t>
            </w:r>
          </w:p>
        </w:tc>
      </w:tr>
      <w:tr w14:paraId="56F94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wBefore w:w="0" w:type="dxa"/>
          <w:wAfter w:w="0" w:type="dxa"/>
          <w:trHeight w:val="454" w:hRule="atLeast"/>
        </w:trPr>
        <w:tc>
          <w:tcPr>
            <w:tcW w:w="1300" w:type="dxa"/>
            <w:noWrap w:val="0"/>
            <w:vAlign w:val="center"/>
          </w:tcPr>
          <w:p w14:paraId="0397E8BC">
            <w:pPr>
              <w:rPr>
                <w:rFonts w:hint="eastAsia" w:ascii="Times New Roman" w:hAnsi="Times New Roman"/>
                <w:color w:val="000000"/>
                <w:sz w:val="21"/>
                <w:szCs w:val="21"/>
              </w:rPr>
            </w:pPr>
            <w:r>
              <w:rPr>
                <w:rFonts w:hint="eastAsia" w:ascii="Times New Roman" w:hAnsi="Times New Roman"/>
                <w:color w:val="000000"/>
                <w:sz w:val="21"/>
                <w:szCs w:val="21"/>
              </w:rPr>
              <w:t>实验六：氨茶碱和异丙肾上腺素的平喘作用</w:t>
            </w:r>
          </w:p>
        </w:tc>
        <w:tc>
          <w:tcPr>
            <w:tcW w:w="7176" w:type="dxa"/>
            <w:noWrap w:val="0"/>
            <w:vAlign w:val="center"/>
          </w:tcPr>
          <w:p w14:paraId="1738AE72">
            <w:pPr>
              <w:rPr>
                <w:rFonts w:hint="eastAsia"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color w:val="000000"/>
                <w:sz w:val="21"/>
                <w:szCs w:val="21"/>
              </w:rPr>
              <w:t xml:space="preserve"> 临床上雾化机的分类使用方法及注意事项。</w:t>
            </w:r>
          </w:p>
          <w:p w14:paraId="3CCF8E19">
            <w:pPr>
              <w:rPr>
                <w:rFonts w:ascii="Times New Roman" w:hAnsi="Times New Roman"/>
                <w:color w:val="000000"/>
                <w:sz w:val="21"/>
                <w:szCs w:val="21"/>
              </w:rPr>
            </w:pPr>
            <w:r>
              <w:rPr>
                <w:rFonts w:hint="eastAsia" w:ascii="Times New Roman" w:hAnsi="Times New Roman"/>
                <w:color w:val="000000"/>
                <w:sz w:val="21"/>
                <w:szCs w:val="21"/>
              </w:rPr>
              <w:t>2.让护生们意识到根据不同的治疗对象采取不同的医疗器械。</w:t>
            </w:r>
          </w:p>
        </w:tc>
      </w:tr>
    </w:tbl>
    <w:p w14:paraId="122FB34F">
      <w:pPr>
        <w:spacing w:before="326" w:beforeLines="100"/>
        <w:outlineLvl w:val="0"/>
        <w:rPr>
          <w:rFonts w:ascii="Arial" w:hAnsi="Arial" w:eastAsia="黑体"/>
          <w:sz w:val="28"/>
        </w:rPr>
      </w:pPr>
      <w:r>
        <w:rPr>
          <w:rFonts w:hint="eastAsia" w:ascii="Arial" w:hAnsi="Arial" w:eastAsia="黑体"/>
          <w:sz w:val="28"/>
        </w:rPr>
        <w:t>六、课程考核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1827"/>
        <w:gridCol w:w="591"/>
        <w:gridCol w:w="591"/>
        <w:gridCol w:w="591"/>
        <w:gridCol w:w="591"/>
        <w:gridCol w:w="591"/>
        <w:gridCol w:w="591"/>
        <w:gridCol w:w="653"/>
        <w:gridCol w:w="687"/>
      </w:tblGrid>
      <w:tr w14:paraId="5F26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101" w:type="dxa"/>
            <w:vMerge w:val="restart"/>
            <w:tcBorders>
              <w:top w:val="single" w:color="auto" w:sz="12" w:space="0"/>
              <w:left w:val="single" w:color="auto" w:sz="12" w:space="0"/>
            </w:tcBorders>
            <w:noWrap w:val="0"/>
            <w:vAlign w:val="center"/>
          </w:tcPr>
          <w:p w14:paraId="211D9FC6">
            <w:pPr>
              <w:snapToGrid w:val="0"/>
              <w:jc w:val="center"/>
              <w:rPr>
                <w:rFonts w:ascii="Arial" w:hAnsi="Arial" w:eastAsia="黑体"/>
                <w:bCs/>
                <w:color w:val="000000"/>
                <w:sz w:val="21"/>
                <w:szCs w:val="20"/>
              </w:rPr>
            </w:pPr>
            <w:r>
              <w:rPr>
                <w:rFonts w:hint="eastAsia" w:ascii="Arial" w:hAnsi="Arial" w:eastAsia="黑体"/>
                <w:bCs/>
                <w:color w:val="000000"/>
                <w:sz w:val="21"/>
                <w:szCs w:val="20"/>
              </w:rPr>
              <w:t>总评构成（</w:t>
            </w:r>
            <w:r>
              <w:rPr>
                <w:rFonts w:hint="eastAsia" w:ascii="Arial" w:hAnsi="Arial" w:eastAsia="黑体"/>
                <w:bCs/>
                <w:color w:val="000000"/>
                <w:sz w:val="21"/>
                <w:szCs w:val="20"/>
                <w:lang w:val="en-US" w:eastAsia="zh-CN"/>
              </w:rPr>
              <w:t>全</w:t>
            </w:r>
            <w:r>
              <w:rPr>
                <w:rFonts w:ascii="Arial" w:hAnsi="Arial" w:eastAsia="黑体"/>
                <w:bCs/>
                <w:color w:val="000000"/>
                <w:sz w:val="21"/>
                <w:szCs w:val="20"/>
              </w:rPr>
              <w:t>X</w:t>
            </w:r>
            <w:r>
              <w:rPr>
                <w:rFonts w:hint="eastAsia" w:ascii="Arial" w:hAnsi="Arial" w:eastAsia="黑体"/>
                <w:bCs/>
                <w:color w:val="000000"/>
                <w:sz w:val="21"/>
                <w:szCs w:val="20"/>
              </w:rPr>
              <w:t>）</w:t>
            </w:r>
          </w:p>
        </w:tc>
        <w:tc>
          <w:tcPr>
            <w:tcW w:w="708" w:type="dxa"/>
            <w:vMerge w:val="restart"/>
            <w:tcBorders>
              <w:top w:val="single" w:color="auto" w:sz="12" w:space="0"/>
            </w:tcBorders>
            <w:noWrap w:val="0"/>
            <w:vAlign w:val="center"/>
          </w:tcPr>
          <w:p w14:paraId="5ABB7750">
            <w:pPr>
              <w:snapToGrid w:val="0"/>
              <w:jc w:val="center"/>
              <w:rPr>
                <w:rFonts w:ascii="Arial" w:hAnsi="Arial" w:eastAsia="黑体"/>
                <w:bCs/>
                <w:color w:val="000000"/>
                <w:sz w:val="21"/>
                <w:szCs w:val="20"/>
              </w:rPr>
            </w:pPr>
            <w:r>
              <w:rPr>
                <w:rFonts w:hint="eastAsia" w:ascii="Arial" w:hAnsi="Arial" w:eastAsia="黑体"/>
                <w:bCs/>
                <w:color w:val="000000"/>
                <w:sz w:val="21"/>
                <w:szCs w:val="20"/>
              </w:rPr>
              <w:t>占比</w:t>
            </w:r>
          </w:p>
        </w:tc>
        <w:tc>
          <w:tcPr>
            <w:tcW w:w="1827" w:type="dxa"/>
            <w:vMerge w:val="restart"/>
            <w:tcBorders>
              <w:top w:val="single" w:color="auto" w:sz="12" w:space="0"/>
              <w:right w:val="double" w:color="auto" w:sz="4" w:space="0"/>
            </w:tcBorders>
            <w:noWrap w:val="0"/>
            <w:vAlign w:val="center"/>
          </w:tcPr>
          <w:p w14:paraId="58D6C2A2">
            <w:pPr>
              <w:snapToGrid w:val="0"/>
              <w:jc w:val="center"/>
              <w:rPr>
                <w:rFonts w:ascii="Arial" w:hAnsi="Arial" w:eastAsia="黑体"/>
                <w:bCs/>
                <w:color w:val="000000"/>
                <w:sz w:val="21"/>
                <w:szCs w:val="20"/>
              </w:rPr>
            </w:pPr>
            <w:r>
              <w:rPr>
                <w:rFonts w:hint="eastAsia" w:ascii="Arial" w:hAnsi="Arial" w:eastAsia="黑体"/>
                <w:bCs/>
                <w:color w:val="000000"/>
                <w:sz w:val="21"/>
                <w:szCs w:val="20"/>
              </w:rPr>
              <w:t>考核方式</w:t>
            </w:r>
          </w:p>
        </w:tc>
        <w:tc>
          <w:tcPr>
            <w:tcW w:w="4199" w:type="dxa"/>
            <w:gridSpan w:val="7"/>
            <w:tcBorders>
              <w:top w:val="single" w:color="auto" w:sz="12" w:space="0"/>
              <w:left w:val="double" w:color="auto" w:sz="4" w:space="0"/>
            </w:tcBorders>
            <w:noWrap w:val="0"/>
            <w:vAlign w:val="center"/>
          </w:tcPr>
          <w:p w14:paraId="3A512A8A">
            <w:pPr>
              <w:snapToGrid w:val="0"/>
              <w:jc w:val="center"/>
              <w:rPr>
                <w:rFonts w:hint="eastAsia" w:ascii="Arial" w:hAnsi="Arial" w:eastAsia="黑体"/>
                <w:bCs/>
                <w:color w:val="000000"/>
                <w:sz w:val="21"/>
                <w:szCs w:val="20"/>
              </w:rPr>
            </w:pPr>
            <w:r>
              <w:rPr>
                <w:rFonts w:hint="eastAsia" w:ascii="Arial" w:hAnsi="Arial" w:eastAsia="黑体"/>
                <w:bCs/>
                <w:color w:val="000000"/>
                <w:sz w:val="21"/>
                <w:szCs w:val="20"/>
              </w:rPr>
              <w:t>课程目标</w:t>
            </w:r>
          </w:p>
        </w:tc>
        <w:tc>
          <w:tcPr>
            <w:tcW w:w="687" w:type="dxa"/>
            <w:vMerge w:val="restart"/>
            <w:tcBorders>
              <w:top w:val="single" w:color="auto" w:sz="12" w:space="0"/>
              <w:right w:val="single" w:color="auto" w:sz="12" w:space="0"/>
            </w:tcBorders>
            <w:noWrap w:val="0"/>
            <w:vAlign w:val="center"/>
          </w:tcPr>
          <w:p w14:paraId="5B83816D">
            <w:pPr>
              <w:snapToGrid w:val="0"/>
              <w:jc w:val="center"/>
              <w:rPr>
                <w:rFonts w:ascii="Arial" w:hAnsi="Arial" w:eastAsia="黑体"/>
                <w:bCs/>
                <w:color w:val="000000"/>
                <w:sz w:val="21"/>
                <w:szCs w:val="20"/>
              </w:rPr>
            </w:pPr>
            <w:r>
              <w:rPr>
                <w:rFonts w:hint="eastAsia" w:ascii="Arial" w:hAnsi="Arial" w:eastAsia="黑体"/>
                <w:bCs/>
                <w:color w:val="000000"/>
                <w:sz w:val="21"/>
                <w:szCs w:val="20"/>
              </w:rPr>
              <w:t>合计</w:t>
            </w:r>
          </w:p>
        </w:tc>
      </w:tr>
      <w:tr w14:paraId="5D77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101" w:type="dxa"/>
            <w:vMerge w:val="continue"/>
            <w:tcBorders>
              <w:left w:val="single" w:color="auto" w:sz="12" w:space="0"/>
            </w:tcBorders>
            <w:noWrap w:val="0"/>
            <w:vAlign w:val="top"/>
          </w:tcPr>
          <w:p w14:paraId="769E8941">
            <w:pPr>
              <w:rPr>
                <w:rFonts w:ascii="Times New Roman" w:hAnsi="Times New Roman"/>
                <w:color w:val="000000"/>
                <w:sz w:val="21"/>
                <w:szCs w:val="21"/>
              </w:rPr>
            </w:pPr>
          </w:p>
        </w:tc>
        <w:tc>
          <w:tcPr>
            <w:tcW w:w="708" w:type="dxa"/>
            <w:vMerge w:val="continue"/>
            <w:noWrap w:val="0"/>
            <w:vAlign w:val="top"/>
          </w:tcPr>
          <w:p w14:paraId="308A1CF9">
            <w:pPr>
              <w:rPr>
                <w:rFonts w:ascii="Times New Roman" w:hAnsi="Times New Roman"/>
                <w:color w:val="000000"/>
                <w:sz w:val="21"/>
                <w:szCs w:val="21"/>
              </w:rPr>
            </w:pPr>
          </w:p>
        </w:tc>
        <w:tc>
          <w:tcPr>
            <w:tcW w:w="1827" w:type="dxa"/>
            <w:vMerge w:val="continue"/>
            <w:tcBorders>
              <w:right w:val="double" w:color="auto" w:sz="4" w:space="0"/>
            </w:tcBorders>
            <w:noWrap w:val="0"/>
            <w:vAlign w:val="top"/>
          </w:tcPr>
          <w:p w14:paraId="530231D1">
            <w:pPr>
              <w:rPr>
                <w:rFonts w:ascii="Times New Roman" w:hAnsi="Times New Roman"/>
                <w:color w:val="000000"/>
                <w:sz w:val="21"/>
                <w:szCs w:val="21"/>
              </w:rPr>
            </w:pPr>
          </w:p>
        </w:tc>
        <w:tc>
          <w:tcPr>
            <w:tcW w:w="591" w:type="dxa"/>
            <w:tcBorders>
              <w:left w:val="double" w:color="auto" w:sz="4" w:space="0"/>
            </w:tcBorders>
            <w:noWrap w:val="0"/>
            <w:vAlign w:val="center"/>
          </w:tcPr>
          <w:p w14:paraId="52AEA086">
            <w:pPr>
              <w:rPr>
                <w:rFonts w:ascii="Times New Roman" w:hAnsi="Times New Roman"/>
                <w:color w:val="000000"/>
                <w:sz w:val="21"/>
                <w:szCs w:val="21"/>
              </w:rPr>
            </w:pPr>
            <w:r>
              <w:rPr>
                <w:rFonts w:hint="eastAsia" w:ascii="Times New Roman" w:hAnsi="Times New Roman"/>
                <w:color w:val="000000"/>
                <w:sz w:val="21"/>
                <w:szCs w:val="21"/>
              </w:rPr>
              <w:t>1</w:t>
            </w:r>
          </w:p>
        </w:tc>
        <w:tc>
          <w:tcPr>
            <w:tcW w:w="591" w:type="dxa"/>
            <w:noWrap w:val="0"/>
            <w:vAlign w:val="center"/>
          </w:tcPr>
          <w:p w14:paraId="75526E56">
            <w:pPr>
              <w:rPr>
                <w:rFonts w:ascii="Times New Roman" w:hAnsi="Times New Roman"/>
                <w:color w:val="000000"/>
                <w:sz w:val="21"/>
                <w:szCs w:val="21"/>
              </w:rPr>
            </w:pPr>
            <w:r>
              <w:rPr>
                <w:rFonts w:hint="eastAsia" w:ascii="Times New Roman" w:hAnsi="Times New Roman"/>
                <w:color w:val="000000"/>
                <w:sz w:val="21"/>
                <w:szCs w:val="21"/>
              </w:rPr>
              <w:t>2</w:t>
            </w:r>
          </w:p>
        </w:tc>
        <w:tc>
          <w:tcPr>
            <w:tcW w:w="591" w:type="dxa"/>
            <w:noWrap w:val="0"/>
            <w:vAlign w:val="center"/>
          </w:tcPr>
          <w:p w14:paraId="4E321E6D">
            <w:pPr>
              <w:rPr>
                <w:rFonts w:ascii="Times New Roman" w:hAnsi="Times New Roman"/>
                <w:color w:val="000000"/>
                <w:sz w:val="21"/>
                <w:szCs w:val="21"/>
              </w:rPr>
            </w:pPr>
            <w:r>
              <w:rPr>
                <w:rFonts w:hint="eastAsia" w:ascii="Times New Roman" w:hAnsi="Times New Roman"/>
                <w:color w:val="000000"/>
                <w:sz w:val="21"/>
                <w:szCs w:val="21"/>
              </w:rPr>
              <w:t>3</w:t>
            </w:r>
          </w:p>
        </w:tc>
        <w:tc>
          <w:tcPr>
            <w:tcW w:w="591" w:type="dxa"/>
            <w:noWrap w:val="0"/>
            <w:vAlign w:val="center"/>
          </w:tcPr>
          <w:p w14:paraId="0EE6E721">
            <w:pPr>
              <w:rPr>
                <w:rFonts w:ascii="Times New Roman" w:hAnsi="Times New Roman"/>
                <w:color w:val="000000"/>
                <w:sz w:val="21"/>
                <w:szCs w:val="21"/>
              </w:rPr>
            </w:pPr>
            <w:r>
              <w:rPr>
                <w:rFonts w:hint="eastAsia" w:ascii="Times New Roman" w:hAnsi="Times New Roman"/>
                <w:color w:val="000000"/>
                <w:sz w:val="21"/>
                <w:szCs w:val="21"/>
              </w:rPr>
              <w:t>4</w:t>
            </w:r>
          </w:p>
        </w:tc>
        <w:tc>
          <w:tcPr>
            <w:tcW w:w="591" w:type="dxa"/>
            <w:noWrap w:val="0"/>
            <w:vAlign w:val="center"/>
          </w:tcPr>
          <w:p w14:paraId="1E020384">
            <w:pPr>
              <w:rPr>
                <w:rFonts w:ascii="Times New Roman" w:hAnsi="Times New Roman"/>
                <w:color w:val="000000"/>
                <w:sz w:val="21"/>
                <w:szCs w:val="21"/>
              </w:rPr>
            </w:pPr>
            <w:r>
              <w:rPr>
                <w:rFonts w:hint="eastAsia" w:ascii="Times New Roman" w:hAnsi="Times New Roman"/>
                <w:color w:val="000000"/>
                <w:sz w:val="21"/>
                <w:szCs w:val="21"/>
              </w:rPr>
              <w:t>5</w:t>
            </w:r>
          </w:p>
        </w:tc>
        <w:tc>
          <w:tcPr>
            <w:tcW w:w="591" w:type="dxa"/>
            <w:noWrap w:val="0"/>
            <w:vAlign w:val="center"/>
          </w:tcPr>
          <w:p w14:paraId="2EDF831E">
            <w:pPr>
              <w:rPr>
                <w:rFonts w:ascii="Times New Roman" w:hAnsi="Times New Roman"/>
                <w:color w:val="000000"/>
                <w:sz w:val="21"/>
                <w:szCs w:val="21"/>
              </w:rPr>
            </w:pPr>
            <w:r>
              <w:rPr>
                <w:rFonts w:hint="eastAsia" w:ascii="Times New Roman" w:hAnsi="Times New Roman"/>
                <w:color w:val="000000"/>
                <w:sz w:val="21"/>
                <w:szCs w:val="21"/>
              </w:rPr>
              <w:t>6</w:t>
            </w:r>
          </w:p>
        </w:tc>
        <w:tc>
          <w:tcPr>
            <w:tcW w:w="653" w:type="dxa"/>
            <w:noWrap w:val="0"/>
            <w:vAlign w:val="center"/>
          </w:tcPr>
          <w:p w14:paraId="74869D7F">
            <w:pPr>
              <w:rPr>
                <w:rFonts w:ascii="Times New Roman" w:hAnsi="Times New Roman"/>
                <w:color w:val="000000"/>
                <w:sz w:val="21"/>
                <w:szCs w:val="21"/>
              </w:rPr>
            </w:pPr>
            <w:r>
              <w:rPr>
                <w:rFonts w:hint="eastAsia" w:ascii="Times New Roman" w:hAnsi="Times New Roman"/>
                <w:color w:val="000000"/>
                <w:sz w:val="21"/>
                <w:szCs w:val="21"/>
              </w:rPr>
              <w:t>7</w:t>
            </w:r>
          </w:p>
        </w:tc>
        <w:tc>
          <w:tcPr>
            <w:tcW w:w="687" w:type="dxa"/>
            <w:vMerge w:val="continue"/>
            <w:tcBorders>
              <w:right w:val="single" w:color="auto" w:sz="12" w:space="0"/>
            </w:tcBorders>
            <w:noWrap w:val="0"/>
            <w:vAlign w:val="top"/>
          </w:tcPr>
          <w:p w14:paraId="730C35AE">
            <w:pPr>
              <w:rPr>
                <w:rFonts w:ascii="Times New Roman" w:hAnsi="Times New Roman"/>
                <w:color w:val="000000"/>
                <w:sz w:val="21"/>
                <w:szCs w:val="21"/>
              </w:rPr>
            </w:pPr>
          </w:p>
        </w:tc>
      </w:tr>
      <w:tr w14:paraId="1E03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101" w:type="dxa"/>
            <w:tcBorders>
              <w:left w:val="single" w:color="auto" w:sz="12" w:space="0"/>
            </w:tcBorders>
            <w:noWrap w:val="0"/>
            <w:vAlign w:val="top"/>
          </w:tcPr>
          <w:p w14:paraId="6BAA6DFE">
            <w:pPr>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X</w:t>
            </w:r>
            <w:r>
              <w:rPr>
                <w:rFonts w:hint="eastAsia" w:ascii="Times New Roman" w:hAnsi="Times New Roman"/>
                <w:color w:val="000000"/>
                <w:sz w:val="21"/>
                <w:szCs w:val="21"/>
                <w:lang w:val="en-US" w:eastAsia="zh-CN"/>
              </w:rPr>
              <w:t>1</w:t>
            </w:r>
          </w:p>
        </w:tc>
        <w:tc>
          <w:tcPr>
            <w:tcW w:w="708" w:type="dxa"/>
            <w:noWrap w:val="0"/>
            <w:vAlign w:val="top"/>
          </w:tcPr>
          <w:p w14:paraId="6EDD7927">
            <w:pPr>
              <w:jc w:val="center"/>
              <w:rPr>
                <w:rFonts w:hint="eastAsia" w:ascii="Times New Roman" w:hAnsi="Times New Roman"/>
                <w:color w:val="000000"/>
                <w:sz w:val="21"/>
                <w:szCs w:val="21"/>
              </w:rPr>
            </w:pPr>
            <w:r>
              <w:rPr>
                <w:rFonts w:ascii="Times New Roman" w:hAnsi="Times New Roman"/>
                <w:color w:val="000000"/>
                <w:sz w:val="21"/>
                <w:szCs w:val="21"/>
              </w:rPr>
              <w:t>4</w:t>
            </w:r>
            <w:r>
              <w:rPr>
                <w:rFonts w:hint="eastAsia" w:ascii="Times New Roman" w:hAnsi="Times New Roman"/>
                <w:color w:val="000000"/>
                <w:sz w:val="21"/>
                <w:szCs w:val="21"/>
              </w:rPr>
              <w:t>0%</w:t>
            </w:r>
          </w:p>
        </w:tc>
        <w:tc>
          <w:tcPr>
            <w:tcW w:w="1827" w:type="dxa"/>
            <w:tcBorders>
              <w:right w:val="double" w:color="auto" w:sz="4" w:space="0"/>
            </w:tcBorders>
            <w:noWrap w:val="0"/>
            <w:vAlign w:val="top"/>
          </w:tcPr>
          <w:p w14:paraId="38F759A4">
            <w:pPr>
              <w:rPr>
                <w:rFonts w:hint="eastAsia" w:ascii="Times New Roman" w:hAnsi="Times New Roman"/>
                <w:color w:val="000000"/>
                <w:sz w:val="21"/>
                <w:szCs w:val="21"/>
              </w:rPr>
            </w:pPr>
            <w:r>
              <w:rPr>
                <w:rFonts w:hint="eastAsia" w:ascii="Times New Roman" w:hAnsi="Times New Roman"/>
                <w:color w:val="000000"/>
                <w:sz w:val="21"/>
                <w:szCs w:val="21"/>
              </w:rPr>
              <w:t>期末</w:t>
            </w:r>
            <w:r>
              <w:rPr>
                <w:rFonts w:hint="eastAsia" w:ascii="Times New Roman" w:hAnsi="Times New Roman"/>
                <w:color w:val="000000"/>
                <w:sz w:val="21"/>
                <w:szCs w:val="21"/>
                <w:lang w:val="en-US" w:eastAsia="zh-CN"/>
              </w:rPr>
              <w:t>随堂测试</w:t>
            </w:r>
          </w:p>
        </w:tc>
        <w:tc>
          <w:tcPr>
            <w:tcW w:w="591" w:type="dxa"/>
            <w:tcBorders>
              <w:left w:val="double" w:color="auto" w:sz="4" w:space="0"/>
            </w:tcBorders>
            <w:noWrap w:val="0"/>
            <w:vAlign w:val="center"/>
          </w:tcPr>
          <w:p w14:paraId="341835B7">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noWrap w:val="0"/>
            <w:vAlign w:val="center"/>
          </w:tcPr>
          <w:p w14:paraId="548DA4A2">
            <w:pP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noWrap w:val="0"/>
            <w:vAlign w:val="center"/>
          </w:tcPr>
          <w:p w14:paraId="0BE3A027">
            <w:pP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noWrap w:val="0"/>
            <w:vAlign w:val="center"/>
          </w:tcPr>
          <w:p w14:paraId="7CC7B0AC">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noWrap w:val="0"/>
            <w:vAlign w:val="center"/>
          </w:tcPr>
          <w:p w14:paraId="17EF1038">
            <w:pPr>
              <w:rPr>
                <w:rFonts w:ascii="Times New Roman" w:hAnsi="Times New Roman"/>
                <w:color w:val="000000"/>
                <w:sz w:val="21"/>
                <w:szCs w:val="21"/>
              </w:rPr>
            </w:pPr>
            <w:r>
              <w:rPr>
                <w:rFonts w:hint="eastAsia" w:ascii="Times New Roman" w:hAnsi="Times New Roman"/>
                <w:color w:val="000000"/>
                <w:sz w:val="21"/>
                <w:szCs w:val="21"/>
                <w:lang w:val="en-US" w:eastAsia="zh-CN"/>
              </w:rPr>
              <w:t>1</w:t>
            </w:r>
            <w:r>
              <w:rPr>
                <w:rFonts w:ascii="Times New Roman" w:hAnsi="Times New Roman"/>
                <w:color w:val="000000"/>
                <w:sz w:val="21"/>
                <w:szCs w:val="21"/>
              </w:rPr>
              <w:t>0</w:t>
            </w:r>
          </w:p>
        </w:tc>
        <w:tc>
          <w:tcPr>
            <w:tcW w:w="591" w:type="dxa"/>
            <w:noWrap w:val="0"/>
            <w:vAlign w:val="center"/>
          </w:tcPr>
          <w:p w14:paraId="1A056184">
            <w:pP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10</w:t>
            </w:r>
          </w:p>
        </w:tc>
        <w:tc>
          <w:tcPr>
            <w:tcW w:w="653" w:type="dxa"/>
            <w:noWrap w:val="0"/>
            <w:vAlign w:val="center"/>
          </w:tcPr>
          <w:p w14:paraId="16B17BAE">
            <w:pPr>
              <w:rPr>
                <w:rFonts w:ascii="Times New Roman" w:hAnsi="Times New Roman"/>
                <w:color w:val="000000"/>
                <w:sz w:val="21"/>
                <w:szCs w:val="21"/>
              </w:rPr>
            </w:pPr>
          </w:p>
        </w:tc>
        <w:tc>
          <w:tcPr>
            <w:tcW w:w="687" w:type="dxa"/>
            <w:tcBorders>
              <w:right w:val="single" w:color="auto" w:sz="12" w:space="0"/>
            </w:tcBorders>
            <w:noWrap w:val="0"/>
            <w:vAlign w:val="center"/>
          </w:tcPr>
          <w:p w14:paraId="0A1216AB">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r w14:paraId="67F5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101" w:type="dxa"/>
            <w:tcBorders>
              <w:left w:val="single" w:color="auto" w:sz="12" w:space="0"/>
            </w:tcBorders>
            <w:noWrap w:val="0"/>
            <w:vAlign w:val="top"/>
          </w:tcPr>
          <w:p w14:paraId="5F5470CA">
            <w:pPr>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X</w:t>
            </w:r>
            <w:r>
              <w:rPr>
                <w:rFonts w:hint="eastAsia" w:ascii="Times New Roman" w:hAnsi="Times New Roman"/>
                <w:color w:val="000000"/>
                <w:sz w:val="21"/>
                <w:szCs w:val="21"/>
                <w:lang w:val="en-US" w:eastAsia="zh-CN"/>
              </w:rPr>
              <w:t>2</w:t>
            </w:r>
          </w:p>
        </w:tc>
        <w:tc>
          <w:tcPr>
            <w:tcW w:w="708" w:type="dxa"/>
            <w:noWrap w:val="0"/>
            <w:vAlign w:val="top"/>
          </w:tcPr>
          <w:p w14:paraId="6F8B1AE1">
            <w:pPr>
              <w:jc w:val="center"/>
              <w:rPr>
                <w:rFonts w:hint="eastAsia" w:ascii="Times New Roman" w:hAnsi="Times New Roman"/>
                <w:color w:val="000000"/>
                <w:sz w:val="21"/>
                <w:szCs w:val="21"/>
              </w:rPr>
            </w:pPr>
            <w:r>
              <w:rPr>
                <w:rFonts w:ascii="Times New Roman" w:hAnsi="Times New Roman"/>
                <w:color w:val="000000"/>
                <w:sz w:val="21"/>
                <w:szCs w:val="21"/>
              </w:rPr>
              <w:t>3</w:t>
            </w:r>
            <w:r>
              <w:rPr>
                <w:rFonts w:hint="eastAsia" w:ascii="Times New Roman" w:hAnsi="Times New Roman"/>
                <w:color w:val="000000"/>
                <w:sz w:val="21"/>
                <w:szCs w:val="21"/>
              </w:rPr>
              <w:t>0%</w:t>
            </w:r>
          </w:p>
        </w:tc>
        <w:tc>
          <w:tcPr>
            <w:tcW w:w="1827" w:type="dxa"/>
            <w:tcBorders>
              <w:right w:val="double" w:color="auto" w:sz="4" w:space="0"/>
            </w:tcBorders>
            <w:noWrap w:val="0"/>
            <w:vAlign w:val="top"/>
          </w:tcPr>
          <w:p w14:paraId="00D0E45B">
            <w:pPr>
              <w:rPr>
                <w:rFonts w:hint="eastAsia" w:ascii="Times New Roman" w:hAnsi="Times New Roman"/>
                <w:color w:val="000000"/>
                <w:sz w:val="21"/>
                <w:szCs w:val="21"/>
              </w:rPr>
            </w:pPr>
            <w:r>
              <w:rPr>
                <w:rFonts w:hint="eastAsia" w:ascii="Times New Roman" w:hAnsi="Times New Roman"/>
                <w:color w:val="000000"/>
                <w:sz w:val="21"/>
                <w:szCs w:val="21"/>
                <w:lang w:val="en-US" w:eastAsia="zh-CN"/>
              </w:rPr>
              <w:t>期中</w:t>
            </w:r>
            <w:r>
              <w:rPr>
                <w:rFonts w:hint="eastAsia" w:ascii="Times New Roman" w:hAnsi="Times New Roman"/>
                <w:color w:val="000000"/>
                <w:sz w:val="21"/>
                <w:szCs w:val="21"/>
              </w:rPr>
              <w:t>阶段测试</w:t>
            </w:r>
          </w:p>
        </w:tc>
        <w:tc>
          <w:tcPr>
            <w:tcW w:w="591" w:type="dxa"/>
            <w:tcBorders>
              <w:left w:val="double" w:color="auto" w:sz="4" w:space="0"/>
            </w:tcBorders>
            <w:noWrap w:val="0"/>
            <w:vAlign w:val="center"/>
          </w:tcPr>
          <w:p w14:paraId="3C495494">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noWrap w:val="0"/>
            <w:vAlign w:val="center"/>
          </w:tcPr>
          <w:p w14:paraId="13151CFD">
            <w:pP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w:t>
            </w:r>
          </w:p>
        </w:tc>
        <w:tc>
          <w:tcPr>
            <w:tcW w:w="591" w:type="dxa"/>
            <w:noWrap w:val="0"/>
            <w:vAlign w:val="center"/>
          </w:tcPr>
          <w:p w14:paraId="66D3B526">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w:t>
            </w:r>
          </w:p>
        </w:tc>
        <w:tc>
          <w:tcPr>
            <w:tcW w:w="591" w:type="dxa"/>
            <w:noWrap w:val="0"/>
            <w:vAlign w:val="center"/>
          </w:tcPr>
          <w:p w14:paraId="32EE830C">
            <w:pP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noWrap w:val="0"/>
            <w:vAlign w:val="center"/>
          </w:tcPr>
          <w:p w14:paraId="349FB90C">
            <w:pPr>
              <w:rPr>
                <w:rFonts w:ascii="Times New Roman" w:hAnsi="Times New Roman"/>
                <w:color w:val="000000"/>
                <w:sz w:val="21"/>
                <w:szCs w:val="21"/>
              </w:rPr>
            </w:pPr>
            <w:r>
              <w:rPr>
                <w:rFonts w:hint="eastAsia" w:ascii="Times New Roman" w:hAnsi="Times New Roman"/>
                <w:color w:val="000000"/>
                <w:sz w:val="21"/>
                <w:szCs w:val="21"/>
              </w:rPr>
              <w:t>10</w:t>
            </w:r>
          </w:p>
        </w:tc>
        <w:tc>
          <w:tcPr>
            <w:tcW w:w="591" w:type="dxa"/>
            <w:noWrap w:val="0"/>
            <w:vAlign w:val="center"/>
          </w:tcPr>
          <w:p w14:paraId="6A4070FF">
            <w:pPr>
              <w:rPr>
                <w:rFonts w:ascii="Times New Roman" w:hAnsi="Times New Roman"/>
                <w:color w:val="000000"/>
                <w:sz w:val="21"/>
                <w:szCs w:val="21"/>
              </w:rPr>
            </w:pPr>
            <w:r>
              <w:rPr>
                <w:rFonts w:hint="eastAsia" w:ascii="Times New Roman" w:hAnsi="Times New Roman"/>
                <w:color w:val="000000"/>
                <w:sz w:val="21"/>
                <w:szCs w:val="21"/>
              </w:rPr>
              <w:t>10</w:t>
            </w:r>
          </w:p>
        </w:tc>
        <w:tc>
          <w:tcPr>
            <w:tcW w:w="653" w:type="dxa"/>
            <w:noWrap w:val="0"/>
            <w:vAlign w:val="center"/>
          </w:tcPr>
          <w:p w14:paraId="34E70EC8">
            <w:pPr>
              <w:rPr>
                <w:rFonts w:ascii="Times New Roman" w:hAnsi="Times New Roman"/>
                <w:color w:val="000000"/>
                <w:sz w:val="21"/>
                <w:szCs w:val="21"/>
              </w:rPr>
            </w:pPr>
            <w:r>
              <w:rPr>
                <w:rFonts w:hint="eastAsia" w:ascii="Times New Roman" w:hAnsi="Times New Roman"/>
                <w:color w:val="000000"/>
                <w:sz w:val="21"/>
                <w:szCs w:val="21"/>
              </w:rPr>
              <w:t>10</w:t>
            </w:r>
          </w:p>
        </w:tc>
        <w:tc>
          <w:tcPr>
            <w:tcW w:w="687" w:type="dxa"/>
            <w:tcBorders>
              <w:right w:val="single" w:color="auto" w:sz="12" w:space="0"/>
            </w:tcBorders>
            <w:noWrap w:val="0"/>
            <w:vAlign w:val="center"/>
          </w:tcPr>
          <w:p w14:paraId="67F3BEC1">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r w14:paraId="35EA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101" w:type="dxa"/>
            <w:tcBorders>
              <w:left w:val="single" w:color="auto" w:sz="12" w:space="0"/>
            </w:tcBorders>
            <w:noWrap w:val="0"/>
            <w:vAlign w:val="top"/>
          </w:tcPr>
          <w:p w14:paraId="698DE6A3">
            <w:pPr>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X</w:t>
            </w:r>
            <w:r>
              <w:rPr>
                <w:rFonts w:hint="eastAsia" w:ascii="Times New Roman" w:hAnsi="Times New Roman"/>
                <w:color w:val="000000"/>
                <w:sz w:val="21"/>
                <w:szCs w:val="21"/>
                <w:lang w:val="en-US" w:eastAsia="zh-CN"/>
              </w:rPr>
              <w:t>3</w:t>
            </w:r>
          </w:p>
        </w:tc>
        <w:tc>
          <w:tcPr>
            <w:tcW w:w="708" w:type="dxa"/>
            <w:noWrap w:val="0"/>
            <w:vAlign w:val="top"/>
          </w:tcPr>
          <w:p w14:paraId="3214580B">
            <w:pPr>
              <w:jc w:val="center"/>
              <w:rPr>
                <w:rFonts w:hint="eastAsia" w:ascii="Times New Roman" w:hAnsi="Times New Roman"/>
                <w:color w:val="000000"/>
                <w:sz w:val="21"/>
                <w:szCs w:val="21"/>
              </w:rPr>
            </w:pPr>
            <w:r>
              <w:rPr>
                <w:rFonts w:ascii="Times New Roman" w:hAnsi="Times New Roman"/>
                <w:color w:val="000000"/>
                <w:sz w:val="21"/>
                <w:szCs w:val="21"/>
              </w:rPr>
              <w:t>20</w:t>
            </w:r>
            <w:r>
              <w:rPr>
                <w:rFonts w:hint="eastAsia" w:ascii="Times New Roman" w:hAnsi="Times New Roman"/>
                <w:color w:val="000000"/>
                <w:sz w:val="21"/>
                <w:szCs w:val="21"/>
              </w:rPr>
              <w:t>%</w:t>
            </w:r>
          </w:p>
        </w:tc>
        <w:tc>
          <w:tcPr>
            <w:tcW w:w="1827" w:type="dxa"/>
            <w:tcBorders>
              <w:right w:val="double" w:color="auto" w:sz="4" w:space="0"/>
            </w:tcBorders>
            <w:noWrap w:val="0"/>
            <w:vAlign w:val="top"/>
          </w:tcPr>
          <w:p w14:paraId="3D5549F5">
            <w:pPr>
              <w:rPr>
                <w:rFonts w:hint="eastAsia" w:ascii="Times New Roman" w:hAnsi="Times New Roman"/>
                <w:color w:val="000000"/>
                <w:sz w:val="21"/>
                <w:szCs w:val="21"/>
              </w:rPr>
            </w:pPr>
            <w:r>
              <w:rPr>
                <w:rFonts w:hint="eastAsia" w:ascii="Times New Roman" w:hAnsi="Times New Roman"/>
                <w:color w:val="000000"/>
                <w:sz w:val="21"/>
                <w:szCs w:val="21"/>
              </w:rPr>
              <w:t>实验报告</w:t>
            </w:r>
          </w:p>
        </w:tc>
        <w:tc>
          <w:tcPr>
            <w:tcW w:w="591" w:type="dxa"/>
            <w:tcBorders>
              <w:left w:val="double" w:color="auto" w:sz="4" w:space="0"/>
            </w:tcBorders>
            <w:noWrap w:val="0"/>
            <w:vAlign w:val="center"/>
          </w:tcPr>
          <w:p w14:paraId="6D53D171">
            <w:pPr>
              <w:rPr>
                <w:rFonts w:ascii="Times New Roman" w:hAnsi="Times New Roman"/>
                <w:color w:val="000000"/>
                <w:sz w:val="21"/>
                <w:szCs w:val="21"/>
              </w:rPr>
            </w:pPr>
            <w:r>
              <w:rPr>
                <w:rFonts w:hint="eastAsia" w:ascii="Times New Roman" w:hAnsi="Times New Roman"/>
                <w:color w:val="000000"/>
                <w:sz w:val="21"/>
                <w:szCs w:val="21"/>
              </w:rPr>
              <w:t>10</w:t>
            </w:r>
          </w:p>
        </w:tc>
        <w:tc>
          <w:tcPr>
            <w:tcW w:w="591" w:type="dxa"/>
            <w:noWrap w:val="0"/>
            <w:vAlign w:val="center"/>
          </w:tcPr>
          <w:p w14:paraId="75685401">
            <w:pP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noWrap w:val="0"/>
            <w:vAlign w:val="center"/>
          </w:tcPr>
          <w:p w14:paraId="0946E788">
            <w:pPr>
              <w:rPr>
                <w:rFonts w:ascii="Times New Roman" w:hAnsi="Times New Roman"/>
                <w:color w:val="000000"/>
                <w:sz w:val="21"/>
                <w:szCs w:val="21"/>
              </w:rPr>
            </w:pPr>
            <w:r>
              <w:rPr>
                <w:rFonts w:hint="eastAsia" w:ascii="Times New Roman" w:hAnsi="Times New Roman"/>
                <w:color w:val="000000"/>
                <w:sz w:val="21"/>
                <w:szCs w:val="21"/>
              </w:rPr>
              <w:t>10</w:t>
            </w:r>
          </w:p>
        </w:tc>
        <w:tc>
          <w:tcPr>
            <w:tcW w:w="591" w:type="dxa"/>
            <w:noWrap w:val="0"/>
            <w:vAlign w:val="center"/>
          </w:tcPr>
          <w:p w14:paraId="1E63ED50">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w:t>
            </w:r>
          </w:p>
        </w:tc>
        <w:tc>
          <w:tcPr>
            <w:tcW w:w="591" w:type="dxa"/>
            <w:noWrap w:val="0"/>
            <w:vAlign w:val="center"/>
          </w:tcPr>
          <w:p w14:paraId="402CE1A2">
            <w:pPr>
              <w:rPr>
                <w:rFonts w:ascii="Times New Roman" w:hAnsi="Times New Roman"/>
                <w:color w:val="000000"/>
                <w:sz w:val="21"/>
                <w:szCs w:val="21"/>
              </w:rPr>
            </w:pPr>
            <w:r>
              <w:rPr>
                <w:rFonts w:hint="eastAsia" w:ascii="Times New Roman" w:hAnsi="Times New Roman"/>
                <w:color w:val="000000"/>
                <w:sz w:val="21"/>
                <w:szCs w:val="21"/>
              </w:rPr>
              <w:t>20</w:t>
            </w:r>
          </w:p>
        </w:tc>
        <w:tc>
          <w:tcPr>
            <w:tcW w:w="591" w:type="dxa"/>
            <w:noWrap w:val="0"/>
            <w:vAlign w:val="center"/>
          </w:tcPr>
          <w:p w14:paraId="07ECBD7A">
            <w:pPr>
              <w:rPr>
                <w:rFonts w:ascii="Times New Roman" w:hAnsi="Times New Roman"/>
                <w:color w:val="000000"/>
                <w:sz w:val="21"/>
                <w:szCs w:val="21"/>
              </w:rPr>
            </w:pPr>
            <w:r>
              <w:rPr>
                <w:rFonts w:hint="eastAsia" w:ascii="Times New Roman" w:hAnsi="Times New Roman"/>
                <w:color w:val="000000"/>
                <w:sz w:val="21"/>
                <w:szCs w:val="21"/>
              </w:rPr>
              <w:t>10</w:t>
            </w:r>
          </w:p>
        </w:tc>
        <w:tc>
          <w:tcPr>
            <w:tcW w:w="653" w:type="dxa"/>
            <w:noWrap w:val="0"/>
            <w:vAlign w:val="center"/>
          </w:tcPr>
          <w:p w14:paraId="5448E846">
            <w:pPr>
              <w:rPr>
                <w:rFonts w:ascii="Times New Roman" w:hAnsi="Times New Roman"/>
                <w:color w:val="000000"/>
                <w:sz w:val="21"/>
                <w:szCs w:val="21"/>
              </w:rPr>
            </w:pPr>
            <w:r>
              <w:rPr>
                <w:rFonts w:hint="eastAsia" w:ascii="Times New Roman" w:hAnsi="Times New Roman"/>
                <w:color w:val="000000"/>
                <w:sz w:val="21"/>
                <w:szCs w:val="21"/>
              </w:rPr>
              <w:t>20</w:t>
            </w:r>
          </w:p>
        </w:tc>
        <w:tc>
          <w:tcPr>
            <w:tcW w:w="687" w:type="dxa"/>
            <w:tcBorders>
              <w:right w:val="single" w:color="auto" w:sz="12" w:space="0"/>
            </w:tcBorders>
            <w:noWrap w:val="0"/>
            <w:vAlign w:val="center"/>
          </w:tcPr>
          <w:p w14:paraId="7C57922C">
            <w:pPr>
              <w:rPr>
                <w:rFonts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00</w:t>
            </w:r>
          </w:p>
        </w:tc>
      </w:tr>
      <w:tr w14:paraId="3D2C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101" w:type="dxa"/>
            <w:tcBorders>
              <w:left w:val="single" w:color="auto" w:sz="12" w:space="0"/>
            </w:tcBorders>
            <w:noWrap w:val="0"/>
            <w:vAlign w:val="top"/>
          </w:tcPr>
          <w:p w14:paraId="326375F6">
            <w:pPr>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X</w:t>
            </w:r>
            <w:r>
              <w:rPr>
                <w:rFonts w:hint="eastAsia" w:ascii="Times New Roman" w:hAnsi="Times New Roman"/>
                <w:color w:val="000000"/>
                <w:sz w:val="21"/>
                <w:szCs w:val="21"/>
                <w:lang w:val="en-US" w:eastAsia="zh-CN"/>
              </w:rPr>
              <w:t>4</w:t>
            </w:r>
          </w:p>
        </w:tc>
        <w:tc>
          <w:tcPr>
            <w:tcW w:w="708" w:type="dxa"/>
            <w:noWrap w:val="0"/>
            <w:vAlign w:val="top"/>
          </w:tcPr>
          <w:p w14:paraId="0A90BD1F">
            <w:pPr>
              <w:jc w:val="center"/>
              <w:rPr>
                <w:rFonts w:hint="eastAsia" w:ascii="Times New Roman" w:hAnsi="Times New Roman"/>
                <w:color w:val="000000"/>
                <w:sz w:val="21"/>
                <w:szCs w:val="21"/>
              </w:rPr>
            </w:pPr>
            <w:r>
              <w:rPr>
                <w:rFonts w:hint="eastAsia" w:ascii="Times New Roman" w:hAnsi="Times New Roman"/>
                <w:color w:val="000000"/>
                <w:sz w:val="21"/>
                <w:szCs w:val="21"/>
              </w:rPr>
              <w:t>1</w:t>
            </w:r>
            <w:r>
              <w:rPr>
                <w:rFonts w:ascii="Times New Roman" w:hAnsi="Times New Roman"/>
                <w:color w:val="000000"/>
                <w:sz w:val="21"/>
                <w:szCs w:val="21"/>
              </w:rPr>
              <w:t>0</w:t>
            </w:r>
            <w:r>
              <w:rPr>
                <w:rFonts w:hint="eastAsia" w:ascii="Times New Roman" w:hAnsi="Times New Roman"/>
                <w:color w:val="000000"/>
                <w:sz w:val="21"/>
                <w:szCs w:val="21"/>
              </w:rPr>
              <w:t>%</w:t>
            </w:r>
          </w:p>
        </w:tc>
        <w:tc>
          <w:tcPr>
            <w:tcW w:w="1827" w:type="dxa"/>
            <w:tcBorders>
              <w:right w:val="double" w:color="auto" w:sz="4" w:space="0"/>
            </w:tcBorders>
            <w:noWrap w:val="0"/>
            <w:vAlign w:val="top"/>
          </w:tcPr>
          <w:p w14:paraId="3F0F97CC">
            <w:pPr>
              <w:rPr>
                <w:rFonts w:hint="eastAsia" w:ascii="Times New Roman" w:hAnsi="Times New Roman"/>
                <w:color w:val="000000"/>
                <w:sz w:val="21"/>
                <w:szCs w:val="21"/>
              </w:rPr>
            </w:pPr>
            <w:r>
              <w:rPr>
                <w:rFonts w:hint="eastAsia" w:ascii="Times New Roman" w:hAnsi="Times New Roman"/>
                <w:color w:val="000000"/>
                <w:sz w:val="21"/>
                <w:szCs w:val="21"/>
              </w:rPr>
              <w:t>出勤率、课堂表现</w:t>
            </w:r>
          </w:p>
        </w:tc>
        <w:tc>
          <w:tcPr>
            <w:tcW w:w="591" w:type="dxa"/>
            <w:tcBorders>
              <w:left w:val="double" w:color="auto" w:sz="4" w:space="0"/>
            </w:tcBorders>
            <w:noWrap w:val="0"/>
            <w:vAlign w:val="center"/>
          </w:tcPr>
          <w:p w14:paraId="1FBDBC93">
            <w:pPr>
              <w:rPr>
                <w:rFonts w:hint="eastAsia" w:ascii="Times New Roman" w:hAnsi="Times New Roman"/>
                <w:color w:val="000000"/>
                <w:sz w:val="21"/>
                <w:szCs w:val="21"/>
              </w:rPr>
            </w:pPr>
            <w:r>
              <w:rPr>
                <w:rFonts w:hint="eastAsia" w:ascii="Times New Roman" w:hAnsi="Times New Roman"/>
                <w:color w:val="000000"/>
                <w:sz w:val="21"/>
                <w:szCs w:val="21"/>
              </w:rPr>
              <w:t>20</w:t>
            </w:r>
          </w:p>
        </w:tc>
        <w:tc>
          <w:tcPr>
            <w:tcW w:w="591" w:type="dxa"/>
            <w:noWrap w:val="0"/>
            <w:vAlign w:val="center"/>
          </w:tcPr>
          <w:p w14:paraId="639F4FD6">
            <w:pPr>
              <w:rPr>
                <w:rFonts w:hint="eastAsia" w:ascii="Times New Roman" w:hAnsi="Times New Roman"/>
                <w:color w:val="000000"/>
                <w:sz w:val="21"/>
                <w:szCs w:val="21"/>
              </w:rPr>
            </w:pPr>
          </w:p>
        </w:tc>
        <w:tc>
          <w:tcPr>
            <w:tcW w:w="591" w:type="dxa"/>
            <w:noWrap w:val="0"/>
            <w:vAlign w:val="center"/>
          </w:tcPr>
          <w:p w14:paraId="715A1F14">
            <w:pPr>
              <w:rPr>
                <w:rFonts w:hint="eastAsia" w:ascii="Times New Roman" w:hAnsi="Times New Roman"/>
                <w:color w:val="000000"/>
                <w:sz w:val="21"/>
                <w:szCs w:val="21"/>
              </w:rPr>
            </w:pPr>
          </w:p>
        </w:tc>
        <w:tc>
          <w:tcPr>
            <w:tcW w:w="591" w:type="dxa"/>
            <w:noWrap w:val="0"/>
            <w:vAlign w:val="center"/>
          </w:tcPr>
          <w:p w14:paraId="7675E8D4">
            <w:pPr>
              <w:rPr>
                <w:rFonts w:hint="eastAsia" w:ascii="Times New Roman" w:hAnsi="Times New Roman"/>
                <w:color w:val="000000"/>
                <w:sz w:val="21"/>
                <w:szCs w:val="21"/>
              </w:rPr>
            </w:pPr>
            <w:r>
              <w:rPr>
                <w:rFonts w:hint="eastAsia" w:ascii="Times New Roman" w:hAnsi="Times New Roman"/>
                <w:color w:val="000000"/>
                <w:sz w:val="21"/>
                <w:szCs w:val="21"/>
              </w:rPr>
              <w:t>20</w:t>
            </w:r>
          </w:p>
        </w:tc>
        <w:tc>
          <w:tcPr>
            <w:tcW w:w="591" w:type="dxa"/>
            <w:noWrap w:val="0"/>
            <w:vAlign w:val="center"/>
          </w:tcPr>
          <w:p w14:paraId="50F2FAB3">
            <w:pPr>
              <w:rPr>
                <w:rFonts w:hint="eastAsia" w:ascii="Times New Roman" w:hAnsi="Times New Roman"/>
                <w:color w:val="000000"/>
                <w:sz w:val="21"/>
                <w:szCs w:val="21"/>
              </w:rPr>
            </w:pPr>
          </w:p>
        </w:tc>
        <w:tc>
          <w:tcPr>
            <w:tcW w:w="591" w:type="dxa"/>
            <w:noWrap w:val="0"/>
            <w:vAlign w:val="center"/>
          </w:tcPr>
          <w:p w14:paraId="3AD82819">
            <w:pPr>
              <w:rPr>
                <w:rFonts w:hint="eastAsia" w:ascii="Times New Roman" w:hAnsi="Times New Roman"/>
                <w:color w:val="000000"/>
                <w:sz w:val="21"/>
                <w:szCs w:val="21"/>
              </w:rPr>
            </w:pPr>
            <w:r>
              <w:rPr>
                <w:rFonts w:hint="eastAsia" w:ascii="Times New Roman" w:hAnsi="Times New Roman"/>
                <w:color w:val="000000"/>
                <w:sz w:val="21"/>
                <w:szCs w:val="21"/>
              </w:rPr>
              <w:t>30</w:t>
            </w:r>
          </w:p>
        </w:tc>
        <w:tc>
          <w:tcPr>
            <w:tcW w:w="653" w:type="dxa"/>
            <w:noWrap w:val="0"/>
            <w:vAlign w:val="center"/>
          </w:tcPr>
          <w:p w14:paraId="47C3CCC5">
            <w:pPr>
              <w:rPr>
                <w:rFonts w:hint="eastAsia" w:ascii="Times New Roman" w:hAnsi="Times New Roman"/>
                <w:color w:val="000000"/>
                <w:sz w:val="21"/>
                <w:szCs w:val="21"/>
              </w:rPr>
            </w:pPr>
            <w:r>
              <w:rPr>
                <w:rFonts w:hint="eastAsia" w:ascii="Times New Roman" w:hAnsi="Times New Roman"/>
                <w:color w:val="000000"/>
                <w:sz w:val="21"/>
                <w:szCs w:val="21"/>
              </w:rPr>
              <w:t>30</w:t>
            </w:r>
          </w:p>
        </w:tc>
        <w:tc>
          <w:tcPr>
            <w:tcW w:w="687" w:type="dxa"/>
            <w:tcBorders>
              <w:right w:val="single" w:color="auto" w:sz="12" w:space="0"/>
            </w:tcBorders>
            <w:noWrap w:val="0"/>
            <w:vAlign w:val="center"/>
          </w:tcPr>
          <w:p w14:paraId="059709B6">
            <w:pPr>
              <w:rPr>
                <w:rFonts w:hint="eastAsia" w:ascii="Times New Roman" w:hAnsi="Times New Roman"/>
                <w:color w:val="000000"/>
                <w:sz w:val="21"/>
                <w:szCs w:val="21"/>
              </w:rPr>
            </w:pPr>
            <w:r>
              <w:rPr>
                <w:rFonts w:hint="eastAsia" w:ascii="Times New Roman" w:hAnsi="Times New Roman"/>
                <w:color w:val="000000"/>
                <w:sz w:val="21"/>
                <w:szCs w:val="21"/>
              </w:rPr>
              <w:t>100</w:t>
            </w:r>
          </w:p>
        </w:tc>
      </w:tr>
    </w:tbl>
    <w:p w14:paraId="067ADC42">
      <w:pPr>
        <w:spacing w:before="326" w:beforeLines="100" w:after="163" w:afterLines="50" w:line="440" w:lineRule="exact"/>
        <w:jc w:val="center"/>
        <w:outlineLvl w:val="1"/>
        <w:rPr>
          <w:rFonts w:ascii="Times New Roman" w:hAnsi="Times New Roman"/>
          <w:b/>
        </w:rPr>
      </w:pPr>
      <w:r>
        <w:rPr>
          <w:rFonts w:hint="eastAsia" w:ascii="Times New Roman" w:hAnsi="Times New Roman"/>
          <w:b/>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A49E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613" w:type="dxa"/>
            <w:vMerge w:val="restart"/>
            <w:noWrap w:val="0"/>
            <w:vAlign w:val="center"/>
          </w:tcPr>
          <w:p w14:paraId="68A73074">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考核项目</w:t>
            </w:r>
          </w:p>
        </w:tc>
        <w:tc>
          <w:tcPr>
            <w:tcW w:w="648" w:type="dxa"/>
            <w:vMerge w:val="restart"/>
            <w:noWrap w:val="0"/>
            <w:vAlign w:val="top"/>
          </w:tcPr>
          <w:p w14:paraId="22142784">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课</w:t>
            </w:r>
          </w:p>
          <w:p w14:paraId="13EFD5EB">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程</w:t>
            </w:r>
          </w:p>
          <w:p w14:paraId="0C770D23">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目</w:t>
            </w:r>
          </w:p>
          <w:p w14:paraId="6A9D71DB">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标</w:t>
            </w:r>
          </w:p>
        </w:tc>
        <w:tc>
          <w:tcPr>
            <w:tcW w:w="1403" w:type="dxa"/>
            <w:vMerge w:val="restart"/>
            <w:noWrap w:val="0"/>
            <w:vAlign w:val="center"/>
          </w:tcPr>
          <w:p w14:paraId="6A2F14ED">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考核要求</w:t>
            </w:r>
          </w:p>
        </w:tc>
        <w:tc>
          <w:tcPr>
            <w:tcW w:w="5612" w:type="dxa"/>
            <w:gridSpan w:val="4"/>
            <w:noWrap w:val="0"/>
            <w:vAlign w:val="center"/>
          </w:tcPr>
          <w:p w14:paraId="38AA41F4">
            <w:pPr>
              <w:snapToGrid w:val="0"/>
              <w:jc w:val="center"/>
              <w:rPr>
                <w:rFonts w:ascii="Times New Roman" w:hAnsi="Times New Roman" w:eastAsia="黑体"/>
                <w:bCs/>
                <w:color w:val="000000"/>
                <w:sz w:val="21"/>
                <w:szCs w:val="20"/>
              </w:rPr>
            </w:pPr>
            <w:r>
              <w:rPr>
                <w:rFonts w:hint="eastAsia" w:ascii="Times New Roman" w:hAnsi="Times New Roman" w:eastAsia="黑体"/>
                <w:bCs/>
                <w:color w:val="000000"/>
                <w:sz w:val="21"/>
                <w:szCs w:val="20"/>
              </w:rPr>
              <w:t>评价标准</w:t>
            </w:r>
          </w:p>
        </w:tc>
      </w:tr>
      <w:tr w14:paraId="6BC8C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283" w:hRule="atLeast"/>
        </w:trPr>
        <w:tc>
          <w:tcPr>
            <w:tcW w:w="613" w:type="dxa"/>
            <w:vMerge w:val="continue"/>
            <w:noWrap w:val="0"/>
            <w:vAlign w:val="top"/>
          </w:tcPr>
          <w:p w14:paraId="703C28D7">
            <w:pPr>
              <w:snapToGrid w:val="0"/>
              <w:jc w:val="center"/>
              <w:rPr>
                <w:rFonts w:ascii="Times New Roman" w:hAnsi="Times New Roman" w:eastAsia="黑体"/>
                <w:bCs/>
                <w:color w:val="000000"/>
                <w:sz w:val="21"/>
                <w:szCs w:val="20"/>
              </w:rPr>
            </w:pPr>
          </w:p>
        </w:tc>
        <w:tc>
          <w:tcPr>
            <w:tcW w:w="648" w:type="dxa"/>
            <w:vMerge w:val="continue"/>
            <w:noWrap w:val="0"/>
            <w:vAlign w:val="top"/>
          </w:tcPr>
          <w:p w14:paraId="7B2768A4">
            <w:pPr>
              <w:snapToGrid w:val="0"/>
              <w:jc w:val="center"/>
              <w:rPr>
                <w:rFonts w:ascii="Times New Roman" w:hAnsi="Times New Roman" w:eastAsia="黑体"/>
                <w:bCs/>
                <w:color w:val="000000"/>
                <w:sz w:val="21"/>
                <w:szCs w:val="20"/>
              </w:rPr>
            </w:pPr>
          </w:p>
        </w:tc>
        <w:tc>
          <w:tcPr>
            <w:tcW w:w="1403" w:type="dxa"/>
            <w:vMerge w:val="continue"/>
            <w:noWrap w:val="0"/>
            <w:vAlign w:val="top"/>
          </w:tcPr>
          <w:p w14:paraId="3217B7D0">
            <w:pPr>
              <w:snapToGrid w:val="0"/>
              <w:jc w:val="center"/>
              <w:rPr>
                <w:rFonts w:ascii="Times New Roman" w:hAnsi="Times New Roman" w:eastAsia="黑体"/>
                <w:bCs/>
                <w:color w:val="000000"/>
                <w:sz w:val="21"/>
                <w:szCs w:val="20"/>
              </w:rPr>
            </w:pPr>
          </w:p>
        </w:tc>
        <w:tc>
          <w:tcPr>
            <w:tcW w:w="1403" w:type="dxa"/>
            <w:noWrap w:val="0"/>
            <w:vAlign w:val="center"/>
          </w:tcPr>
          <w:p w14:paraId="2FF2554E">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优</w:t>
            </w:r>
          </w:p>
          <w:p w14:paraId="29E40749">
            <w:pPr>
              <w:snapToGrid w:val="0"/>
              <w:jc w:val="center"/>
              <w:rPr>
                <w:rFonts w:ascii="Arial" w:hAnsi="Arial" w:eastAsia="黑体" w:cs="Arial"/>
                <w:bCs/>
                <w:color w:val="000000"/>
                <w:sz w:val="21"/>
                <w:szCs w:val="20"/>
              </w:rPr>
            </w:pPr>
            <w:r>
              <w:rPr>
                <w:rFonts w:ascii="Arial" w:hAnsi="Arial" w:eastAsia="黑体" w:cs="Arial"/>
                <w:bCs/>
                <w:color w:val="000000"/>
                <w:sz w:val="21"/>
                <w:szCs w:val="20"/>
              </w:rPr>
              <w:t>100-90</w:t>
            </w:r>
          </w:p>
        </w:tc>
        <w:tc>
          <w:tcPr>
            <w:tcW w:w="1403" w:type="dxa"/>
            <w:noWrap w:val="0"/>
            <w:vAlign w:val="center"/>
          </w:tcPr>
          <w:p w14:paraId="75BDF5A3">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良</w:t>
            </w:r>
          </w:p>
          <w:p w14:paraId="418F36CE">
            <w:pPr>
              <w:snapToGrid w:val="0"/>
              <w:jc w:val="center"/>
              <w:rPr>
                <w:rFonts w:ascii="Arial" w:hAnsi="Arial" w:eastAsia="黑体" w:cs="Arial"/>
                <w:bCs/>
                <w:color w:val="000000"/>
                <w:sz w:val="21"/>
                <w:szCs w:val="20"/>
              </w:rPr>
            </w:pPr>
            <w:r>
              <w:rPr>
                <w:rFonts w:ascii="Arial" w:hAnsi="Arial" w:eastAsia="黑体" w:cs="Arial"/>
                <w:bCs/>
                <w:color w:val="000000"/>
                <w:sz w:val="21"/>
                <w:szCs w:val="20"/>
              </w:rPr>
              <w:t>89-75</w:t>
            </w:r>
          </w:p>
        </w:tc>
        <w:tc>
          <w:tcPr>
            <w:tcW w:w="1403" w:type="dxa"/>
            <w:noWrap w:val="0"/>
            <w:vAlign w:val="center"/>
          </w:tcPr>
          <w:p w14:paraId="5A0BC518">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中</w:t>
            </w:r>
          </w:p>
          <w:p w14:paraId="5B6E6A90">
            <w:pPr>
              <w:snapToGrid w:val="0"/>
              <w:jc w:val="center"/>
              <w:rPr>
                <w:rFonts w:ascii="Arial" w:hAnsi="Arial" w:eastAsia="黑体" w:cs="Arial"/>
                <w:bCs/>
                <w:color w:val="000000"/>
                <w:sz w:val="21"/>
                <w:szCs w:val="20"/>
              </w:rPr>
            </w:pPr>
            <w:r>
              <w:rPr>
                <w:rFonts w:ascii="Arial" w:hAnsi="Arial" w:eastAsia="黑体" w:cs="Arial"/>
                <w:bCs/>
                <w:color w:val="000000"/>
                <w:sz w:val="21"/>
                <w:szCs w:val="20"/>
              </w:rPr>
              <w:t>74-60</w:t>
            </w:r>
          </w:p>
        </w:tc>
        <w:tc>
          <w:tcPr>
            <w:tcW w:w="1403" w:type="dxa"/>
            <w:noWrap w:val="0"/>
            <w:vAlign w:val="center"/>
          </w:tcPr>
          <w:p w14:paraId="7B846C07">
            <w:pPr>
              <w:snapToGrid w:val="0"/>
              <w:jc w:val="center"/>
              <w:rPr>
                <w:rFonts w:ascii="Arial" w:hAnsi="Arial" w:eastAsia="黑体" w:cs="Arial"/>
                <w:bCs/>
                <w:color w:val="000000"/>
                <w:sz w:val="21"/>
                <w:szCs w:val="20"/>
              </w:rPr>
            </w:pPr>
            <w:r>
              <w:rPr>
                <w:rFonts w:hint="eastAsia" w:ascii="Arial" w:hAnsi="Arial" w:eastAsia="黑体" w:cs="Arial"/>
                <w:bCs/>
                <w:color w:val="000000"/>
                <w:sz w:val="21"/>
                <w:szCs w:val="20"/>
              </w:rPr>
              <w:t>不及格</w:t>
            </w:r>
          </w:p>
          <w:p w14:paraId="61C73D79">
            <w:pPr>
              <w:snapToGrid w:val="0"/>
              <w:jc w:val="center"/>
              <w:rPr>
                <w:rFonts w:ascii="Arial" w:hAnsi="Arial" w:eastAsia="黑体" w:cs="Arial"/>
                <w:bCs/>
                <w:color w:val="000000"/>
                <w:sz w:val="21"/>
                <w:szCs w:val="20"/>
              </w:rPr>
            </w:pPr>
            <w:r>
              <w:rPr>
                <w:rFonts w:ascii="Arial" w:hAnsi="Arial" w:eastAsia="黑体" w:cs="Arial"/>
                <w:bCs/>
                <w:color w:val="000000"/>
                <w:sz w:val="21"/>
                <w:szCs w:val="20"/>
              </w:rPr>
              <w:t>59-0</w:t>
            </w:r>
          </w:p>
        </w:tc>
      </w:tr>
      <w:tr w14:paraId="6D579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613" w:type="dxa"/>
            <w:noWrap w:val="0"/>
            <w:vAlign w:val="center"/>
          </w:tcPr>
          <w:p w14:paraId="5B17228F">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1</w:t>
            </w:r>
          </w:p>
        </w:tc>
        <w:tc>
          <w:tcPr>
            <w:tcW w:w="648" w:type="dxa"/>
            <w:noWrap w:val="0"/>
            <w:vAlign w:val="center"/>
          </w:tcPr>
          <w:p w14:paraId="677FFEF7">
            <w:pPr>
              <w:rPr>
                <w:rFonts w:ascii="Arial" w:hAnsi="Arial" w:cs="Arial"/>
                <w:color w:val="000000"/>
                <w:sz w:val="21"/>
                <w:szCs w:val="21"/>
              </w:rPr>
            </w:pPr>
          </w:p>
        </w:tc>
        <w:tc>
          <w:tcPr>
            <w:tcW w:w="1403" w:type="dxa"/>
            <w:noWrap w:val="0"/>
            <w:vAlign w:val="top"/>
          </w:tcPr>
          <w:p w14:paraId="336F760A">
            <w:pPr>
              <w:rPr>
                <w:rFonts w:ascii="Helvetica" w:hAnsi="Helvetica" w:cs="Helvetica"/>
                <w:color w:val="000000"/>
                <w:sz w:val="19"/>
                <w:szCs w:val="19"/>
              </w:rPr>
            </w:pPr>
          </w:p>
        </w:tc>
        <w:tc>
          <w:tcPr>
            <w:tcW w:w="1403" w:type="dxa"/>
            <w:noWrap w:val="0"/>
            <w:vAlign w:val="top"/>
          </w:tcPr>
          <w:p w14:paraId="6E7AA7CD">
            <w:pPr>
              <w:rPr>
                <w:rFonts w:ascii="Times New Roman" w:hAnsi="Times New Roman"/>
                <w:color w:val="000000"/>
                <w:sz w:val="21"/>
                <w:szCs w:val="21"/>
              </w:rPr>
            </w:pPr>
          </w:p>
        </w:tc>
        <w:tc>
          <w:tcPr>
            <w:tcW w:w="1403" w:type="dxa"/>
            <w:noWrap w:val="0"/>
            <w:vAlign w:val="top"/>
          </w:tcPr>
          <w:p w14:paraId="477F59AF">
            <w:pPr>
              <w:rPr>
                <w:rFonts w:ascii="Times New Roman" w:hAnsi="Times New Roman"/>
                <w:color w:val="000000"/>
                <w:sz w:val="21"/>
                <w:szCs w:val="21"/>
              </w:rPr>
            </w:pPr>
          </w:p>
        </w:tc>
        <w:tc>
          <w:tcPr>
            <w:tcW w:w="1403" w:type="dxa"/>
            <w:noWrap w:val="0"/>
            <w:vAlign w:val="top"/>
          </w:tcPr>
          <w:p w14:paraId="515C3752">
            <w:pPr>
              <w:rPr>
                <w:rFonts w:ascii="Times New Roman" w:hAnsi="Times New Roman"/>
                <w:color w:val="000000"/>
                <w:sz w:val="21"/>
                <w:szCs w:val="21"/>
              </w:rPr>
            </w:pPr>
          </w:p>
        </w:tc>
        <w:tc>
          <w:tcPr>
            <w:tcW w:w="1403" w:type="dxa"/>
            <w:noWrap w:val="0"/>
            <w:vAlign w:val="top"/>
          </w:tcPr>
          <w:p w14:paraId="608F5219">
            <w:pPr>
              <w:rPr>
                <w:rFonts w:ascii="Times New Roman" w:hAnsi="Times New Roman"/>
                <w:color w:val="000000"/>
                <w:szCs w:val="21"/>
              </w:rPr>
            </w:pPr>
          </w:p>
        </w:tc>
      </w:tr>
      <w:tr w14:paraId="20CB8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613" w:type="dxa"/>
            <w:noWrap w:val="0"/>
            <w:vAlign w:val="center"/>
          </w:tcPr>
          <w:p w14:paraId="7B2A2C14">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X1</w:t>
            </w:r>
          </w:p>
        </w:tc>
        <w:tc>
          <w:tcPr>
            <w:tcW w:w="648" w:type="dxa"/>
            <w:noWrap w:val="0"/>
            <w:vAlign w:val="center"/>
          </w:tcPr>
          <w:p w14:paraId="595C60AB">
            <w:pPr>
              <w:rPr>
                <w:rFonts w:ascii="Arial" w:hAnsi="Arial" w:cs="Arial"/>
                <w:color w:val="000000"/>
                <w:sz w:val="21"/>
                <w:szCs w:val="21"/>
              </w:rPr>
            </w:pPr>
          </w:p>
        </w:tc>
        <w:tc>
          <w:tcPr>
            <w:tcW w:w="1403" w:type="dxa"/>
            <w:noWrap w:val="0"/>
            <w:vAlign w:val="center"/>
          </w:tcPr>
          <w:p w14:paraId="6ACC0721">
            <w:pPr>
              <w:rPr>
                <w:rFonts w:ascii="Helvetica" w:hAnsi="Helvetica" w:cs="Helvetica"/>
                <w:color w:val="000000"/>
                <w:sz w:val="19"/>
                <w:szCs w:val="19"/>
              </w:rPr>
            </w:pPr>
          </w:p>
        </w:tc>
        <w:tc>
          <w:tcPr>
            <w:tcW w:w="1403" w:type="dxa"/>
            <w:noWrap w:val="0"/>
            <w:vAlign w:val="center"/>
          </w:tcPr>
          <w:p w14:paraId="702970B8">
            <w:pPr>
              <w:rPr>
                <w:rFonts w:ascii="Helvetica" w:hAnsi="Helvetica" w:cs="Helvetica"/>
                <w:color w:val="000000"/>
                <w:sz w:val="19"/>
                <w:szCs w:val="19"/>
              </w:rPr>
            </w:pPr>
          </w:p>
        </w:tc>
        <w:tc>
          <w:tcPr>
            <w:tcW w:w="1403" w:type="dxa"/>
            <w:noWrap w:val="0"/>
            <w:vAlign w:val="center"/>
          </w:tcPr>
          <w:p w14:paraId="322E3EFF">
            <w:pPr>
              <w:rPr>
                <w:rFonts w:ascii="Helvetica" w:hAnsi="Helvetica" w:cs="Helvetica"/>
                <w:color w:val="000000"/>
                <w:sz w:val="19"/>
                <w:szCs w:val="19"/>
              </w:rPr>
            </w:pPr>
          </w:p>
        </w:tc>
        <w:tc>
          <w:tcPr>
            <w:tcW w:w="1403" w:type="dxa"/>
            <w:noWrap w:val="0"/>
            <w:vAlign w:val="center"/>
          </w:tcPr>
          <w:p w14:paraId="0BC6E7E9">
            <w:pPr>
              <w:rPr>
                <w:rFonts w:ascii="Helvetica" w:hAnsi="Helvetica" w:cs="Helvetica"/>
                <w:color w:val="000000"/>
                <w:sz w:val="19"/>
                <w:szCs w:val="19"/>
              </w:rPr>
            </w:pPr>
          </w:p>
        </w:tc>
        <w:tc>
          <w:tcPr>
            <w:tcW w:w="1403" w:type="dxa"/>
            <w:noWrap w:val="0"/>
            <w:vAlign w:val="center"/>
          </w:tcPr>
          <w:p w14:paraId="249B824E">
            <w:pPr>
              <w:rPr>
                <w:rFonts w:ascii="Helvetica" w:hAnsi="Helvetica" w:cs="Helvetica"/>
                <w:color w:val="000000"/>
                <w:sz w:val="19"/>
                <w:szCs w:val="19"/>
              </w:rPr>
            </w:pPr>
          </w:p>
        </w:tc>
      </w:tr>
      <w:tr w14:paraId="6E383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613" w:type="dxa"/>
            <w:noWrap w:val="0"/>
            <w:vAlign w:val="center"/>
          </w:tcPr>
          <w:p w14:paraId="36C1BA9E">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X2</w:t>
            </w:r>
          </w:p>
        </w:tc>
        <w:tc>
          <w:tcPr>
            <w:tcW w:w="648" w:type="dxa"/>
            <w:noWrap w:val="0"/>
            <w:vAlign w:val="center"/>
          </w:tcPr>
          <w:p w14:paraId="04A15B88">
            <w:pPr>
              <w:rPr>
                <w:rFonts w:ascii="Arial" w:hAnsi="Arial" w:cs="Arial"/>
                <w:color w:val="000000"/>
                <w:sz w:val="21"/>
                <w:szCs w:val="21"/>
              </w:rPr>
            </w:pPr>
          </w:p>
        </w:tc>
        <w:tc>
          <w:tcPr>
            <w:tcW w:w="1403" w:type="dxa"/>
            <w:noWrap w:val="0"/>
            <w:vAlign w:val="center"/>
          </w:tcPr>
          <w:p w14:paraId="439CB31C">
            <w:pPr>
              <w:rPr>
                <w:rFonts w:ascii="Helvetica" w:hAnsi="Helvetica" w:cs="Helvetica"/>
                <w:color w:val="000000"/>
                <w:sz w:val="19"/>
                <w:szCs w:val="19"/>
              </w:rPr>
            </w:pPr>
          </w:p>
        </w:tc>
        <w:tc>
          <w:tcPr>
            <w:tcW w:w="1403" w:type="dxa"/>
            <w:noWrap w:val="0"/>
            <w:vAlign w:val="center"/>
          </w:tcPr>
          <w:p w14:paraId="43C8EA4B">
            <w:pPr>
              <w:rPr>
                <w:rFonts w:ascii="Helvetica" w:hAnsi="Helvetica" w:cs="Helvetica"/>
                <w:color w:val="000000"/>
                <w:sz w:val="19"/>
                <w:szCs w:val="19"/>
              </w:rPr>
            </w:pPr>
          </w:p>
        </w:tc>
        <w:tc>
          <w:tcPr>
            <w:tcW w:w="1403" w:type="dxa"/>
            <w:noWrap w:val="0"/>
            <w:vAlign w:val="center"/>
          </w:tcPr>
          <w:p w14:paraId="009F5E57">
            <w:pPr>
              <w:rPr>
                <w:rFonts w:ascii="Helvetica" w:hAnsi="Helvetica" w:cs="Helvetica"/>
                <w:color w:val="000000"/>
                <w:sz w:val="19"/>
                <w:szCs w:val="19"/>
              </w:rPr>
            </w:pPr>
          </w:p>
        </w:tc>
        <w:tc>
          <w:tcPr>
            <w:tcW w:w="1403" w:type="dxa"/>
            <w:noWrap w:val="0"/>
            <w:vAlign w:val="center"/>
          </w:tcPr>
          <w:p w14:paraId="7E52564C">
            <w:pPr>
              <w:rPr>
                <w:rFonts w:ascii="Helvetica" w:hAnsi="Helvetica" w:cs="Helvetica"/>
                <w:color w:val="000000"/>
                <w:sz w:val="19"/>
                <w:szCs w:val="19"/>
              </w:rPr>
            </w:pPr>
          </w:p>
        </w:tc>
        <w:tc>
          <w:tcPr>
            <w:tcW w:w="1403" w:type="dxa"/>
            <w:noWrap w:val="0"/>
            <w:vAlign w:val="center"/>
          </w:tcPr>
          <w:p w14:paraId="44831CC4">
            <w:pPr>
              <w:rPr>
                <w:rFonts w:ascii="Helvetica" w:hAnsi="Helvetica" w:cs="Helvetica"/>
                <w:color w:val="000000"/>
                <w:sz w:val="19"/>
                <w:szCs w:val="19"/>
              </w:rPr>
            </w:pPr>
          </w:p>
        </w:tc>
      </w:tr>
      <w:tr w14:paraId="7F8F4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613" w:type="dxa"/>
            <w:noWrap w:val="0"/>
            <w:vAlign w:val="center"/>
          </w:tcPr>
          <w:p w14:paraId="1F09DFB9">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X3</w:t>
            </w:r>
          </w:p>
        </w:tc>
        <w:tc>
          <w:tcPr>
            <w:tcW w:w="648" w:type="dxa"/>
            <w:noWrap w:val="0"/>
            <w:vAlign w:val="center"/>
          </w:tcPr>
          <w:p w14:paraId="0CBF3270">
            <w:pPr>
              <w:rPr>
                <w:rFonts w:ascii="Arial" w:hAnsi="Arial" w:cs="Arial"/>
                <w:color w:val="000000"/>
                <w:sz w:val="21"/>
                <w:szCs w:val="21"/>
              </w:rPr>
            </w:pPr>
          </w:p>
        </w:tc>
        <w:tc>
          <w:tcPr>
            <w:tcW w:w="1403" w:type="dxa"/>
            <w:noWrap w:val="0"/>
            <w:vAlign w:val="center"/>
          </w:tcPr>
          <w:p w14:paraId="377BA3D0">
            <w:pPr>
              <w:rPr>
                <w:rFonts w:ascii="Helvetica" w:hAnsi="Helvetica" w:cs="Helvetica"/>
                <w:color w:val="000000"/>
                <w:sz w:val="19"/>
                <w:szCs w:val="19"/>
              </w:rPr>
            </w:pPr>
          </w:p>
        </w:tc>
        <w:tc>
          <w:tcPr>
            <w:tcW w:w="1403" w:type="dxa"/>
            <w:noWrap w:val="0"/>
            <w:vAlign w:val="center"/>
          </w:tcPr>
          <w:p w14:paraId="60741E46">
            <w:pPr>
              <w:rPr>
                <w:rFonts w:ascii="Helvetica" w:hAnsi="Helvetica" w:cs="Helvetica"/>
                <w:color w:val="000000"/>
                <w:sz w:val="19"/>
                <w:szCs w:val="19"/>
              </w:rPr>
            </w:pPr>
          </w:p>
        </w:tc>
        <w:tc>
          <w:tcPr>
            <w:tcW w:w="1403" w:type="dxa"/>
            <w:noWrap w:val="0"/>
            <w:vAlign w:val="center"/>
          </w:tcPr>
          <w:p w14:paraId="256EEB0A">
            <w:pPr>
              <w:rPr>
                <w:rFonts w:ascii="Helvetica" w:hAnsi="Helvetica" w:cs="Helvetica"/>
                <w:color w:val="000000"/>
                <w:sz w:val="19"/>
                <w:szCs w:val="19"/>
              </w:rPr>
            </w:pPr>
          </w:p>
        </w:tc>
        <w:tc>
          <w:tcPr>
            <w:tcW w:w="1403" w:type="dxa"/>
            <w:noWrap w:val="0"/>
            <w:vAlign w:val="center"/>
          </w:tcPr>
          <w:p w14:paraId="461C8EDA">
            <w:pPr>
              <w:rPr>
                <w:rFonts w:ascii="Helvetica" w:hAnsi="Helvetica" w:cs="Helvetica"/>
                <w:color w:val="000000"/>
                <w:sz w:val="19"/>
                <w:szCs w:val="19"/>
              </w:rPr>
            </w:pPr>
          </w:p>
        </w:tc>
        <w:tc>
          <w:tcPr>
            <w:tcW w:w="1403" w:type="dxa"/>
            <w:noWrap w:val="0"/>
            <w:vAlign w:val="center"/>
          </w:tcPr>
          <w:p w14:paraId="6486CC45">
            <w:pPr>
              <w:rPr>
                <w:rFonts w:ascii="Helvetica" w:hAnsi="Helvetica" w:cs="Helvetica"/>
                <w:color w:val="000000"/>
                <w:sz w:val="19"/>
                <w:szCs w:val="19"/>
              </w:rPr>
            </w:pPr>
          </w:p>
        </w:tc>
      </w:tr>
      <w:tr w14:paraId="6FFB6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613" w:type="dxa"/>
            <w:noWrap w:val="0"/>
            <w:vAlign w:val="center"/>
          </w:tcPr>
          <w:p w14:paraId="2140B970">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X4</w:t>
            </w:r>
          </w:p>
        </w:tc>
        <w:tc>
          <w:tcPr>
            <w:tcW w:w="648" w:type="dxa"/>
            <w:noWrap w:val="0"/>
            <w:vAlign w:val="center"/>
          </w:tcPr>
          <w:p w14:paraId="5211E3C5">
            <w:pPr>
              <w:rPr>
                <w:rFonts w:ascii="Arial" w:hAnsi="Arial" w:cs="Arial"/>
                <w:color w:val="000000"/>
                <w:sz w:val="21"/>
                <w:szCs w:val="21"/>
              </w:rPr>
            </w:pPr>
          </w:p>
        </w:tc>
        <w:tc>
          <w:tcPr>
            <w:tcW w:w="1403" w:type="dxa"/>
            <w:noWrap w:val="0"/>
            <w:vAlign w:val="center"/>
          </w:tcPr>
          <w:p w14:paraId="0622BB4D">
            <w:pPr>
              <w:rPr>
                <w:rFonts w:ascii="Helvetica" w:hAnsi="Helvetica" w:cs="Helvetica"/>
                <w:color w:val="000000"/>
                <w:sz w:val="19"/>
                <w:szCs w:val="19"/>
              </w:rPr>
            </w:pPr>
          </w:p>
        </w:tc>
        <w:tc>
          <w:tcPr>
            <w:tcW w:w="1403" w:type="dxa"/>
            <w:noWrap w:val="0"/>
            <w:vAlign w:val="center"/>
          </w:tcPr>
          <w:p w14:paraId="1931DB08">
            <w:pPr>
              <w:rPr>
                <w:rFonts w:ascii="Helvetica" w:hAnsi="Helvetica" w:cs="Helvetica"/>
                <w:color w:val="000000"/>
                <w:sz w:val="19"/>
                <w:szCs w:val="19"/>
              </w:rPr>
            </w:pPr>
          </w:p>
        </w:tc>
        <w:tc>
          <w:tcPr>
            <w:tcW w:w="1403" w:type="dxa"/>
            <w:noWrap w:val="0"/>
            <w:vAlign w:val="center"/>
          </w:tcPr>
          <w:p w14:paraId="3BDE7FEF">
            <w:pPr>
              <w:rPr>
                <w:rFonts w:ascii="Helvetica" w:hAnsi="Helvetica" w:cs="Helvetica"/>
                <w:color w:val="000000"/>
                <w:sz w:val="19"/>
                <w:szCs w:val="19"/>
              </w:rPr>
            </w:pPr>
          </w:p>
        </w:tc>
        <w:tc>
          <w:tcPr>
            <w:tcW w:w="1403" w:type="dxa"/>
            <w:noWrap w:val="0"/>
            <w:vAlign w:val="center"/>
          </w:tcPr>
          <w:p w14:paraId="2B1DBE8D">
            <w:pPr>
              <w:rPr>
                <w:rFonts w:ascii="Helvetica" w:hAnsi="Helvetica" w:cs="Helvetica"/>
                <w:color w:val="000000"/>
                <w:sz w:val="19"/>
                <w:szCs w:val="19"/>
              </w:rPr>
            </w:pPr>
          </w:p>
        </w:tc>
        <w:tc>
          <w:tcPr>
            <w:tcW w:w="1403" w:type="dxa"/>
            <w:noWrap w:val="0"/>
            <w:vAlign w:val="center"/>
          </w:tcPr>
          <w:p w14:paraId="01C8D38A">
            <w:pPr>
              <w:rPr>
                <w:rFonts w:ascii="Helvetica" w:hAnsi="Helvetica" w:cs="Helvetica"/>
                <w:color w:val="000000"/>
                <w:sz w:val="19"/>
                <w:szCs w:val="19"/>
              </w:rPr>
            </w:pPr>
          </w:p>
        </w:tc>
      </w:tr>
      <w:tr w14:paraId="5BA55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613" w:type="dxa"/>
            <w:noWrap w:val="0"/>
            <w:vAlign w:val="center"/>
          </w:tcPr>
          <w:p w14:paraId="72F74371">
            <w:pPr>
              <w:snapToGrid w:val="0"/>
              <w:jc w:val="center"/>
              <w:rPr>
                <w:rFonts w:ascii="Times New Roman" w:hAnsi="Times New Roman" w:eastAsia="黑体"/>
                <w:bCs/>
                <w:color w:val="000000"/>
                <w:sz w:val="21"/>
                <w:szCs w:val="20"/>
              </w:rPr>
            </w:pPr>
            <w:r>
              <w:rPr>
                <w:rFonts w:ascii="Times New Roman" w:hAnsi="Times New Roman" w:eastAsia="黑体"/>
                <w:bCs/>
                <w:color w:val="000000"/>
                <w:sz w:val="21"/>
                <w:szCs w:val="20"/>
              </w:rPr>
              <w:t>X5</w:t>
            </w:r>
          </w:p>
        </w:tc>
        <w:tc>
          <w:tcPr>
            <w:tcW w:w="648" w:type="dxa"/>
            <w:noWrap w:val="0"/>
            <w:vAlign w:val="center"/>
          </w:tcPr>
          <w:p w14:paraId="37A85826">
            <w:pPr>
              <w:rPr>
                <w:rFonts w:ascii="Arial" w:hAnsi="Arial" w:cs="Arial"/>
                <w:color w:val="000000"/>
                <w:sz w:val="21"/>
                <w:szCs w:val="21"/>
              </w:rPr>
            </w:pPr>
          </w:p>
        </w:tc>
        <w:tc>
          <w:tcPr>
            <w:tcW w:w="1403" w:type="dxa"/>
            <w:noWrap w:val="0"/>
            <w:vAlign w:val="center"/>
          </w:tcPr>
          <w:p w14:paraId="13917715">
            <w:pPr>
              <w:rPr>
                <w:rFonts w:ascii="Helvetica" w:hAnsi="Helvetica" w:cs="Helvetica"/>
                <w:color w:val="000000"/>
                <w:sz w:val="19"/>
                <w:szCs w:val="19"/>
              </w:rPr>
            </w:pPr>
          </w:p>
        </w:tc>
        <w:tc>
          <w:tcPr>
            <w:tcW w:w="1403" w:type="dxa"/>
            <w:noWrap w:val="0"/>
            <w:vAlign w:val="center"/>
          </w:tcPr>
          <w:p w14:paraId="19D1B087">
            <w:pPr>
              <w:rPr>
                <w:rFonts w:ascii="Helvetica" w:hAnsi="Helvetica" w:cs="Helvetica"/>
                <w:color w:val="000000"/>
                <w:sz w:val="19"/>
                <w:szCs w:val="19"/>
              </w:rPr>
            </w:pPr>
          </w:p>
        </w:tc>
        <w:tc>
          <w:tcPr>
            <w:tcW w:w="1403" w:type="dxa"/>
            <w:noWrap w:val="0"/>
            <w:vAlign w:val="center"/>
          </w:tcPr>
          <w:p w14:paraId="26C2A52E">
            <w:pPr>
              <w:rPr>
                <w:rFonts w:ascii="Helvetica" w:hAnsi="Helvetica" w:cs="Helvetica"/>
                <w:color w:val="000000"/>
                <w:sz w:val="19"/>
                <w:szCs w:val="19"/>
              </w:rPr>
            </w:pPr>
          </w:p>
        </w:tc>
        <w:tc>
          <w:tcPr>
            <w:tcW w:w="1403" w:type="dxa"/>
            <w:noWrap w:val="0"/>
            <w:vAlign w:val="center"/>
          </w:tcPr>
          <w:p w14:paraId="2BB0E160">
            <w:pPr>
              <w:rPr>
                <w:rFonts w:ascii="Helvetica" w:hAnsi="Helvetica" w:cs="Helvetica"/>
                <w:color w:val="000000"/>
                <w:sz w:val="19"/>
                <w:szCs w:val="19"/>
              </w:rPr>
            </w:pPr>
          </w:p>
        </w:tc>
        <w:tc>
          <w:tcPr>
            <w:tcW w:w="1403" w:type="dxa"/>
            <w:noWrap w:val="0"/>
            <w:vAlign w:val="center"/>
          </w:tcPr>
          <w:p w14:paraId="27ABF7C0">
            <w:pPr>
              <w:rPr>
                <w:rFonts w:ascii="Helvetica" w:hAnsi="Helvetica" w:cs="Helvetica"/>
                <w:color w:val="000000"/>
                <w:sz w:val="19"/>
                <w:szCs w:val="19"/>
              </w:rPr>
            </w:pPr>
          </w:p>
        </w:tc>
      </w:tr>
    </w:tbl>
    <w:p w14:paraId="0086013B">
      <w:pPr>
        <w:spacing w:before="326" w:beforeLines="100"/>
        <w:outlineLvl w:val="0"/>
        <w:rPr>
          <w:rFonts w:ascii="Arial" w:hAnsi="Arial" w:eastAsia="黑体"/>
          <w:sz w:val="28"/>
        </w:rPr>
      </w:pPr>
      <w:r>
        <w:rPr>
          <w:rFonts w:hint="eastAsia" w:ascii="Arial" w:hAnsi="Arial" w:eastAsia="黑体"/>
          <w:sz w:val="28"/>
        </w:rPr>
        <w:t xml:space="preserve">七、其他需要说明的问题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9A7BB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trPr>
        <w:tc>
          <w:tcPr>
            <w:tcW w:w="8296" w:type="dxa"/>
            <w:noWrap w:val="0"/>
            <w:vAlign w:val="top"/>
          </w:tcPr>
          <w:p w14:paraId="227E4408">
            <w:pPr>
              <w:rPr>
                <w:rFonts w:ascii="Times New Roman" w:hAnsi="Times New Roman"/>
                <w:color w:val="000000"/>
                <w:sz w:val="21"/>
                <w:szCs w:val="21"/>
              </w:rPr>
            </w:pPr>
            <w:r>
              <w:rPr>
                <w:rFonts w:hint="eastAsia" w:ascii="Times New Roman" w:hAnsi="Times New Roman"/>
                <w:color w:val="000000"/>
                <w:sz w:val="21"/>
                <w:szCs w:val="21"/>
              </w:rPr>
              <w:t>无</w:t>
            </w:r>
          </w:p>
          <w:p w14:paraId="06EFABDD">
            <w:pPr>
              <w:rPr>
                <w:rFonts w:ascii="Times New Roman" w:hAnsi="Times New Roman"/>
                <w:bCs/>
                <w:color w:val="000000"/>
                <w:sz w:val="21"/>
                <w:szCs w:val="21"/>
              </w:rPr>
            </w:pPr>
          </w:p>
          <w:p w14:paraId="757CACF9">
            <w:pPr>
              <w:rPr>
                <w:rFonts w:ascii="黑体" w:hAnsi="Times New Roman"/>
                <w:color w:val="000000"/>
                <w:sz w:val="21"/>
                <w:szCs w:val="21"/>
              </w:rPr>
            </w:pPr>
          </w:p>
        </w:tc>
      </w:tr>
    </w:tbl>
    <w:p w14:paraId="743E529C">
      <w:pPr>
        <w:spacing w:line="480" w:lineRule="auto"/>
        <w:outlineLvl w:val="0"/>
        <w:rPr>
          <w:rFonts w:ascii="黑体" w:eastAsia="黑体"/>
          <w:sz w:val="18"/>
          <w:szCs w:val="16"/>
        </w:rPr>
      </w:pPr>
    </w:p>
    <w:p w14:paraId="33F9E037">
      <w:pPr>
        <w:spacing w:before="326" w:beforeLines="100"/>
        <w:outlineLvl w:val="0"/>
        <w:rPr>
          <w:rFonts w:hint="eastAsia" w:ascii="黑体" w:eastAsia="黑体"/>
          <w:sz w:val="18"/>
          <w:szCs w:val="16"/>
        </w:rPr>
      </w:pPr>
    </w:p>
    <w:p w14:paraId="2FF3DB5E">
      <w:pPr>
        <w:spacing w:before="326" w:beforeLines="100"/>
        <w:outlineLvl w:val="0"/>
        <w:rPr>
          <w:rFonts w:hint="eastAsia" w:ascii="黑体" w:eastAsia="黑体"/>
          <w:sz w:val="18"/>
          <w:szCs w:val="16"/>
        </w:rPr>
      </w:pPr>
    </w:p>
    <w:p w14:paraId="523DBF6C">
      <w:pPr>
        <w:spacing w:before="326" w:beforeLines="100"/>
        <w:outlineLvl w:val="0"/>
        <w:rPr>
          <w:rFonts w:hint="eastAsia" w:ascii="黑体" w:eastAsia="黑体"/>
          <w:sz w:val="18"/>
          <w:szCs w:val="16"/>
        </w:rPr>
      </w:pPr>
    </w:p>
    <w:p w14:paraId="50BAD7D1">
      <w:pPr>
        <w:spacing w:before="326" w:beforeLines="100"/>
        <w:outlineLvl w:val="0"/>
        <w:rPr>
          <w:rFonts w:hint="eastAsia" w:ascii="黑体" w:eastAsia="黑体"/>
          <w:sz w:val="18"/>
          <w:szCs w:val="16"/>
        </w:rPr>
      </w:pPr>
    </w:p>
    <w:p w14:paraId="666D890D">
      <w:pPr>
        <w:spacing w:before="326" w:beforeLines="100"/>
        <w:outlineLvl w:val="0"/>
        <w:rPr>
          <w:rFonts w:hint="eastAsia" w:ascii="黑体" w:eastAsia="黑体"/>
          <w:sz w:val="18"/>
          <w:szCs w:val="16"/>
        </w:rPr>
      </w:pPr>
    </w:p>
    <w:p w14:paraId="62FD2C93">
      <w:pPr>
        <w:spacing w:before="326" w:beforeLines="100"/>
        <w:outlineLvl w:val="0"/>
        <w:rPr>
          <w:rFonts w:hint="eastAsia" w:ascii="黑体" w:eastAsia="黑体"/>
          <w:sz w:val="18"/>
          <w:szCs w:val="16"/>
        </w:rPr>
      </w:pPr>
    </w:p>
    <w:p w14:paraId="7496BBE8">
      <w:pPr>
        <w:spacing w:before="326" w:beforeLines="100"/>
        <w:outlineLvl w:val="0"/>
        <w:rPr>
          <w:rFonts w:hint="eastAsia" w:ascii="黑体" w:eastAsia="黑体"/>
          <w:sz w:val="18"/>
          <w:szCs w:val="16"/>
        </w:rPr>
      </w:pPr>
    </w:p>
    <w:p w14:paraId="634F95C6">
      <w:pPr>
        <w:spacing w:before="326" w:beforeLines="100"/>
        <w:outlineLvl w:val="0"/>
        <w:rPr>
          <w:rFonts w:hint="eastAsia" w:ascii="黑体" w:eastAsia="黑体"/>
          <w:sz w:val="18"/>
          <w:szCs w:val="16"/>
        </w:rPr>
      </w:pPr>
    </w:p>
    <w:p w14:paraId="3E2B6A98">
      <w:pPr>
        <w:spacing w:before="326" w:beforeLines="100"/>
        <w:outlineLvl w:val="0"/>
        <w:rPr>
          <w:rFonts w:hint="eastAsia" w:ascii="黑体" w:eastAsia="黑体"/>
          <w:sz w:val="18"/>
          <w:szCs w:val="16"/>
        </w:rPr>
      </w:pPr>
    </w:p>
    <w:p w14:paraId="7448041D">
      <w:pPr>
        <w:rPr>
          <w:szCs w:val="16"/>
        </w:rPr>
      </w:pPr>
    </w:p>
    <w:sectPr>
      <w:headerReference r:id="rId3" w:type="default"/>
      <w:pgSz w:w="11906" w:h="16838"/>
      <w:pgMar w:top="1440" w:right="1800" w:bottom="1440" w:left="1800" w:header="397" w:footer="992" w:gutter="0"/>
      <w:pgBorders w:offsetFrom="page">
        <w:top w:val="single" w:color="auto" w:sz="4" w:space="24"/>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AA7B">
    <w:pPr>
      <w:jc w:val="right"/>
      <w:rPr>
        <w:rFonts w:ascii="方正小标宋简体" w:hAnsi="方正小标宋简体" w:eastAsia="方正小标宋简体"/>
      </w:rPr>
    </w:pPr>
    <w:r>
      <w:rPr>
        <w:rFonts w:ascii="方正小标宋简体" w:hAnsi="方正小标宋简体" w:eastAsia="方正小标宋简体"/>
        <w:color w:val="FF0000"/>
        <w:lang/>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4"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1588F1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uGSmdQAAAAJAQAA&#10;DwAAAAAAAAABACAAAAAiAAAAZHJzL2Rvd25yZXYueG1sUEsBAhQAFAAAAAgAh07iQFjy/FJWAgAA&#10;nQQAAA4AAAAAAAAAAQAgAAAAIwEAAGRycy9lMm9Eb2MueG1sUEsFBgAAAAAGAAYAWQEAAOsFAAAA&#10;AA==&#10;">
              <v:fill on="t" focussize="0,0"/>
              <v:stroke on="f" weight="0.5pt"/>
              <v:imagedata o:title=""/>
              <o:lock v:ext="edit" aspectratio="f"/>
              <v:textbox>
                <w:txbxContent>
                  <w:p w14:paraId="21588F1F">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NTQzNzkzZmU2NDJkNjU5ODg1ZWQ0MTQzNWIyMDcifQ=="/>
  </w:docVars>
  <w:rsids>
    <w:rsidRoot w:val="00B7651F"/>
    <w:rsid w:val="000174B4"/>
    <w:rsid w:val="000203E0"/>
    <w:rsid w:val="000210E0"/>
    <w:rsid w:val="00033082"/>
    <w:rsid w:val="00044088"/>
    <w:rsid w:val="00053590"/>
    <w:rsid w:val="0006001D"/>
    <w:rsid w:val="00061671"/>
    <w:rsid w:val="00066041"/>
    <w:rsid w:val="00076794"/>
    <w:rsid w:val="0008122A"/>
    <w:rsid w:val="00087488"/>
    <w:rsid w:val="0009050A"/>
    <w:rsid w:val="00093B18"/>
    <w:rsid w:val="0009721F"/>
    <w:rsid w:val="000A4E73"/>
    <w:rsid w:val="000B1BD2"/>
    <w:rsid w:val="000B7BB8"/>
    <w:rsid w:val="000C0744"/>
    <w:rsid w:val="000C0F0D"/>
    <w:rsid w:val="000C13BC"/>
    <w:rsid w:val="000D28E5"/>
    <w:rsid w:val="000D34D7"/>
    <w:rsid w:val="00100633"/>
    <w:rsid w:val="001069CB"/>
    <w:rsid w:val="001072BC"/>
    <w:rsid w:val="00113FB5"/>
    <w:rsid w:val="00114BD6"/>
    <w:rsid w:val="001164CC"/>
    <w:rsid w:val="00130F6D"/>
    <w:rsid w:val="00133554"/>
    <w:rsid w:val="00144082"/>
    <w:rsid w:val="0016381F"/>
    <w:rsid w:val="00163A48"/>
    <w:rsid w:val="0016438B"/>
    <w:rsid w:val="00164E36"/>
    <w:rsid w:val="001678A2"/>
    <w:rsid w:val="00172CEB"/>
    <w:rsid w:val="001800D7"/>
    <w:rsid w:val="00183AA1"/>
    <w:rsid w:val="0018767C"/>
    <w:rsid w:val="001A0475"/>
    <w:rsid w:val="001A135C"/>
    <w:rsid w:val="001B0D49"/>
    <w:rsid w:val="001B546F"/>
    <w:rsid w:val="001C16FC"/>
    <w:rsid w:val="001C2E3E"/>
    <w:rsid w:val="001C388D"/>
    <w:rsid w:val="001E0494"/>
    <w:rsid w:val="001E1D2D"/>
    <w:rsid w:val="001E2A27"/>
    <w:rsid w:val="001E5A17"/>
    <w:rsid w:val="001F065C"/>
    <w:rsid w:val="001F284E"/>
    <w:rsid w:val="001F332E"/>
    <w:rsid w:val="00217861"/>
    <w:rsid w:val="002204E4"/>
    <w:rsid w:val="002211BF"/>
    <w:rsid w:val="0022142B"/>
    <w:rsid w:val="00233F15"/>
    <w:rsid w:val="002420F1"/>
    <w:rsid w:val="00253AC8"/>
    <w:rsid w:val="00256B39"/>
    <w:rsid w:val="0026033C"/>
    <w:rsid w:val="002715B8"/>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D7FA4"/>
    <w:rsid w:val="002E33CE"/>
    <w:rsid w:val="002E3721"/>
    <w:rsid w:val="002E4B0A"/>
    <w:rsid w:val="002E6F95"/>
    <w:rsid w:val="002E764D"/>
    <w:rsid w:val="002F3157"/>
    <w:rsid w:val="002F6BD5"/>
    <w:rsid w:val="00305F23"/>
    <w:rsid w:val="00313BBA"/>
    <w:rsid w:val="00317E29"/>
    <w:rsid w:val="00321515"/>
    <w:rsid w:val="0032602E"/>
    <w:rsid w:val="00327B8C"/>
    <w:rsid w:val="00331638"/>
    <w:rsid w:val="003344A7"/>
    <w:rsid w:val="00334623"/>
    <w:rsid w:val="00336121"/>
    <w:rsid w:val="003367AE"/>
    <w:rsid w:val="00340439"/>
    <w:rsid w:val="00344C72"/>
    <w:rsid w:val="00344EF2"/>
    <w:rsid w:val="00347EB8"/>
    <w:rsid w:val="00347F80"/>
    <w:rsid w:val="00353F74"/>
    <w:rsid w:val="003557DE"/>
    <w:rsid w:val="00356647"/>
    <w:rsid w:val="00361BEB"/>
    <w:rsid w:val="003639E3"/>
    <w:rsid w:val="00364618"/>
    <w:rsid w:val="00370184"/>
    <w:rsid w:val="00373C8A"/>
    <w:rsid w:val="00377C10"/>
    <w:rsid w:val="00384A1F"/>
    <w:rsid w:val="00384D60"/>
    <w:rsid w:val="00385D41"/>
    <w:rsid w:val="003861BA"/>
    <w:rsid w:val="003A1680"/>
    <w:rsid w:val="003A373C"/>
    <w:rsid w:val="003A447E"/>
    <w:rsid w:val="003A5874"/>
    <w:rsid w:val="003B1258"/>
    <w:rsid w:val="003B4A81"/>
    <w:rsid w:val="003B66D0"/>
    <w:rsid w:val="003C1F8D"/>
    <w:rsid w:val="003C61A5"/>
    <w:rsid w:val="003C6FA2"/>
    <w:rsid w:val="003D1968"/>
    <w:rsid w:val="003D4994"/>
    <w:rsid w:val="003E10A5"/>
    <w:rsid w:val="003E59F1"/>
    <w:rsid w:val="003E7D72"/>
    <w:rsid w:val="003F3923"/>
    <w:rsid w:val="003F43F6"/>
    <w:rsid w:val="004019DB"/>
    <w:rsid w:val="00402B67"/>
    <w:rsid w:val="00403C91"/>
    <w:rsid w:val="0040433E"/>
    <w:rsid w:val="00404974"/>
    <w:rsid w:val="0040726A"/>
    <w:rsid w:val="004100B0"/>
    <w:rsid w:val="0041235C"/>
    <w:rsid w:val="0041267F"/>
    <w:rsid w:val="00424BA5"/>
    <w:rsid w:val="00425431"/>
    <w:rsid w:val="00431829"/>
    <w:rsid w:val="00437B60"/>
    <w:rsid w:val="004405E6"/>
    <w:rsid w:val="00443C84"/>
    <w:rsid w:val="00443C89"/>
    <w:rsid w:val="004540AA"/>
    <w:rsid w:val="00456BD8"/>
    <w:rsid w:val="00456DC8"/>
    <w:rsid w:val="0046549D"/>
    <w:rsid w:val="004663F1"/>
    <w:rsid w:val="00471668"/>
    <w:rsid w:val="004732E7"/>
    <w:rsid w:val="00481F98"/>
    <w:rsid w:val="004852BF"/>
    <w:rsid w:val="00487A46"/>
    <w:rsid w:val="00493504"/>
    <w:rsid w:val="00494579"/>
    <w:rsid w:val="004956B7"/>
    <w:rsid w:val="00497334"/>
    <w:rsid w:val="004A2AE7"/>
    <w:rsid w:val="004A4645"/>
    <w:rsid w:val="004A6F3A"/>
    <w:rsid w:val="004B408D"/>
    <w:rsid w:val="004B6F68"/>
    <w:rsid w:val="004B73F7"/>
    <w:rsid w:val="004D25AE"/>
    <w:rsid w:val="004D4FB3"/>
    <w:rsid w:val="004D75A6"/>
    <w:rsid w:val="004E1EAD"/>
    <w:rsid w:val="004E3456"/>
    <w:rsid w:val="004E5953"/>
    <w:rsid w:val="004F3DF0"/>
    <w:rsid w:val="005074E1"/>
    <w:rsid w:val="005126F1"/>
    <w:rsid w:val="00513F2F"/>
    <w:rsid w:val="00514043"/>
    <w:rsid w:val="0051612A"/>
    <w:rsid w:val="00517176"/>
    <w:rsid w:val="0052192E"/>
    <w:rsid w:val="00524300"/>
    <w:rsid w:val="00541F72"/>
    <w:rsid w:val="00542388"/>
    <w:rsid w:val="00544523"/>
    <w:rsid w:val="0054556F"/>
    <w:rsid w:val="00545BB5"/>
    <w:rsid w:val="005467DC"/>
    <w:rsid w:val="00546A82"/>
    <w:rsid w:val="00547C51"/>
    <w:rsid w:val="00551335"/>
    <w:rsid w:val="005519BB"/>
    <w:rsid w:val="005523FD"/>
    <w:rsid w:val="00553D03"/>
    <w:rsid w:val="00555BA0"/>
    <w:rsid w:val="00556E41"/>
    <w:rsid w:val="0057496F"/>
    <w:rsid w:val="00575C5D"/>
    <w:rsid w:val="005770A6"/>
    <w:rsid w:val="0058348D"/>
    <w:rsid w:val="0059045B"/>
    <w:rsid w:val="00592622"/>
    <w:rsid w:val="005952FE"/>
    <w:rsid w:val="00597EC2"/>
    <w:rsid w:val="005A13AB"/>
    <w:rsid w:val="005B1150"/>
    <w:rsid w:val="005B1FFC"/>
    <w:rsid w:val="005B2B6D"/>
    <w:rsid w:val="005B4B4E"/>
    <w:rsid w:val="005C3A76"/>
    <w:rsid w:val="005D5B6F"/>
    <w:rsid w:val="005E38A5"/>
    <w:rsid w:val="005F5185"/>
    <w:rsid w:val="00607F95"/>
    <w:rsid w:val="0062115C"/>
    <w:rsid w:val="0062265B"/>
    <w:rsid w:val="00624B5C"/>
    <w:rsid w:val="00624FE1"/>
    <w:rsid w:val="0062577D"/>
    <w:rsid w:val="0063249D"/>
    <w:rsid w:val="006331EE"/>
    <w:rsid w:val="00634464"/>
    <w:rsid w:val="006355E6"/>
    <w:rsid w:val="00635796"/>
    <w:rsid w:val="00637E00"/>
    <w:rsid w:val="0064038A"/>
    <w:rsid w:val="0065167D"/>
    <w:rsid w:val="00652D13"/>
    <w:rsid w:val="0066595A"/>
    <w:rsid w:val="00666206"/>
    <w:rsid w:val="0066676A"/>
    <w:rsid w:val="00670523"/>
    <w:rsid w:val="00670B19"/>
    <w:rsid w:val="00672788"/>
    <w:rsid w:val="00673789"/>
    <w:rsid w:val="00676183"/>
    <w:rsid w:val="00680DA3"/>
    <w:rsid w:val="0068377F"/>
    <w:rsid w:val="00691B24"/>
    <w:rsid w:val="00695B93"/>
    <w:rsid w:val="00697C16"/>
    <w:rsid w:val="006A13C7"/>
    <w:rsid w:val="006A5A89"/>
    <w:rsid w:val="006A79FB"/>
    <w:rsid w:val="006B3BB9"/>
    <w:rsid w:val="006B48AC"/>
    <w:rsid w:val="006B5977"/>
    <w:rsid w:val="006C1D59"/>
    <w:rsid w:val="006D1B59"/>
    <w:rsid w:val="006D2F9C"/>
    <w:rsid w:val="006D4351"/>
    <w:rsid w:val="006D5424"/>
    <w:rsid w:val="006E5CA9"/>
    <w:rsid w:val="006E5E98"/>
    <w:rsid w:val="006E7A37"/>
    <w:rsid w:val="006F3151"/>
    <w:rsid w:val="006F67C9"/>
    <w:rsid w:val="007011CA"/>
    <w:rsid w:val="007038A1"/>
    <w:rsid w:val="007056DE"/>
    <w:rsid w:val="00706121"/>
    <w:rsid w:val="00710B6B"/>
    <w:rsid w:val="00712A2C"/>
    <w:rsid w:val="00712E84"/>
    <w:rsid w:val="00714914"/>
    <w:rsid w:val="00716B83"/>
    <w:rsid w:val="007208D6"/>
    <w:rsid w:val="007226AF"/>
    <w:rsid w:val="00726786"/>
    <w:rsid w:val="00732152"/>
    <w:rsid w:val="00735A4E"/>
    <w:rsid w:val="007428DF"/>
    <w:rsid w:val="00742BD1"/>
    <w:rsid w:val="00742E7A"/>
    <w:rsid w:val="0074424F"/>
    <w:rsid w:val="00746A88"/>
    <w:rsid w:val="007569A9"/>
    <w:rsid w:val="0075734F"/>
    <w:rsid w:val="00764FD9"/>
    <w:rsid w:val="007740B2"/>
    <w:rsid w:val="00774C1F"/>
    <w:rsid w:val="0078194F"/>
    <w:rsid w:val="00791975"/>
    <w:rsid w:val="007934A4"/>
    <w:rsid w:val="007A0AC9"/>
    <w:rsid w:val="007A1B70"/>
    <w:rsid w:val="007A57F6"/>
    <w:rsid w:val="007B4FFB"/>
    <w:rsid w:val="007C0BCE"/>
    <w:rsid w:val="007C1D1B"/>
    <w:rsid w:val="007C3566"/>
    <w:rsid w:val="007C794A"/>
    <w:rsid w:val="007D5326"/>
    <w:rsid w:val="007D5A33"/>
    <w:rsid w:val="007D742E"/>
    <w:rsid w:val="007E4F3A"/>
    <w:rsid w:val="007E620F"/>
    <w:rsid w:val="007E663C"/>
    <w:rsid w:val="007E7795"/>
    <w:rsid w:val="007F6249"/>
    <w:rsid w:val="007F6D84"/>
    <w:rsid w:val="007F72C2"/>
    <w:rsid w:val="0080066B"/>
    <w:rsid w:val="00803578"/>
    <w:rsid w:val="00814C3F"/>
    <w:rsid w:val="00815B8D"/>
    <w:rsid w:val="00815B8E"/>
    <w:rsid w:val="00816D99"/>
    <w:rsid w:val="0082324C"/>
    <w:rsid w:val="00823D71"/>
    <w:rsid w:val="008240A0"/>
    <w:rsid w:val="008245AF"/>
    <w:rsid w:val="008256B9"/>
    <w:rsid w:val="00827FE1"/>
    <w:rsid w:val="008320E4"/>
    <w:rsid w:val="0083705D"/>
    <w:rsid w:val="0084242F"/>
    <w:rsid w:val="00845795"/>
    <w:rsid w:val="00845914"/>
    <w:rsid w:val="00847437"/>
    <w:rsid w:val="00852B4F"/>
    <w:rsid w:val="00867CDD"/>
    <w:rsid w:val="00882E15"/>
    <w:rsid w:val="00883C73"/>
    <w:rsid w:val="00884890"/>
    <w:rsid w:val="008901A2"/>
    <w:rsid w:val="00897B8F"/>
    <w:rsid w:val="008A08B0"/>
    <w:rsid w:val="008A21BE"/>
    <w:rsid w:val="008B0385"/>
    <w:rsid w:val="008B1082"/>
    <w:rsid w:val="008B188E"/>
    <w:rsid w:val="008B397C"/>
    <w:rsid w:val="008B47F4"/>
    <w:rsid w:val="008B6A60"/>
    <w:rsid w:val="008B7448"/>
    <w:rsid w:val="008B7E1E"/>
    <w:rsid w:val="008C2AE6"/>
    <w:rsid w:val="008C2DE8"/>
    <w:rsid w:val="008C4EA5"/>
    <w:rsid w:val="008C5113"/>
    <w:rsid w:val="008C5B8A"/>
    <w:rsid w:val="008C6645"/>
    <w:rsid w:val="008D1246"/>
    <w:rsid w:val="008D1865"/>
    <w:rsid w:val="008D3D5F"/>
    <w:rsid w:val="008D4E81"/>
    <w:rsid w:val="008D505F"/>
    <w:rsid w:val="008E0F55"/>
    <w:rsid w:val="008E7A99"/>
    <w:rsid w:val="008F253F"/>
    <w:rsid w:val="008F7F31"/>
    <w:rsid w:val="00900019"/>
    <w:rsid w:val="00901621"/>
    <w:rsid w:val="009023B1"/>
    <w:rsid w:val="009147D6"/>
    <w:rsid w:val="00914D98"/>
    <w:rsid w:val="00925F8C"/>
    <w:rsid w:val="00927324"/>
    <w:rsid w:val="00932ED7"/>
    <w:rsid w:val="00933990"/>
    <w:rsid w:val="00941B89"/>
    <w:rsid w:val="00941DEA"/>
    <w:rsid w:val="00960DDC"/>
    <w:rsid w:val="009656CC"/>
    <w:rsid w:val="00970E8C"/>
    <w:rsid w:val="00971671"/>
    <w:rsid w:val="00981A37"/>
    <w:rsid w:val="009830B2"/>
    <w:rsid w:val="0099063E"/>
    <w:rsid w:val="00992356"/>
    <w:rsid w:val="00992674"/>
    <w:rsid w:val="00994172"/>
    <w:rsid w:val="00994793"/>
    <w:rsid w:val="00996AE3"/>
    <w:rsid w:val="009A0450"/>
    <w:rsid w:val="009A1E27"/>
    <w:rsid w:val="009A307B"/>
    <w:rsid w:val="009B04E7"/>
    <w:rsid w:val="009B14E8"/>
    <w:rsid w:val="009B4D21"/>
    <w:rsid w:val="009B4D65"/>
    <w:rsid w:val="009B5A73"/>
    <w:rsid w:val="009B7E8F"/>
    <w:rsid w:val="009C54C9"/>
    <w:rsid w:val="009C589C"/>
    <w:rsid w:val="009D192B"/>
    <w:rsid w:val="009D2582"/>
    <w:rsid w:val="009D33E1"/>
    <w:rsid w:val="009D3B45"/>
    <w:rsid w:val="009D566C"/>
    <w:rsid w:val="009D7CF9"/>
    <w:rsid w:val="009E2CCC"/>
    <w:rsid w:val="009E2CDD"/>
    <w:rsid w:val="009E366E"/>
    <w:rsid w:val="009E6097"/>
    <w:rsid w:val="009E65A5"/>
    <w:rsid w:val="009E6FC4"/>
    <w:rsid w:val="009F00DC"/>
    <w:rsid w:val="009F3199"/>
    <w:rsid w:val="009F3355"/>
    <w:rsid w:val="009F3648"/>
    <w:rsid w:val="009F3B7A"/>
    <w:rsid w:val="009F54D0"/>
    <w:rsid w:val="00A04523"/>
    <w:rsid w:val="00A06E9F"/>
    <w:rsid w:val="00A16159"/>
    <w:rsid w:val="00A161E6"/>
    <w:rsid w:val="00A17885"/>
    <w:rsid w:val="00A2044F"/>
    <w:rsid w:val="00A2337D"/>
    <w:rsid w:val="00A25A31"/>
    <w:rsid w:val="00A31BBE"/>
    <w:rsid w:val="00A31D34"/>
    <w:rsid w:val="00A324D7"/>
    <w:rsid w:val="00A333EF"/>
    <w:rsid w:val="00A33F85"/>
    <w:rsid w:val="00A37525"/>
    <w:rsid w:val="00A40645"/>
    <w:rsid w:val="00A44E7D"/>
    <w:rsid w:val="00A6016C"/>
    <w:rsid w:val="00A619BD"/>
    <w:rsid w:val="00A71698"/>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1DE3"/>
    <w:rsid w:val="00AD5B40"/>
    <w:rsid w:val="00AF289F"/>
    <w:rsid w:val="00AF30B9"/>
    <w:rsid w:val="00AF392F"/>
    <w:rsid w:val="00AF43DF"/>
    <w:rsid w:val="00AF67A4"/>
    <w:rsid w:val="00AF7510"/>
    <w:rsid w:val="00B12D31"/>
    <w:rsid w:val="00B15F6E"/>
    <w:rsid w:val="00B21BEE"/>
    <w:rsid w:val="00B23284"/>
    <w:rsid w:val="00B37D43"/>
    <w:rsid w:val="00B45614"/>
    <w:rsid w:val="00B46F21"/>
    <w:rsid w:val="00B511A5"/>
    <w:rsid w:val="00B51CDE"/>
    <w:rsid w:val="00B56541"/>
    <w:rsid w:val="00B605ED"/>
    <w:rsid w:val="00B71F97"/>
    <w:rsid w:val="00B72538"/>
    <w:rsid w:val="00B736A7"/>
    <w:rsid w:val="00B73CC8"/>
    <w:rsid w:val="00B7651F"/>
    <w:rsid w:val="00B919FA"/>
    <w:rsid w:val="00B94A16"/>
    <w:rsid w:val="00BA6044"/>
    <w:rsid w:val="00BA6E21"/>
    <w:rsid w:val="00BB1A93"/>
    <w:rsid w:val="00BC14BF"/>
    <w:rsid w:val="00BC2625"/>
    <w:rsid w:val="00BC3200"/>
    <w:rsid w:val="00BC338A"/>
    <w:rsid w:val="00BD7AB0"/>
    <w:rsid w:val="00BE04C4"/>
    <w:rsid w:val="00BE53E8"/>
    <w:rsid w:val="00BF3C20"/>
    <w:rsid w:val="00C011BC"/>
    <w:rsid w:val="00C03DBA"/>
    <w:rsid w:val="00C112E7"/>
    <w:rsid w:val="00C11C78"/>
    <w:rsid w:val="00C11CD4"/>
    <w:rsid w:val="00C14B1C"/>
    <w:rsid w:val="00C15061"/>
    <w:rsid w:val="00C15BD4"/>
    <w:rsid w:val="00C1713D"/>
    <w:rsid w:val="00C20D9D"/>
    <w:rsid w:val="00C2134F"/>
    <w:rsid w:val="00C23570"/>
    <w:rsid w:val="00C24718"/>
    <w:rsid w:val="00C2675D"/>
    <w:rsid w:val="00C30AEE"/>
    <w:rsid w:val="00C33362"/>
    <w:rsid w:val="00C353AE"/>
    <w:rsid w:val="00C35628"/>
    <w:rsid w:val="00C4194E"/>
    <w:rsid w:val="00C516B1"/>
    <w:rsid w:val="00C5350C"/>
    <w:rsid w:val="00C56E09"/>
    <w:rsid w:val="00C61B1B"/>
    <w:rsid w:val="00C66AB7"/>
    <w:rsid w:val="00C673D1"/>
    <w:rsid w:val="00C746CB"/>
    <w:rsid w:val="00C77BBF"/>
    <w:rsid w:val="00C77D64"/>
    <w:rsid w:val="00C81564"/>
    <w:rsid w:val="00C82D17"/>
    <w:rsid w:val="00C9080C"/>
    <w:rsid w:val="00C94429"/>
    <w:rsid w:val="00CA18FD"/>
    <w:rsid w:val="00CA27E5"/>
    <w:rsid w:val="00CA4897"/>
    <w:rsid w:val="00CA6928"/>
    <w:rsid w:val="00CB3176"/>
    <w:rsid w:val="00CB3D3F"/>
    <w:rsid w:val="00CB5850"/>
    <w:rsid w:val="00CB5A1A"/>
    <w:rsid w:val="00CC59E6"/>
    <w:rsid w:val="00CD5BDD"/>
    <w:rsid w:val="00CF096B"/>
    <w:rsid w:val="00CF10F7"/>
    <w:rsid w:val="00CF5EE3"/>
    <w:rsid w:val="00CF691F"/>
    <w:rsid w:val="00D00D99"/>
    <w:rsid w:val="00D013A4"/>
    <w:rsid w:val="00D026DC"/>
    <w:rsid w:val="00D0776C"/>
    <w:rsid w:val="00D15595"/>
    <w:rsid w:val="00D325BD"/>
    <w:rsid w:val="00D343A8"/>
    <w:rsid w:val="00D37832"/>
    <w:rsid w:val="00D44860"/>
    <w:rsid w:val="00D47689"/>
    <w:rsid w:val="00D50C42"/>
    <w:rsid w:val="00D52E87"/>
    <w:rsid w:val="00D57CF5"/>
    <w:rsid w:val="00D612BC"/>
    <w:rsid w:val="00D62F98"/>
    <w:rsid w:val="00D66FD6"/>
    <w:rsid w:val="00D8285B"/>
    <w:rsid w:val="00D862EB"/>
    <w:rsid w:val="00D86619"/>
    <w:rsid w:val="00D93E7C"/>
    <w:rsid w:val="00DA240F"/>
    <w:rsid w:val="00DA4C8D"/>
    <w:rsid w:val="00DB2BE6"/>
    <w:rsid w:val="00DB76B3"/>
    <w:rsid w:val="00DD1052"/>
    <w:rsid w:val="00DD3C7B"/>
    <w:rsid w:val="00DD7052"/>
    <w:rsid w:val="00DD7203"/>
    <w:rsid w:val="00DE2B21"/>
    <w:rsid w:val="00DE48DE"/>
    <w:rsid w:val="00DF25F2"/>
    <w:rsid w:val="00DF2724"/>
    <w:rsid w:val="00DF4166"/>
    <w:rsid w:val="00E000F4"/>
    <w:rsid w:val="00E01231"/>
    <w:rsid w:val="00E04279"/>
    <w:rsid w:val="00E059D2"/>
    <w:rsid w:val="00E11393"/>
    <w:rsid w:val="00E125D9"/>
    <w:rsid w:val="00E16D30"/>
    <w:rsid w:val="00E212A7"/>
    <w:rsid w:val="00E31E69"/>
    <w:rsid w:val="00E33169"/>
    <w:rsid w:val="00E34A7B"/>
    <w:rsid w:val="00E40973"/>
    <w:rsid w:val="00E545FF"/>
    <w:rsid w:val="00E6080E"/>
    <w:rsid w:val="00E6132A"/>
    <w:rsid w:val="00E64168"/>
    <w:rsid w:val="00E655B3"/>
    <w:rsid w:val="00E7081D"/>
    <w:rsid w:val="00E70904"/>
    <w:rsid w:val="00E71319"/>
    <w:rsid w:val="00E75171"/>
    <w:rsid w:val="00E804B0"/>
    <w:rsid w:val="00E86772"/>
    <w:rsid w:val="00E90B8B"/>
    <w:rsid w:val="00E93ADD"/>
    <w:rsid w:val="00E952D8"/>
    <w:rsid w:val="00EA4298"/>
    <w:rsid w:val="00EA66AE"/>
    <w:rsid w:val="00EB00E4"/>
    <w:rsid w:val="00EB28DA"/>
    <w:rsid w:val="00EB3812"/>
    <w:rsid w:val="00EB44EB"/>
    <w:rsid w:val="00EB4E4F"/>
    <w:rsid w:val="00EB66B8"/>
    <w:rsid w:val="00EB791E"/>
    <w:rsid w:val="00EC70A9"/>
    <w:rsid w:val="00ED1364"/>
    <w:rsid w:val="00ED4C3A"/>
    <w:rsid w:val="00EE1C85"/>
    <w:rsid w:val="00EE326A"/>
    <w:rsid w:val="00EF21D9"/>
    <w:rsid w:val="00EF2A94"/>
    <w:rsid w:val="00EF32FB"/>
    <w:rsid w:val="00EF44B1"/>
    <w:rsid w:val="00EF4865"/>
    <w:rsid w:val="00EF5954"/>
    <w:rsid w:val="00F014EE"/>
    <w:rsid w:val="00F100D2"/>
    <w:rsid w:val="00F12942"/>
    <w:rsid w:val="00F13C41"/>
    <w:rsid w:val="00F14886"/>
    <w:rsid w:val="00F16421"/>
    <w:rsid w:val="00F201EE"/>
    <w:rsid w:val="00F32718"/>
    <w:rsid w:val="00F35AA0"/>
    <w:rsid w:val="00F42DAC"/>
    <w:rsid w:val="00F43C49"/>
    <w:rsid w:val="00F43DDC"/>
    <w:rsid w:val="00F45C12"/>
    <w:rsid w:val="00F460F2"/>
    <w:rsid w:val="00F544A2"/>
    <w:rsid w:val="00F668B3"/>
    <w:rsid w:val="00F66C89"/>
    <w:rsid w:val="00F73D03"/>
    <w:rsid w:val="00F76CB9"/>
    <w:rsid w:val="00F77A73"/>
    <w:rsid w:val="00F80E46"/>
    <w:rsid w:val="00F81C8D"/>
    <w:rsid w:val="00F84AC6"/>
    <w:rsid w:val="00F93F3A"/>
    <w:rsid w:val="00F96236"/>
    <w:rsid w:val="00FA10CE"/>
    <w:rsid w:val="00FA222F"/>
    <w:rsid w:val="00FA2891"/>
    <w:rsid w:val="00FB14FE"/>
    <w:rsid w:val="00FB693D"/>
    <w:rsid w:val="00FB7768"/>
    <w:rsid w:val="00FC7489"/>
    <w:rsid w:val="00FD1BA8"/>
    <w:rsid w:val="00FD218F"/>
    <w:rsid w:val="00FD5663"/>
    <w:rsid w:val="00FD56C6"/>
    <w:rsid w:val="00FE3221"/>
    <w:rsid w:val="00FE48EA"/>
    <w:rsid w:val="00FE571F"/>
    <w:rsid w:val="00FF2F80"/>
    <w:rsid w:val="00FF47F6"/>
    <w:rsid w:val="01131B55"/>
    <w:rsid w:val="016E63C2"/>
    <w:rsid w:val="024B0C39"/>
    <w:rsid w:val="081B54CF"/>
    <w:rsid w:val="089D4E5C"/>
    <w:rsid w:val="0A8128A6"/>
    <w:rsid w:val="0BF32A1B"/>
    <w:rsid w:val="10BD2C22"/>
    <w:rsid w:val="1C0F130D"/>
    <w:rsid w:val="1E8D2AA5"/>
    <w:rsid w:val="1F7F50B2"/>
    <w:rsid w:val="22987C80"/>
    <w:rsid w:val="24192CCC"/>
    <w:rsid w:val="2D9348FA"/>
    <w:rsid w:val="308A649E"/>
    <w:rsid w:val="319B7472"/>
    <w:rsid w:val="38BF030D"/>
    <w:rsid w:val="39A66CD4"/>
    <w:rsid w:val="3CD52CE1"/>
    <w:rsid w:val="3FC67080"/>
    <w:rsid w:val="410F2E6A"/>
    <w:rsid w:val="4430136C"/>
    <w:rsid w:val="44E67CEF"/>
    <w:rsid w:val="48C47BC8"/>
    <w:rsid w:val="49650EB7"/>
    <w:rsid w:val="4AB0382B"/>
    <w:rsid w:val="4F5F0DCA"/>
    <w:rsid w:val="501624F3"/>
    <w:rsid w:val="569868B5"/>
    <w:rsid w:val="5FD50C35"/>
    <w:rsid w:val="611F6817"/>
    <w:rsid w:val="637C5F97"/>
    <w:rsid w:val="66CA1754"/>
    <w:rsid w:val="6EDA1DC4"/>
    <w:rsid w:val="6F1E65D4"/>
    <w:rsid w:val="6F266C86"/>
    <w:rsid w:val="6F5042C2"/>
    <w:rsid w:val="71CD79BE"/>
    <w:rsid w:val="74316312"/>
    <w:rsid w:val="77E93077"/>
    <w:rsid w:val="780F13C8"/>
    <w:rsid w:val="7C385448"/>
    <w:rsid w:val="7C9712F4"/>
    <w:rsid w:val="7CB3663D"/>
    <w:rsid w:val="7DE700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sz w:val="24"/>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widowControl w:val="0"/>
      <w:snapToGrid w:val="0"/>
      <w:spacing w:before="260" w:after="260" w:line="413" w:lineRule="auto"/>
      <w:ind w:firstLine="560" w:firstLineChars="200"/>
      <w:jc w:val="both"/>
      <w:outlineLvl w:val="1"/>
    </w:pPr>
    <w:rPr>
      <w:rFonts w:ascii="Arial" w:hAnsi="Arial" w:eastAsia="黑体" w:cs="微软雅黑"/>
      <w:b/>
      <w:sz w:val="32"/>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4">
    <w:name w:val="annotation text"/>
    <w:basedOn w:val="1"/>
    <w:link w:val="15"/>
    <w:qFormat/>
    <w:uiPriority w:val="99"/>
    <w:pPr>
      <w:widowControl w:val="0"/>
    </w:pPr>
    <w:rPr>
      <w:rFonts w:ascii="Times New Roman" w:hAnsi="Times New Roman" w:cs="Times New Roman"/>
      <w:kern w:val="2"/>
      <w:sz w:val="21"/>
    </w:rPr>
  </w:style>
  <w:style w:type="paragraph" w:styleId="5">
    <w:name w:val="Balloon Text"/>
    <w:basedOn w:val="1"/>
    <w:link w:val="16"/>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pPr>
    <w:rPr>
      <w:rFonts w:ascii="Calibri" w:hAnsi="Calibri" w:eastAsia="宋体" w:cs="Times New Roman"/>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unhideWhenUsed/>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标题 1 Char"/>
    <w:basedOn w:val="11"/>
    <w:link w:val="2"/>
    <w:uiPriority w:val="9"/>
    <w:rPr>
      <w:rFonts w:ascii="Calibri" w:hAnsi="Calibri" w:eastAsia="宋体" w:cs="Times New Roman"/>
      <w:b/>
      <w:bCs/>
      <w:kern w:val="44"/>
      <w:sz w:val="44"/>
      <w:szCs w:val="44"/>
    </w:rPr>
  </w:style>
  <w:style w:type="character" w:customStyle="1" w:styleId="14">
    <w:name w:val="标题 2 Char"/>
    <w:basedOn w:val="11"/>
    <w:link w:val="3"/>
    <w:uiPriority w:val="0"/>
    <w:rPr>
      <w:rFonts w:ascii="Arial" w:hAnsi="Arial" w:eastAsia="黑体" w:cs="微软雅黑"/>
      <w:b/>
      <w:sz w:val="32"/>
      <w:szCs w:val="24"/>
    </w:rPr>
  </w:style>
  <w:style w:type="character" w:customStyle="1" w:styleId="15">
    <w:name w:val="批注文字 Char"/>
    <w:basedOn w:val="11"/>
    <w:link w:val="4"/>
    <w:uiPriority w:val="99"/>
    <w:rPr>
      <w:rFonts w:ascii="Times New Roman" w:hAnsi="Times New Roman" w:eastAsia="宋体" w:cs="Times New Roman"/>
      <w:kern w:val="2"/>
      <w:sz w:val="21"/>
      <w:szCs w:val="24"/>
    </w:rPr>
  </w:style>
  <w:style w:type="character" w:customStyle="1" w:styleId="16">
    <w:name w:val="批注框文本 Char"/>
    <w:basedOn w:val="11"/>
    <w:link w:val="5"/>
    <w:semiHidden/>
    <w:uiPriority w:val="99"/>
    <w:rPr>
      <w:rFonts w:ascii="宋体" w:hAnsi="宋体" w:eastAsia="宋体" w:cs="宋体"/>
      <w:sz w:val="18"/>
      <w:szCs w:val="18"/>
    </w:rPr>
  </w:style>
  <w:style w:type="character" w:customStyle="1" w:styleId="17">
    <w:name w:val="页脚 Char"/>
    <w:basedOn w:val="11"/>
    <w:link w:val="6"/>
    <w:semiHidden/>
    <w:qFormat/>
    <w:uiPriority w:val="99"/>
    <w:rPr>
      <w:sz w:val="18"/>
      <w:szCs w:val="18"/>
    </w:rPr>
  </w:style>
  <w:style w:type="character" w:customStyle="1" w:styleId="18">
    <w:name w:val="页眉 Char"/>
    <w:basedOn w:val="11"/>
    <w:link w:val="7"/>
    <w:semiHidden/>
    <w:qFormat/>
    <w:uiPriority w:val="99"/>
    <w:rPr>
      <w:sz w:val="18"/>
      <w:szCs w:val="18"/>
    </w:rPr>
  </w:style>
  <w:style w:type="paragraph" w:customStyle="1" w:styleId="19">
    <w:name w:val="表格标题DG"/>
    <w:basedOn w:val="1"/>
    <w:qFormat/>
    <w:uiPriority w:val="0"/>
    <w:pPr>
      <w:snapToGrid w:val="0"/>
      <w:jc w:val="center"/>
    </w:pPr>
    <w:rPr>
      <w:rFonts w:ascii="Arial" w:hAnsi="Arial" w:eastAsia="黑体"/>
      <w:bCs/>
      <w:color w:val="000000"/>
      <w:sz w:val="21"/>
      <w:szCs w:val="20"/>
    </w:rPr>
  </w:style>
  <w:style w:type="paragraph" w:customStyle="1" w:styleId="20">
    <w:name w:val="表格正文DG"/>
    <w:basedOn w:val="1"/>
    <w:qFormat/>
    <w:uiPriority w:val="0"/>
    <w:pPr>
      <w:jc w:val="center"/>
    </w:pPr>
    <w:rPr>
      <w:rFonts w:ascii="Times New Roman" w:hAnsi="Times New Roman"/>
      <w:color w:val="000000"/>
      <w:sz w:val="21"/>
      <w:szCs w:val="21"/>
    </w:rPr>
  </w:style>
  <w:style w:type="paragraph" w:styleId="21">
    <w:name w:val="List Paragraph"/>
    <w:basedOn w:val="1"/>
    <w:unhideWhenUsed/>
    <w:uiPriority w:val="99"/>
    <w:pPr>
      <w:ind w:firstLine="420" w:firstLineChars="200"/>
    </w:pPr>
  </w:style>
  <w:style w:type="paragraph" w:customStyle="1" w:styleId="22">
    <w:name w:val="一级标题DG"/>
    <w:basedOn w:val="1"/>
    <w:qFormat/>
    <w:uiPriority w:val="0"/>
    <w:pPr>
      <w:spacing w:line="480" w:lineRule="auto"/>
      <w:outlineLvl w:val="0"/>
    </w:pPr>
    <w:rPr>
      <w:rFonts w:ascii="Arial" w:hAnsi="Arial" w:eastAsia="黑体"/>
      <w:sz w:val="28"/>
    </w:rPr>
  </w:style>
  <w:style w:type="paragraph" w:customStyle="1" w:styleId="23">
    <w:name w:val="二级标题DG"/>
    <w:basedOn w:val="8"/>
    <w:qFormat/>
    <w:uiPriority w:val="0"/>
    <w:pPr>
      <w:spacing w:beforeLines="25" w:beforeAutospacing="0" w:afterLines="50" w:afterAutospacing="0" w:line="440" w:lineRule="exact"/>
      <w:outlineLvl w:val="1"/>
    </w:pPr>
    <w:rPr>
      <w:rFonts w:ascii="Times New Roman" w:hAnsi="Times New Roman"/>
      <w:b/>
    </w:rPr>
  </w:style>
  <w:style w:type="paragraph" w:customStyle="1" w:styleId="24">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5">
    <w:name w:val="editor-text-node"/>
    <w:basedOn w:val="11"/>
    <w:uiPriority w:val="0"/>
  </w:style>
  <w:style w:type="character" w:styleId="26">
    <w:name w:val="Placeholder Text"/>
    <w:basedOn w:val="11"/>
    <w:unhideWhenUsed/>
    <w:uiPriority w:val="99"/>
    <w:rPr>
      <w:color w:val="808080"/>
    </w:rPr>
  </w:style>
  <w:style w:type="paragraph" w:customStyle="1" w:styleId="27">
    <w:name w:val="表格标题"/>
    <w:basedOn w:val="1"/>
    <w:qFormat/>
    <w:uiPriority w:val="0"/>
    <w:pPr>
      <w:snapToGrid w:val="0"/>
      <w:jc w:val="center"/>
    </w:pPr>
    <w:rPr>
      <w:rFonts w:ascii="Times New Roman" w:hAnsi="Times New Roman" w:eastAsia="黑体"/>
      <w:bCs/>
      <w:color w:val="000000"/>
      <w:sz w:val="21"/>
      <w:szCs w:val="20"/>
    </w:rPr>
  </w:style>
  <w:style w:type="paragraph" w:customStyle="1" w:styleId="28">
    <w:name w:val="一级标题"/>
    <w:basedOn w:val="1"/>
    <w:qFormat/>
    <w:uiPriority w:val="0"/>
    <w:pPr>
      <w:spacing w:before="100" w:beforeLines="100"/>
      <w:outlineLvl w:val="0"/>
    </w:pPr>
    <w:rPr>
      <w:rFonts w:ascii="Arial" w:hAnsi="Arial" w:eastAsia="黑体"/>
      <w:sz w:val="28"/>
    </w:rPr>
  </w:style>
  <w:style w:type="paragraph" w:customStyle="1" w:styleId="29">
    <w:name w:val="二级标题"/>
    <w:basedOn w:val="8"/>
    <w:qFormat/>
    <w:uiPriority w:val="0"/>
    <w:pPr>
      <w:spacing w:before="50" w:beforeLines="50" w:beforeAutospacing="0" w:after="50" w:afterLines="50" w:afterAutospacing="0"/>
      <w:outlineLvl w:val="1"/>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13055</Words>
  <Characters>13354</Characters>
  <Lines>106</Lines>
  <Paragraphs>30</Paragraphs>
  <TotalTime>32</TotalTime>
  <ScaleCrop>false</ScaleCrop>
  <LinksUpToDate>false</LinksUpToDate>
  <CharactersWithSpaces>13730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2024-02-23T08:53:00Z</dcterms:created>
  <dc:creator>juvg</dc:creator>
  <cp:lastModifiedBy>原味小芈</cp:lastModifiedBy>
  <cp:lastPrinted>2023-11-21T00:52:00Z</cp:lastPrinted>
  <dcterms:modified xsi:type="dcterms:W3CDTF">2026-03-08T14:34:46Z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C76598CD19EE41FA8DF9BF675B002F35_13</vt:lpwstr>
  </property>
  <property fmtid="{D5CDD505-2E9C-101B-9397-08002B2CF9AE}" pid="4" name="KSOTemplateDocerSaveRecord">
    <vt:lpwstr>eyJoZGlkIjoiZmVkMDBjZWEwMTI4OTQ1MTg2MTMzOGVkYTNkYWNmOWEiLCJ1c2VySWQiOiI0NTA4ODAxMzUifQ==</vt:lpwstr>
  </property>
</Properties>
</file>