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D88E7">
      <w:pPr>
        <w:jc w:val="center"/>
        <w:rPr>
          <w:rFonts w:ascii="黑体" w:hAnsi="黑体" w:eastAsia="黑体"/>
          <w:bCs/>
          <w:sz w:val="32"/>
          <w:szCs w:val="32"/>
        </w:rPr>
      </w:pPr>
      <w:r>
        <w:rPr>
          <w:rFonts w:hint="eastAsia" w:ascii="黑体" w:hAnsi="黑体" w:eastAsia="黑体"/>
          <w:bCs/>
          <w:sz w:val="32"/>
          <w:szCs w:val="32"/>
        </w:rPr>
        <w:t>《</w:t>
      </w:r>
      <w:r>
        <w:rPr>
          <w:rFonts w:hint="default" w:ascii="黑体" w:hAnsi="黑体" w:eastAsia="黑体"/>
          <w:bCs/>
          <w:sz w:val="32"/>
          <w:szCs w:val="32"/>
          <w:lang w:val="en-US"/>
        </w:rPr>
        <w:t>疾病学基础</w:t>
      </w:r>
      <w:r>
        <w:rPr>
          <w:rFonts w:hint="eastAsia" w:ascii="黑体" w:hAnsi="黑体" w:eastAsia="黑体"/>
          <w:bCs/>
          <w:sz w:val="32"/>
          <w:szCs w:val="32"/>
        </w:rPr>
        <w:t>》本科课程教学大纲</w:t>
      </w:r>
    </w:p>
    <w:p w14:paraId="FDB5B4A6">
      <w:pPr>
        <w:pStyle w:val="2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F4E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8E0860BF">
            <w:pPr>
              <w:widowControl w:val="0"/>
              <w:jc w:val="center"/>
              <w:rPr>
                <w:rFonts w:ascii="黑体" w:hAnsi="黑体" w:eastAsia="黑体"/>
                <w:color w:val="000000"/>
                <w:sz w:val="21"/>
                <w:szCs w:val="18"/>
              </w:rPr>
            </w:pPr>
            <w:bookmarkStart w:id="6" w:name="_GoBack" w:colFirst="0" w:colLast="5"/>
            <w:r>
              <w:rPr>
                <w:rFonts w:hint="eastAsia" w:ascii="黑体" w:hAnsi="黑体" w:eastAsia="黑体"/>
                <w:color w:val="000000"/>
                <w:sz w:val="21"/>
                <w:szCs w:val="18"/>
              </w:rPr>
              <w:t>课程名称</w:t>
            </w:r>
          </w:p>
        </w:tc>
        <w:tc>
          <w:tcPr>
            <w:tcW w:w="6585" w:type="dxa"/>
            <w:gridSpan w:val="6"/>
            <w:tcBorders>
              <w:top w:val="single" w:color="auto" w:sz="12" w:space="0"/>
              <w:right w:val="single" w:color="auto" w:sz="12" w:space="0"/>
            </w:tcBorders>
            <w:vAlign w:val="center"/>
          </w:tcPr>
          <w:p w14:paraId="8C079F37">
            <w:pPr>
              <w:widowControl w:val="0"/>
              <w:jc w:val="left"/>
              <w:rPr>
                <w:color w:val="000000"/>
                <w:sz w:val="21"/>
                <w:szCs w:val="21"/>
              </w:rPr>
            </w:pPr>
            <w:r>
              <w:rPr>
                <w:rFonts w:hint="eastAsia" w:ascii="黑体" w:hAnsi="黑体" w:eastAsia="黑体"/>
                <w:color w:val="000000"/>
                <w:sz w:val="21"/>
                <w:szCs w:val="21"/>
              </w:rPr>
              <w:t>（中文）</w:t>
            </w:r>
            <w:r>
              <w:rPr>
                <w:rFonts w:hint="default" w:ascii="黑体" w:hAnsi="黑体" w:eastAsia="黑体"/>
                <w:color w:val="000000"/>
                <w:sz w:val="21"/>
                <w:szCs w:val="21"/>
                <w:lang w:val="en-US"/>
              </w:rPr>
              <w:t>疾病学基础</w:t>
            </w:r>
          </w:p>
        </w:tc>
      </w:tr>
      <w:tr w14:paraId="2731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6DFA24B">
            <w:pPr>
              <w:widowControl w:val="0"/>
              <w:jc w:val="center"/>
              <w:rPr>
                <w:rFonts w:ascii="黑体" w:hAnsi="黑体" w:eastAsia="黑体"/>
                <w:color w:val="000000"/>
                <w:sz w:val="21"/>
                <w:szCs w:val="18"/>
              </w:rPr>
            </w:pPr>
          </w:p>
        </w:tc>
        <w:tc>
          <w:tcPr>
            <w:tcW w:w="6585" w:type="dxa"/>
            <w:gridSpan w:val="6"/>
            <w:tcBorders>
              <w:right w:val="single" w:color="auto" w:sz="12" w:space="0"/>
            </w:tcBorders>
            <w:vAlign w:val="center"/>
          </w:tcPr>
          <w:p w14:paraId="A7315091">
            <w:pPr>
              <w:widowControl w:val="0"/>
              <w:jc w:val="left"/>
              <w:rPr>
                <w:color w:val="000000"/>
                <w:sz w:val="21"/>
                <w:szCs w:val="21"/>
              </w:rPr>
            </w:pPr>
            <w:r>
              <w:rPr>
                <w:rFonts w:hint="eastAsia" w:ascii="黑体" w:hAnsi="黑体" w:eastAsia="黑体"/>
                <w:color w:val="000000"/>
                <w:sz w:val="21"/>
                <w:szCs w:val="21"/>
              </w:rPr>
              <w:t>（英文）</w:t>
            </w:r>
            <w:r>
              <w:rPr>
                <w:rFonts w:hint="default" w:ascii="宋体" w:hAnsi="宋体" w:eastAsia="宋体" w:cs="Times New Roman"/>
                <w:b/>
                <w:bCs/>
                <w:i w:val="0"/>
                <w:iCs w:val="0"/>
                <w:color w:val="auto"/>
                <w:kern w:val="2"/>
                <w:sz w:val="28"/>
                <w:szCs w:val="28"/>
                <w:highlight w:val="none"/>
                <w:vertAlign w:val="baseline"/>
                <w:lang w:val="en-US" w:eastAsia="zh-CN" w:bidi="ar-SA"/>
              </w:rPr>
              <w:t>Fundamentals of Disease</w:t>
            </w:r>
          </w:p>
        </w:tc>
      </w:tr>
      <w:tr w14:paraId="FC67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A877FE8B">
            <w:pPr>
              <w:widowControl w:val="0"/>
              <w:jc w:val="center"/>
              <w:rPr>
                <w:rFonts w:ascii="黑体" w:hAnsi="黑体" w:eastAsia="黑体"/>
                <w:color w:val="000000"/>
                <w:sz w:val="21"/>
                <w:szCs w:val="18"/>
              </w:rPr>
            </w:pPr>
            <w:r>
              <w:rPr>
                <w:rFonts w:ascii="黑体" w:hAnsi="黑体" w:eastAsia="黑体"/>
                <w:color w:val="000000"/>
                <w:sz w:val="21"/>
                <w:szCs w:val="18"/>
              </w:rPr>
              <w:t>课程代码</w:t>
            </w:r>
          </w:p>
        </w:tc>
        <w:tc>
          <w:tcPr>
            <w:tcW w:w="2260" w:type="dxa"/>
            <w:vAlign w:val="center"/>
          </w:tcPr>
          <w:p w14:paraId="80B01774">
            <w:pPr>
              <w:widowControl w:val="0"/>
              <w:jc w:val="center"/>
              <w:rPr>
                <w:rFonts w:ascii="黑体" w:hAnsi="黑体" w:eastAsia="黑体"/>
                <w:color w:val="000000"/>
                <w:sz w:val="21"/>
                <w:szCs w:val="21"/>
              </w:rPr>
            </w:pPr>
            <w:r>
              <w:rPr>
                <w:rFonts w:ascii="黑体" w:hAnsi="黑体" w:eastAsia="黑体"/>
                <w:color w:val="000000"/>
                <w:sz w:val="21"/>
                <w:szCs w:val="21"/>
                <w:lang w:val="en-US"/>
              </w:rPr>
              <w:t>2170003</w:t>
            </w:r>
          </w:p>
        </w:tc>
        <w:tc>
          <w:tcPr>
            <w:tcW w:w="2126" w:type="dxa"/>
            <w:gridSpan w:val="2"/>
            <w:vAlign w:val="center"/>
          </w:tcPr>
          <w:p w14:paraId="202312BF">
            <w:pPr>
              <w:widowControl w:val="0"/>
              <w:jc w:val="center"/>
              <w:rPr>
                <w:rFonts w:ascii="黑体" w:hAnsi="黑体" w:eastAsia="黑体"/>
                <w:color w:val="000000"/>
                <w:sz w:val="21"/>
                <w:szCs w:val="21"/>
              </w:rPr>
            </w:pPr>
            <w:r>
              <w:rPr>
                <w:rFonts w:ascii="黑体" w:hAnsi="黑体" w:eastAsia="黑体"/>
                <w:color w:val="000000"/>
                <w:sz w:val="21"/>
                <w:szCs w:val="21"/>
              </w:rPr>
              <w:t>课程学分</w:t>
            </w:r>
          </w:p>
        </w:tc>
        <w:tc>
          <w:tcPr>
            <w:tcW w:w="2199" w:type="dxa"/>
            <w:gridSpan w:val="3"/>
            <w:tcBorders>
              <w:right w:val="single" w:color="auto" w:sz="12" w:space="0"/>
            </w:tcBorders>
            <w:vAlign w:val="center"/>
          </w:tcPr>
          <w:p w14:paraId="351D9073">
            <w:pPr>
              <w:widowControl w:val="0"/>
              <w:jc w:val="center"/>
              <w:rPr>
                <w:color w:val="000000"/>
                <w:sz w:val="21"/>
                <w:szCs w:val="21"/>
              </w:rPr>
            </w:pPr>
            <w:r>
              <w:rPr>
                <w:color w:val="000000"/>
                <w:sz w:val="21"/>
                <w:szCs w:val="21"/>
                <w:lang w:val="en-US"/>
              </w:rPr>
              <w:t>4分</w:t>
            </w:r>
          </w:p>
        </w:tc>
      </w:tr>
      <w:tr w14:paraId="5BCA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5DCD78A">
            <w:pPr>
              <w:widowControl w:val="0"/>
              <w:jc w:val="center"/>
              <w:rPr>
                <w:sz w:val="21"/>
                <w:szCs w:val="18"/>
              </w:rPr>
            </w:pPr>
            <w:r>
              <w:rPr>
                <w:rFonts w:hint="eastAsia" w:ascii="黑体" w:hAnsi="黑体" w:eastAsia="黑体"/>
                <w:color w:val="000000"/>
                <w:sz w:val="21"/>
                <w:szCs w:val="18"/>
              </w:rPr>
              <w:t>课程学时</w:t>
            </w:r>
            <w:r>
              <w:rPr>
                <w:rFonts w:hint="eastAsia"/>
                <w:sz w:val="21"/>
                <w:szCs w:val="18"/>
              </w:rPr>
              <w:t xml:space="preserve"> </w:t>
            </w:r>
          </w:p>
        </w:tc>
        <w:tc>
          <w:tcPr>
            <w:tcW w:w="2260" w:type="dxa"/>
            <w:vAlign w:val="center"/>
          </w:tcPr>
          <w:p w14:paraId="B057C87A">
            <w:pPr>
              <w:widowControl w:val="0"/>
              <w:jc w:val="center"/>
              <w:rPr>
                <w:rFonts w:ascii="Times New Roman" w:hAnsi="Times New Roman"/>
                <w:color w:val="000000"/>
                <w:sz w:val="21"/>
                <w:szCs w:val="21"/>
              </w:rPr>
            </w:pPr>
            <w:r>
              <w:rPr>
                <w:rFonts w:ascii="Times New Roman" w:hAnsi="Times New Roman"/>
                <w:color w:val="000000"/>
                <w:sz w:val="21"/>
                <w:szCs w:val="21"/>
                <w:lang w:val="en-US"/>
              </w:rPr>
              <w:t>64</w:t>
            </w:r>
          </w:p>
        </w:tc>
        <w:tc>
          <w:tcPr>
            <w:tcW w:w="1272" w:type="dxa"/>
            <w:vAlign w:val="center"/>
          </w:tcPr>
          <w:p w14:paraId="AC591143">
            <w:pPr>
              <w:widowControl w:val="0"/>
              <w:jc w:val="center"/>
              <w:rPr>
                <w:color w:val="000000"/>
                <w:sz w:val="21"/>
                <w:szCs w:val="21"/>
              </w:rPr>
            </w:pPr>
            <w:r>
              <w:rPr>
                <w:rFonts w:hint="eastAsia" w:ascii="黑体" w:hAnsi="黑体" w:eastAsia="黑体"/>
                <w:color w:val="000000"/>
                <w:sz w:val="21"/>
                <w:szCs w:val="21"/>
              </w:rPr>
              <w:t>理论学时</w:t>
            </w:r>
          </w:p>
        </w:tc>
        <w:tc>
          <w:tcPr>
            <w:tcW w:w="854" w:type="dxa"/>
            <w:vAlign w:val="center"/>
          </w:tcPr>
          <w:p w14:paraId="3976A7F2">
            <w:pPr>
              <w:widowControl w:val="0"/>
              <w:jc w:val="center"/>
              <w:rPr>
                <w:color w:val="000000"/>
                <w:sz w:val="21"/>
                <w:szCs w:val="21"/>
              </w:rPr>
            </w:pPr>
            <w:r>
              <w:rPr>
                <w:color w:val="000000"/>
                <w:sz w:val="21"/>
                <w:szCs w:val="21"/>
                <w:lang w:val="en-US"/>
              </w:rPr>
              <w:t>48</w:t>
            </w:r>
          </w:p>
        </w:tc>
        <w:tc>
          <w:tcPr>
            <w:tcW w:w="1413" w:type="dxa"/>
            <w:gridSpan w:val="2"/>
            <w:vAlign w:val="center"/>
          </w:tcPr>
          <w:p w14:paraId="F082290E">
            <w:pPr>
              <w:widowControl w:val="0"/>
              <w:jc w:val="center"/>
              <w:rPr>
                <w:color w:val="000000"/>
                <w:sz w:val="21"/>
                <w:szCs w:val="21"/>
              </w:rPr>
            </w:pPr>
            <w:r>
              <w:rPr>
                <w:rFonts w:hint="eastAsia" w:ascii="黑体" w:hAnsi="黑体" w:eastAsia="黑体"/>
                <w:color w:val="000000"/>
                <w:sz w:val="21"/>
                <w:szCs w:val="21"/>
              </w:rPr>
              <w:t>实践学时</w:t>
            </w:r>
          </w:p>
        </w:tc>
        <w:tc>
          <w:tcPr>
            <w:tcW w:w="786" w:type="dxa"/>
            <w:tcBorders>
              <w:right w:val="single" w:color="auto" w:sz="12" w:space="0"/>
            </w:tcBorders>
            <w:vAlign w:val="center"/>
          </w:tcPr>
          <w:p w14:paraId="E766490B">
            <w:pPr>
              <w:widowControl w:val="0"/>
              <w:jc w:val="center"/>
              <w:rPr>
                <w:color w:val="000000"/>
                <w:sz w:val="21"/>
                <w:szCs w:val="21"/>
              </w:rPr>
            </w:pPr>
            <w:r>
              <w:rPr>
                <w:color w:val="000000"/>
                <w:sz w:val="21"/>
                <w:szCs w:val="21"/>
                <w:lang w:val="en-US"/>
              </w:rPr>
              <w:t>16</w:t>
            </w:r>
          </w:p>
        </w:tc>
      </w:tr>
      <w:tr w14:paraId="D635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09C501">
            <w:pPr>
              <w:widowControl w:val="0"/>
              <w:jc w:val="center"/>
              <w:rPr>
                <w:rFonts w:ascii="黑体" w:hAnsi="黑体" w:eastAsia="黑体"/>
                <w:color w:val="000000"/>
                <w:sz w:val="21"/>
                <w:szCs w:val="18"/>
              </w:rPr>
            </w:pPr>
            <w:r>
              <w:rPr>
                <w:rFonts w:ascii="黑体" w:hAnsi="黑体" w:eastAsia="黑体"/>
                <w:color w:val="000000"/>
                <w:sz w:val="21"/>
                <w:szCs w:val="18"/>
              </w:rPr>
              <w:t>开课</w:t>
            </w:r>
            <w:r>
              <w:rPr>
                <w:rFonts w:hint="eastAsia" w:ascii="黑体" w:hAnsi="黑体" w:eastAsia="黑体"/>
                <w:color w:val="000000"/>
                <w:sz w:val="21"/>
                <w:szCs w:val="18"/>
              </w:rPr>
              <w:t>学院</w:t>
            </w:r>
          </w:p>
        </w:tc>
        <w:tc>
          <w:tcPr>
            <w:tcW w:w="2260" w:type="dxa"/>
            <w:vAlign w:val="center"/>
          </w:tcPr>
          <w:p w14:paraId="6DC0BD8E">
            <w:pPr>
              <w:widowControl w:val="0"/>
              <w:jc w:val="center"/>
              <w:rPr>
                <w:rFonts w:ascii="黑体" w:hAnsi="黑体" w:eastAsia="黑体"/>
                <w:color w:val="000000"/>
                <w:sz w:val="21"/>
                <w:szCs w:val="21"/>
              </w:rPr>
            </w:pPr>
            <w:r>
              <w:rPr>
                <w:rFonts w:ascii="黑体" w:hAnsi="黑体" w:eastAsia="黑体"/>
                <w:color w:val="000000"/>
                <w:sz w:val="21"/>
                <w:szCs w:val="21"/>
                <w:lang w:val="en-US"/>
              </w:rPr>
              <w:t>健康管理学院</w:t>
            </w:r>
          </w:p>
        </w:tc>
        <w:tc>
          <w:tcPr>
            <w:tcW w:w="2126" w:type="dxa"/>
            <w:gridSpan w:val="2"/>
            <w:vAlign w:val="center"/>
          </w:tcPr>
          <w:p w14:paraId="4ADE7E92">
            <w:pPr>
              <w:widowControl w:val="0"/>
              <w:jc w:val="center"/>
              <w:rPr>
                <w:rFonts w:ascii="黑体" w:hAnsi="黑体" w:eastAsia="黑体"/>
                <w:color w:val="000000"/>
                <w:sz w:val="21"/>
                <w:szCs w:val="21"/>
              </w:rPr>
            </w:pPr>
            <w:r>
              <w:rPr>
                <w:rFonts w:hint="eastAsia" w:ascii="黑体" w:hAnsi="黑体" w:eastAsia="黑体"/>
                <w:color w:val="000000"/>
                <w:sz w:val="21"/>
                <w:szCs w:val="21"/>
              </w:rPr>
              <w:t>适用</w:t>
            </w:r>
            <w:r>
              <w:rPr>
                <w:rFonts w:ascii="黑体" w:hAnsi="黑体" w:eastAsia="黑体"/>
                <w:color w:val="000000"/>
                <w:sz w:val="21"/>
                <w:szCs w:val="21"/>
              </w:rPr>
              <w:t>专业</w:t>
            </w:r>
            <w:r>
              <w:rPr>
                <w:rFonts w:hint="eastAsia" w:ascii="黑体" w:hAnsi="黑体" w:eastAsia="黑体"/>
                <w:color w:val="000000"/>
                <w:sz w:val="21"/>
                <w:szCs w:val="21"/>
              </w:rPr>
              <w:t>与年级</w:t>
            </w:r>
          </w:p>
        </w:tc>
        <w:tc>
          <w:tcPr>
            <w:tcW w:w="2199" w:type="dxa"/>
            <w:gridSpan w:val="3"/>
            <w:tcBorders>
              <w:right w:val="single" w:color="auto" w:sz="12" w:space="0"/>
            </w:tcBorders>
            <w:vAlign w:val="center"/>
          </w:tcPr>
          <w:p w14:paraId="E20F5EAE">
            <w:pPr>
              <w:widowControl w:val="0"/>
              <w:jc w:val="center"/>
              <w:rPr>
                <w:color w:val="000000"/>
                <w:sz w:val="21"/>
                <w:szCs w:val="21"/>
              </w:rPr>
            </w:pPr>
            <w:r>
              <w:rPr>
                <w:color w:val="000000"/>
                <w:sz w:val="21"/>
                <w:szCs w:val="21"/>
                <w:lang w:val="en-US"/>
              </w:rPr>
              <w:t>健康服务与管理专业本科1年级</w:t>
            </w:r>
          </w:p>
        </w:tc>
      </w:tr>
      <w:tr w14:paraId="2210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D91E0DB8">
            <w:pPr>
              <w:widowControl w:val="0"/>
              <w:jc w:val="center"/>
              <w:rPr>
                <w:rFonts w:ascii="黑体" w:hAnsi="黑体" w:eastAsia="黑体"/>
                <w:color w:val="000000"/>
                <w:sz w:val="21"/>
                <w:szCs w:val="18"/>
              </w:rPr>
            </w:pPr>
            <w:r>
              <w:rPr>
                <w:rFonts w:hint="eastAsia" w:ascii="黑体" w:hAnsi="黑体" w:eastAsia="黑体"/>
                <w:color w:val="000000"/>
                <w:sz w:val="21"/>
                <w:szCs w:val="18"/>
              </w:rPr>
              <w:t>课程类别与性质</w:t>
            </w:r>
          </w:p>
        </w:tc>
        <w:tc>
          <w:tcPr>
            <w:tcW w:w="2260" w:type="dxa"/>
            <w:vAlign w:val="center"/>
          </w:tcPr>
          <w:p w14:paraId="4FA9D404">
            <w:pPr>
              <w:widowControl w:val="0"/>
              <w:jc w:val="center"/>
              <w:rPr>
                <w:color w:val="000000"/>
                <w:sz w:val="21"/>
                <w:szCs w:val="21"/>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专业</w:t>
            </w:r>
            <w:r>
              <w:rPr>
                <w:rFonts w:hint="default" w:ascii="宋体" w:hAnsi="宋体" w:eastAsia="宋体" w:cs="Times New Roman"/>
                <w:b w:val="0"/>
                <w:bCs w:val="0"/>
                <w:i w:val="0"/>
                <w:iCs w:val="0"/>
                <w:color w:val="000000"/>
                <w:kern w:val="2"/>
                <w:sz w:val="20"/>
                <w:szCs w:val="20"/>
                <w:highlight w:val="none"/>
                <w:vertAlign w:val="baseline"/>
                <w:lang w:val="en-US" w:eastAsia="zh-CN" w:bidi="ar-SA"/>
              </w:rPr>
              <w:t>必修课程</w:t>
            </w:r>
          </w:p>
        </w:tc>
        <w:tc>
          <w:tcPr>
            <w:tcW w:w="2126" w:type="dxa"/>
            <w:gridSpan w:val="2"/>
            <w:vAlign w:val="center"/>
          </w:tcPr>
          <w:p w14:paraId="EEC2594D">
            <w:pPr>
              <w:widowControl w:val="0"/>
              <w:jc w:val="center"/>
              <w:rPr>
                <w:rFonts w:ascii="黑体" w:hAnsi="黑体" w:eastAsia="黑体"/>
                <w:color w:val="000000"/>
                <w:sz w:val="21"/>
                <w:szCs w:val="21"/>
              </w:rPr>
            </w:pPr>
            <w:r>
              <w:rPr>
                <w:rFonts w:hint="eastAsia" w:ascii="黑体" w:hAnsi="黑体" w:eastAsia="黑体"/>
                <w:color w:val="000000"/>
                <w:sz w:val="21"/>
                <w:szCs w:val="21"/>
              </w:rPr>
              <w:t>考核方式</w:t>
            </w:r>
          </w:p>
        </w:tc>
        <w:tc>
          <w:tcPr>
            <w:tcW w:w="2199" w:type="dxa"/>
            <w:gridSpan w:val="3"/>
            <w:tcBorders>
              <w:right w:val="single" w:color="auto" w:sz="12" w:space="0"/>
            </w:tcBorders>
            <w:vAlign w:val="center"/>
          </w:tcPr>
          <w:p w14:paraId="34F4D21F">
            <w:pPr>
              <w:widowControl w:val="0"/>
              <w:jc w:val="center"/>
              <w:rPr>
                <w:color w:val="000000"/>
                <w:sz w:val="21"/>
                <w:szCs w:val="21"/>
              </w:rPr>
            </w:pPr>
            <w:r>
              <w:rPr>
                <w:color w:val="000000"/>
                <w:sz w:val="21"/>
                <w:szCs w:val="21"/>
                <w:lang w:val="en-US"/>
              </w:rPr>
              <w:t>1+X</w:t>
            </w:r>
          </w:p>
        </w:tc>
      </w:tr>
      <w:tr w14:paraId="CA94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8BE58476">
            <w:pPr>
              <w:widowControl w:val="0"/>
              <w:jc w:val="center"/>
              <w:rPr>
                <w:rFonts w:ascii="黑体" w:hAnsi="黑体" w:eastAsia="黑体"/>
                <w:color w:val="000000"/>
                <w:sz w:val="21"/>
                <w:szCs w:val="18"/>
              </w:rPr>
            </w:pPr>
            <w:r>
              <w:rPr>
                <w:rFonts w:hint="eastAsia" w:ascii="黑体" w:hAnsi="黑体" w:eastAsia="黑体"/>
                <w:color w:val="000000"/>
                <w:sz w:val="21"/>
                <w:szCs w:val="18"/>
              </w:rPr>
              <w:t>选</w:t>
            </w:r>
            <w:r>
              <w:rPr>
                <w:rFonts w:ascii="黑体" w:hAnsi="黑体" w:eastAsia="黑体"/>
                <w:color w:val="000000"/>
                <w:sz w:val="21"/>
                <w:szCs w:val="18"/>
              </w:rPr>
              <w:t>用教材</w:t>
            </w:r>
          </w:p>
        </w:tc>
        <w:tc>
          <w:tcPr>
            <w:tcW w:w="4386" w:type="dxa"/>
            <w:gridSpan w:val="3"/>
            <w:vAlign w:val="center"/>
          </w:tcPr>
          <w:p w14:paraId="2F22F82F">
            <w:pPr>
              <w:widowControl w:val="0"/>
              <w:jc w:val="center"/>
              <w:rPr>
                <w:rFonts w:ascii="Times New Roman" w:hAnsi="Times New Roman"/>
                <w:color w:val="000000"/>
                <w:sz w:val="21"/>
                <w:szCs w:val="21"/>
              </w:rPr>
            </w:pPr>
            <w:r>
              <w:rPr>
                <w:rFonts w:hint="default" w:ascii="宋体" w:hAnsi="宋体" w:eastAsia="宋体" w:cs="Times New Roman"/>
                <w:b w:val="0"/>
                <w:bCs w:val="0"/>
                <w:i w:val="0"/>
                <w:iCs w:val="0"/>
                <w:color w:val="000000"/>
                <w:kern w:val="2"/>
                <w:sz w:val="20"/>
                <w:szCs w:val="20"/>
                <w:highlight w:val="none"/>
                <w:vertAlign w:val="baseline"/>
                <w:lang w:val="en-US" w:eastAsia="zh-CN" w:bidi="ar-SA"/>
              </w:rPr>
              <w:t>《疾病学基础》，姜昕，姜成，第三版，</w:t>
            </w: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2021-12</w:t>
            </w:r>
          </w:p>
        </w:tc>
        <w:tc>
          <w:tcPr>
            <w:tcW w:w="1413" w:type="dxa"/>
            <w:gridSpan w:val="2"/>
            <w:vAlign w:val="center"/>
          </w:tcPr>
          <w:p w14:paraId="042F1230">
            <w:pPr>
              <w:widowControl w:val="0"/>
              <w:jc w:val="center"/>
              <w:rPr>
                <w:rFonts w:ascii="黑体" w:hAnsi="黑体" w:eastAsia="黑体"/>
                <w:color w:val="000000"/>
                <w:sz w:val="21"/>
                <w:szCs w:val="21"/>
              </w:rPr>
            </w:pPr>
            <w:r>
              <w:rPr>
                <w:rFonts w:hint="eastAsia" w:ascii="黑体" w:hAnsi="黑体" w:eastAsia="黑体"/>
                <w:color w:val="000000"/>
                <w:sz w:val="21"/>
                <w:szCs w:val="21"/>
              </w:rPr>
              <w:t>是否为</w:t>
            </w:r>
          </w:p>
          <w:p w14:paraId="BBE683C8">
            <w:pPr>
              <w:widowControl w:val="0"/>
              <w:jc w:val="center"/>
              <w:rPr>
                <w:rFonts w:ascii="黑体" w:hAnsi="黑体" w:eastAsia="黑体"/>
                <w:color w:val="000000"/>
                <w:sz w:val="21"/>
                <w:szCs w:val="21"/>
              </w:rPr>
            </w:pPr>
            <w:r>
              <w:rPr>
                <w:rFonts w:hint="eastAsia" w:ascii="黑体" w:hAnsi="黑体" w:eastAsia="黑体"/>
                <w:color w:val="000000"/>
                <w:sz w:val="21"/>
                <w:szCs w:val="21"/>
              </w:rPr>
              <w:t>马工程教材</w:t>
            </w:r>
          </w:p>
        </w:tc>
        <w:tc>
          <w:tcPr>
            <w:tcW w:w="786" w:type="dxa"/>
            <w:tcBorders>
              <w:right w:val="single" w:color="auto" w:sz="12" w:space="0"/>
            </w:tcBorders>
            <w:vAlign w:val="center"/>
          </w:tcPr>
          <w:p w14:paraId="C15CC292">
            <w:pPr>
              <w:widowControl w:val="0"/>
              <w:ind w:left="120" w:leftChars="50"/>
              <w:jc w:val="left"/>
              <w:rPr>
                <w:rFonts w:ascii="Times New Roman" w:hAnsi="Times New Roman"/>
                <w:color w:val="000000"/>
                <w:sz w:val="21"/>
                <w:szCs w:val="21"/>
              </w:rPr>
            </w:pPr>
            <w:r>
              <w:rPr>
                <w:rFonts w:ascii="Times New Roman" w:hAnsi="Times New Roman"/>
                <w:color w:val="000000"/>
                <w:sz w:val="21"/>
                <w:szCs w:val="21"/>
                <w:lang w:val="en-US"/>
              </w:rPr>
              <w:t>否</w:t>
            </w:r>
          </w:p>
        </w:tc>
      </w:tr>
      <w:tr w14:paraId="FD79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E2AFBCF2">
            <w:pPr>
              <w:widowControl w:val="0"/>
              <w:jc w:val="center"/>
              <w:rPr>
                <w:rFonts w:ascii="黑体" w:hAnsi="黑体" w:eastAsia="黑体"/>
                <w:color w:val="000000"/>
                <w:sz w:val="21"/>
                <w:szCs w:val="18"/>
              </w:rPr>
            </w:pPr>
            <w:r>
              <w:rPr>
                <w:rFonts w:ascii="黑体" w:hAnsi="黑体" w:eastAsia="黑体"/>
                <w:color w:val="000000"/>
                <w:sz w:val="21"/>
                <w:szCs w:val="18"/>
              </w:rPr>
              <w:t>先修课程</w:t>
            </w:r>
          </w:p>
        </w:tc>
        <w:tc>
          <w:tcPr>
            <w:tcW w:w="6585" w:type="dxa"/>
            <w:gridSpan w:val="6"/>
            <w:tcBorders>
              <w:right w:val="single" w:color="auto" w:sz="12" w:space="0"/>
            </w:tcBorders>
            <w:vAlign w:val="center"/>
          </w:tcPr>
          <w:p w14:paraId="39052161">
            <w:pPr>
              <w:pStyle w:val="24"/>
              <w:widowControl w:val="0"/>
              <w:jc w:val="both"/>
            </w:pPr>
            <w:r>
              <w:rPr>
                <w:rFonts w:hint="default" w:ascii="宋体" w:hAnsi="宋体" w:eastAsia="宋体" w:cs="Times New Roman"/>
                <w:b w:val="0"/>
                <w:bCs w:val="0"/>
                <w:i w:val="0"/>
                <w:iCs w:val="0"/>
                <w:color w:val="000000"/>
                <w:kern w:val="2"/>
                <w:sz w:val="20"/>
                <w:szCs w:val="20"/>
                <w:highlight w:val="none"/>
                <w:vertAlign w:val="baseline"/>
                <w:lang w:val="en-US" w:eastAsia="zh-CN" w:bidi="ar-SA"/>
              </w:rPr>
              <w:t>正常人体结构学2170001（4）、正常人体功能学2170002（4）</w:t>
            </w:r>
          </w:p>
        </w:tc>
      </w:tr>
      <w:tr w14:paraId="F13E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C1792261">
            <w:pPr>
              <w:widowControl w:val="0"/>
              <w:jc w:val="center"/>
              <w:rPr>
                <w:rFonts w:ascii="黑体" w:hAnsi="黑体" w:eastAsia="黑体"/>
                <w:color w:val="000000"/>
                <w:sz w:val="21"/>
                <w:szCs w:val="18"/>
              </w:rPr>
            </w:pPr>
            <w:r>
              <w:rPr>
                <w:rFonts w:ascii="黑体" w:hAnsi="黑体" w:eastAsia="黑体"/>
                <w:color w:val="000000"/>
                <w:sz w:val="21"/>
                <w:szCs w:val="18"/>
              </w:rPr>
              <w:t>课程简介</w:t>
            </w:r>
          </w:p>
        </w:tc>
        <w:tc>
          <w:tcPr>
            <w:tcW w:w="6585" w:type="dxa"/>
            <w:gridSpan w:val="6"/>
            <w:tcBorders>
              <w:right w:val="single" w:color="auto" w:sz="12" w:space="0"/>
            </w:tcBorders>
          </w:tcPr>
          <w:p w14:paraId="08C1B756">
            <w:pPr>
              <w:widowControl w:val="0"/>
              <w:spacing w:line="336" w:lineRule="auto"/>
              <w:ind w:firstLine="400" w:firstLineChars="200"/>
              <w:jc w:val="both"/>
            </w:pPr>
            <w:r>
              <w:rPr>
                <w:rFonts w:hint="default" w:ascii="宋体" w:hAnsi="宋体" w:cs="Times New Roman"/>
                <w:b w:val="0"/>
                <w:bCs w:val="0"/>
                <w:i w:val="0"/>
                <w:iCs w:val="0"/>
                <w:color w:val="000000"/>
                <w:kern w:val="2"/>
                <w:sz w:val="20"/>
                <w:szCs w:val="20"/>
                <w:highlight w:val="none"/>
                <w:vertAlign w:val="baseline"/>
                <w:lang w:val="en-US" w:eastAsia="zh-CN" w:bidi="ar-SA"/>
              </w:rPr>
              <w:t>《</w:t>
            </w:r>
            <w:r>
              <w:rPr>
                <w:rFonts w:hint="default" w:ascii="宋体" w:hAnsi="宋体" w:eastAsia="宋体" w:cs="Times New Roman"/>
                <w:b w:val="0"/>
                <w:bCs w:val="0"/>
                <w:i w:val="0"/>
                <w:iCs w:val="0"/>
                <w:color w:val="000000"/>
                <w:kern w:val="2"/>
                <w:sz w:val="20"/>
                <w:szCs w:val="20"/>
                <w:highlight w:val="none"/>
                <w:vertAlign w:val="baseline"/>
                <w:lang w:val="en-US" w:eastAsia="zh-CN" w:bidi="ar-SA"/>
              </w:rPr>
              <w:t>疾病学基础》的课程性质是一门包含了医学遗传学、医学微生物学、免疫学、寄生虫学、病理学和病理生理学等多学科的基础医学综合课程。在阐述疾病发生时人体结构和功能改变的基础上，介绍疾病发生、发展变化的基本规律。课程内容主要包括病因篇、机制篇和疾病篇。其中，病因篇主要介绍诱导疾病发生的内因与外因，涵盖微生物学及寄生虫学知识；机制篇从免疫、病理、病理生理等领域阐述疾病发生的共性机制与基本规律；疾病篇着重描述机体主要系统常见疾病发生发展时组织器官在形态结构和功能代谢上的主要变化。它培养学生对健康与疾病本质的认识，指导医疗预防的实践与健康管理保健的实施。为健康管理学专业人才的培养奠定扎实的医学理论根基。同时</w:t>
            </w:r>
            <w:r>
              <w:rPr>
                <w:rFonts w:hint="default" w:ascii="Times New Roman" w:hAnsi="Times New Roman" w:eastAsia="宋体" w:cs="Times New Roman"/>
                <w:b w:val="0"/>
                <w:bCs w:val="0"/>
                <w:i w:val="0"/>
                <w:iCs w:val="0"/>
                <w:color w:val="auto"/>
                <w:kern w:val="2"/>
                <w:sz w:val="20"/>
                <w:szCs w:val="20"/>
                <w:highlight w:val="none"/>
                <w:vertAlign w:val="baseline"/>
                <w:lang w:val="en-US" w:eastAsia="zh-CN" w:bidi="ar-SA"/>
              </w:rPr>
              <w:t>能全面评估服务对象的身心、社会及精神方面的健康状态，具有健康监测、健康风险评估能力，</w:t>
            </w:r>
            <w:r>
              <w:rPr>
                <w:rFonts w:hint="default" w:ascii="宋体" w:hAnsi="宋体" w:eastAsia="宋体" w:cs="Times New Roman"/>
                <w:b w:val="0"/>
                <w:bCs w:val="0"/>
                <w:i w:val="0"/>
                <w:iCs w:val="0"/>
                <w:color w:val="000000"/>
                <w:kern w:val="2"/>
                <w:sz w:val="20"/>
                <w:szCs w:val="20"/>
                <w:highlight w:val="none"/>
                <w:vertAlign w:val="baseline"/>
                <w:lang w:val="en-US" w:eastAsia="zh-CN" w:bidi="ar-SA"/>
              </w:rPr>
              <w:t>健康需求，并采用合适的健康教育策略。</w:t>
            </w:r>
          </w:p>
          <w:p w14:paraId="3BAB5729">
            <w:pPr>
              <w:pStyle w:val="24"/>
              <w:widowControl w:val="0"/>
              <w:jc w:val="both"/>
            </w:pPr>
            <w:r>
              <w:rPr>
                <w:rFonts w:hint="default" w:ascii="宋体" w:hAnsi="宋体" w:eastAsia="宋体" w:cs="Times New Roman"/>
                <w:b w:val="0"/>
                <w:bCs w:val="0"/>
                <w:i w:val="0"/>
                <w:iCs w:val="0"/>
                <w:color w:val="000000"/>
                <w:kern w:val="2"/>
                <w:sz w:val="20"/>
                <w:szCs w:val="20"/>
                <w:highlight w:val="none"/>
                <w:vertAlign w:val="baseline"/>
                <w:lang w:val="en-US" w:eastAsia="zh-CN" w:bidi="ar-SA"/>
              </w:rPr>
              <w:t>本课程教学总时数64学时，其中理论教学48学时、实践教学16学时。</w:t>
            </w:r>
          </w:p>
        </w:tc>
      </w:tr>
      <w:tr w14:paraId="898D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7CBBA657">
            <w:pPr>
              <w:widowControl w:val="0"/>
              <w:jc w:val="center"/>
              <w:rPr>
                <w:rFonts w:ascii="黑体" w:hAnsi="黑体" w:eastAsia="黑体"/>
                <w:color w:val="000000"/>
                <w:sz w:val="21"/>
                <w:szCs w:val="18"/>
              </w:rPr>
            </w:pPr>
            <w:r>
              <w:rPr>
                <w:rFonts w:ascii="黑体" w:hAnsi="黑体" w:eastAsia="黑体"/>
                <w:color w:val="000000"/>
                <w:sz w:val="21"/>
                <w:szCs w:val="18"/>
              </w:rPr>
              <w:t>选课建议</w:t>
            </w:r>
            <w:r>
              <w:rPr>
                <w:rFonts w:hint="eastAsia" w:ascii="黑体" w:hAnsi="黑体" w:eastAsia="黑体"/>
                <w:color w:val="000000"/>
                <w:sz w:val="21"/>
                <w:szCs w:val="18"/>
              </w:rPr>
              <w:t>与学习要求</w:t>
            </w:r>
          </w:p>
        </w:tc>
        <w:tc>
          <w:tcPr>
            <w:tcW w:w="6585" w:type="dxa"/>
            <w:gridSpan w:val="6"/>
            <w:tcBorders>
              <w:bottom w:val="double" w:color="auto" w:sz="4" w:space="0"/>
              <w:right w:val="single" w:color="auto" w:sz="12" w:space="0"/>
            </w:tcBorders>
          </w:tcPr>
          <w:p w14:paraId="342BF2BF">
            <w:pPr>
              <w:pStyle w:val="24"/>
              <w:widowControl w:val="0"/>
              <w:jc w:val="both"/>
            </w:pPr>
            <w:r>
              <w:rPr>
                <w:rFonts w:hint="default" w:ascii="宋体" w:hAnsi="宋体" w:eastAsia="宋体" w:cs="Times New Roman"/>
                <w:b w:val="0"/>
                <w:bCs w:val="0"/>
                <w:i w:val="0"/>
                <w:iCs w:val="0"/>
                <w:color w:val="000000"/>
                <w:kern w:val="2"/>
                <w:sz w:val="20"/>
                <w:szCs w:val="20"/>
                <w:highlight w:val="none"/>
                <w:vertAlign w:val="baseline"/>
                <w:lang w:val="en-US" w:eastAsia="zh-CN" w:bidi="ar-SA"/>
              </w:rPr>
              <w:t>学习《疾病学基础》</w:t>
            </w:r>
            <w:r>
              <w:rPr>
                <w:rFonts w:hint="default" w:ascii="Times New Roman" w:hAnsi="Times New Roman" w:eastAsia="宋体" w:cs="Times New Roman"/>
                <w:b w:val="0"/>
                <w:bCs w:val="0"/>
                <w:i w:val="0"/>
                <w:iCs w:val="0"/>
                <w:color w:val="000000"/>
                <w:kern w:val="2"/>
                <w:sz w:val="20"/>
                <w:szCs w:val="20"/>
                <w:highlight w:val="none"/>
                <w:vertAlign w:val="baseline"/>
                <w:lang w:val="en-US" w:eastAsia="zh-CN" w:bidi="ar-SA"/>
              </w:rPr>
              <w:t>需要掌握正常人体结构学和功能学基础知识。建议安排在健康服务与管理专业本科第一学年第二学期开设。</w:t>
            </w:r>
          </w:p>
          <w:p w14:paraId="6DE73738">
            <w:pPr>
              <w:pStyle w:val="24"/>
              <w:widowControl w:val="0"/>
              <w:jc w:val="both"/>
            </w:pPr>
          </w:p>
        </w:tc>
      </w:tr>
      <w:tr w14:paraId="FDDF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A16E02A3">
            <w:pPr>
              <w:widowControl w:val="0"/>
              <w:jc w:val="center"/>
              <w:rPr>
                <w:rFonts w:ascii="黑体" w:hAnsi="黑体" w:eastAsia="黑体"/>
                <w:color w:val="000000"/>
                <w:sz w:val="21"/>
                <w:szCs w:val="21"/>
              </w:rPr>
            </w:pPr>
            <w:r>
              <w:rPr>
                <w:rFonts w:hint="eastAsia" w:ascii="黑体" w:hAnsi="黑体" w:eastAsia="黑体"/>
                <w:color w:val="000000"/>
                <w:sz w:val="21"/>
                <w:szCs w:val="21"/>
              </w:rPr>
              <w:t>大纲编写人</w:t>
            </w:r>
          </w:p>
        </w:tc>
        <w:tc>
          <w:tcPr>
            <w:tcW w:w="3532" w:type="dxa"/>
            <w:gridSpan w:val="2"/>
            <w:tcBorders>
              <w:top w:val="double" w:color="auto" w:sz="4" w:space="0"/>
            </w:tcBorders>
            <w:vAlign w:val="center"/>
          </w:tcPr>
          <w:p w14:paraId="8639D7A4">
            <w:pPr>
              <w:widowControl w:val="0"/>
              <w:jc w:val="left"/>
              <w:rPr>
                <w:rFonts w:ascii="黑体" w:hAnsi="黑体" w:eastAsia="黑体"/>
                <w:color w:val="000000"/>
                <w:sz w:val="21"/>
                <w:szCs w:val="21"/>
              </w:rPr>
            </w:pPr>
            <w:r>
              <w:drawing>
                <wp:inline distT="0" distB="0" distL="0" distR="0">
                  <wp:extent cx="1245235" cy="417195"/>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6" cstate="print"/>
                          <a:srcRect/>
                          <a:stretch>
                            <a:fillRect/>
                          </a:stretch>
                        </pic:blipFill>
                        <pic:spPr>
                          <a:xfrm>
                            <a:off x="0" y="0"/>
                            <a:ext cx="1245707" cy="417202"/>
                          </a:xfrm>
                          <a:prstGeom prst="rect">
                            <a:avLst/>
                          </a:prstGeom>
                        </pic:spPr>
                      </pic:pic>
                    </a:graphicData>
                  </a:graphic>
                </wp:inline>
              </w:drawing>
            </w:r>
          </w:p>
        </w:tc>
        <w:tc>
          <w:tcPr>
            <w:tcW w:w="1425" w:type="dxa"/>
            <w:gridSpan w:val="2"/>
            <w:tcBorders>
              <w:top w:val="double" w:color="auto" w:sz="4" w:space="0"/>
            </w:tcBorders>
            <w:vAlign w:val="center"/>
          </w:tcPr>
          <w:p w14:paraId="13A7F45B">
            <w:pPr>
              <w:widowControl w:val="0"/>
              <w:jc w:val="center"/>
              <w:rPr>
                <w:sz w:val="21"/>
                <w:szCs w:val="21"/>
              </w:rPr>
            </w:pPr>
            <w:r>
              <w:rPr>
                <w:rFonts w:hint="eastAsia" w:ascii="黑体" w:hAnsi="黑体" w:eastAsia="黑体"/>
                <w:color w:val="000000"/>
                <w:sz w:val="21"/>
                <w:szCs w:val="21"/>
              </w:rPr>
              <w:t>制/修订时间</w:t>
            </w:r>
          </w:p>
        </w:tc>
        <w:tc>
          <w:tcPr>
            <w:tcW w:w="1628" w:type="dxa"/>
            <w:gridSpan w:val="2"/>
            <w:tcBorders>
              <w:top w:val="double" w:color="auto" w:sz="4" w:space="0"/>
              <w:right w:val="single" w:color="auto" w:sz="12" w:space="0"/>
            </w:tcBorders>
            <w:vAlign w:val="center"/>
          </w:tcPr>
          <w:p w14:paraId="41542371">
            <w:pPr>
              <w:widowControl w:val="0"/>
              <w:jc w:val="center"/>
              <w:rPr>
                <w:rFonts w:hint="default" w:ascii="Times New Roman" w:hAnsi="Times New Roman" w:eastAsia="宋体"/>
                <w:color w:val="000000"/>
                <w:sz w:val="21"/>
                <w:szCs w:val="21"/>
                <w:lang w:val="en-US" w:eastAsia="zh-CN"/>
              </w:rPr>
            </w:pPr>
            <w:r>
              <w:rPr>
                <w:rFonts w:ascii="Times New Roman" w:hAnsi="Times New Roman"/>
                <w:color w:val="000000"/>
                <w:sz w:val="21"/>
                <w:szCs w:val="21"/>
                <w:lang w:val="en-US"/>
              </w:rPr>
              <w:t>202</w:t>
            </w:r>
            <w:r>
              <w:rPr>
                <w:rFonts w:hint="eastAsia" w:ascii="Times New Roman" w:hAnsi="Times New Roman"/>
                <w:color w:val="000000"/>
                <w:sz w:val="21"/>
                <w:szCs w:val="21"/>
                <w:lang w:val="en-US" w:eastAsia="zh-CN"/>
              </w:rPr>
              <w:t>5</w:t>
            </w:r>
            <w:r>
              <w:rPr>
                <w:rFonts w:ascii="Times New Roman" w:hAnsi="Times New Roman"/>
                <w:color w:val="000000"/>
                <w:sz w:val="21"/>
                <w:szCs w:val="21"/>
                <w:lang w:val="en-US"/>
              </w:rPr>
              <w:t>.1</w:t>
            </w:r>
            <w:r>
              <w:rPr>
                <w:rFonts w:hint="eastAsia" w:ascii="Times New Roman" w:hAnsi="Times New Roman"/>
                <w:color w:val="000000"/>
                <w:sz w:val="21"/>
                <w:szCs w:val="21"/>
                <w:lang w:val="en-US" w:eastAsia="zh-CN"/>
              </w:rPr>
              <w:t>.17</w:t>
            </w:r>
          </w:p>
        </w:tc>
      </w:tr>
      <w:tr w14:paraId="008C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A8734A6B">
            <w:pPr>
              <w:widowControl w:val="0"/>
              <w:jc w:val="center"/>
              <w:rPr>
                <w:rFonts w:ascii="黑体" w:hAnsi="黑体" w:eastAsia="黑体"/>
                <w:color w:val="000000"/>
                <w:sz w:val="21"/>
                <w:szCs w:val="21"/>
              </w:rPr>
            </w:pPr>
            <w:r>
              <w:rPr>
                <w:rFonts w:hint="eastAsia" w:ascii="黑体" w:hAnsi="黑体" w:eastAsia="黑体"/>
                <w:color w:val="000000"/>
                <w:sz w:val="21"/>
                <w:szCs w:val="21"/>
              </w:rPr>
              <w:t>专业负责人</w:t>
            </w:r>
          </w:p>
        </w:tc>
        <w:tc>
          <w:tcPr>
            <w:tcW w:w="3532" w:type="dxa"/>
            <w:gridSpan w:val="2"/>
            <w:vAlign w:val="center"/>
          </w:tcPr>
          <w:p w14:paraId="C3DC163D">
            <w:pPr>
              <w:widowControl w:val="0"/>
              <w:jc w:val="left"/>
              <w:rPr>
                <w:rFonts w:ascii="黑体" w:hAnsi="黑体" w:eastAsia="黑体"/>
                <w:color w:val="000000"/>
                <w:sz w:val="21"/>
                <w:szCs w:val="21"/>
              </w:rPr>
            </w:pPr>
            <w:r>
              <w:drawing>
                <wp:inline distT="0" distB="0" distL="0" distR="0">
                  <wp:extent cx="578485" cy="315595"/>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7" cstate="print"/>
                          <a:srcRect/>
                          <a:stretch>
                            <a:fillRect/>
                          </a:stretch>
                        </pic:blipFill>
                        <pic:spPr>
                          <a:xfrm>
                            <a:off x="0" y="0"/>
                            <a:ext cx="579096" cy="315607"/>
                          </a:xfrm>
                          <a:prstGeom prst="rect">
                            <a:avLst/>
                          </a:prstGeom>
                        </pic:spPr>
                      </pic:pic>
                    </a:graphicData>
                  </a:graphic>
                </wp:inline>
              </w:drawing>
            </w:r>
          </w:p>
        </w:tc>
        <w:tc>
          <w:tcPr>
            <w:tcW w:w="1425" w:type="dxa"/>
            <w:gridSpan w:val="2"/>
            <w:vAlign w:val="center"/>
          </w:tcPr>
          <w:p w14:paraId="B5688CDB">
            <w:pPr>
              <w:widowControl w:val="0"/>
              <w:jc w:val="center"/>
              <w:rPr>
                <w:sz w:val="21"/>
                <w:szCs w:val="21"/>
              </w:rPr>
            </w:pPr>
            <w:r>
              <w:rPr>
                <w:rFonts w:hint="eastAsia" w:ascii="黑体" w:hAnsi="黑体" w:eastAsia="黑体"/>
                <w:color w:val="000000"/>
                <w:sz w:val="21"/>
                <w:szCs w:val="21"/>
              </w:rPr>
              <w:t>审定时间</w:t>
            </w:r>
          </w:p>
        </w:tc>
        <w:tc>
          <w:tcPr>
            <w:tcW w:w="1628" w:type="dxa"/>
            <w:gridSpan w:val="2"/>
            <w:tcBorders>
              <w:right w:val="single" w:color="auto" w:sz="12" w:space="0"/>
            </w:tcBorders>
            <w:vAlign w:val="center"/>
          </w:tcPr>
          <w:p w14:paraId="EAE97058">
            <w:pPr>
              <w:widowControl w:val="0"/>
              <w:jc w:val="center"/>
              <w:rPr>
                <w:rFonts w:ascii="Times New Roman" w:hAnsi="Times New Roman"/>
                <w:color w:val="000000"/>
                <w:sz w:val="21"/>
                <w:szCs w:val="21"/>
              </w:rPr>
            </w:pPr>
            <w:r>
              <w:rPr>
                <w:rFonts w:ascii="Times New Roman" w:hAnsi="Times New Roman"/>
                <w:color w:val="000000"/>
                <w:sz w:val="21"/>
                <w:szCs w:val="21"/>
                <w:lang w:val="en-US"/>
              </w:rPr>
              <w:t>202</w:t>
            </w:r>
            <w:r>
              <w:rPr>
                <w:rFonts w:hint="eastAsia" w:ascii="Times New Roman" w:hAnsi="Times New Roman"/>
                <w:color w:val="000000"/>
                <w:sz w:val="21"/>
                <w:szCs w:val="21"/>
                <w:lang w:val="en-US" w:eastAsia="zh-CN"/>
              </w:rPr>
              <w:t>5</w:t>
            </w:r>
            <w:r>
              <w:rPr>
                <w:rFonts w:ascii="Times New Roman" w:hAnsi="Times New Roman"/>
                <w:color w:val="000000"/>
                <w:sz w:val="21"/>
                <w:szCs w:val="21"/>
                <w:lang w:val="en-US"/>
              </w:rPr>
              <w:t>.1</w:t>
            </w:r>
            <w:r>
              <w:rPr>
                <w:rFonts w:hint="eastAsia" w:ascii="Times New Roman" w:hAnsi="Times New Roman"/>
                <w:color w:val="000000"/>
                <w:sz w:val="21"/>
                <w:szCs w:val="21"/>
                <w:lang w:val="en-US" w:eastAsia="zh-CN"/>
              </w:rPr>
              <w:t>.17</w:t>
            </w:r>
          </w:p>
        </w:tc>
      </w:tr>
      <w:tr w14:paraId="9B2F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AA282C9C">
            <w:pPr>
              <w:widowControl w:val="0"/>
              <w:jc w:val="center"/>
              <w:rPr>
                <w:rFonts w:ascii="黑体" w:hAnsi="黑体" w:eastAsia="黑体"/>
                <w:color w:val="000000"/>
                <w:sz w:val="21"/>
                <w:szCs w:val="21"/>
              </w:rPr>
            </w:pPr>
            <w:r>
              <w:rPr>
                <w:rFonts w:hint="eastAsia" w:ascii="黑体" w:hAnsi="黑体" w:eastAsia="黑体"/>
                <w:color w:val="000000"/>
                <w:sz w:val="21"/>
                <w:szCs w:val="21"/>
              </w:rPr>
              <w:t>学院负责人</w:t>
            </w:r>
          </w:p>
        </w:tc>
        <w:tc>
          <w:tcPr>
            <w:tcW w:w="3532" w:type="dxa"/>
            <w:gridSpan w:val="2"/>
            <w:tcBorders>
              <w:bottom w:val="single" w:color="auto" w:sz="12" w:space="0"/>
            </w:tcBorders>
            <w:vAlign w:val="center"/>
          </w:tcPr>
          <w:p w14:paraId="8FA1D2F5">
            <w:pPr>
              <w:widowControl w:val="0"/>
              <w:jc w:val="left"/>
              <w:rPr>
                <w:rFonts w:ascii="黑体" w:hAnsi="黑体" w:eastAsia="黑体"/>
                <w:color w:val="000000"/>
                <w:sz w:val="21"/>
                <w:szCs w:val="21"/>
              </w:rPr>
            </w:pPr>
            <w:r>
              <w:drawing>
                <wp:inline distT="0" distB="0" distL="0" distR="0">
                  <wp:extent cx="640080" cy="434975"/>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8" cstate="print"/>
                          <a:srcRect/>
                          <a:stretch>
                            <a:fillRect/>
                          </a:stretch>
                        </pic:blipFill>
                        <pic:spPr>
                          <a:xfrm>
                            <a:off x="0" y="0"/>
                            <a:ext cx="640580" cy="435510"/>
                          </a:xfrm>
                          <a:prstGeom prst="rect">
                            <a:avLst/>
                          </a:prstGeom>
                        </pic:spPr>
                      </pic:pic>
                    </a:graphicData>
                  </a:graphic>
                </wp:inline>
              </w:drawing>
            </w:r>
          </w:p>
        </w:tc>
        <w:tc>
          <w:tcPr>
            <w:tcW w:w="1425" w:type="dxa"/>
            <w:gridSpan w:val="2"/>
            <w:tcBorders>
              <w:bottom w:val="single" w:color="auto" w:sz="12" w:space="0"/>
            </w:tcBorders>
            <w:vAlign w:val="center"/>
          </w:tcPr>
          <w:p w14:paraId="179F06F2">
            <w:pPr>
              <w:widowControl w:val="0"/>
              <w:jc w:val="center"/>
              <w:rPr>
                <w:sz w:val="21"/>
                <w:szCs w:val="21"/>
              </w:rPr>
            </w:pPr>
            <w:r>
              <w:rPr>
                <w:rFonts w:hint="eastAsia" w:ascii="黑体" w:hAnsi="黑体" w:eastAsia="黑体"/>
                <w:color w:val="000000"/>
                <w:sz w:val="21"/>
                <w:szCs w:val="21"/>
              </w:rPr>
              <w:t>批准时间</w:t>
            </w:r>
          </w:p>
        </w:tc>
        <w:tc>
          <w:tcPr>
            <w:tcW w:w="1628" w:type="dxa"/>
            <w:gridSpan w:val="2"/>
            <w:tcBorders>
              <w:bottom w:val="single" w:color="auto" w:sz="12" w:space="0"/>
              <w:right w:val="single" w:color="auto" w:sz="12" w:space="0"/>
            </w:tcBorders>
            <w:vAlign w:val="center"/>
          </w:tcPr>
          <w:p w14:paraId="73D0CCC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2025.2.19</w:t>
            </w:r>
          </w:p>
        </w:tc>
      </w:tr>
      <w:bookmarkEnd w:id="6"/>
    </w:tbl>
    <w:p w14:paraId="2FBD7BCB">
      <w:pPr>
        <w:spacing w:line="100" w:lineRule="exact"/>
        <w:rPr>
          <w:rFonts w:ascii="Arial" w:hAnsi="Arial" w:eastAsia="黑体"/>
        </w:rPr>
      </w:pPr>
      <w:r>
        <w:br w:type="page"/>
      </w:r>
    </w:p>
    <w:p w14:paraId="4EB9BC70">
      <w:pPr>
        <w:pStyle w:val="26"/>
        <w:spacing w:before="326" w:beforeLines="100" w:line="360" w:lineRule="auto"/>
        <w:rPr>
          <w:rFonts w:ascii="黑体" w:hAnsi="宋体"/>
        </w:rPr>
      </w:pPr>
      <w:r>
        <w:rPr>
          <w:rFonts w:hint="eastAsia" w:ascii="黑体" w:hAnsi="宋体"/>
        </w:rPr>
        <w:t>二、课程目标与毕业要求</w:t>
      </w:r>
    </w:p>
    <w:p w14:paraId="8F0E64CA">
      <w:pPr>
        <w:pStyle w:val="27"/>
        <w:spacing w:before="81" w:after="163"/>
      </w:pPr>
      <w:r>
        <w:rPr>
          <w:rFonts w:hint="eastAsia"/>
        </w:rPr>
        <w:t xml:space="preserve">（一）课程目标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EA3FC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176530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A79A25F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A610062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EA3BF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CC82252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A8EDBFF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BAF935F8">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掌握医学、健康管理学及现代管理学等相关理论知识，包括人体正常结构、功能，生命各阶段常见病、多发病的预防，管理学、健康管理学、健康管理政策与法规等，发现并致力解决亚健康人群的健康问题。</w:t>
            </w:r>
          </w:p>
        </w:tc>
      </w:tr>
      <w:tr w14:paraId="B9693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F87231F">
            <w:pPr>
              <w:pStyle w:val="24"/>
              <w:rPr>
                <w:bCs/>
              </w:rPr>
            </w:pPr>
          </w:p>
        </w:tc>
        <w:tc>
          <w:tcPr>
            <w:tcW w:w="764" w:type="dxa"/>
            <w:shd w:val="clear" w:color="auto" w:fill="auto"/>
            <w:vAlign w:val="center"/>
          </w:tcPr>
          <w:p w14:paraId="162C4FF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3E4B753">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具有良好的职业发展力和适应力，具有创新精神、创业意识和创业能力，努力成为大健康领域高素质应用型人才。</w:t>
            </w:r>
          </w:p>
        </w:tc>
      </w:tr>
      <w:tr w14:paraId="A87B8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97A8BF03">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94AC44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8DEB5E83">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具备健康服务技能和健康管理特长，能够在医疗卫生机构、健康管理企业、健康产业、保险公司、卫生行政等相关企事业单位从事健康监测、健康评估、健康咨询、健康促进与干预等健康服务管理工作。</w:t>
            </w:r>
          </w:p>
        </w:tc>
      </w:tr>
      <w:tr w14:paraId="BC180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1CC4539">
            <w:pPr>
              <w:pStyle w:val="24"/>
              <w:rPr>
                <w:rFonts w:ascii="宋体" w:hAnsi="宋体"/>
              </w:rPr>
            </w:pPr>
          </w:p>
        </w:tc>
        <w:tc>
          <w:tcPr>
            <w:tcW w:w="764" w:type="dxa"/>
            <w:shd w:val="clear" w:color="auto" w:fill="auto"/>
            <w:vAlign w:val="center"/>
          </w:tcPr>
          <w:p w14:paraId="EB533A7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499A983D">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具有与团队保持良好合作的能力和胸襟，在团队合作中能发挥能量，善于自我管理和团队管理；善于从多个维度考虑问题，能利用自己的知识与实践来提出积极的意见和建议。</w:t>
            </w:r>
          </w:p>
        </w:tc>
      </w:tr>
      <w:tr w14:paraId="AB282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D07C762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3A9728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9DF8259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F4C6BBCF">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德智体美劳全面发展，具有高度社会责任感和基本人文素养，爱岗敬业、追求卓越，初步形成以维护和促进人类健康为己任的专业价值观。</w:t>
            </w:r>
          </w:p>
        </w:tc>
      </w:tr>
      <w:tr w14:paraId="E08A4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C8BB5177">
            <w:pPr>
              <w:pStyle w:val="24"/>
              <w:rPr>
                <w:rFonts w:ascii="宋体" w:hAnsi="宋体"/>
              </w:rPr>
            </w:pPr>
          </w:p>
        </w:tc>
        <w:tc>
          <w:tcPr>
            <w:tcW w:w="764" w:type="dxa"/>
            <w:shd w:val="clear" w:color="auto" w:fill="auto"/>
            <w:vAlign w:val="center"/>
          </w:tcPr>
          <w:p w14:paraId="DE16C19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1D1668D8">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能与国内外同行、客户进行交流沟通，具有国际化视野和跨文化交流合作能力。</w:t>
            </w:r>
          </w:p>
        </w:tc>
      </w:tr>
    </w:tbl>
    <w:p w14:paraId="6494BBD0">
      <w:pPr>
        <w:pStyle w:val="27"/>
        <w:spacing w:before="163" w:beforeLines="50" w:after="163"/>
      </w:pPr>
      <w:r>
        <w:rPr>
          <w:rFonts w:hint="eastAsia"/>
        </w:rPr>
        <w:t>（二）课程支撑的毕业要求</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3DC4D8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4EFA3D9">
            <w:pPr>
              <w:pStyle w:val="24"/>
              <w:widowControl w:val="0"/>
              <w:jc w:val="left"/>
              <w:rPr>
                <w:rFonts w:ascii="宋体" w:hAnsi="宋体"/>
                <w:bCs/>
              </w:rPr>
            </w:pPr>
          </w:p>
          <w:p w14:paraId="5C4E779A">
            <w:pPr>
              <w:widowControl/>
              <w:tabs>
                <w:tab w:val="left" w:pos="4200"/>
              </w:tabs>
              <w:spacing w:line="440" w:lineRule="exact"/>
              <w:ind w:firstLine="482" w:firstLineChars="200"/>
              <w:jc w:val="left"/>
              <w:outlineLvl w:val="0"/>
              <w:rPr>
                <w:rFonts w:ascii="宋体" w:hAnsi="宋体"/>
                <w:bCs/>
              </w:rPr>
            </w:pPr>
            <w:r>
              <w:rPr>
                <w:rFonts w:hint="default" w:ascii="宋体" w:hAnsi="宋体" w:eastAsia="宋体" w:cs="宋体"/>
                <w:b/>
                <w:bCs/>
                <w:i w:val="0"/>
                <w:iCs w:val="0"/>
                <w:color w:val="auto"/>
                <w:sz w:val="24"/>
                <w:szCs w:val="24"/>
                <w:highlight w:val="none"/>
                <w:vertAlign w:val="baseline"/>
                <w:lang w:val="en-US" w:eastAsia="zh-CN" w:bidi="ar-SA"/>
              </w:rPr>
              <w:t>LO1品德修养：</w:t>
            </w:r>
            <w:r>
              <w:rPr>
                <w:rFonts w:hint="default" w:ascii="宋体" w:hAnsi="宋体" w:eastAsia="宋体" w:cs="宋体"/>
                <w:b w:val="0"/>
                <w:bCs w:val="0"/>
                <w:i w:val="0"/>
                <w:iCs w:val="0"/>
                <w:color w:val="auto"/>
                <w:sz w:val="24"/>
                <w:szCs w:val="24"/>
                <w:highlight w:val="none"/>
                <w:vertAlign w:val="baseline"/>
                <w:lang w:val="en-US" w:eastAsia="zh-CN"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D8FA07F">
            <w:pPr>
              <w:widowControl/>
              <w:tabs>
                <w:tab w:val="left" w:pos="4200"/>
              </w:tabs>
              <w:spacing w:line="440" w:lineRule="exact"/>
              <w:ind w:firstLine="480" w:firstLineChars="200"/>
              <w:jc w:val="left"/>
              <w:outlineLvl w:val="0"/>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①爱党爱国，坚决拥护党的领导，热爱祖国的大好河山、悠久历史、灿烂文化，自觉维护民族利益和国家尊严。</w:t>
            </w:r>
          </w:p>
          <w:p w14:paraId="8D311387">
            <w:pPr>
              <w:widowControl/>
              <w:tabs>
                <w:tab w:val="left" w:pos="4200"/>
              </w:tabs>
              <w:spacing w:line="440" w:lineRule="exact"/>
              <w:ind w:firstLine="480" w:firstLineChars="200"/>
              <w:jc w:val="left"/>
              <w:outlineLvl w:val="0"/>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②遵纪守法，增强法律意识，培养法律思维，自觉遵守法律法规、校纪校规。</w:t>
            </w:r>
          </w:p>
          <w:p w14:paraId="6D4624AC">
            <w:pPr>
              <w:widowControl/>
              <w:tabs>
                <w:tab w:val="left" w:pos="4200"/>
              </w:tabs>
              <w:spacing w:line="440" w:lineRule="exact"/>
              <w:ind w:firstLine="480" w:firstLineChars="200"/>
              <w:jc w:val="left"/>
              <w:outlineLvl w:val="0"/>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③奉献社会，富有爱心，懂得感恩，自觉传承和弘扬雷锋精神，具有服务社会的意愿和行动，积极参加志愿者服务。</w:t>
            </w:r>
          </w:p>
          <w:p w14:paraId="D5BEC320">
            <w:pPr>
              <w:widowControl/>
              <w:tabs>
                <w:tab w:val="left" w:pos="4200"/>
              </w:tabs>
              <w:spacing w:line="440" w:lineRule="exact"/>
              <w:ind w:firstLine="480" w:firstLineChars="200"/>
              <w:jc w:val="left"/>
              <w:outlineLvl w:val="0"/>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 xml:space="preserve">④诚信尽责，为人诚实，信守承诺，勤奋努力，精益求精，勇于担责。 </w:t>
            </w:r>
          </w:p>
          <w:p w14:paraId="ACC53C17">
            <w:pPr>
              <w:pStyle w:val="24"/>
              <w:widowControl w:val="0"/>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⑤爱岗敬业，热爱所学专业，勤学多练，锤炼技能。熟悉本专业相关的法律法规，在实习实践中自觉遵守职业规范，具备职业道德操守。</w:t>
            </w:r>
          </w:p>
          <w:p w14:paraId="6635B19C">
            <w:pPr>
              <w:pStyle w:val="24"/>
              <w:widowControl w:val="0"/>
              <w:jc w:val="left"/>
              <w:rPr>
                <w:rFonts w:hint="eastAsia" w:ascii="宋体" w:hAnsi="宋体"/>
                <w:bCs/>
              </w:rPr>
            </w:pPr>
          </w:p>
        </w:tc>
      </w:tr>
      <w:tr w14:paraId="C5A3AD4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DABAC901">
            <w:pPr>
              <w:pStyle w:val="24"/>
              <w:widowControl w:val="0"/>
              <w:jc w:val="left"/>
              <w:rPr>
                <w:rFonts w:ascii="宋体" w:hAnsi="宋体"/>
                <w:bCs/>
              </w:rPr>
            </w:pPr>
          </w:p>
          <w:p w14:paraId="8A238EDD">
            <w:pPr>
              <w:widowControl/>
              <w:tabs>
                <w:tab w:val="left" w:pos="4200"/>
              </w:tabs>
              <w:spacing w:line="440" w:lineRule="exact"/>
              <w:ind w:firstLine="482" w:firstLineChars="200"/>
              <w:jc w:val="left"/>
              <w:outlineLvl w:val="0"/>
              <w:rPr>
                <w:rFonts w:ascii="宋体" w:hAnsi="宋体"/>
                <w:bCs/>
              </w:rPr>
            </w:pPr>
            <w:r>
              <w:rPr>
                <w:rFonts w:hint="default" w:ascii="宋体" w:hAnsi="宋体" w:eastAsia="宋体" w:cs="宋体"/>
                <w:b/>
                <w:bCs/>
                <w:i w:val="0"/>
                <w:iCs w:val="0"/>
                <w:color w:val="auto"/>
                <w:sz w:val="24"/>
                <w:szCs w:val="24"/>
                <w:highlight w:val="none"/>
                <w:vertAlign w:val="baseline"/>
                <w:lang w:val="en-US" w:eastAsia="zh-CN" w:bidi="ar-SA"/>
              </w:rPr>
              <w:t>LO2专业能力</w:t>
            </w:r>
            <w:r>
              <w:rPr>
                <w:rFonts w:hint="default" w:ascii="宋体" w:hAnsi="宋体" w:eastAsia="宋体" w:cs="宋体"/>
                <w:b w:val="0"/>
                <w:bCs w:val="0"/>
                <w:i w:val="0"/>
                <w:iCs w:val="0"/>
                <w:color w:val="auto"/>
                <w:sz w:val="24"/>
                <w:szCs w:val="24"/>
                <w:highlight w:val="none"/>
                <w:vertAlign w:val="baseline"/>
                <w:lang w:val="en-US" w:eastAsia="zh-CN" w:bidi="ar-SA"/>
              </w:rPr>
              <w:t>：具有人文科学素养，具备医学、健康管理学及现代管理学等相关理论知识，具备健康检测、健康评估、健康咨询、健康促进与干预等健康服务技能和健康管理特长。</w:t>
            </w:r>
          </w:p>
          <w:p w14:paraId="42CFD70A">
            <w:pPr>
              <w:widowControl/>
              <w:tabs>
                <w:tab w:val="left" w:pos="4200"/>
              </w:tabs>
              <w:spacing w:line="440" w:lineRule="exact"/>
              <w:ind w:left="720" w:leftChars="200" w:hanging="240" w:hangingChars="100"/>
              <w:jc w:val="left"/>
              <w:outlineLvl w:val="0"/>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①具有专业所需的人文科学素养。</w:t>
            </w:r>
          </w:p>
          <w:p w14:paraId="E1022346">
            <w:pPr>
              <w:widowControl/>
              <w:tabs>
                <w:tab w:val="left" w:pos="4200"/>
              </w:tabs>
              <w:spacing w:line="440" w:lineRule="exact"/>
              <w:ind w:left="720" w:leftChars="200" w:hanging="240" w:hangingChars="100"/>
              <w:jc w:val="left"/>
              <w:outlineLvl w:val="0"/>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②健康检测：掌握健康检测的基本内容及方法。</w:t>
            </w:r>
          </w:p>
          <w:p w14:paraId="8BB9D5C6">
            <w:pPr>
              <w:widowControl/>
              <w:tabs>
                <w:tab w:val="left" w:pos="4200"/>
              </w:tabs>
              <w:spacing w:line="440" w:lineRule="exact"/>
              <w:ind w:left="720" w:leftChars="200" w:hanging="240" w:hangingChars="100"/>
              <w:jc w:val="left"/>
              <w:outlineLvl w:val="0"/>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③健康评估：能全面评估服务对象的健康状态，具有健康监测、健康风险评估能力。</w:t>
            </w:r>
          </w:p>
          <w:p w14:paraId="6AB1FF06">
            <w:pPr>
              <w:widowControl/>
              <w:tabs>
                <w:tab w:val="left" w:pos="4200"/>
              </w:tabs>
              <w:spacing w:line="440" w:lineRule="exact"/>
              <w:ind w:left="720" w:leftChars="200" w:hanging="240" w:hangingChars="100"/>
              <w:jc w:val="left"/>
              <w:outlineLvl w:val="0"/>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④健康咨询：掌握健康保健专业知识，为服务对象提供健康咨询服务。能确定服务对象的健康需求，并采用合适的健康教育方法。</w:t>
            </w:r>
          </w:p>
          <w:p w14:paraId="ABB44BED">
            <w:pPr>
              <w:widowControl/>
              <w:tabs>
                <w:tab w:val="left" w:pos="4200"/>
              </w:tabs>
              <w:spacing w:line="440" w:lineRule="exact"/>
              <w:ind w:left="720" w:leftChars="200" w:hanging="240" w:hangingChars="100"/>
              <w:jc w:val="left"/>
              <w:outlineLvl w:val="0"/>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⑤健康促进：掌握慢性病管理相关知识，协助医生开展慢性病病人社区健康管理，包括健康干预方案的跟踪随访。</w:t>
            </w:r>
          </w:p>
          <w:p w14:paraId="541E0335">
            <w:pPr>
              <w:pStyle w:val="24"/>
              <w:widowControl w:val="0"/>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⑥健康管理：掌握对个人或人群的健康风险因素进行全面管理的能力，开展健康管理服务。</w:t>
            </w:r>
          </w:p>
          <w:p w14:paraId="593793F3">
            <w:pPr>
              <w:pStyle w:val="24"/>
              <w:widowControl w:val="0"/>
              <w:jc w:val="left"/>
              <w:rPr>
                <w:rFonts w:hint="eastAsia" w:ascii="宋体" w:hAnsi="宋体"/>
                <w:bCs/>
              </w:rPr>
            </w:pPr>
          </w:p>
        </w:tc>
      </w:tr>
    </w:tbl>
    <w:p w14:paraId="C342C363">
      <w:pPr>
        <w:pStyle w:val="27"/>
        <w:spacing w:before="163" w:beforeLines="50" w:after="163"/>
      </w:pPr>
      <w:r>
        <w:rPr>
          <w:rFonts w:hint="eastAsia"/>
        </w:rPr>
        <w:t xml:space="preserve">（三）毕业要求与课程目标的关系 </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39F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88BCA14B">
            <w:pPr>
              <w:pStyle w:val="2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F1E47084">
            <w:pPr>
              <w:pStyle w:val="2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CDAA255">
            <w:pPr>
              <w:pStyle w:val="23"/>
              <w:rPr>
                <w:szCs w:val="16"/>
              </w:rPr>
            </w:pPr>
            <w:r>
              <w:rPr>
                <w:rFonts w:hint="eastAsia"/>
                <w:szCs w:val="16"/>
              </w:rPr>
              <w:t>支撑度</w:t>
            </w:r>
          </w:p>
        </w:tc>
        <w:tc>
          <w:tcPr>
            <w:tcW w:w="4763" w:type="dxa"/>
            <w:tcBorders>
              <w:top w:val="single" w:color="auto" w:sz="12" w:space="0"/>
            </w:tcBorders>
            <w:vAlign w:val="center"/>
          </w:tcPr>
          <w:p w14:paraId="032DECC4">
            <w:pPr>
              <w:pStyle w:val="23"/>
              <w:rPr>
                <w:szCs w:val="16"/>
              </w:rPr>
            </w:pPr>
            <w:r>
              <w:rPr>
                <w:rFonts w:hint="eastAsia"/>
                <w:szCs w:val="16"/>
              </w:rPr>
              <w:t>课程目标</w:t>
            </w:r>
          </w:p>
        </w:tc>
        <w:tc>
          <w:tcPr>
            <w:tcW w:w="1348" w:type="dxa"/>
            <w:tcBorders>
              <w:top w:val="single" w:color="auto" w:sz="12" w:space="0"/>
              <w:right w:val="single" w:color="auto" w:sz="12" w:space="0"/>
            </w:tcBorders>
            <w:vAlign w:val="center"/>
          </w:tcPr>
          <w:p w14:paraId="77A40318">
            <w:pPr>
              <w:pStyle w:val="23"/>
              <w:rPr>
                <w:szCs w:val="16"/>
              </w:rPr>
            </w:pPr>
            <w:r>
              <w:rPr>
                <w:rFonts w:hint="eastAsia"/>
                <w:szCs w:val="16"/>
              </w:rPr>
              <w:t>对指标点的贡献度</w:t>
            </w:r>
          </w:p>
        </w:tc>
      </w:tr>
      <w:tr w14:paraId="8D70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E75FD74B">
            <w:pPr>
              <w:pStyle w:val="24"/>
            </w:pPr>
            <w:r>
              <w:rPr>
                <w:rFonts w:hint="default" w:ascii="宋体" w:hAnsi="宋体" w:eastAsia="宋体" w:cs="宋体"/>
                <w:b/>
                <w:bCs/>
                <w:i w:val="0"/>
                <w:iCs w:val="0"/>
                <w:color w:val="auto"/>
                <w:sz w:val="24"/>
                <w:szCs w:val="24"/>
                <w:highlight w:val="none"/>
                <w:vertAlign w:val="baseline"/>
                <w:lang w:val="en-US" w:eastAsia="zh-CN" w:bidi="ar-SA"/>
              </w:rPr>
              <w:t>LO1</w:t>
            </w:r>
          </w:p>
        </w:tc>
        <w:tc>
          <w:tcPr>
            <w:tcW w:w="794" w:type="dxa"/>
            <w:tcBorders>
              <w:left w:val="single" w:color="auto" w:sz="4" w:space="0"/>
            </w:tcBorders>
            <w:vAlign w:val="center"/>
          </w:tcPr>
          <w:p w14:paraId="671FBD35">
            <w:pPr>
              <w:pStyle w:val="24"/>
              <w:rPr>
                <w:rFonts w:cs="Times New Roman"/>
                <w:bCs/>
              </w:rPr>
            </w:pPr>
            <w:r>
              <w:rPr>
                <w:rFonts w:cs="Times New Roman"/>
                <w:bCs/>
                <w:lang w:val="en-US"/>
              </w:rPr>
              <w:t>④</w:t>
            </w:r>
          </w:p>
        </w:tc>
        <w:tc>
          <w:tcPr>
            <w:tcW w:w="794" w:type="dxa"/>
            <w:tcBorders>
              <w:right w:val="double" w:color="auto" w:sz="4" w:space="0"/>
            </w:tcBorders>
            <w:shd w:val="clear" w:color="auto" w:fill="auto"/>
            <w:vAlign w:val="center"/>
          </w:tcPr>
          <w:p w14:paraId="F78423E9">
            <w:pPr>
              <w:pStyle w:val="24"/>
              <w:rPr>
                <w:rFonts w:ascii="宋体" w:hAnsi="宋体"/>
              </w:rPr>
            </w:pPr>
            <w:r>
              <w:rPr>
                <w:rFonts w:ascii="宋体" w:hAnsi="宋体"/>
                <w:lang w:val="en-US"/>
              </w:rPr>
              <w:t>H</w:t>
            </w:r>
          </w:p>
        </w:tc>
        <w:tc>
          <w:tcPr>
            <w:tcW w:w="4763" w:type="dxa"/>
            <w:vAlign w:val="center"/>
          </w:tcPr>
          <w:p w14:paraId="ACD091B3">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诚信尽责，为人诚实，信守承诺，勤奋努力，精益求精，勇于担责。</w:t>
            </w:r>
          </w:p>
        </w:tc>
        <w:tc>
          <w:tcPr>
            <w:tcW w:w="1348" w:type="dxa"/>
            <w:tcBorders>
              <w:right w:val="single" w:color="auto" w:sz="12" w:space="0"/>
            </w:tcBorders>
            <w:vAlign w:val="center"/>
          </w:tcPr>
          <w:p w14:paraId="11AFD14A">
            <w:pPr>
              <w:pStyle w:val="24"/>
              <w:rPr>
                <w:rFonts w:ascii="宋体" w:hAnsi="宋体"/>
                <w:bCs/>
              </w:rPr>
            </w:pPr>
            <w:r>
              <w:rPr>
                <w:rFonts w:ascii="宋体" w:hAnsi="宋体"/>
                <w:bCs/>
                <w:lang w:val="en-US"/>
              </w:rPr>
              <w:t>100%</w:t>
            </w:r>
          </w:p>
        </w:tc>
      </w:tr>
      <w:tr w14:paraId="EA4F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E2267BA4">
            <w:pPr>
              <w:pStyle w:val="24"/>
            </w:pPr>
            <w:r>
              <w:rPr>
                <w:lang w:val="en-US"/>
              </w:rPr>
              <w:t>LO2</w:t>
            </w:r>
          </w:p>
        </w:tc>
        <w:tc>
          <w:tcPr>
            <w:tcW w:w="794" w:type="dxa"/>
            <w:vMerge w:val="restart"/>
            <w:tcBorders>
              <w:left w:val="single" w:color="auto" w:sz="4" w:space="0"/>
            </w:tcBorders>
            <w:vAlign w:val="center"/>
          </w:tcPr>
          <w:p w14:paraId="B441AE4E">
            <w:pPr>
              <w:pStyle w:val="24"/>
              <w:rPr>
                <w:rFonts w:cs="Times New Roman"/>
                <w:bCs/>
              </w:rPr>
            </w:pPr>
            <w:r>
              <w:rPr>
                <w:rFonts w:cs="Times New Roman"/>
                <w:bCs/>
                <w:lang w:val="en-US"/>
              </w:rPr>
              <w:t>②③④</w:t>
            </w:r>
          </w:p>
        </w:tc>
        <w:tc>
          <w:tcPr>
            <w:tcW w:w="794" w:type="dxa"/>
            <w:vMerge w:val="restart"/>
            <w:tcBorders>
              <w:right w:val="double" w:color="auto" w:sz="4" w:space="0"/>
            </w:tcBorders>
            <w:shd w:val="clear" w:color="auto" w:fill="auto"/>
            <w:vAlign w:val="center"/>
          </w:tcPr>
          <w:p w14:paraId="29C21CF0">
            <w:pPr>
              <w:pStyle w:val="24"/>
              <w:rPr>
                <w:rFonts w:ascii="宋体" w:hAnsi="宋体"/>
              </w:rPr>
            </w:pPr>
            <w:r>
              <w:rPr>
                <w:rFonts w:ascii="宋体" w:hAnsi="宋体"/>
                <w:lang w:val="en-US"/>
              </w:rPr>
              <w:t>M</w:t>
            </w:r>
          </w:p>
        </w:tc>
        <w:tc>
          <w:tcPr>
            <w:tcW w:w="4763" w:type="dxa"/>
            <w:vAlign w:val="center"/>
          </w:tcPr>
          <w:p w14:paraId="0C150E13">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②健康检测：掌握健康检测的基本内容及方法。</w:t>
            </w:r>
          </w:p>
        </w:tc>
        <w:tc>
          <w:tcPr>
            <w:tcW w:w="1348" w:type="dxa"/>
            <w:tcBorders>
              <w:right w:val="single" w:color="auto" w:sz="12" w:space="0"/>
            </w:tcBorders>
            <w:vAlign w:val="center"/>
          </w:tcPr>
          <w:p w14:paraId="DC79499C">
            <w:pPr>
              <w:pStyle w:val="24"/>
              <w:rPr>
                <w:rFonts w:ascii="宋体" w:hAnsi="宋体"/>
                <w:bCs/>
              </w:rPr>
            </w:pPr>
            <w:r>
              <w:rPr>
                <w:rFonts w:ascii="宋体" w:hAnsi="宋体"/>
                <w:bCs/>
                <w:lang w:val="en-US"/>
              </w:rPr>
              <w:t>25%</w:t>
            </w:r>
          </w:p>
        </w:tc>
      </w:tr>
      <w:tr w14:paraId="A1E0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669078B">
            <w:pPr>
              <w:pStyle w:val="24"/>
            </w:pPr>
          </w:p>
        </w:tc>
        <w:tc>
          <w:tcPr>
            <w:tcW w:w="794" w:type="dxa"/>
            <w:vMerge w:val="continue"/>
            <w:tcBorders>
              <w:left w:val="single" w:color="auto" w:sz="4" w:space="0"/>
            </w:tcBorders>
            <w:vAlign w:val="center"/>
          </w:tcPr>
          <w:p w14:paraId="A02F14D8">
            <w:pPr>
              <w:pStyle w:val="24"/>
              <w:rPr>
                <w:rFonts w:cs="Times New Roman"/>
                <w:bCs/>
              </w:rPr>
            </w:pPr>
          </w:p>
        </w:tc>
        <w:tc>
          <w:tcPr>
            <w:tcW w:w="794" w:type="dxa"/>
            <w:vMerge w:val="continue"/>
            <w:tcBorders>
              <w:right w:val="double" w:color="auto" w:sz="4" w:space="0"/>
            </w:tcBorders>
            <w:shd w:val="clear" w:color="auto" w:fill="auto"/>
            <w:vAlign w:val="center"/>
          </w:tcPr>
          <w:p w14:paraId="59D02D69">
            <w:pPr>
              <w:pStyle w:val="24"/>
              <w:rPr>
                <w:rFonts w:ascii="宋体" w:hAnsi="宋体"/>
              </w:rPr>
            </w:pPr>
          </w:p>
        </w:tc>
        <w:tc>
          <w:tcPr>
            <w:tcW w:w="4763" w:type="dxa"/>
            <w:vAlign w:val="center"/>
          </w:tcPr>
          <w:p w14:paraId="F21F9E1A">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③健康评估：能全面评估服务对象的健康状态，具有健康监测、健康风险评估能力。</w:t>
            </w:r>
          </w:p>
        </w:tc>
        <w:tc>
          <w:tcPr>
            <w:tcW w:w="1348" w:type="dxa"/>
            <w:tcBorders>
              <w:right w:val="single" w:color="auto" w:sz="12" w:space="0"/>
            </w:tcBorders>
            <w:vAlign w:val="center"/>
          </w:tcPr>
          <w:p w14:paraId="3F579F6C">
            <w:pPr>
              <w:pStyle w:val="24"/>
              <w:rPr>
                <w:rFonts w:ascii="宋体" w:hAnsi="宋体"/>
                <w:bCs/>
              </w:rPr>
            </w:pPr>
            <w:r>
              <w:rPr>
                <w:rFonts w:ascii="宋体" w:hAnsi="宋体"/>
                <w:bCs/>
                <w:lang w:val="en-US"/>
              </w:rPr>
              <w:t>25%</w:t>
            </w:r>
          </w:p>
        </w:tc>
      </w:tr>
      <w:tr w14:paraId="C690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5405CFF">
            <w:pPr>
              <w:pStyle w:val="24"/>
            </w:pPr>
          </w:p>
        </w:tc>
        <w:tc>
          <w:tcPr>
            <w:tcW w:w="794" w:type="dxa"/>
            <w:vMerge w:val="continue"/>
            <w:tcBorders>
              <w:left w:val="single" w:color="auto" w:sz="4" w:space="0"/>
            </w:tcBorders>
            <w:vAlign w:val="center"/>
          </w:tcPr>
          <w:p w14:paraId="C8868D53">
            <w:pPr>
              <w:pStyle w:val="24"/>
              <w:rPr>
                <w:rFonts w:cs="Times New Roman"/>
                <w:bCs/>
              </w:rPr>
            </w:pPr>
          </w:p>
        </w:tc>
        <w:tc>
          <w:tcPr>
            <w:tcW w:w="794" w:type="dxa"/>
            <w:vMerge w:val="continue"/>
            <w:tcBorders>
              <w:right w:val="double" w:color="auto" w:sz="4" w:space="0"/>
            </w:tcBorders>
            <w:shd w:val="clear" w:color="auto" w:fill="auto"/>
            <w:vAlign w:val="center"/>
          </w:tcPr>
          <w:p w14:paraId="5E703D28">
            <w:pPr>
              <w:pStyle w:val="24"/>
              <w:rPr>
                <w:rFonts w:ascii="宋体" w:hAnsi="宋体"/>
              </w:rPr>
            </w:pPr>
          </w:p>
        </w:tc>
        <w:tc>
          <w:tcPr>
            <w:tcW w:w="4763" w:type="dxa"/>
            <w:vAlign w:val="center"/>
          </w:tcPr>
          <w:p w14:paraId="422CCF5A">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④健康咨询：掌握健康保健专业知识，为服务对象提供健康咨询服务。能确定服务对象的健康需求，并采用合适的健康教育方法。</w:t>
            </w:r>
          </w:p>
        </w:tc>
        <w:tc>
          <w:tcPr>
            <w:tcW w:w="1348" w:type="dxa"/>
            <w:tcBorders>
              <w:right w:val="single" w:color="auto" w:sz="12" w:space="0"/>
            </w:tcBorders>
            <w:vAlign w:val="center"/>
          </w:tcPr>
          <w:p w14:paraId="C9B4A891">
            <w:pPr>
              <w:pStyle w:val="24"/>
              <w:rPr>
                <w:rFonts w:ascii="宋体" w:hAnsi="宋体"/>
                <w:bCs/>
              </w:rPr>
            </w:pPr>
            <w:r>
              <w:rPr>
                <w:rFonts w:ascii="宋体" w:hAnsi="宋体"/>
                <w:bCs/>
                <w:lang w:val="en-US"/>
              </w:rPr>
              <w:t>25%</w:t>
            </w:r>
          </w:p>
        </w:tc>
      </w:tr>
      <w:tr w14:paraId="5157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EA41B2F6">
            <w:pPr>
              <w:pStyle w:val="24"/>
            </w:pPr>
            <w:r>
              <w:rPr>
                <w:lang w:val="en-US"/>
              </w:rPr>
              <w:t>LO2</w:t>
            </w:r>
          </w:p>
        </w:tc>
        <w:tc>
          <w:tcPr>
            <w:tcW w:w="794" w:type="dxa"/>
            <w:tcBorders>
              <w:left w:val="single" w:color="auto" w:sz="4" w:space="0"/>
              <w:bottom w:val="single" w:color="auto" w:sz="12" w:space="0"/>
            </w:tcBorders>
            <w:vAlign w:val="center"/>
          </w:tcPr>
          <w:p w14:paraId="FBF58E52">
            <w:pPr>
              <w:pStyle w:val="24"/>
              <w:rPr>
                <w:rFonts w:cs="Times New Roman"/>
                <w:bCs/>
              </w:rPr>
            </w:pPr>
            <w:r>
              <w:rPr>
                <w:rFonts w:cs="Times New Roman"/>
                <w:bCs/>
                <w:lang w:val="en-US"/>
              </w:rPr>
              <w:t>⑥</w:t>
            </w:r>
          </w:p>
        </w:tc>
        <w:tc>
          <w:tcPr>
            <w:tcW w:w="794" w:type="dxa"/>
            <w:tcBorders>
              <w:bottom w:val="single" w:color="auto" w:sz="12" w:space="0"/>
              <w:right w:val="double" w:color="auto" w:sz="4" w:space="0"/>
            </w:tcBorders>
            <w:shd w:val="clear" w:color="auto" w:fill="auto"/>
            <w:vAlign w:val="center"/>
          </w:tcPr>
          <w:p w14:paraId="3E661952">
            <w:pPr>
              <w:pStyle w:val="24"/>
              <w:rPr>
                <w:rFonts w:ascii="宋体" w:hAnsi="宋体"/>
              </w:rPr>
            </w:pPr>
            <w:r>
              <w:rPr>
                <w:rFonts w:ascii="宋体" w:hAnsi="宋体"/>
                <w:lang w:val="en-US"/>
              </w:rPr>
              <w:t>H</w:t>
            </w:r>
          </w:p>
        </w:tc>
        <w:tc>
          <w:tcPr>
            <w:tcW w:w="4763" w:type="dxa"/>
            <w:tcBorders>
              <w:bottom w:val="single" w:color="auto" w:sz="12" w:space="0"/>
            </w:tcBorders>
            <w:vAlign w:val="center"/>
          </w:tcPr>
          <w:p w14:paraId="CCABDB5F">
            <w:pPr>
              <w:pStyle w:val="24"/>
              <w:jc w:val="left"/>
              <w:rPr>
                <w:rFonts w:ascii="宋体" w:hAnsi="宋体"/>
                <w:bCs/>
              </w:rPr>
            </w:pPr>
            <w:r>
              <w:rPr>
                <w:rFonts w:hint="default" w:ascii="宋体" w:hAnsi="宋体" w:eastAsia="宋体" w:cs="宋体"/>
                <w:b w:val="0"/>
                <w:bCs w:val="0"/>
                <w:i w:val="0"/>
                <w:iCs w:val="0"/>
                <w:color w:val="auto"/>
                <w:sz w:val="24"/>
                <w:szCs w:val="24"/>
                <w:highlight w:val="none"/>
                <w:vertAlign w:val="baseline"/>
                <w:lang w:val="en-US" w:eastAsia="zh-CN" w:bidi="ar-SA"/>
              </w:rPr>
              <w:t>⑥健康管理：掌握对个人或人群的健康风险因素进行全面管理的能力，开展健康管理服务。</w:t>
            </w:r>
          </w:p>
        </w:tc>
        <w:tc>
          <w:tcPr>
            <w:tcW w:w="1348" w:type="dxa"/>
            <w:tcBorders>
              <w:bottom w:val="single" w:color="auto" w:sz="12" w:space="0"/>
              <w:right w:val="single" w:color="auto" w:sz="12" w:space="0"/>
            </w:tcBorders>
            <w:vAlign w:val="center"/>
          </w:tcPr>
          <w:p w14:paraId="A81F3725">
            <w:pPr>
              <w:pStyle w:val="24"/>
              <w:rPr>
                <w:rFonts w:ascii="宋体" w:hAnsi="宋体"/>
                <w:bCs/>
              </w:rPr>
            </w:pPr>
            <w:r>
              <w:rPr>
                <w:rFonts w:ascii="宋体" w:hAnsi="宋体"/>
                <w:bCs/>
                <w:lang w:val="en-US"/>
              </w:rPr>
              <w:t>25%</w:t>
            </w:r>
          </w:p>
        </w:tc>
      </w:tr>
    </w:tbl>
    <w:p w14:paraId="C9193252">
      <w:pPr>
        <w:pStyle w:val="2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8462D3AF">
      <w:pPr>
        <w:pStyle w:val="27"/>
        <w:spacing w:before="81" w:after="163"/>
      </w:pPr>
      <w:r>
        <w:rPr>
          <w:rFonts w:hint="eastAsia"/>
        </w:rPr>
        <w:t>（一）各教学单元预期学习成果与教学内容</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99"/>
      </w:tblGrid>
      <w:tr w14:paraId="B29D3A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B7D7CBD">
            <w:pPr>
              <w:pStyle w:val="24"/>
              <w:widowControl w:val="0"/>
              <w:jc w:val="left"/>
              <w:rPr>
                <w:rFonts w:ascii="宋体" w:hAnsi="宋体"/>
                <w:bCs/>
              </w:rPr>
            </w:pPr>
            <w:bookmarkStart w:id="0" w:name="OLE_LINK5"/>
            <w:bookmarkStart w:id="1" w:name="OLE_LINK6"/>
          </w:p>
          <w:tbl>
            <w:tblPr>
              <w:tblStyle w:val="10"/>
              <w:tblW w:w="8183" w:type="dxa"/>
              <w:jc w:val="center"/>
              <w:tblLayout w:type="autofit"/>
              <w:tblCellMar>
                <w:top w:w="0" w:type="dxa"/>
                <w:left w:w="108" w:type="dxa"/>
                <w:bottom w:w="0" w:type="dxa"/>
                <w:right w:w="108" w:type="dxa"/>
              </w:tblCellMar>
            </w:tblPr>
            <w:tblGrid>
              <w:gridCol w:w="620"/>
              <w:gridCol w:w="794"/>
              <w:gridCol w:w="1186"/>
              <w:gridCol w:w="2600"/>
              <w:gridCol w:w="1869"/>
              <w:gridCol w:w="1114"/>
            </w:tblGrid>
            <w:tr w14:paraId="18053265">
              <w:tblPrEx>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ECD898AD">
                  <w:pPr>
                    <w:snapToGrid w:val="0"/>
                    <w:spacing w:line="280" w:lineRule="exact"/>
                    <w:jc w:val="center"/>
                    <w:rPr>
                      <w:rFonts w:ascii="宋体" w:hAnsi="宋体"/>
                      <w:bCs/>
                    </w:rPr>
                  </w:pPr>
                  <w:r>
                    <w:rPr>
                      <w:rFonts w:hint="default" w:ascii="宋体" w:hAnsi="宋体" w:eastAsia="宋体" w:cs="Times New Roman"/>
                      <w:b/>
                      <w:bCs/>
                      <w:i w:val="0"/>
                      <w:iCs w:val="0"/>
                      <w:color w:val="auto"/>
                      <w:kern w:val="2"/>
                      <w:sz w:val="20"/>
                      <w:szCs w:val="20"/>
                      <w:highlight w:val="none"/>
                      <w:vertAlign w:val="baseline"/>
                      <w:lang w:val="en-US" w:eastAsia="zh-CN" w:bidi="ar-SA"/>
                    </w:rPr>
                    <w:t>序号</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4F7D76">
                  <w:pPr>
                    <w:snapToGrid w:val="0"/>
                    <w:spacing w:line="280" w:lineRule="exact"/>
                    <w:jc w:val="center"/>
                    <w:rPr>
                      <w:rFonts w:ascii="宋体" w:hAnsi="宋体"/>
                      <w:bCs/>
                    </w:rPr>
                  </w:pPr>
                  <w:r>
                    <w:rPr>
                      <w:rFonts w:hint="default" w:ascii="宋体" w:hAnsi="宋体" w:eastAsia="宋体" w:cs="Times New Roman"/>
                      <w:b/>
                      <w:bCs/>
                      <w:i w:val="0"/>
                      <w:iCs w:val="0"/>
                      <w:color w:val="auto"/>
                      <w:kern w:val="2"/>
                      <w:sz w:val="20"/>
                      <w:szCs w:val="20"/>
                      <w:highlight w:val="none"/>
                      <w:vertAlign w:val="baseline"/>
                      <w:lang w:val="en-US" w:eastAsia="zh-CN" w:bidi="ar-SA"/>
                    </w:rPr>
                    <w:t>单元名称</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10880F">
                  <w:pPr>
                    <w:snapToGrid w:val="0"/>
                    <w:spacing w:line="280" w:lineRule="exact"/>
                    <w:jc w:val="center"/>
                    <w:rPr>
                      <w:rFonts w:hint="default" w:ascii="宋体" w:hAnsi="宋体" w:eastAsia="宋体" w:cs="Times New Roman"/>
                      <w:b/>
                      <w:bCs/>
                      <w:i w:val="0"/>
                      <w:iCs w:val="0"/>
                      <w:color w:val="auto"/>
                      <w:kern w:val="2"/>
                      <w:sz w:val="20"/>
                      <w:szCs w:val="20"/>
                      <w:highlight w:val="none"/>
                      <w:vertAlign w:val="baseline"/>
                      <w:lang w:val="en-US" w:eastAsia="zh-CN" w:bidi="ar-SA"/>
                    </w:rPr>
                  </w:pPr>
                  <w:r>
                    <w:rPr>
                      <w:rFonts w:hint="default" w:ascii="宋体" w:hAnsi="宋体" w:eastAsia="宋体" w:cs="Times New Roman"/>
                      <w:b/>
                      <w:bCs/>
                      <w:i w:val="0"/>
                      <w:iCs w:val="0"/>
                      <w:color w:val="auto"/>
                      <w:kern w:val="2"/>
                      <w:sz w:val="20"/>
                      <w:szCs w:val="20"/>
                      <w:highlight w:val="none"/>
                      <w:vertAlign w:val="baseline"/>
                      <w:lang w:val="en-US" w:eastAsia="zh-CN" w:bidi="ar-SA"/>
                    </w:rPr>
                    <w:t>预期学习成果</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8EF31F43">
                  <w:pPr>
                    <w:snapToGrid w:val="0"/>
                    <w:spacing w:line="280" w:lineRule="exact"/>
                    <w:jc w:val="center"/>
                    <w:rPr>
                      <w:rFonts w:ascii="宋体" w:hAnsi="宋体"/>
                      <w:bCs/>
                    </w:rPr>
                  </w:pPr>
                  <w:r>
                    <w:rPr>
                      <w:rFonts w:hint="default" w:ascii="宋体" w:hAnsi="宋体" w:eastAsia="宋体" w:cs="Times New Roman"/>
                      <w:b/>
                      <w:bCs/>
                      <w:i w:val="0"/>
                      <w:iCs w:val="0"/>
                      <w:color w:val="auto"/>
                      <w:kern w:val="2"/>
                      <w:sz w:val="20"/>
                      <w:szCs w:val="20"/>
                      <w:highlight w:val="none"/>
                      <w:vertAlign w:val="baseline"/>
                      <w:lang w:val="en-US" w:eastAsia="zh-CN" w:bidi="ar-SA"/>
                    </w:rPr>
                    <w:t>核心知识点</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B20D17BB">
                  <w:pPr>
                    <w:snapToGrid w:val="0"/>
                    <w:spacing w:line="280" w:lineRule="exact"/>
                    <w:jc w:val="center"/>
                    <w:rPr>
                      <w:rFonts w:ascii="宋体" w:hAnsi="宋体"/>
                      <w:bCs/>
                    </w:rPr>
                  </w:pPr>
                  <w:r>
                    <w:rPr>
                      <w:rFonts w:hint="default" w:ascii="宋体" w:hAnsi="宋体" w:eastAsia="宋体" w:cs="Times New Roman"/>
                      <w:b/>
                      <w:bCs/>
                      <w:i w:val="0"/>
                      <w:iCs w:val="0"/>
                      <w:color w:val="auto"/>
                      <w:kern w:val="2"/>
                      <w:sz w:val="20"/>
                      <w:szCs w:val="20"/>
                      <w:highlight w:val="none"/>
                      <w:vertAlign w:val="baseline"/>
                      <w:lang w:val="en-US" w:eastAsia="zh-CN" w:bidi="ar-SA"/>
                    </w:rPr>
                    <w:t>能力目标</w:t>
                  </w:r>
                </w:p>
              </w:tc>
              <w:tc>
                <w:tcPr>
                  <w:tcW w:w="1114" w:type="dxa"/>
                  <w:tcBorders>
                    <w:top w:val="single" w:color="auto" w:sz="4" w:space="0"/>
                    <w:left w:val="single" w:color="auto" w:sz="4" w:space="0"/>
                    <w:bottom w:val="single" w:color="auto" w:sz="4" w:space="0"/>
                    <w:right w:val="single" w:color="auto" w:sz="4" w:space="0"/>
                  </w:tcBorders>
                  <w:vAlign w:val="center"/>
                </w:tcPr>
                <w:p w14:paraId="84818F5F">
                  <w:pPr>
                    <w:snapToGrid w:val="0"/>
                    <w:spacing w:line="280" w:lineRule="exact"/>
                    <w:jc w:val="center"/>
                    <w:rPr>
                      <w:rFonts w:ascii="宋体" w:hAnsi="宋体"/>
                      <w:bCs/>
                    </w:rPr>
                  </w:pPr>
                  <w:r>
                    <w:rPr>
                      <w:rFonts w:hint="default" w:ascii="宋体" w:hAnsi="宋体" w:eastAsia="宋体" w:cs="Times New Roman"/>
                      <w:b/>
                      <w:bCs/>
                      <w:i w:val="0"/>
                      <w:iCs w:val="0"/>
                      <w:color w:val="000000"/>
                      <w:kern w:val="2"/>
                      <w:sz w:val="20"/>
                      <w:szCs w:val="20"/>
                      <w:highlight w:val="none"/>
                      <w:vertAlign w:val="baseline"/>
                      <w:lang w:val="en-US" w:eastAsia="zh-CN" w:bidi="ar-SA"/>
                    </w:rPr>
                    <w:t>教学难</w:t>
                  </w:r>
                  <w:r>
                    <w:rPr>
                      <w:rFonts w:hint="default" w:ascii="宋体" w:hAnsi="宋体" w:eastAsia="宋体" w:cs="Times New Roman"/>
                      <w:b/>
                      <w:bCs/>
                      <w:i w:val="0"/>
                      <w:iCs w:val="0"/>
                      <w:color w:val="auto"/>
                      <w:kern w:val="2"/>
                      <w:sz w:val="20"/>
                      <w:szCs w:val="20"/>
                      <w:highlight w:val="none"/>
                      <w:vertAlign w:val="baseline"/>
                      <w:lang w:val="en-US" w:eastAsia="zh-CN" w:bidi="ar-SA"/>
                    </w:rPr>
                    <w:t>点</w:t>
                  </w:r>
                </w:p>
              </w:tc>
            </w:tr>
            <w:tr w14:paraId="030157B4">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2FAA3C">
                  <w:pPr>
                    <w:snapToGrid w:val="0"/>
                    <w:spacing w:line="320" w:lineRule="exact"/>
                    <w:jc w:val="center"/>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9B6D19">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病因概述</w:t>
                  </w:r>
                </w:p>
                <w:p w14:paraId="AA815D54">
                  <w:pPr>
                    <w:spacing w:line="320" w:lineRule="exact"/>
                    <w:jc w:val="left"/>
                    <w:rPr>
                      <w:rFonts w:ascii="宋体" w:hAnsi="宋体"/>
                      <w:bCs/>
                    </w:rPr>
                  </w:pPr>
                </w:p>
                <w:p w14:paraId="3D0043FB">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细菌</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0ABF7F4">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LO2②③④</w:t>
                  </w:r>
                </w:p>
                <w:p w14:paraId="1A7305DB">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9A40FC6A">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1.知道细菌的基本性质、革兰氏阳性菌、革兰氏阴性菌、抗酸杆菌、支原体、螺旋体、立克次体、衣原体、放线菌的生物学特征、致病性、检测与防治。</w:t>
                  </w:r>
                </w:p>
                <w:p w14:paraId="81DE9128">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2.理解细菌的分布与消毒灭菌、细菌的感染</w:t>
                  </w:r>
                </w:p>
                <w:p w14:paraId="684852DA">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3.运用细菌感染的实验室诊断与防治原则，疾病的外源性因素，疾病的内源性因素。</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72F2C9">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1.能够根据各种病原菌的特征，对临床的各种病原菌感染现象做出分析和初步诊断。能够运用病原菌的检测和防治原则。</w:t>
                  </w:r>
                </w:p>
                <w:p w14:paraId="2E6782B2">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2.培养积极对待和正确认识医学细菌及其感染的认知能力。</w:t>
                  </w:r>
                </w:p>
              </w:tc>
              <w:tc>
                <w:tcPr>
                  <w:tcW w:w="1114" w:type="dxa"/>
                  <w:tcBorders>
                    <w:top w:val="single" w:color="auto" w:sz="4" w:space="0"/>
                    <w:left w:val="single" w:color="auto" w:sz="4" w:space="0"/>
                    <w:bottom w:val="single" w:color="auto" w:sz="4" w:space="0"/>
                    <w:right w:val="single" w:color="auto" w:sz="4" w:space="0"/>
                  </w:tcBorders>
                </w:tcPr>
                <w:p w14:paraId="6B1A433A">
                  <w:pPr>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1.金黄色葡萄球菌与乙型溶血性链球菌引起不同局部脓灶的原因。</w:t>
                  </w:r>
                </w:p>
                <w:p w14:paraId="DBC55072">
                  <w:pPr>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2.肥达试验结果判断注意要点。</w:t>
                  </w:r>
                </w:p>
                <w:p w14:paraId="C69FD9B4">
                  <w:pPr>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3.伤寒和副伤寒的致病机制。</w:t>
                  </w:r>
                </w:p>
                <w:p w14:paraId="27AA7E90">
                  <w:pPr>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4.结核菌素试验结果与临床意义。</w:t>
                  </w:r>
                </w:p>
                <w:p w14:paraId="93B70233">
                  <w:pPr>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5.破伤风杆菌致病机制。</w:t>
                  </w:r>
                </w:p>
              </w:tc>
            </w:tr>
            <w:tr w14:paraId="5FDEC169">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5B04B6">
                  <w:pPr>
                    <w:snapToGrid w:val="0"/>
                    <w:spacing w:line="320" w:lineRule="exact"/>
                    <w:jc w:val="center"/>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eastAsia" w:cs="Times New Roman"/>
                      <w:b w:val="0"/>
                      <w:bCs w:val="0"/>
                      <w:i w:val="0"/>
                      <w:iCs w:val="0"/>
                      <w:color w:val="auto"/>
                      <w:kern w:val="2"/>
                      <w:sz w:val="20"/>
                      <w:szCs w:val="20"/>
                      <w:highlight w:val="none"/>
                      <w:vertAlign w:val="baseline"/>
                      <w:lang w:val="en-US" w:eastAsia="zh-CN" w:bidi="ar-SA"/>
                    </w:rPr>
                    <w:t>2</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CFD2A042">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真菌</w:t>
                  </w:r>
                </w:p>
                <w:p w14:paraId="7861E758">
                  <w:pPr>
                    <w:snapToGrid w:val="0"/>
                    <w:spacing w:line="320" w:lineRule="exact"/>
                    <w:jc w:val="left"/>
                    <w:rPr>
                      <w:rFonts w:ascii="宋体" w:hAnsi="宋体"/>
                      <w:bCs/>
                    </w:rPr>
                  </w:pPr>
                </w:p>
                <w:p w14:paraId="133B997B">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病毒</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37B0C80">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2AC31A8E">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p w14:paraId="E53C2293">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8B892D9">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主要致病性真菌（皮肤癣真菌、白假丝酵母菌、新生隐球菌）的生物学性状、致病性和微生物学检查方法。掌握呼吸道感染病毒（流行性感冒病毒、麻疹病毒、腮腺炎病毒、风疹病毒、冠状病毒）、消化道感染病毒（肠道病毒、脊髓灰质炎病毒、柯萨奇病毒、轮状病毒）、的生物学性状、致病特点、微生物学检查方法、防治原则。</w:t>
                  </w:r>
                </w:p>
                <w:p w14:paraId="87D5864E">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2.理解病毒总体的基本性状、病毒的感染、病毒感染的检查方法</w:t>
                  </w:r>
                </w:p>
                <w:p w14:paraId="B241392C">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3.运用真菌的生物学性状、真菌的致病性、免疫性和防治原则</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786D05">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1.能够根据真菌和病毒的特征，对临床的各种病原体感染现象做出分析和初步诊断。能够运用病原体的检测和防治原则。</w:t>
                  </w:r>
                </w:p>
                <w:p w14:paraId="6DAA80CD">
                  <w:pPr>
                    <w:snapToGrid w:val="0"/>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2.培养积极对待和正确认识真菌和病毒感染的认知能力和防治措施。</w:t>
                  </w:r>
                </w:p>
              </w:tc>
              <w:tc>
                <w:tcPr>
                  <w:tcW w:w="1114" w:type="dxa"/>
                  <w:tcBorders>
                    <w:top w:val="single" w:color="auto" w:sz="4" w:space="0"/>
                    <w:left w:val="single" w:color="auto" w:sz="4" w:space="0"/>
                    <w:bottom w:val="single" w:color="auto" w:sz="4" w:space="0"/>
                    <w:right w:val="single" w:color="auto" w:sz="4" w:space="0"/>
                  </w:tcBorders>
                </w:tcPr>
                <w:p w14:paraId="57DBB023">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1.为何甲型流感病毒引起大流行</w:t>
                  </w:r>
                </w:p>
                <w:p w14:paraId="0CEB9956">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2.HBV传播途径</w:t>
                  </w:r>
                </w:p>
                <w:p w14:paraId="59577684">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3.被犬咬伤了后应如何处理</w:t>
                  </w:r>
                </w:p>
                <w:p w14:paraId="BC370944">
                  <w:pPr>
                    <w:spacing w:line="320" w:lineRule="exact"/>
                    <w:ind w:right="-134" w:rightChars="-56"/>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4.AIDS的检测</w:t>
                  </w:r>
                </w:p>
              </w:tc>
            </w:tr>
            <w:tr w14:paraId="A9E7F7AA">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FC1A0E">
                  <w:pPr>
                    <w:snapToGrid w:val="0"/>
                    <w:spacing w:line="320" w:lineRule="exact"/>
                    <w:jc w:val="center"/>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EE098D">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 xml:space="preserve">医学   </w:t>
                  </w:r>
                </w:p>
                <w:p w14:paraId="479080AE">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病毒</w:t>
                  </w:r>
                </w:p>
                <w:p w14:paraId="D7E9CBEC">
                  <w:pPr>
                    <w:snapToGrid w:val="0"/>
                    <w:spacing w:line="320" w:lineRule="exact"/>
                    <w:jc w:val="left"/>
                    <w:rPr>
                      <w:rFonts w:ascii="宋体" w:hAnsi="宋体"/>
                      <w:bCs/>
                    </w:rPr>
                  </w:pPr>
                </w:p>
                <w:p w14:paraId="D002D2DA">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医学蠕虫</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D67AF6F4">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LO2②③④</w:t>
                  </w:r>
                </w:p>
                <w:p w14:paraId="44235BD1">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BE0E98A2">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肝炎病毒（甲型肝炎病毒、乙型肝炎病毒、丙型肝炎病毒、丁型肝炎病毒、戊型肝炎病毒）、虫媒病毒和出血热病毒、疱疹病毒、反转录病毒的生物学性状、致病特点、微生物学检查方法、防治原则。知道线虫、吸虫的感染方式和致病特点。</w:t>
                  </w:r>
                </w:p>
                <w:p w14:paraId="BEF7D450">
                  <w:pPr>
                    <w:spacing w:line="320" w:lineRule="exact"/>
                    <w:jc w:val="left"/>
                    <w:rPr>
                      <w:rFonts w:ascii="宋体" w:hAnsi="宋体"/>
                      <w:bCs/>
                    </w:rPr>
                  </w:pP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FB79A7EB">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能够根据肝炎病毒（甲型肝炎病毒、乙型肝炎病毒、丙型肝炎病毒、丁型肝炎病毒、戊型肝炎病毒）、虫媒病毒和出血热病毒、疱疹病毒、反转录病毒的特征，对临床的各种病原体感染现象做出分析和初步诊断。能够运用病原体的检测和防治原则。</w:t>
                  </w:r>
                </w:p>
                <w:p w14:paraId="5FA59164">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2.能够根据线虫和吸虫的特征，对临床的各种病原体感染现象做出分析和初步诊断。</w:t>
                  </w:r>
                </w:p>
                <w:p w14:paraId="25BEEEC0">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3.培养积极对待和正确认识病毒和寄生虫的认知能力和防治措施。</w:t>
                  </w:r>
                </w:p>
              </w:tc>
              <w:tc>
                <w:tcPr>
                  <w:tcW w:w="1114" w:type="dxa"/>
                  <w:tcBorders>
                    <w:top w:val="single" w:color="auto" w:sz="4" w:space="0"/>
                    <w:left w:val="single" w:color="auto" w:sz="4" w:space="0"/>
                    <w:bottom w:val="single" w:color="auto" w:sz="4" w:space="0"/>
                    <w:right w:val="single" w:color="auto" w:sz="4" w:space="0"/>
                  </w:tcBorders>
                </w:tcPr>
                <w:p w14:paraId="BD0274DB">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1.肝炎病毒的分类，各种肝炎病毒的特征和致病特点</w:t>
                  </w:r>
                </w:p>
                <w:p w14:paraId="BEA87C65">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2.线虫和钩虫的生活史以及与人体的相关性</w:t>
                  </w:r>
                </w:p>
              </w:tc>
            </w:tr>
            <w:tr w14:paraId="1A9F8FF2">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9AA58F9D">
                  <w:pPr>
                    <w:snapToGrid w:val="0"/>
                    <w:spacing w:line="320" w:lineRule="exact"/>
                    <w:jc w:val="center"/>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eastAsia" w:cs="Times New Roman"/>
                      <w:b w:val="0"/>
                      <w:bCs w:val="0"/>
                      <w:i w:val="0"/>
                      <w:iCs w:val="0"/>
                      <w:color w:val="auto"/>
                      <w:kern w:val="2"/>
                      <w:sz w:val="20"/>
                      <w:szCs w:val="20"/>
                      <w:highlight w:val="none"/>
                      <w:vertAlign w:val="baseline"/>
                      <w:lang w:val="en-US" w:eastAsia="zh-CN" w:bidi="ar-SA"/>
                    </w:rPr>
                    <w:t>4</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31ECC5">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医学蠕虫</w:t>
                  </w:r>
                </w:p>
                <w:p w14:paraId="7775BAE5">
                  <w:pPr>
                    <w:snapToGrid w:val="0"/>
                    <w:spacing w:line="320" w:lineRule="exact"/>
                    <w:jc w:val="left"/>
                    <w:rPr>
                      <w:rFonts w:ascii="宋体" w:hAnsi="宋体"/>
                      <w:bCs/>
                    </w:rPr>
                  </w:pPr>
                </w:p>
                <w:p w14:paraId="EA9390C7">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医学原虫</w:t>
                  </w:r>
                </w:p>
                <w:p w14:paraId="7BB8A006">
                  <w:pPr>
                    <w:snapToGrid w:val="0"/>
                    <w:spacing w:line="320" w:lineRule="exact"/>
                    <w:jc w:val="left"/>
                    <w:rPr>
                      <w:rFonts w:ascii="宋体" w:hAnsi="宋体"/>
                      <w:bCs/>
                    </w:rPr>
                  </w:pPr>
                </w:p>
                <w:p w14:paraId="4001ED49">
                  <w:pPr>
                    <w:snapToGrid w:val="0"/>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医学节肢动物</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F6ECD5F6">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DF55CBA6">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p w14:paraId="DF31EC6D">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78900A1">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1.知道绦虫、其他人体寄生蠕虫、叶足虫、鞭毛虫、孢子虫的感染方式和致病特点。</w:t>
                  </w:r>
                </w:p>
                <w:p w14:paraId="D49A8027">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3.理解绦虫、其他人体寄生蠕虫、叶足虫、鞭毛虫、孢子虫的流行病学特点与防治。</w:t>
                  </w:r>
                </w:p>
                <w:p w14:paraId="2D3049F3">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3.运用其他人体寄生蠕虫和其他人体寄生原虫的感染方式和致病特点。了解医学节肢动物的传播方式和感染特点。</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B8FC6638">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1.能判断蛔虫、钩虫、吸虫、绦虫的结构特点。</w:t>
                  </w:r>
                </w:p>
                <w:p w14:paraId="C8825D68">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2.能阐述蛔虫、钩虫、吸虫、绦虫的流行病学特点与防治</w:t>
                  </w:r>
                </w:p>
                <w:p w14:paraId="4CDACAA1">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p>
              </w:tc>
              <w:tc>
                <w:tcPr>
                  <w:tcW w:w="1114" w:type="dxa"/>
                  <w:tcBorders>
                    <w:top w:val="single" w:color="auto" w:sz="4" w:space="0"/>
                    <w:left w:val="single" w:color="auto" w:sz="4" w:space="0"/>
                    <w:bottom w:val="single" w:color="auto" w:sz="4" w:space="0"/>
                    <w:right w:val="single" w:color="auto" w:sz="4" w:space="0"/>
                  </w:tcBorders>
                </w:tcPr>
                <w:p w14:paraId="4E757144">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1.寄生虫的流行与防治。</w:t>
                  </w:r>
                </w:p>
                <w:p w14:paraId="FB313793">
                  <w:pPr>
                    <w:snapToGrid w:val="0"/>
                    <w:spacing w:line="320" w:lineRule="exact"/>
                    <w:ind w:right="-134" w:rightChars="-56"/>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2.蛔虫、钩虫、吸虫、绦虫的流行病学特点与防治。</w:t>
                  </w:r>
                </w:p>
              </w:tc>
            </w:tr>
            <w:tr w14:paraId="72999B68">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F5402A2C">
                  <w:pPr>
                    <w:snapToGrid w:val="0"/>
                    <w:spacing w:line="320" w:lineRule="exact"/>
                    <w:jc w:val="center"/>
                    <w:rPr>
                      <w:rFonts w:ascii="宋体" w:hAnsi="宋体"/>
                      <w:bCs/>
                    </w:rPr>
                  </w:pPr>
                  <w:r>
                    <w:rPr>
                      <w:rFonts w:ascii="宋体" w:hAnsi="宋体"/>
                      <w:bCs/>
                      <w:lang w:val="en-US"/>
                    </w:rPr>
                    <w:t>5</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E5211097">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免疫与免疫系统、 抗原</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CA267AA">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8EE920CA">
                  <w:pPr>
                    <w:snapToGrid w:val="0"/>
                    <w:spacing w:line="320" w:lineRule="exact"/>
                    <w:jc w:val="both"/>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1C32AD">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1.知道免疫的概念、免疫系统的组成及功能；掌握抗原的概念和特征；掌握抗原表位、的概念。</w:t>
                  </w:r>
                </w:p>
                <w:p w14:paraId="37EFEEDB">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2.理解抗原的特异性、抗体的基本结构、抗体的生物学活性及主要生物学功能。</w:t>
                  </w:r>
                </w:p>
                <w:p w14:paraId="6F45829B">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3.运用抗原的种类和医学中常见的抗原物质。</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6FE7CE6">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1.学会把免疫系统的知识、抗原的知识运用在健康管理的实践中。</w:t>
                  </w:r>
                </w:p>
                <w:p w14:paraId="174A1D04">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2.培养积极对待和正确认识免疫系统和抗原与健康的关系</w:t>
                  </w:r>
                </w:p>
                <w:p w14:paraId="88C94606">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3.树立从免疫系统和抗原角度的预见意识和科学认知分析及预防指导能力</w:t>
                  </w:r>
                </w:p>
              </w:tc>
              <w:tc>
                <w:tcPr>
                  <w:tcW w:w="1114" w:type="dxa"/>
                  <w:tcBorders>
                    <w:top w:val="single" w:color="auto" w:sz="4" w:space="0"/>
                    <w:left w:val="single" w:color="auto" w:sz="4" w:space="0"/>
                    <w:bottom w:val="single" w:color="auto" w:sz="4" w:space="0"/>
                    <w:right w:val="single" w:color="auto" w:sz="4" w:space="0"/>
                  </w:tcBorders>
                </w:tcPr>
                <w:p w14:paraId="A546491C">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1.免疫系统的基本组成与主要功能。抗原的免疫原性的形成基础。</w:t>
                  </w:r>
                </w:p>
                <w:p w14:paraId="599C666A">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2.抗原的主要分类方法及医学上的重要抗原物质。</w:t>
                  </w:r>
                </w:p>
                <w:p w14:paraId="EFAF2142">
                  <w:pPr>
                    <w:snapToGrid w:val="0"/>
                    <w:spacing w:line="320" w:lineRule="exact"/>
                    <w:jc w:val="left"/>
                    <w:rPr>
                      <w:rFonts w:ascii="宋体" w:hAnsi="宋体"/>
                      <w:bCs/>
                    </w:rPr>
                  </w:pPr>
                </w:p>
              </w:tc>
            </w:tr>
            <w:tr w14:paraId="96073114">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8C83AA">
                  <w:pPr>
                    <w:snapToGrid w:val="0"/>
                    <w:spacing w:line="320" w:lineRule="exact"/>
                    <w:jc w:val="center"/>
                    <w:rPr>
                      <w:rFonts w:ascii="宋体" w:hAnsi="宋体"/>
                      <w:bCs/>
                    </w:rPr>
                  </w:pPr>
                  <w:r>
                    <w:rPr>
                      <w:rFonts w:ascii="宋体" w:hAnsi="宋体"/>
                      <w:bCs/>
                      <w:lang w:val="en-US"/>
                    </w:rPr>
                    <w:t>6</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4EBD89">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免疫分子</w:t>
                  </w:r>
                </w:p>
                <w:p w14:paraId="D0E2B3B9">
                  <w:pPr>
                    <w:snapToGrid w:val="0"/>
                    <w:spacing w:line="320" w:lineRule="exact"/>
                    <w:jc w:val="left"/>
                    <w:rPr>
                      <w:rFonts w:ascii="宋体" w:hAnsi="宋体"/>
                      <w:bCs/>
                    </w:rPr>
                  </w:pPr>
                </w:p>
                <w:p w14:paraId="333F3BA1">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主要组织相容性复合体</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1975B37">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D41B5F0A">
                  <w:pPr>
                    <w:snapToGrid w:val="0"/>
                    <w:spacing w:line="320" w:lineRule="exact"/>
                    <w:jc w:val="both"/>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59654B4">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1.知道抗体、补体、细胞因子的概念；知道主要组织相容性复合体的概念、基因特点。掌握补体系统的经典激活途径。</w:t>
                  </w:r>
                </w:p>
                <w:p w14:paraId="CB073DE4">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2.掌握抗体的基本结构、抗体的生物学活性及主要生物学功能。熟悉补体系统各成分的主要生物学作用、补体系统的替代激活途径及MBL激活途径；熟悉HLA分子的结构、分布和与医学的相关性。</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7410C4C">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1.学会把免疫系统、免疫分子和主要组织相容性复合体的知识运用在健康管理的实践中</w:t>
                  </w:r>
                </w:p>
                <w:p w14:paraId="3AFD9C8C">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2.培养积极对待和正确认识免疫系统和抗体与健康的关系</w:t>
                  </w:r>
                </w:p>
                <w:p w14:paraId="B4F654D0">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3.树立从免疫系统和抗体角度的预见意识和科学认知分析及预防指导能力</w:t>
                  </w:r>
                </w:p>
              </w:tc>
              <w:tc>
                <w:tcPr>
                  <w:tcW w:w="1114" w:type="dxa"/>
                  <w:tcBorders>
                    <w:top w:val="single" w:color="auto" w:sz="4" w:space="0"/>
                    <w:left w:val="single" w:color="auto" w:sz="4" w:space="0"/>
                    <w:bottom w:val="single" w:color="auto" w:sz="4" w:space="0"/>
                    <w:right w:val="single" w:color="auto" w:sz="4" w:space="0"/>
                  </w:tcBorders>
                </w:tcPr>
                <w:p w14:paraId="4F0BFD9E">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1.补体的激活路径。</w:t>
                  </w:r>
                </w:p>
                <w:p w14:paraId="314B6A0A">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2.医学上常见的抗体物质。</w:t>
                  </w:r>
                </w:p>
                <w:p w14:paraId="C0BE3F14">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3.主要组织相容性复合体的基因结构、遗传特点、生物学功能、以及与医学的关系。</w:t>
                  </w:r>
                </w:p>
              </w:tc>
            </w:tr>
            <w:tr w14:paraId="B7306736">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946AD9F8">
                  <w:pPr>
                    <w:snapToGrid w:val="0"/>
                    <w:spacing w:line="320" w:lineRule="exact"/>
                    <w:jc w:val="center"/>
                    <w:rPr>
                      <w:rFonts w:ascii="宋体" w:hAnsi="宋体"/>
                      <w:bCs/>
                    </w:rPr>
                  </w:pPr>
                  <w:r>
                    <w:rPr>
                      <w:rFonts w:ascii="宋体" w:hAnsi="宋体"/>
                      <w:bCs/>
                      <w:lang w:val="en-US"/>
                    </w:rPr>
                    <w:t>7</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F47942">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免疫细胞</w:t>
                  </w:r>
                </w:p>
                <w:p w14:paraId="8CA9E2A8">
                  <w:pPr>
                    <w:snapToGrid w:val="0"/>
                    <w:spacing w:line="320" w:lineRule="exact"/>
                    <w:jc w:val="left"/>
                    <w:rPr>
                      <w:rFonts w:ascii="宋体" w:hAnsi="宋体"/>
                      <w:bCs/>
                    </w:rPr>
                  </w:pPr>
                </w:p>
                <w:p w14:paraId="B96584E8">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免疫应答</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8BE310E">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2DEA1D27">
                  <w:pPr>
                    <w:snapToGrid w:val="0"/>
                    <w:spacing w:line="320" w:lineRule="exact"/>
                    <w:jc w:val="both"/>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001B8D">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1.知道免疫细胞的分化和发育、固有免疫细胞、适应性免疫细胞、提呈免疫细胞、免疫应答的概念。</w:t>
                  </w:r>
                </w:p>
                <w:p w14:paraId="905CD1B6">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2.理解T、B淋巴细胞介导的免疫应答的基本过程（抗原的加工处理及提呈；“双信号”学说）。</w:t>
                  </w:r>
                </w:p>
                <w:p w14:paraId="ABB309A5">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HLA复合体基因组成，HLA的分子结构与分布。熟悉MHC分子的生物学意义。免疫应答的类型（体液、细胞免疫；初次、再次应答；正向、负向应答）。了解综合免疫应答的结局（免疫保护作用、免疫损伤作用、免疫耐受现象）。</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A3E844F">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1.学会应用主要组织相容性复合体、免疫细胞、免疫应答的知识分析、解释相关的健康管理问题及相关实验室检查结果。</w:t>
                  </w:r>
                </w:p>
                <w:p w14:paraId="EAEE846F">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2.培养积极对待和正确认识机体的免疫应答相关问题的预见意识和科学认知分析能力。</w:t>
                  </w:r>
                </w:p>
                <w:p w14:paraId="80433674">
                  <w:pPr>
                    <w:spacing w:line="320" w:lineRule="exact"/>
                    <w:jc w:val="left"/>
                    <w:rPr>
                      <w:rFonts w:ascii="宋体" w:hAnsi="宋体"/>
                      <w:bCs/>
                    </w:rPr>
                  </w:pPr>
                </w:p>
              </w:tc>
              <w:tc>
                <w:tcPr>
                  <w:tcW w:w="1114" w:type="dxa"/>
                  <w:tcBorders>
                    <w:top w:val="single" w:color="auto" w:sz="4" w:space="0"/>
                    <w:left w:val="single" w:color="auto" w:sz="4" w:space="0"/>
                    <w:bottom w:val="single" w:color="auto" w:sz="4" w:space="0"/>
                    <w:right w:val="single" w:color="auto" w:sz="4" w:space="0"/>
                  </w:tcBorders>
                </w:tcPr>
                <w:p w14:paraId="9E41B524">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1.抗原提呈细胞的理解</w:t>
                  </w:r>
                </w:p>
                <w:p w14:paraId="5394C7CF">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2.T、B淋巴细胞介导的免疫应答的基本过程。</w:t>
                  </w:r>
                </w:p>
                <w:p w14:paraId="BC969B4D">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3.免疫应答的结局。</w:t>
                  </w:r>
                </w:p>
              </w:tc>
            </w:tr>
            <w:tr w14:paraId="D3F5831D">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EA938E4F">
                  <w:pPr>
                    <w:snapToGrid w:val="0"/>
                    <w:spacing w:line="320" w:lineRule="exact"/>
                    <w:jc w:val="center"/>
                    <w:rPr>
                      <w:rFonts w:ascii="宋体" w:hAnsi="宋体"/>
                      <w:bCs/>
                    </w:rPr>
                  </w:pPr>
                  <w:r>
                    <w:rPr>
                      <w:rFonts w:ascii="宋体" w:hAnsi="宋体"/>
                      <w:bCs/>
                      <w:lang w:val="en-US"/>
                    </w:rPr>
                    <w:t>8</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6E7C09">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抗感染免疫、 免疫调节和免疫耐受</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5199C94">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038A8FB7">
                  <w:pPr>
                    <w:snapToGrid w:val="0"/>
                    <w:spacing w:line="320" w:lineRule="exact"/>
                    <w:jc w:val="both"/>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9B94244">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1.知道抗感染过程中，人体具有的三道基本防线；掌握宿主抗不同病原体的免疫特点</w:t>
                  </w:r>
                </w:p>
                <w:p w14:paraId="F466E385">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2.理解免疫耐受的形成与表现</w:t>
                  </w:r>
                </w:p>
                <w:p w14:paraId="B1E61B85">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3.运用免疫调节的机制</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B1242D">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1.学会应抗感染免疫、免疫调节的知识分析、解释相关的健康管理问题及相关实验室检查结果。</w:t>
                  </w:r>
                </w:p>
                <w:p w14:paraId="796B8ED1">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2.培养积极对待和正确认识机体的抗感染免疫、免疫调节和免疫耐受的相关问题的预见意识和科学认知分析能力。</w:t>
                  </w:r>
                </w:p>
                <w:p w14:paraId="80E4116D">
                  <w:pPr>
                    <w:spacing w:line="320" w:lineRule="exact"/>
                    <w:jc w:val="left"/>
                    <w:rPr>
                      <w:rFonts w:ascii="宋体" w:hAnsi="宋体"/>
                      <w:bCs/>
                    </w:rPr>
                  </w:pPr>
                </w:p>
              </w:tc>
              <w:tc>
                <w:tcPr>
                  <w:tcW w:w="1114" w:type="dxa"/>
                  <w:tcBorders>
                    <w:top w:val="single" w:color="auto" w:sz="4" w:space="0"/>
                    <w:left w:val="single" w:color="auto" w:sz="4" w:space="0"/>
                    <w:bottom w:val="single" w:color="auto" w:sz="4" w:space="0"/>
                    <w:right w:val="single" w:color="auto" w:sz="4" w:space="0"/>
                  </w:tcBorders>
                </w:tcPr>
                <w:p w14:paraId="6E18176C">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1.宿主抗不同病原体的免疫特点。</w:t>
                  </w:r>
                </w:p>
                <w:p w14:paraId="BB1B2486">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2.免疫分子的调节机制、免疫细胞的调节机制。</w:t>
                  </w:r>
                </w:p>
              </w:tc>
            </w:tr>
            <w:tr w14:paraId="1A981073">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958E93D1">
                  <w:pPr>
                    <w:snapToGrid w:val="0"/>
                    <w:spacing w:line="320" w:lineRule="exact"/>
                    <w:jc w:val="both"/>
                    <w:rPr>
                      <w:rFonts w:ascii="宋体" w:hAnsi="宋体"/>
                      <w:bCs/>
                    </w:rPr>
                  </w:pPr>
                  <w:r>
                    <w:rPr>
                      <w:rFonts w:ascii="宋体" w:hAnsi="宋体"/>
                      <w:bCs/>
                      <w:lang w:val="en-US"/>
                    </w:rPr>
                    <w:t>9</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91D3E82C">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组织细胞的适应和损伤</w:t>
                  </w:r>
                </w:p>
                <w:p w14:paraId="D5F83511">
                  <w:pPr>
                    <w:snapToGrid w:val="0"/>
                    <w:spacing w:line="320" w:lineRule="exact"/>
                    <w:jc w:val="left"/>
                    <w:rPr>
                      <w:rFonts w:ascii="宋体" w:hAnsi="宋体"/>
                      <w:bCs/>
                    </w:rPr>
                  </w:pPr>
                </w:p>
                <w:p w14:paraId="FED1FE23">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血液循环障碍</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3F46E86">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D11D7AFD">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B460CA5">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适应中肥大、萎缩、增生、化生的概念。掌握细胞物质积聚中水变性、脂肪变性、透明样变性的概念。细胞死亡中坏死、细胞凋亡的概念。掌握充血、出血、血栓形成、梗死、DIC、休克形成原因和发生机制。</w:t>
                  </w:r>
                </w:p>
                <w:p w14:paraId="26CC1190">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2.理解再生、纤维性修复、创伤愈合的过程；熟悉栓塞的过程，影响DIC发生发展的因素、休克的发生机制。       3.运用创伤愈合的过程和影响创伤愈合的因素；了解DIC的诊断和防治原则；了解休克防治。</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43FB2B5">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1.学会应用适应与损伤、血液循环障碍的知识分析、解释相关的临床表现问题。</w:t>
                  </w:r>
                </w:p>
                <w:p w14:paraId="D116B022">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2.培养积极对待和正确认识适应和损伤、血液循环障碍，具有对机体相关病理问题的认知能力。</w:t>
                  </w:r>
                </w:p>
                <w:p w14:paraId="80DC1E22">
                  <w:pPr>
                    <w:spacing w:line="320" w:lineRule="exact"/>
                    <w:jc w:val="left"/>
                    <w:rPr>
                      <w:rFonts w:ascii="宋体" w:hAnsi="宋体"/>
                      <w:bCs/>
                    </w:rPr>
                  </w:pPr>
                </w:p>
                <w:p w14:paraId="79439139">
                  <w:pPr>
                    <w:spacing w:line="320" w:lineRule="exact"/>
                    <w:jc w:val="left"/>
                    <w:rPr>
                      <w:rFonts w:ascii="宋体" w:hAnsi="宋体"/>
                      <w:bCs/>
                    </w:rPr>
                  </w:pPr>
                </w:p>
              </w:tc>
              <w:tc>
                <w:tcPr>
                  <w:tcW w:w="1114" w:type="dxa"/>
                  <w:tcBorders>
                    <w:top w:val="single" w:color="auto" w:sz="4" w:space="0"/>
                    <w:left w:val="single" w:color="auto" w:sz="4" w:space="0"/>
                    <w:bottom w:val="single" w:color="auto" w:sz="4" w:space="0"/>
                    <w:right w:val="single" w:color="auto" w:sz="4" w:space="0"/>
                  </w:tcBorders>
                </w:tcPr>
                <w:p w14:paraId="0EA34A98">
                  <w:pPr>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1.适应中肥大、萎缩、增生、化生的概念。细胞物质积聚中水变性、脂肪变性、透明样变性的概念。细胞死亡中坏死、细胞凋亡的概念。     2.充血、出血、血栓形成、梗死、DIC、休克形成原因和发生机制。</w:t>
                  </w:r>
                </w:p>
              </w:tc>
            </w:tr>
            <w:tr w14:paraId="D085D698">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E90B8A36">
                  <w:pPr>
                    <w:snapToGrid w:val="0"/>
                    <w:spacing w:line="31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10</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A1C697B3">
                  <w:pPr>
                    <w:snapToGrid w:val="0"/>
                    <w:spacing w:line="31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炎症与发热，水、 电解质代谢紊乱与酸碱平衡紊乱</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7B748F9">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D13E6512">
                  <w:pPr>
                    <w:spacing w:line="31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C1BEB14">
                  <w:pPr>
                    <w:spacing w:line="31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1.知道炎症和发热的概念，发热的分期和热代谢特点。掌握脱水、水肿的概念，低血钾血症、高血钾血症的概念。炎症基本病理变化，炎症局部表现，急性炎症过程中的白细胞反应，急性炎症病理学类型。</w:t>
                  </w:r>
                </w:p>
                <w:p w14:paraId="4C2B3488">
                  <w:pPr>
                    <w:spacing w:line="31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2.理解慢性炎症概念；炎症全身反应；炎症意义；急性炎症过程中的血管反应；急性炎症结局；慢性炎症原因及类型。熟悉各型脱水临床表现；水肿发生原因及基本机制；低钾血症和高钾血症对机体的影响。</w:t>
                  </w:r>
                </w:p>
                <w:p w14:paraId="FAC65BC4">
                  <w:pPr>
                    <w:spacing w:line="31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3.运用炎症原因、分类；类症介质作用；了解发热发生机制、机体代谢和功能变化和防治病理生理基础。了解各型脱水、低钾血症和高钾血症原因及其防治病理生理学基础。</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07D93F8">
                  <w:pPr>
                    <w:snapToGrid w:val="0"/>
                    <w:spacing w:line="31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1.学会应用炎症与发热，脱水、水肿、低钾血症、高钾血症等病理知识分析、解释相关的健康问题。</w:t>
                  </w:r>
                </w:p>
                <w:p w14:paraId="511CB7A3">
                  <w:pPr>
                    <w:snapToGrid w:val="0"/>
                    <w:spacing w:line="31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2.培养积极对待和正确认识机体的炎症与发热，水、电解质、酸碱平衡等问题的预见意识和科学认知分析能力。</w:t>
                  </w:r>
                </w:p>
                <w:p w14:paraId="5C439A14">
                  <w:pPr>
                    <w:snapToGrid w:val="0"/>
                    <w:spacing w:line="310" w:lineRule="exact"/>
                    <w:jc w:val="left"/>
                    <w:rPr>
                      <w:rFonts w:ascii="宋体" w:hAnsi="宋体"/>
                      <w:bCs/>
                    </w:rPr>
                  </w:pPr>
                </w:p>
                <w:p w14:paraId="9AB5672F">
                  <w:pPr>
                    <w:snapToGrid w:val="0"/>
                    <w:spacing w:line="310" w:lineRule="exact"/>
                    <w:jc w:val="left"/>
                    <w:rPr>
                      <w:rFonts w:ascii="宋体" w:hAnsi="宋体"/>
                      <w:bCs/>
                    </w:rPr>
                  </w:pPr>
                </w:p>
              </w:tc>
              <w:tc>
                <w:tcPr>
                  <w:tcW w:w="1114" w:type="dxa"/>
                  <w:tcBorders>
                    <w:top w:val="single" w:color="auto" w:sz="4" w:space="0"/>
                    <w:left w:val="single" w:color="auto" w:sz="4" w:space="0"/>
                    <w:bottom w:val="single" w:color="auto" w:sz="4" w:space="0"/>
                    <w:right w:val="single" w:color="auto" w:sz="4" w:space="0"/>
                  </w:tcBorders>
                </w:tcPr>
                <w:p w14:paraId="0ADD33F8">
                  <w:pPr>
                    <w:snapToGrid w:val="0"/>
                    <w:spacing w:line="31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1.急性炎症的类型和病理变化，发热的时相及热代谢调节，钾代谢紊乱、酸碱平衡紊乱。</w:t>
                  </w:r>
                </w:p>
                <w:p w14:paraId="F6AE3831">
                  <w:pPr>
                    <w:snapToGrid w:val="0"/>
                    <w:spacing w:line="310" w:lineRule="exact"/>
                    <w:ind w:right="-134" w:rightChars="-56"/>
                    <w:jc w:val="left"/>
                    <w:rPr>
                      <w:rFonts w:ascii="宋体" w:hAnsi="宋体"/>
                      <w:bCs/>
                    </w:rPr>
                  </w:pPr>
                </w:p>
              </w:tc>
            </w:tr>
            <w:tr w14:paraId="BF6FD660">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6919FF">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11</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22C449">
                  <w:pPr>
                    <w:snapToGrid w:val="0"/>
                    <w:spacing w:line="320" w:lineRule="exact"/>
                    <w:jc w:val="center"/>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缺氧</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344EF52">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BFB4004F">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1D57DC">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1.知道缺氧的概念、各种类型缺氧的原因、发生机制和血氧变化特点。</w:t>
                  </w:r>
                </w:p>
                <w:p w14:paraId="8FE4E3D2">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2.理解缺氧时机体功能和代谢变化；缺氧防治与护理的病理生理学基础。</w:t>
                  </w:r>
                </w:p>
                <w:p w14:paraId="88D701B0">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3.运用影响机体对缺氧耐受性的因素。</w:t>
                  </w:r>
                </w:p>
                <w:p w14:paraId="3E9E6F78">
                  <w:pPr>
                    <w:spacing w:line="320" w:lineRule="exact"/>
                    <w:jc w:val="left"/>
                    <w:rPr>
                      <w:rFonts w:ascii="宋体" w:hAnsi="宋体"/>
                      <w:bCs/>
                    </w:rPr>
                  </w:pP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B566624">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1.学会应用缺氧知识分析、解释相关的临床表现问题，能结合缺氧生物学特点进行健康教育。</w:t>
                  </w:r>
                </w:p>
                <w:p w14:paraId="DDCE93E2">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2.培养积极对待和正确认识机体的缺氧问题，具有对缺氧病理生理问题的预见意识和科学认知分析能力。</w:t>
                  </w:r>
                </w:p>
              </w:tc>
              <w:tc>
                <w:tcPr>
                  <w:tcW w:w="1114" w:type="dxa"/>
                  <w:tcBorders>
                    <w:top w:val="single" w:color="auto" w:sz="4" w:space="0"/>
                    <w:left w:val="single" w:color="auto" w:sz="4" w:space="0"/>
                    <w:bottom w:val="single" w:color="auto" w:sz="4" w:space="0"/>
                    <w:right w:val="single" w:color="auto" w:sz="4" w:space="0"/>
                  </w:tcBorders>
                </w:tcPr>
                <w:p w14:paraId="BDBEDA00">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1.血氧指标及其意义,缺氧的类型、原因和发生机制。</w:t>
                  </w:r>
                </w:p>
                <w:p w14:paraId="6A607268">
                  <w:pPr>
                    <w:snapToGrid w:val="0"/>
                    <w:spacing w:line="320" w:lineRule="exact"/>
                    <w:jc w:val="left"/>
                    <w:rPr>
                      <w:rFonts w:ascii="宋体" w:hAnsi="宋体"/>
                      <w:bCs/>
                    </w:rPr>
                  </w:pPr>
                </w:p>
              </w:tc>
            </w:tr>
            <w:tr w14:paraId="9400ADF2">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B63987">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12</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F554BD">
                  <w:pPr>
                    <w:snapToGrid w:val="0"/>
                    <w:spacing w:line="320" w:lineRule="exact"/>
                    <w:jc w:val="center"/>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肿瘤</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68AE0CD">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6AE8474A">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3DD802C">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1.知道肿瘤、分化、异型性、种植性转移、癌、肉瘤、癌前疾病(病变)、异型增生和原位癌概念；肿瘤的形态；肿瘤的生长；肿瘤的扩散；肿瘤的一般命名原则；良、恶性肿瘤的区别；常见的癌前疾病(病变)。</w:t>
                  </w:r>
                </w:p>
                <w:p w14:paraId="E5D0E23C">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2.熟悉肿瘤的异型性表现；肿瘤对机体的影响；肿的异型增生。</w:t>
                  </w:r>
                </w:p>
                <w:p w14:paraId="1069F328">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3.了解肿瘤的特殊命名原则；肿瘤的分类；癌与内瘤的区别；肿瘤的原因及发生机制。</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FE3850">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1.学会应用肿瘤病理知识分析、解释相关的临床表现问题，能结合肿瘤的生物学特点进行健康教育。</w:t>
                  </w:r>
                </w:p>
                <w:p w14:paraId="7FB6FA72">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2.培养积极对待和正确认识机体的肿瘤问题，具有对肿瘤病理生理问题的预见意识和科学认知分析能力。</w:t>
                  </w:r>
                </w:p>
              </w:tc>
              <w:tc>
                <w:tcPr>
                  <w:tcW w:w="1114" w:type="dxa"/>
                  <w:tcBorders>
                    <w:top w:val="single" w:color="auto" w:sz="4" w:space="0"/>
                    <w:left w:val="single" w:color="auto" w:sz="4" w:space="0"/>
                    <w:bottom w:val="single" w:color="auto" w:sz="4" w:space="0"/>
                    <w:right w:val="single" w:color="auto" w:sz="4" w:space="0"/>
                  </w:tcBorders>
                </w:tcPr>
                <w:p w14:paraId="2003BFBB">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1.肿瘤的分化、异型性、种植性转移、癌、肉瘤、癌前疾病(病变)、异型增生和原位癌概念；2.肿瘤的扩散；良、恶性肿瘤的区别；常见的癌前疾病(病变)。</w:t>
                  </w:r>
                </w:p>
              </w:tc>
            </w:tr>
            <w:tr w14:paraId="94BC61E8">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AC0C36CC">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13</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8AFD5B">
                  <w:pPr>
                    <w:snapToGrid w:val="0"/>
                    <w:spacing w:line="320" w:lineRule="exact"/>
                    <w:jc w:val="center"/>
                    <w:rPr>
                      <w:rFonts w:ascii="宋体" w:hAnsi="宋体"/>
                      <w:bCs/>
                    </w:rPr>
                  </w:pPr>
                </w:p>
                <w:p w14:paraId="98C275BD">
                  <w:pPr>
                    <w:snapToGrid w:val="0"/>
                    <w:spacing w:line="320" w:lineRule="exact"/>
                    <w:jc w:val="center"/>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免疫系统疾病</w:t>
                  </w:r>
                </w:p>
                <w:p w14:paraId="18BA445A">
                  <w:pPr>
                    <w:snapToGrid w:val="0"/>
                    <w:spacing w:line="320" w:lineRule="exact"/>
                    <w:jc w:val="center"/>
                    <w:rPr>
                      <w:rFonts w:ascii="宋体" w:hAnsi="宋体"/>
                      <w:bCs/>
                    </w:rPr>
                  </w:pPr>
                </w:p>
                <w:p w14:paraId="0B599693">
                  <w:pPr>
                    <w:snapToGrid w:val="0"/>
                    <w:spacing w:line="320" w:lineRule="exact"/>
                    <w:jc w:val="center"/>
                    <w:rPr>
                      <w:rFonts w:ascii="宋体" w:hAnsi="宋体"/>
                      <w:bCs/>
                    </w:rPr>
                  </w:pPr>
                </w:p>
                <w:p w14:paraId="5ADECBE2">
                  <w:pPr>
                    <w:snapToGrid w:val="0"/>
                    <w:spacing w:line="320" w:lineRule="exact"/>
                    <w:jc w:val="center"/>
                    <w:rPr>
                      <w:rFonts w:ascii="宋体" w:hAnsi="宋体"/>
                      <w:bCs/>
                    </w:rPr>
                  </w:pPr>
                </w:p>
                <w:p w14:paraId="5190AEB2">
                  <w:pPr>
                    <w:snapToGrid w:val="0"/>
                    <w:spacing w:line="320" w:lineRule="exact"/>
                    <w:jc w:val="center"/>
                    <w:rPr>
                      <w:rFonts w:ascii="宋体" w:hAnsi="宋体"/>
                      <w:bCs/>
                    </w:rPr>
                  </w:pPr>
                </w:p>
                <w:p w14:paraId="9582713B">
                  <w:pPr>
                    <w:snapToGrid w:val="0"/>
                    <w:spacing w:line="320" w:lineRule="exact"/>
                    <w:jc w:val="center"/>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呼吸系统疾病</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D5D2F241">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4DDC832D">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8B9A159">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四型超敏反应的发生原因、临床表现。自身免疫性疾病的基本特征与分类。免疫缺陷并的分类。掌握免疫缺陷并HIV的临床表现和分歧。掌握大叶性肺炎和小叶性肺炎概念；大叶性肺炎、小叶性肺炎病理交化及临床病理联系。</w:t>
                  </w:r>
                </w:p>
                <w:p w14:paraId="7142A3AC">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2.理解四型超敏反应的发生机制，自身免疫性疾病的病因和发生机制。熟悉移植免疫。熟悉病毒性肺炎、慢性阻塞性肺疾病、肺心病的发病机制、病理变化及临床病理联系性、结局及并发症。</w:t>
                  </w:r>
                </w:p>
                <w:p w14:paraId="ED621911">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3.运用移植免疫中排斥反应的识别机制。</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F1EA883">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1.学会应用免疫系、呼吸系统的病理知识分析、解释相关的临床表现问题，能结合免疫系统疾病、呼吸系统疾病的生物学特点进行健康教育。</w:t>
                  </w:r>
                </w:p>
                <w:p w14:paraId="FA5716BA">
                  <w:pPr>
                    <w:snapToGrid w:val="0"/>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2.培养积极对待和正确认识机体的免疫系统问题、呼吸系统问题，具有对免疫系统、呼吸系统的病理生理问题的预见意识和科学认知分析能力。</w:t>
                  </w:r>
                </w:p>
              </w:tc>
              <w:tc>
                <w:tcPr>
                  <w:tcW w:w="1114" w:type="dxa"/>
                  <w:tcBorders>
                    <w:top w:val="single" w:color="auto" w:sz="4" w:space="0"/>
                    <w:left w:val="single" w:color="auto" w:sz="4" w:space="0"/>
                    <w:bottom w:val="single" w:color="auto" w:sz="4" w:space="0"/>
                    <w:right w:val="single" w:color="auto" w:sz="4" w:space="0"/>
                  </w:tcBorders>
                </w:tcPr>
                <w:p w14:paraId="63181ADF">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1.免疫性疾病的损伤机制。大叶性肺炎、小叶性肺炎病理交化及临床病理联系。</w:t>
                  </w:r>
                </w:p>
              </w:tc>
            </w:tr>
            <w:tr w14:paraId="592FEAB4">
              <w:tblPrEx>
                <w:tblCellMar>
                  <w:top w:w="0" w:type="dxa"/>
                  <w:left w:w="108" w:type="dxa"/>
                  <w:bottom w:w="0" w:type="dxa"/>
                  <w:right w:w="108" w:type="dxa"/>
                </w:tblCellMar>
              </w:tblPrEx>
              <w:trPr>
                <w:trHeight w:val="4292"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DB02C5BA">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14</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981FB006">
                  <w:pPr>
                    <w:snapToGrid w:val="0"/>
                    <w:spacing w:line="320" w:lineRule="exact"/>
                    <w:jc w:val="center"/>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循环系统疾病</w:t>
                  </w:r>
                </w:p>
                <w:p w14:paraId="A035342C">
                  <w:pPr>
                    <w:snapToGrid w:val="0"/>
                    <w:spacing w:line="320" w:lineRule="exact"/>
                    <w:jc w:val="center"/>
                    <w:rPr>
                      <w:rFonts w:ascii="宋体" w:hAnsi="宋体"/>
                      <w:bCs/>
                    </w:rPr>
                  </w:pPr>
                </w:p>
                <w:p w14:paraId="B4B3F5E4">
                  <w:pPr>
                    <w:snapToGrid w:val="0"/>
                    <w:spacing w:line="320" w:lineRule="exact"/>
                    <w:jc w:val="center"/>
                    <w:rPr>
                      <w:rFonts w:ascii="宋体" w:hAnsi="宋体"/>
                      <w:bCs/>
                    </w:rPr>
                  </w:pPr>
                </w:p>
                <w:p w14:paraId="06BD07E4">
                  <w:pPr>
                    <w:snapToGrid w:val="0"/>
                    <w:spacing w:line="320" w:lineRule="exact"/>
                    <w:jc w:val="center"/>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消化系统疾病</w:t>
                  </w: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1E2ED0">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28CEA25F">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11456CD">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1.掌握动脉粥样硬化、冠心病、高血压病、风湿病的概念和病理变化；知道消化性溃疡病、病毒性肝炎、肝硬化和消化道肿瘤的概念及基本病理变化</w:t>
                  </w:r>
                </w:p>
                <w:p w14:paraId="BC0A8B18">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2.理解冠心病、高血压病、消化道溃疡、病毒性肝炎的病因和发病机制</w:t>
                  </w:r>
                </w:p>
                <w:p w14:paraId="317973D0">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3.运用循环系统和消化系统疾病的防治原则。</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600AD59">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1.学会应用循环系统、消化系统疾病的病理知识分析、解释相关的临床表现问题，能结合循环系统、消化系统疾病的生物学特点进行健康教育。</w:t>
                  </w:r>
                </w:p>
                <w:p w14:paraId="F25DC92A">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2.培养积极对待和正确认识机体的循环系统、消化系统问题，具有对循环系统和消化系统的病理生理问题的预见意识和科学认知分析能力。</w:t>
                  </w:r>
                </w:p>
              </w:tc>
              <w:tc>
                <w:tcPr>
                  <w:tcW w:w="1114" w:type="dxa"/>
                  <w:tcBorders>
                    <w:top w:val="single" w:color="auto" w:sz="4" w:space="0"/>
                    <w:left w:val="single" w:color="auto" w:sz="4" w:space="0"/>
                    <w:bottom w:val="single" w:color="auto" w:sz="4" w:space="0"/>
                    <w:right w:val="single" w:color="auto" w:sz="4" w:space="0"/>
                  </w:tcBorders>
                </w:tcPr>
                <w:p w14:paraId="DE48BF30">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1.冠心病损伤机制。高血压、冠心病的病理交化及临床病理联系。</w:t>
                  </w:r>
                </w:p>
                <w:p w14:paraId="01077594">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2.消化性溃疡的病因和发病机制，病毒性肝炎的病因和发病机制。</w:t>
                  </w:r>
                </w:p>
                <w:p w14:paraId="6E6CD9B9">
                  <w:pPr>
                    <w:snapToGrid w:val="0"/>
                    <w:spacing w:line="320" w:lineRule="exact"/>
                    <w:jc w:val="left"/>
                    <w:rPr>
                      <w:rFonts w:ascii="宋体" w:hAnsi="宋体"/>
                      <w:bCs/>
                    </w:rPr>
                  </w:pPr>
                </w:p>
              </w:tc>
            </w:tr>
            <w:tr w14:paraId="0984E25C">
              <w:tblPrEx>
                <w:tblCellMar>
                  <w:top w:w="0" w:type="dxa"/>
                  <w:left w:w="108" w:type="dxa"/>
                  <w:bottom w:w="0" w:type="dxa"/>
                  <w:right w:w="108" w:type="dxa"/>
                </w:tblCellMar>
              </w:tblPrEx>
              <w:trPr>
                <w:trHeight w:val="3814" w:hRule="atLeast"/>
                <w:jc w:val="center"/>
              </w:trPr>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93A9B20E">
                  <w:pPr>
                    <w:snapToGrid w:val="0"/>
                    <w:spacing w:line="320" w:lineRule="exact"/>
                    <w:jc w:val="both"/>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15</w:t>
                  </w:r>
                </w:p>
              </w:tc>
              <w:tc>
                <w:tcPr>
                  <w:tcW w:w="7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C29C23">
                  <w:pPr>
                    <w:snapToGrid w:val="0"/>
                    <w:spacing w:line="320" w:lineRule="exact"/>
                    <w:jc w:val="center"/>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泌尿系统疾病</w:t>
                  </w:r>
                </w:p>
                <w:p w14:paraId="7E8CB88B">
                  <w:pPr>
                    <w:snapToGrid w:val="0"/>
                    <w:spacing w:line="320" w:lineRule="exact"/>
                    <w:jc w:val="center"/>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内分泌系统疾病</w:t>
                  </w:r>
                </w:p>
                <w:p w14:paraId="35350791">
                  <w:pPr>
                    <w:snapToGrid w:val="0"/>
                    <w:spacing w:line="320" w:lineRule="exact"/>
                    <w:jc w:val="center"/>
                    <w:rPr>
                      <w:rFonts w:ascii="宋体" w:hAnsi="宋体"/>
                      <w:bCs/>
                    </w:rPr>
                  </w:pPr>
                </w:p>
              </w:tc>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7403C4">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1、LO2②③④</w:t>
                  </w:r>
                </w:p>
                <w:p w14:paraId="26060A9C">
                  <w:pPr>
                    <w:spacing w:line="320" w:lineRule="exact"/>
                    <w:jc w:val="left"/>
                    <w:rPr>
                      <w:rFonts w:hint="default" w:ascii="宋体" w:hAnsi="宋体" w:eastAsia="宋体" w:cs="Times New Roman"/>
                      <w:b w:val="0"/>
                      <w:bCs w:val="0"/>
                      <w:i w:val="0"/>
                      <w:iCs w:val="0"/>
                      <w:color w:val="auto"/>
                      <w:kern w:val="2"/>
                      <w:sz w:val="20"/>
                      <w:szCs w:val="20"/>
                      <w:highlight w:val="none"/>
                      <w:vertAlign w:val="baseline"/>
                      <w:lang w:val="en-US" w:eastAsia="zh-CN" w:bidi="ar-S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2、LO2⑥</w:t>
                  </w:r>
                </w:p>
              </w:tc>
              <w:tc>
                <w:tcPr>
                  <w:tcW w:w="2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45392B5">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1.掌握肾小球肾炎、肾盂肾炎、肾衰竭、甲状腺肿、甲状腺癌、糖尿病的基本病理变化。</w:t>
                  </w:r>
                </w:p>
                <w:p w14:paraId="9AB47BB6">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2.理解肾小球肾炎、肾盂肾炎、肾衰竭、甲状腺肿、甲状腺癌、糖尿病的病因和发病机制</w:t>
                  </w:r>
                </w:p>
                <w:p w14:paraId="EBEB3C49">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3.运用肾小球肾炎、肾盂肾炎、肾衰竭、甲状腺肿、甲状腺癌、糖尿病的防治原则。</w:t>
                  </w:r>
                </w:p>
              </w:tc>
              <w:tc>
                <w:tcPr>
                  <w:tcW w:w="1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8E0C58E">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1.学会应用泌尿系统疾病、内分泌系统疾病的病理生理知识分析、解释相关的临床表现问题，并根据生物学特点进行健康教育。</w:t>
                  </w:r>
                </w:p>
                <w:p w14:paraId="220B8B90">
                  <w:pPr>
                    <w:spacing w:line="320" w:lineRule="exact"/>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2.培养积极对待和正确认识泌尿系统、内分泌系统问题，具有针对泌尿系统和内分泌系统的预见意识和科学认知分析能力。</w:t>
                  </w:r>
                </w:p>
              </w:tc>
              <w:tc>
                <w:tcPr>
                  <w:tcW w:w="1114" w:type="dxa"/>
                  <w:tcBorders>
                    <w:top w:val="single" w:color="auto" w:sz="4" w:space="0"/>
                    <w:left w:val="single" w:color="auto" w:sz="4" w:space="0"/>
                    <w:bottom w:val="single" w:color="auto" w:sz="4" w:space="0"/>
                    <w:right w:val="single" w:color="auto" w:sz="4" w:space="0"/>
                  </w:tcBorders>
                </w:tcPr>
                <w:p w14:paraId="6AB4CC45">
                  <w:pPr>
                    <w:snapToGrid w:val="0"/>
                    <w:spacing w:line="320" w:lineRule="exact"/>
                    <w:ind w:right="-134" w:rightChars="-56"/>
                    <w:jc w:val="left"/>
                    <w:rPr>
                      <w:rFonts w:ascii="宋体" w:hAnsi="宋体"/>
                      <w:bCs/>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1.肾衰病因和发病机制，肾衰时机体的主要功能代谢变化。     2.糖尿病的分类、病因和发病机制。</w:t>
                  </w:r>
                </w:p>
              </w:tc>
            </w:tr>
          </w:tbl>
          <w:p w14:paraId="12869D15">
            <w:pPr>
              <w:pStyle w:val="24"/>
              <w:widowControl w:val="0"/>
              <w:jc w:val="left"/>
              <w:rPr>
                <w:rFonts w:ascii="宋体" w:hAnsi="宋体"/>
                <w:bCs/>
              </w:rPr>
            </w:pPr>
          </w:p>
          <w:p w14:paraId="AE845706">
            <w:pPr>
              <w:pStyle w:val="24"/>
              <w:widowControl w:val="0"/>
              <w:jc w:val="left"/>
              <w:rPr>
                <w:rFonts w:ascii="宋体" w:hAnsi="宋体"/>
                <w:bCs/>
              </w:rPr>
            </w:pPr>
          </w:p>
          <w:p w14:paraId="406BC91B">
            <w:pPr>
              <w:pStyle w:val="24"/>
              <w:widowControl w:val="0"/>
              <w:jc w:val="left"/>
              <w:rPr>
                <w:rFonts w:ascii="宋体" w:hAnsi="宋体"/>
                <w:bCs/>
              </w:rPr>
            </w:pPr>
          </w:p>
          <w:p w14:paraId="0BA48C36">
            <w:pPr>
              <w:pStyle w:val="24"/>
              <w:widowControl w:val="0"/>
              <w:jc w:val="left"/>
              <w:rPr>
                <w:rFonts w:ascii="仿宋" w:hAnsi="仿宋" w:eastAsia="仿宋" w:cs="仿宋"/>
              </w:rPr>
            </w:pPr>
          </w:p>
        </w:tc>
      </w:tr>
      <w:bookmarkEnd w:id="0"/>
      <w:bookmarkEnd w:id="1"/>
    </w:tbl>
    <w:p w14:paraId="5EEACBC1">
      <w:pPr>
        <w:pStyle w:val="27"/>
        <w:spacing w:before="81" w:after="163"/>
      </w:pPr>
      <w:r>
        <w:rPr>
          <w:rFonts w:hint="eastAsia"/>
        </w:rPr>
        <w:t>（二）教学单元对课程目标的支撑关系</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179"/>
        <w:gridCol w:w="1260"/>
        <w:gridCol w:w="1260"/>
        <w:gridCol w:w="1260"/>
        <w:gridCol w:w="1259"/>
        <w:gridCol w:w="1259"/>
      </w:tblGrid>
      <w:tr w14:paraId="7756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58" w:type="dxa"/>
            <w:tcBorders>
              <w:top w:val="single" w:color="auto" w:sz="12" w:space="0"/>
              <w:left w:val="single" w:color="auto" w:sz="12" w:space="0"/>
              <w:tl2br w:val="single" w:color="auto" w:sz="4" w:space="0"/>
            </w:tcBorders>
          </w:tcPr>
          <w:p w14:paraId="47478A91">
            <w:pPr>
              <w:pStyle w:val="23"/>
              <w:ind w:firstLine="489"/>
              <w:jc w:val="right"/>
              <w:rPr>
                <w:szCs w:val="16"/>
              </w:rPr>
            </w:pPr>
            <w:r>
              <w:rPr>
                <w:rFonts w:hint="eastAsia"/>
                <w:szCs w:val="16"/>
              </w:rPr>
              <w:t>课程目标</w:t>
            </w:r>
          </w:p>
          <w:p w14:paraId="32BF65C8">
            <w:pPr>
              <w:pStyle w:val="23"/>
              <w:ind w:right="210"/>
              <w:jc w:val="left"/>
              <w:rPr>
                <w:rFonts w:hint="eastAsia"/>
                <w:szCs w:val="16"/>
              </w:rPr>
            </w:pPr>
          </w:p>
          <w:p w14:paraId="94D0EB7A">
            <w:pPr>
              <w:pStyle w:val="23"/>
              <w:ind w:right="210"/>
              <w:jc w:val="left"/>
              <w:rPr>
                <w:szCs w:val="16"/>
              </w:rPr>
            </w:pPr>
            <w:r>
              <w:rPr>
                <w:rFonts w:hint="eastAsia"/>
                <w:szCs w:val="16"/>
              </w:rPr>
              <w:t>教学单元</w:t>
            </w:r>
          </w:p>
        </w:tc>
        <w:tc>
          <w:tcPr>
            <w:tcW w:w="1074" w:type="dxa"/>
            <w:tcBorders>
              <w:top w:val="single" w:color="auto" w:sz="12" w:space="0"/>
            </w:tcBorders>
            <w:vAlign w:val="center"/>
          </w:tcPr>
          <w:p w14:paraId="87AA5B83">
            <w:pPr>
              <w:pStyle w:val="23"/>
              <w:rPr>
                <w:szCs w:val="16"/>
              </w:rPr>
            </w:pPr>
            <w:r>
              <w:rPr>
                <w:szCs w:val="16"/>
                <w:lang w:val="en-US"/>
              </w:rPr>
              <w:t>LO2②</w:t>
            </w:r>
          </w:p>
        </w:tc>
        <w:tc>
          <w:tcPr>
            <w:tcW w:w="1074" w:type="dxa"/>
            <w:tcBorders>
              <w:top w:val="single" w:color="auto" w:sz="12" w:space="0"/>
            </w:tcBorders>
            <w:vAlign w:val="center"/>
          </w:tcPr>
          <w:p w14:paraId="E5B3E91F">
            <w:pPr>
              <w:pStyle w:val="23"/>
              <w:rPr>
                <w:szCs w:val="16"/>
              </w:rPr>
            </w:pPr>
            <w:r>
              <w:rPr>
                <w:szCs w:val="16"/>
                <w:lang w:val="en-US"/>
              </w:rPr>
              <w:t>LO2③</w:t>
            </w:r>
          </w:p>
        </w:tc>
        <w:tc>
          <w:tcPr>
            <w:tcW w:w="1074" w:type="dxa"/>
            <w:tcBorders>
              <w:top w:val="single" w:color="auto" w:sz="12" w:space="0"/>
            </w:tcBorders>
            <w:vAlign w:val="center"/>
          </w:tcPr>
          <w:p w14:paraId="C01F178D">
            <w:pPr>
              <w:pStyle w:val="23"/>
              <w:rPr>
                <w:szCs w:val="16"/>
              </w:rPr>
            </w:pPr>
            <w:r>
              <w:rPr>
                <w:rFonts w:hint="default" w:ascii="Arial" w:hAnsi="Arial" w:eastAsia="黑体" w:cs="宋体"/>
                <w:b w:val="0"/>
                <w:bCs w:val="0"/>
                <w:i w:val="0"/>
                <w:iCs w:val="0"/>
                <w:color w:val="000000"/>
                <w:sz w:val="21"/>
                <w:szCs w:val="16"/>
                <w:highlight w:val="none"/>
                <w:vertAlign w:val="baseline"/>
                <w:lang w:val="en-US" w:eastAsia="zh-CN"/>
              </w:rPr>
              <w:t>LO2</w:t>
            </w:r>
            <w:r>
              <w:rPr>
                <w:rFonts w:hint="default" w:hAnsi="Arial" w:eastAsia="黑体" w:cs="宋体"/>
                <w:b w:val="0"/>
                <w:bCs w:val="0"/>
                <w:i w:val="0"/>
                <w:iCs w:val="0"/>
                <w:color w:val="000000"/>
                <w:sz w:val="21"/>
                <w:szCs w:val="16"/>
                <w:highlight w:val="none"/>
                <w:vertAlign w:val="baseline"/>
                <w:lang w:val="en-US" w:eastAsia="zh-CN"/>
              </w:rPr>
              <w:t>④</w:t>
            </w:r>
          </w:p>
        </w:tc>
        <w:tc>
          <w:tcPr>
            <w:tcW w:w="1073" w:type="dxa"/>
            <w:tcBorders>
              <w:top w:val="single" w:color="auto" w:sz="12" w:space="0"/>
            </w:tcBorders>
            <w:vAlign w:val="center"/>
          </w:tcPr>
          <w:p w14:paraId="989D2DA1">
            <w:pPr>
              <w:pStyle w:val="23"/>
              <w:rPr>
                <w:szCs w:val="16"/>
              </w:rPr>
            </w:pPr>
            <w:r>
              <w:rPr>
                <w:rFonts w:hint="default" w:ascii="Arial" w:hAnsi="Arial" w:eastAsia="黑体" w:cs="宋体"/>
                <w:b w:val="0"/>
                <w:bCs w:val="0"/>
                <w:i w:val="0"/>
                <w:iCs w:val="0"/>
                <w:color w:val="000000"/>
                <w:sz w:val="21"/>
                <w:szCs w:val="16"/>
                <w:highlight w:val="none"/>
                <w:vertAlign w:val="baseline"/>
                <w:lang w:val="en-US" w:eastAsia="zh-CN"/>
              </w:rPr>
              <w:t>LO2</w:t>
            </w:r>
            <w:r>
              <w:rPr>
                <w:rFonts w:hint="default" w:hAnsi="Arial" w:eastAsia="黑体" w:cs="宋体"/>
                <w:b w:val="0"/>
                <w:bCs w:val="0"/>
                <w:i w:val="0"/>
                <w:iCs w:val="0"/>
                <w:color w:val="000000"/>
                <w:sz w:val="21"/>
                <w:szCs w:val="16"/>
                <w:highlight w:val="none"/>
                <w:vertAlign w:val="baseline"/>
                <w:lang w:val="en-US" w:eastAsia="zh-CN"/>
              </w:rPr>
              <w:t>⑥</w:t>
            </w:r>
          </w:p>
        </w:tc>
        <w:tc>
          <w:tcPr>
            <w:tcW w:w="1073" w:type="dxa"/>
            <w:tcBorders>
              <w:top w:val="single" w:color="auto" w:sz="12" w:space="0"/>
            </w:tcBorders>
            <w:vAlign w:val="center"/>
          </w:tcPr>
          <w:p w14:paraId="BF2B565F">
            <w:pPr>
              <w:pStyle w:val="23"/>
              <w:rPr>
                <w:szCs w:val="16"/>
              </w:rPr>
            </w:pPr>
            <w:r>
              <w:rPr>
                <w:szCs w:val="16"/>
                <w:lang w:val="en-US"/>
              </w:rPr>
              <w:t>LO1④</w:t>
            </w:r>
          </w:p>
        </w:tc>
      </w:tr>
      <w:tr w14:paraId="B49F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E28BB4BF">
            <w:pPr>
              <w:spacing w:line="320" w:lineRule="exact"/>
              <w:jc w:val="left"/>
            </w:pPr>
            <w:r>
              <w:rPr>
                <w:lang w:val="en-US"/>
              </w:rPr>
              <w:t>1</w:t>
            </w:r>
            <w:r>
              <w:rPr>
                <w:rFonts w:hint="default" w:ascii="宋体" w:hAnsi="宋体" w:eastAsia="宋体" w:cs="Times New Roman"/>
                <w:b w:val="0"/>
                <w:bCs w:val="0"/>
                <w:i w:val="0"/>
                <w:iCs w:val="0"/>
                <w:color w:val="auto"/>
                <w:kern w:val="2"/>
                <w:sz w:val="20"/>
                <w:szCs w:val="20"/>
                <w:highlight w:val="none"/>
                <w:vertAlign w:val="baseline"/>
                <w:lang w:val="en-US" w:eastAsia="zh-CN" w:bidi="ar-SA"/>
              </w:rPr>
              <w:t>病因概述 细菌</w:t>
            </w:r>
          </w:p>
        </w:tc>
        <w:tc>
          <w:tcPr>
            <w:tcW w:w="1074" w:type="dxa"/>
            <w:vAlign w:val="center"/>
          </w:tcPr>
          <w:p w14:paraId="6A9DD199">
            <w:pPr>
              <w:pStyle w:val="24"/>
            </w:pPr>
            <w:r>
              <w:rPr>
                <w:lang w:val="en-US"/>
              </w:rPr>
              <w:t>M</w:t>
            </w:r>
          </w:p>
        </w:tc>
        <w:tc>
          <w:tcPr>
            <w:tcW w:w="1074" w:type="dxa"/>
            <w:vAlign w:val="center"/>
          </w:tcPr>
          <w:p w14:paraId="61B2CF3B">
            <w:pPr>
              <w:pStyle w:val="24"/>
            </w:pPr>
            <w:r>
              <w:rPr>
                <w:lang w:val="en-US"/>
              </w:rPr>
              <w:t>M</w:t>
            </w:r>
          </w:p>
        </w:tc>
        <w:tc>
          <w:tcPr>
            <w:tcW w:w="1074" w:type="dxa"/>
            <w:vAlign w:val="center"/>
          </w:tcPr>
          <w:p w14:paraId="78EF84CE">
            <w:pPr>
              <w:pStyle w:val="24"/>
            </w:pPr>
            <w:r>
              <w:rPr>
                <w:lang w:val="en-US"/>
              </w:rPr>
              <w:t>M</w:t>
            </w:r>
          </w:p>
        </w:tc>
        <w:tc>
          <w:tcPr>
            <w:tcW w:w="1073" w:type="dxa"/>
            <w:vAlign w:val="center"/>
          </w:tcPr>
          <w:p w14:paraId="48AB23A0">
            <w:pPr>
              <w:pStyle w:val="24"/>
            </w:pPr>
            <w:r>
              <w:rPr>
                <w:lang w:val="en-US"/>
              </w:rPr>
              <w:t>H</w:t>
            </w:r>
          </w:p>
        </w:tc>
        <w:tc>
          <w:tcPr>
            <w:tcW w:w="1073" w:type="dxa"/>
            <w:vAlign w:val="center"/>
          </w:tcPr>
          <w:p w14:paraId="62D46C52">
            <w:pPr>
              <w:pStyle w:val="24"/>
            </w:pPr>
            <w:r>
              <w:rPr>
                <w:lang w:val="en-US"/>
              </w:rPr>
              <w:t>H</w:t>
            </w:r>
          </w:p>
        </w:tc>
      </w:tr>
      <w:tr w14:paraId="0C27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813880FB">
            <w:pPr>
              <w:snapToGrid w:val="0"/>
              <w:spacing w:line="320" w:lineRule="exact"/>
              <w:jc w:val="left"/>
            </w:pPr>
            <w:r>
              <w:rPr>
                <w:lang w:val="en-US"/>
              </w:rPr>
              <w:t>2</w:t>
            </w:r>
            <w:r>
              <w:rPr>
                <w:rFonts w:hint="default" w:ascii="宋体" w:hAnsi="宋体" w:eastAsia="宋体" w:cs="Times New Roman"/>
                <w:b w:val="0"/>
                <w:bCs w:val="0"/>
                <w:i w:val="0"/>
                <w:iCs w:val="0"/>
                <w:color w:val="auto"/>
                <w:kern w:val="2"/>
                <w:sz w:val="20"/>
                <w:szCs w:val="20"/>
                <w:highlight w:val="none"/>
                <w:vertAlign w:val="baseline"/>
                <w:lang w:val="en-US" w:eastAsia="zh-CN" w:bidi="ar-SA"/>
              </w:rPr>
              <w:t>真菌 病毒</w:t>
            </w:r>
          </w:p>
        </w:tc>
        <w:tc>
          <w:tcPr>
            <w:tcW w:w="1074" w:type="dxa"/>
            <w:vAlign w:val="center"/>
          </w:tcPr>
          <w:p w14:paraId="F12C9F00">
            <w:pPr>
              <w:pStyle w:val="24"/>
            </w:pPr>
            <w:r>
              <w:rPr>
                <w:lang w:val="en-US"/>
              </w:rPr>
              <w:t>M</w:t>
            </w:r>
          </w:p>
        </w:tc>
        <w:tc>
          <w:tcPr>
            <w:tcW w:w="1074" w:type="dxa"/>
            <w:vAlign w:val="center"/>
          </w:tcPr>
          <w:p w14:paraId="B19E379E">
            <w:pPr>
              <w:pStyle w:val="24"/>
            </w:pPr>
            <w:r>
              <w:rPr>
                <w:lang w:val="en-US"/>
              </w:rPr>
              <w:t>M</w:t>
            </w:r>
          </w:p>
        </w:tc>
        <w:tc>
          <w:tcPr>
            <w:tcW w:w="1074" w:type="dxa"/>
            <w:vAlign w:val="center"/>
          </w:tcPr>
          <w:p w14:paraId="3AF3821B">
            <w:pPr>
              <w:pStyle w:val="24"/>
            </w:pPr>
            <w:r>
              <w:rPr>
                <w:lang w:val="en-US"/>
              </w:rPr>
              <w:t>M</w:t>
            </w:r>
          </w:p>
        </w:tc>
        <w:tc>
          <w:tcPr>
            <w:tcW w:w="1073" w:type="dxa"/>
            <w:vAlign w:val="center"/>
          </w:tcPr>
          <w:p w14:paraId="10EA3936">
            <w:pPr>
              <w:pStyle w:val="24"/>
            </w:pPr>
            <w:r>
              <w:rPr>
                <w:lang w:val="en-US"/>
              </w:rPr>
              <w:t>H</w:t>
            </w:r>
          </w:p>
        </w:tc>
        <w:tc>
          <w:tcPr>
            <w:tcW w:w="1073" w:type="dxa"/>
            <w:vAlign w:val="center"/>
          </w:tcPr>
          <w:p w14:paraId="DAC9018F">
            <w:pPr>
              <w:pStyle w:val="24"/>
            </w:pPr>
            <w:r>
              <w:rPr>
                <w:lang w:val="en-US"/>
              </w:rPr>
              <w:t>H</w:t>
            </w:r>
          </w:p>
        </w:tc>
      </w:tr>
      <w:tr w14:paraId="A3BC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F096E342">
            <w:pPr>
              <w:snapToGrid w:val="0"/>
              <w:spacing w:line="320" w:lineRule="exact"/>
              <w:jc w:val="left"/>
            </w:pPr>
            <w:r>
              <w:rPr>
                <w:lang w:val="en-US"/>
              </w:rPr>
              <w:t>3</w:t>
            </w: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医学病毒</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蠕虫</w:t>
            </w:r>
          </w:p>
        </w:tc>
        <w:tc>
          <w:tcPr>
            <w:tcW w:w="1074" w:type="dxa"/>
            <w:vAlign w:val="center"/>
          </w:tcPr>
          <w:p w14:paraId="D33B7840">
            <w:pPr>
              <w:pStyle w:val="24"/>
            </w:pPr>
            <w:r>
              <w:rPr>
                <w:lang w:val="en-US"/>
              </w:rPr>
              <w:t>M</w:t>
            </w:r>
          </w:p>
        </w:tc>
        <w:tc>
          <w:tcPr>
            <w:tcW w:w="1074" w:type="dxa"/>
            <w:vAlign w:val="center"/>
          </w:tcPr>
          <w:p w14:paraId="9E1E2EEB">
            <w:pPr>
              <w:pStyle w:val="24"/>
            </w:pPr>
            <w:r>
              <w:rPr>
                <w:lang w:val="en-US"/>
              </w:rPr>
              <w:t>M</w:t>
            </w:r>
          </w:p>
        </w:tc>
        <w:tc>
          <w:tcPr>
            <w:tcW w:w="1074" w:type="dxa"/>
            <w:vAlign w:val="center"/>
          </w:tcPr>
          <w:p w14:paraId="888FC9EC">
            <w:pPr>
              <w:pStyle w:val="24"/>
            </w:pPr>
            <w:r>
              <w:rPr>
                <w:lang w:val="en-US"/>
              </w:rPr>
              <w:t>M</w:t>
            </w:r>
          </w:p>
        </w:tc>
        <w:tc>
          <w:tcPr>
            <w:tcW w:w="1073" w:type="dxa"/>
            <w:vAlign w:val="center"/>
          </w:tcPr>
          <w:p w14:paraId="1935D39B">
            <w:pPr>
              <w:pStyle w:val="24"/>
            </w:pPr>
            <w:r>
              <w:rPr>
                <w:lang w:val="en-US"/>
              </w:rPr>
              <w:t>H</w:t>
            </w:r>
          </w:p>
        </w:tc>
        <w:tc>
          <w:tcPr>
            <w:tcW w:w="1073" w:type="dxa"/>
            <w:vAlign w:val="center"/>
          </w:tcPr>
          <w:p w14:paraId="03829D62">
            <w:pPr>
              <w:pStyle w:val="24"/>
            </w:pPr>
            <w:r>
              <w:rPr>
                <w:lang w:val="en-US"/>
              </w:rPr>
              <w:t>H</w:t>
            </w:r>
          </w:p>
        </w:tc>
      </w:tr>
      <w:tr w14:paraId="BF1B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918E747E">
            <w:pPr>
              <w:snapToGrid w:val="0"/>
              <w:spacing w:line="320" w:lineRule="exact"/>
              <w:jc w:val="left"/>
              <w:rPr>
                <w:rFonts w:hint="eastAsia"/>
              </w:rPr>
            </w:pPr>
            <w:r>
              <w:rPr>
                <w:rFonts w:hint="default"/>
                <w:lang w:val="en-US"/>
              </w:rPr>
              <w:t>4</w:t>
            </w: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医学原虫</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节肢动物</w:t>
            </w:r>
          </w:p>
        </w:tc>
        <w:tc>
          <w:tcPr>
            <w:tcW w:w="1074" w:type="dxa"/>
            <w:vAlign w:val="center"/>
          </w:tcPr>
          <w:p w14:paraId="295ADCBC">
            <w:pPr>
              <w:pStyle w:val="24"/>
              <w:rPr>
                <w:rFonts w:hint="eastAsia"/>
              </w:rPr>
            </w:pPr>
            <w:r>
              <w:rPr>
                <w:rFonts w:hint="default"/>
                <w:lang w:val="en-US"/>
              </w:rPr>
              <w:t>M</w:t>
            </w:r>
          </w:p>
        </w:tc>
        <w:tc>
          <w:tcPr>
            <w:tcW w:w="1074" w:type="dxa"/>
            <w:vAlign w:val="center"/>
          </w:tcPr>
          <w:p w14:paraId="AF02B6CA">
            <w:pPr>
              <w:pStyle w:val="24"/>
              <w:rPr>
                <w:rFonts w:hint="eastAsia"/>
              </w:rPr>
            </w:pPr>
            <w:r>
              <w:rPr>
                <w:rFonts w:hint="default"/>
                <w:lang w:val="en-US"/>
              </w:rPr>
              <w:t>M</w:t>
            </w:r>
          </w:p>
        </w:tc>
        <w:tc>
          <w:tcPr>
            <w:tcW w:w="1074" w:type="dxa"/>
            <w:vAlign w:val="center"/>
          </w:tcPr>
          <w:p w14:paraId="B8B5EA6F">
            <w:pPr>
              <w:pStyle w:val="24"/>
              <w:rPr>
                <w:rFonts w:hint="eastAsia"/>
              </w:rPr>
            </w:pPr>
            <w:r>
              <w:rPr>
                <w:rFonts w:hint="default"/>
                <w:lang w:val="en-US"/>
              </w:rPr>
              <w:t>M</w:t>
            </w:r>
          </w:p>
        </w:tc>
        <w:tc>
          <w:tcPr>
            <w:tcW w:w="1073" w:type="dxa"/>
            <w:vAlign w:val="center"/>
          </w:tcPr>
          <w:p w14:paraId="73FAA875">
            <w:pPr>
              <w:pStyle w:val="24"/>
              <w:rPr>
                <w:rFonts w:hint="eastAsia"/>
              </w:rPr>
            </w:pPr>
            <w:r>
              <w:rPr>
                <w:rFonts w:hint="default"/>
                <w:lang w:val="en-US"/>
              </w:rPr>
              <w:t>H</w:t>
            </w:r>
          </w:p>
        </w:tc>
        <w:tc>
          <w:tcPr>
            <w:tcW w:w="1073" w:type="dxa"/>
            <w:vAlign w:val="center"/>
          </w:tcPr>
          <w:p w14:paraId="94BA9BDD">
            <w:pPr>
              <w:pStyle w:val="24"/>
              <w:rPr>
                <w:rFonts w:hint="eastAsia"/>
              </w:rPr>
            </w:pPr>
            <w:r>
              <w:rPr>
                <w:rFonts w:hint="default"/>
                <w:lang w:val="en-US"/>
              </w:rPr>
              <w:t>H</w:t>
            </w:r>
          </w:p>
        </w:tc>
      </w:tr>
      <w:tr w14:paraId="9556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8CB3AEEF">
            <w:pPr>
              <w:pStyle w:val="24"/>
              <w:jc w:val="left"/>
              <w:rPr>
                <w:rFonts w:hint="eastAsia"/>
              </w:rPr>
            </w:pPr>
            <w:r>
              <w:rPr>
                <w:rFonts w:hint="default"/>
                <w:lang w:val="en-US"/>
              </w:rPr>
              <w:t>5</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免疫与免疫系统、 抗原</w:t>
            </w:r>
          </w:p>
        </w:tc>
        <w:tc>
          <w:tcPr>
            <w:tcW w:w="1074" w:type="dxa"/>
            <w:vAlign w:val="center"/>
          </w:tcPr>
          <w:p w14:paraId="95EF269F">
            <w:pPr>
              <w:pStyle w:val="24"/>
              <w:rPr>
                <w:rFonts w:hint="eastAsia"/>
              </w:rPr>
            </w:pPr>
            <w:r>
              <w:rPr>
                <w:rFonts w:hint="default"/>
                <w:lang w:val="en-US"/>
              </w:rPr>
              <w:t>M</w:t>
            </w:r>
          </w:p>
        </w:tc>
        <w:tc>
          <w:tcPr>
            <w:tcW w:w="1074" w:type="dxa"/>
            <w:vAlign w:val="center"/>
          </w:tcPr>
          <w:p w14:paraId="F9C3EBD2">
            <w:pPr>
              <w:pStyle w:val="24"/>
              <w:rPr>
                <w:rFonts w:hint="eastAsia"/>
              </w:rPr>
            </w:pPr>
            <w:r>
              <w:rPr>
                <w:rFonts w:hint="default"/>
                <w:lang w:val="en-US"/>
              </w:rPr>
              <w:t>M</w:t>
            </w:r>
          </w:p>
        </w:tc>
        <w:tc>
          <w:tcPr>
            <w:tcW w:w="1074" w:type="dxa"/>
            <w:vAlign w:val="center"/>
          </w:tcPr>
          <w:p w14:paraId="39A44D06">
            <w:pPr>
              <w:pStyle w:val="24"/>
              <w:rPr>
                <w:rFonts w:hint="eastAsia"/>
              </w:rPr>
            </w:pPr>
            <w:r>
              <w:rPr>
                <w:rFonts w:hint="default"/>
                <w:lang w:val="en-US"/>
              </w:rPr>
              <w:t>M</w:t>
            </w:r>
          </w:p>
        </w:tc>
        <w:tc>
          <w:tcPr>
            <w:tcW w:w="1073" w:type="dxa"/>
            <w:vAlign w:val="center"/>
          </w:tcPr>
          <w:p w14:paraId="24728066">
            <w:pPr>
              <w:pStyle w:val="24"/>
              <w:rPr>
                <w:rFonts w:hint="eastAsia"/>
              </w:rPr>
            </w:pPr>
            <w:r>
              <w:rPr>
                <w:rFonts w:hint="default"/>
                <w:lang w:val="en-US"/>
              </w:rPr>
              <w:t>H</w:t>
            </w:r>
          </w:p>
        </w:tc>
        <w:tc>
          <w:tcPr>
            <w:tcW w:w="1073" w:type="dxa"/>
            <w:vAlign w:val="center"/>
          </w:tcPr>
          <w:p w14:paraId="060C8292">
            <w:pPr>
              <w:pStyle w:val="24"/>
              <w:rPr>
                <w:rFonts w:hint="eastAsia"/>
              </w:rPr>
            </w:pPr>
            <w:r>
              <w:rPr>
                <w:rFonts w:hint="default"/>
                <w:lang w:val="en-US"/>
              </w:rPr>
              <w:t>H</w:t>
            </w:r>
          </w:p>
        </w:tc>
      </w:tr>
      <w:tr w14:paraId="1F8F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643280D8">
            <w:pPr>
              <w:snapToGrid w:val="0"/>
              <w:spacing w:line="320" w:lineRule="exact"/>
              <w:jc w:val="left"/>
              <w:rPr>
                <w:rFonts w:hint="eastAsia"/>
              </w:rPr>
            </w:pPr>
            <w:r>
              <w:rPr>
                <w:rFonts w:hint="default"/>
                <w:lang w:val="en-US"/>
              </w:rPr>
              <w:t>6</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免疫分子</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主要组织相容性复合体</w:t>
            </w:r>
          </w:p>
        </w:tc>
        <w:tc>
          <w:tcPr>
            <w:tcW w:w="1074" w:type="dxa"/>
            <w:vAlign w:val="center"/>
          </w:tcPr>
          <w:p w14:paraId="E190ABDA">
            <w:pPr>
              <w:pStyle w:val="24"/>
              <w:rPr>
                <w:rFonts w:hint="eastAsia"/>
              </w:rPr>
            </w:pPr>
            <w:r>
              <w:rPr>
                <w:rFonts w:hint="default"/>
                <w:lang w:val="en-US"/>
              </w:rPr>
              <w:t>M</w:t>
            </w:r>
          </w:p>
        </w:tc>
        <w:tc>
          <w:tcPr>
            <w:tcW w:w="1074" w:type="dxa"/>
            <w:vAlign w:val="center"/>
          </w:tcPr>
          <w:p w14:paraId="2A345DDA">
            <w:pPr>
              <w:pStyle w:val="24"/>
              <w:rPr>
                <w:rFonts w:hint="eastAsia"/>
              </w:rPr>
            </w:pPr>
            <w:r>
              <w:rPr>
                <w:rFonts w:hint="default"/>
                <w:lang w:val="en-US"/>
              </w:rPr>
              <w:t>M</w:t>
            </w:r>
          </w:p>
        </w:tc>
        <w:tc>
          <w:tcPr>
            <w:tcW w:w="1074" w:type="dxa"/>
            <w:vAlign w:val="center"/>
          </w:tcPr>
          <w:p w14:paraId="F9D86221">
            <w:pPr>
              <w:pStyle w:val="24"/>
              <w:rPr>
                <w:rFonts w:hint="eastAsia"/>
              </w:rPr>
            </w:pPr>
            <w:r>
              <w:rPr>
                <w:rFonts w:hint="default"/>
                <w:lang w:val="en-US"/>
              </w:rPr>
              <w:t>M</w:t>
            </w:r>
          </w:p>
        </w:tc>
        <w:tc>
          <w:tcPr>
            <w:tcW w:w="1073" w:type="dxa"/>
            <w:vAlign w:val="center"/>
          </w:tcPr>
          <w:p w14:paraId="42CA7000">
            <w:pPr>
              <w:pStyle w:val="24"/>
              <w:rPr>
                <w:rFonts w:hint="eastAsia"/>
              </w:rPr>
            </w:pPr>
            <w:r>
              <w:rPr>
                <w:rFonts w:hint="default"/>
                <w:lang w:val="en-US"/>
              </w:rPr>
              <w:t>M</w:t>
            </w:r>
          </w:p>
        </w:tc>
        <w:tc>
          <w:tcPr>
            <w:tcW w:w="1073" w:type="dxa"/>
            <w:vAlign w:val="center"/>
          </w:tcPr>
          <w:p w14:paraId="D10819C6">
            <w:pPr>
              <w:pStyle w:val="24"/>
              <w:rPr>
                <w:rFonts w:hint="eastAsia"/>
              </w:rPr>
            </w:pPr>
            <w:r>
              <w:rPr>
                <w:rFonts w:hint="default"/>
                <w:lang w:val="en-US"/>
              </w:rPr>
              <w:t>H</w:t>
            </w:r>
          </w:p>
        </w:tc>
      </w:tr>
      <w:tr w14:paraId="AFF2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E34B3928">
            <w:pPr>
              <w:snapToGrid w:val="0"/>
              <w:spacing w:line="320" w:lineRule="exact"/>
              <w:jc w:val="left"/>
              <w:rPr>
                <w:rFonts w:hint="eastAsia"/>
              </w:rPr>
            </w:pPr>
            <w:r>
              <w:rPr>
                <w:rFonts w:hint="default"/>
                <w:lang w:val="en-US"/>
              </w:rPr>
              <w:t>7</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免疫细胞</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免疫应答</w:t>
            </w:r>
          </w:p>
        </w:tc>
        <w:tc>
          <w:tcPr>
            <w:tcW w:w="1074" w:type="dxa"/>
            <w:vAlign w:val="center"/>
          </w:tcPr>
          <w:p w14:paraId="3C9C44B2">
            <w:pPr>
              <w:pStyle w:val="24"/>
              <w:rPr>
                <w:rFonts w:hint="eastAsia"/>
              </w:rPr>
            </w:pPr>
            <w:r>
              <w:rPr>
                <w:rFonts w:hint="default"/>
                <w:lang w:val="en-US"/>
              </w:rPr>
              <w:t>M</w:t>
            </w:r>
          </w:p>
        </w:tc>
        <w:tc>
          <w:tcPr>
            <w:tcW w:w="1074" w:type="dxa"/>
            <w:vAlign w:val="center"/>
          </w:tcPr>
          <w:p w14:paraId="E025F84E">
            <w:pPr>
              <w:pStyle w:val="24"/>
              <w:rPr>
                <w:rFonts w:hint="eastAsia"/>
              </w:rPr>
            </w:pPr>
            <w:r>
              <w:rPr>
                <w:rFonts w:hint="default"/>
                <w:lang w:val="en-US"/>
              </w:rPr>
              <w:t>M</w:t>
            </w:r>
          </w:p>
        </w:tc>
        <w:tc>
          <w:tcPr>
            <w:tcW w:w="1074" w:type="dxa"/>
            <w:vAlign w:val="center"/>
          </w:tcPr>
          <w:p w14:paraId="4D2B13BA">
            <w:pPr>
              <w:pStyle w:val="24"/>
              <w:rPr>
                <w:rFonts w:hint="eastAsia"/>
              </w:rPr>
            </w:pPr>
            <w:r>
              <w:rPr>
                <w:rFonts w:hint="default"/>
                <w:lang w:val="en-US"/>
              </w:rPr>
              <w:t>M</w:t>
            </w:r>
          </w:p>
        </w:tc>
        <w:tc>
          <w:tcPr>
            <w:tcW w:w="1073" w:type="dxa"/>
            <w:vAlign w:val="center"/>
          </w:tcPr>
          <w:p w14:paraId="D0EC39C1">
            <w:pPr>
              <w:pStyle w:val="24"/>
              <w:rPr>
                <w:rFonts w:hint="eastAsia"/>
              </w:rPr>
            </w:pPr>
            <w:r>
              <w:rPr>
                <w:rFonts w:hint="default"/>
                <w:lang w:val="en-US"/>
              </w:rPr>
              <w:t>M</w:t>
            </w:r>
          </w:p>
        </w:tc>
        <w:tc>
          <w:tcPr>
            <w:tcW w:w="1073" w:type="dxa"/>
            <w:vAlign w:val="center"/>
          </w:tcPr>
          <w:p w14:paraId="EBA077E0">
            <w:pPr>
              <w:pStyle w:val="24"/>
              <w:rPr>
                <w:rFonts w:hint="eastAsia"/>
              </w:rPr>
            </w:pPr>
            <w:r>
              <w:rPr>
                <w:rFonts w:hint="default"/>
                <w:lang w:val="en-US"/>
              </w:rPr>
              <w:t>H</w:t>
            </w:r>
          </w:p>
        </w:tc>
      </w:tr>
      <w:tr w14:paraId="90EA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90886369">
            <w:pPr>
              <w:pStyle w:val="24"/>
              <w:jc w:val="left"/>
              <w:rPr>
                <w:rFonts w:hint="eastAsia"/>
              </w:rPr>
            </w:pPr>
            <w:r>
              <w:rPr>
                <w:rFonts w:hint="default"/>
                <w:lang w:val="en-US"/>
              </w:rPr>
              <w:t>8</w:t>
            </w:r>
            <w:r>
              <w:rPr>
                <w:rFonts w:hint="default" w:ascii="宋体" w:hAnsi="宋体" w:eastAsia="宋体" w:cs="Times New Roman"/>
                <w:b w:val="0"/>
                <w:bCs w:val="0"/>
                <w:i w:val="0"/>
                <w:iCs w:val="0"/>
                <w:color w:val="auto"/>
                <w:kern w:val="2"/>
                <w:sz w:val="20"/>
                <w:szCs w:val="20"/>
                <w:highlight w:val="none"/>
                <w:vertAlign w:val="baseline"/>
                <w:lang w:val="en-US" w:eastAsia="zh-CN" w:bidi="ar-SA"/>
              </w:rPr>
              <w:t>抗感染免疫</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免疫调节和免疫耐受</w:t>
            </w:r>
          </w:p>
        </w:tc>
        <w:tc>
          <w:tcPr>
            <w:tcW w:w="1074" w:type="dxa"/>
            <w:vAlign w:val="center"/>
          </w:tcPr>
          <w:p w14:paraId="785D9F09">
            <w:pPr>
              <w:pStyle w:val="24"/>
              <w:rPr>
                <w:rFonts w:hint="eastAsia"/>
              </w:rPr>
            </w:pPr>
            <w:r>
              <w:rPr>
                <w:rFonts w:hint="default"/>
                <w:lang w:val="en-US"/>
              </w:rPr>
              <w:t>M</w:t>
            </w:r>
          </w:p>
        </w:tc>
        <w:tc>
          <w:tcPr>
            <w:tcW w:w="1074" w:type="dxa"/>
            <w:vAlign w:val="center"/>
          </w:tcPr>
          <w:p w14:paraId="8A8528D7">
            <w:pPr>
              <w:pStyle w:val="24"/>
              <w:rPr>
                <w:rFonts w:hint="eastAsia"/>
              </w:rPr>
            </w:pPr>
            <w:r>
              <w:rPr>
                <w:rFonts w:hint="default"/>
                <w:lang w:val="en-US"/>
              </w:rPr>
              <w:t>M</w:t>
            </w:r>
          </w:p>
        </w:tc>
        <w:tc>
          <w:tcPr>
            <w:tcW w:w="1074" w:type="dxa"/>
            <w:vAlign w:val="center"/>
          </w:tcPr>
          <w:p w14:paraId="9E014C76">
            <w:pPr>
              <w:pStyle w:val="24"/>
              <w:rPr>
                <w:rFonts w:hint="eastAsia"/>
              </w:rPr>
            </w:pPr>
            <w:r>
              <w:rPr>
                <w:rFonts w:hint="default"/>
                <w:lang w:val="en-US"/>
              </w:rPr>
              <w:t>M</w:t>
            </w:r>
          </w:p>
        </w:tc>
        <w:tc>
          <w:tcPr>
            <w:tcW w:w="1073" w:type="dxa"/>
            <w:vAlign w:val="center"/>
          </w:tcPr>
          <w:p w14:paraId="9CF9FE87">
            <w:pPr>
              <w:pStyle w:val="24"/>
              <w:rPr>
                <w:rFonts w:hint="eastAsia"/>
              </w:rPr>
            </w:pPr>
            <w:r>
              <w:rPr>
                <w:rFonts w:hint="default"/>
                <w:lang w:val="en-US"/>
              </w:rPr>
              <w:t>M</w:t>
            </w:r>
          </w:p>
        </w:tc>
        <w:tc>
          <w:tcPr>
            <w:tcW w:w="1073" w:type="dxa"/>
            <w:vAlign w:val="center"/>
          </w:tcPr>
          <w:p w14:paraId="D389DCF1">
            <w:pPr>
              <w:pStyle w:val="24"/>
              <w:rPr>
                <w:rFonts w:hint="eastAsia"/>
              </w:rPr>
            </w:pPr>
            <w:r>
              <w:rPr>
                <w:rFonts w:hint="default"/>
                <w:lang w:val="en-US"/>
              </w:rPr>
              <w:t>H</w:t>
            </w:r>
          </w:p>
        </w:tc>
      </w:tr>
      <w:tr w14:paraId="2EE0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41201BD6">
            <w:pPr>
              <w:snapToGrid w:val="0"/>
              <w:spacing w:line="320" w:lineRule="exact"/>
              <w:jc w:val="left"/>
              <w:rPr>
                <w:rFonts w:hint="eastAsia"/>
              </w:rPr>
            </w:pPr>
            <w:r>
              <w:rPr>
                <w:rFonts w:hint="default"/>
                <w:lang w:val="en-US"/>
              </w:rPr>
              <w:t>9</w:t>
            </w:r>
            <w:r>
              <w:rPr>
                <w:rFonts w:hint="default" w:ascii="宋体" w:hAnsi="宋体" w:eastAsia="宋体" w:cs="Times New Roman"/>
                <w:b w:val="0"/>
                <w:bCs w:val="0"/>
                <w:i w:val="0"/>
                <w:iCs w:val="0"/>
                <w:color w:val="auto"/>
                <w:kern w:val="2"/>
                <w:sz w:val="20"/>
                <w:szCs w:val="20"/>
                <w:highlight w:val="none"/>
                <w:vertAlign w:val="baseline"/>
                <w:lang w:val="en-US" w:eastAsia="zh-CN" w:bidi="ar-SA"/>
              </w:rPr>
              <w:t>组织细胞的适应和损伤</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血液循环障碍</w:t>
            </w:r>
          </w:p>
        </w:tc>
        <w:tc>
          <w:tcPr>
            <w:tcW w:w="1074" w:type="dxa"/>
            <w:vAlign w:val="center"/>
          </w:tcPr>
          <w:p w14:paraId="66800422">
            <w:pPr>
              <w:pStyle w:val="24"/>
              <w:rPr>
                <w:rFonts w:hint="eastAsia"/>
              </w:rPr>
            </w:pPr>
            <w:r>
              <w:rPr>
                <w:rFonts w:hint="default"/>
                <w:lang w:val="en-US"/>
              </w:rPr>
              <w:t>M</w:t>
            </w:r>
          </w:p>
        </w:tc>
        <w:tc>
          <w:tcPr>
            <w:tcW w:w="1074" w:type="dxa"/>
            <w:vAlign w:val="center"/>
          </w:tcPr>
          <w:p w14:paraId="237DB411">
            <w:pPr>
              <w:pStyle w:val="24"/>
              <w:rPr>
                <w:rFonts w:hint="eastAsia"/>
              </w:rPr>
            </w:pPr>
            <w:r>
              <w:rPr>
                <w:rFonts w:hint="default"/>
                <w:lang w:val="en-US"/>
              </w:rPr>
              <w:t>M</w:t>
            </w:r>
          </w:p>
        </w:tc>
        <w:tc>
          <w:tcPr>
            <w:tcW w:w="1074" w:type="dxa"/>
            <w:vAlign w:val="center"/>
          </w:tcPr>
          <w:p w14:paraId="9E187E00">
            <w:pPr>
              <w:pStyle w:val="24"/>
              <w:rPr>
                <w:rFonts w:hint="eastAsia"/>
              </w:rPr>
            </w:pPr>
            <w:r>
              <w:rPr>
                <w:rFonts w:hint="default"/>
                <w:lang w:val="en-US"/>
              </w:rPr>
              <w:t>M</w:t>
            </w:r>
          </w:p>
        </w:tc>
        <w:tc>
          <w:tcPr>
            <w:tcW w:w="1073" w:type="dxa"/>
            <w:vAlign w:val="center"/>
          </w:tcPr>
          <w:p w14:paraId="EA980169">
            <w:pPr>
              <w:pStyle w:val="24"/>
              <w:rPr>
                <w:rFonts w:hint="eastAsia"/>
              </w:rPr>
            </w:pPr>
            <w:r>
              <w:rPr>
                <w:rFonts w:hint="default"/>
                <w:lang w:val="en-US"/>
              </w:rPr>
              <w:t>M</w:t>
            </w:r>
          </w:p>
        </w:tc>
        <w:tc>
          <w:tcPr>
            <w:tcW w:w="1073" w:type="dxa"/>
            <w:vAlign w:val="center"/>
          </w:tcPr>
          <w:p w14:paraId="55A17302">
            <w:pPr>
              <w:pStyle w:val="24"/>
              <w:rPr>
                <w:rFonts w:hint="eastAsia"/>
              </w:rPr>
            </w:pPr>
            <w:r>
              <w:rPr>
                <w:rFonts w:hint="default"/>
                <w:lang w:val="en-US"/>
              </w:rPr>
              <w:t>H</w:t>
            </w:r>
          </w:p>
        </w:tc>
      </w:tr>
      <w:tr w14:paraId="D45E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190B9F6F">
            <w:pPr>
              <w:pStyle w:val="24"/>
              <w:jc w:val="left"/>
              <w:rPr>
                <w:rFonts w:hint="eastAsia"/>
              </w:rPr>
            </w:pPr>
            <w:r>
              <w:rPr>
                <w:rFonts w:hint="default"/>
                <w:lang w:val="en-US"/>
              </w:rPr>
              <w:t>10</w:t>
            </w:r>
            <w:r>
              <w:rPr>
                <w:rFonts w:hint="default" w:ascii="宋体" w:hAnsi="宋体" w:eastAsia="宋体" w:cs="Times New Roman"/>
                <w:b w:val="0"/>
                <w:bCs w:val="0"/>
                <w:i w:val="0"/>
                <w:iCs w:val="0"/>
                <w:color w:val="auto"/>
                <w:kern w:val="2"/>
                <w:sz w:val="20"/>
                <w:szCs w:val="20"/>
                <w:highlight w:val="none"/>
                <w:vertAlign w:val="baseline"/>
                <w:lang w:val="en-US" w:eastAsia="zh-CN" w:bidi="ar-SA"/>
              </w:rPr>
              <w:t>炎症与发热，水、 电解质代谢紊乱与酸碱平衡紊乱</w:t>
            </w:r>
          </w:p>
        </w:tc>
        <w:tc>
          <w:tcPr>
            <w:tcW w:w="1074" w:type="dxa"/>
            <w:vAlign w:val="center"/>
          </w:tcPr>
          <w:p w14:paraId="2F3C70D6">
            <w:pPr>
              <w:pStyle w:val="24"/>
              <w:rPr>
                <w:rFonts w:hint="eastAsia"/>
              </w:rPr>
            </w:pPr>
            <w:r>
              <w:rPr>
                <w:rFonts w:hint="default"/>
                <w:lang w:val="en-US"/>
              </w:rPr>
              <w:t>M</w:t>
            </w:r>
          </w:p>
        </w:tc>
        <w:tc>
          <w:tcPr>
            <w:tcW w:w="1074" w:type="dxa"/>
            <w:vAlign w:val="center"/>
          </w:tcPr>
          <w:p w14:paraId="19AE2FD0">
            <w:pPr>
              <w:pStyle w:val="24"/>
              <w:rPr>
                <w:rFonts w:hint="eastAsia"/>
              </w:rPr>
            </w:pPr>
            <w:r>
              <w:rPr>
                <w:rFonts w:hint="default"/>
                <w:lang w:val="en-US"/>
              </w:rPr>
              <w:t>M</w:t>
            </w:r>
          </w:p>
        </w:tc>
        <w:tc>
          <w:tcPr>
            <w:tcW w:w="1074" w:type="dxa"/>
            <w:vAlign w:val="center"/>
          </w:tcPr>
          <w:p w14:paraId="EB45BED1">
            <w:pPr>
              <w:pStyle w:val="24"/>
              <w:rPr>
                <w:rFonts w:hint="eastAsia"/>
              </w:rPr>
            </w:pPr>
            <w:r>
              <w:rPr>
                <w:rFonts w:hint="default"/>
                <w:lang w:val="en-US"/>
              </w:rPr>
              <w:t>M</w:t>
            </w:r>
          </w:p>
        </w:tc>
        <w:tc>
          <w:tcPr>
            <w:tcW w:w="1073" w:type="dxa"/>
            <w:vAlign w:val="center"/>
          </w:tcPr>
          <w:p w14:paraId="34D5841E">
            <w:pPr>
              <w:pStyle w:val="24"/>
              <w:rPr>
                <w:rFonts w:hint="eastAsia"/>
              </w:rPr>
            </w:pPr>
            <w:r>
              <w:rPr>
                <w:rFonts w:hint="default"/>
                <w:lang w:val="en-US"/>
              </w:rPr>
              <w:t>M</w:t>
            </w:r>
          </w:p>
        </w:tc>
        <w:tc>
          <w:tcPr>
            <w:tcW w:w="1073" w:type="dxa"/>
            <w:vAlign w:val="center"/>
          </w:tcPr>
          <w:p w14:paraId="8771313F">
            <w:pPr>
              <w:pStyle w:val="24"/>
              <w:rPr>
                <w:rFonts w:hint="eastAsia"/>
              </w:rPr>
            </w:pPr>
            <w:r>
              <w:rPr>
                <w:rFonts w:hint="default"/>
                <w:lang w:val="en-US"/>
              </w:rPr>
              <w:t>H</w:t>
            </w:r>
          </w:p>
        </w:tc>
      </w:tr>
      <w:tr w14:paraId="8135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3" w:hRule="atLeast"/>
          <w:jc w:val="center"/>
        </w:trPr>
        <w:tc>
          <w:tcPr>
            <w:tcW w:w="1858" w:type="dxa"/>
            <w:tcBorders>
              <w:left w:val="single" w:color="auto" w:sz="12" w:space="0"/>
            </w:tcBorders>
          </w:tcPr>
          <w:p w14:paraId="83C194D0">
            <w:pPr>
              <w:pStyle w:val="24"/>
              <w:jc w:val="left"/>
              <w:rPr>
                <w:rFonts w:hint="eastAsia"/>
              </w:rPr>
            </w:pPr>
            <w:r>
              <w:rPr>
                <w:rFonts w:hint="default"/>
                <w:lang w:val="en-US"/>
              </w:rPr>
              <w:t>11缺氧</w:t>
            </w:r>
          </w:p>
        </w:tc>
        <w:tc>
          <w:tcPr>
            <w:tcW w:w="1074" w:type="dxa"/>
            <w:vAlign w:val="center"/>
          </w:tcPr>
          <w:p w14:paraId="746FF9E2">
            <w:pPr>
              <w:pStyle w:val="24"/>
              <w:rPr>
                <w:rFonts w:hint="eastAsia"/>
              </w:rPr>
            </w:pPr>
            <w:r>
              <w:rPr>
                <w:rFonts w:hint="default"/>
                <w:lang w:val="en-US"/>
              </w:rPr>
              <w:t>M</w:t>
            </w:r>
          </w:p>
        </w:tc>
        <w:tc>
          <w:tcPr>
            <w:tcW w:w="1074" w:type="dxa"/>
            <w:vAlign w:val="center"/>
          </w:tcPr>
          <w:p w14:paraId="D0048563">
            <w:pPr>
              <w:pStyle w:val="24"/>
              <w:rPr>
                <w:rFonts w:hint="eastAsia"/>
              </w:rPr>
            </w:pPr>
            <w:r>
              <w:rPr>
                <w:rFonts w:hint="default"/>
                <w:lang w:val="en-US"/>
              </w:rPr>
              <w:t>M</w:t>
            </w:r>
          </w:p>
        </w:tc>
        <w:tc>
          <w:tcPr>
            <w:tcW w:w="1074" w:type="dxa"/>
            <w:vAlign w:val="center"/>
          </w:tcPr>
          <w:p w14:paraId="3D92076C">
            <w:pPr>
              <w:pStyle w:val="24"/>
              <w:rPr>
                <w:rFonts w:hint="eastAsia"/>
              </w:rPr>
            </w:pPr>
            <w:r>
              <w:rPr>
                <w:rFonts w:hint="default"/>
                <w:lang w:val="en-US"/>
              </w:rPr>
              <w:t>M</w:t>
            </w:r>
          </w:p>
        </w:tc>
        <w:tc>
          <w:tcPr>
            <w:tcW w:w="1073" w:type="dxa"/>
            <w:vAlign w:val="center"/>
          </w:tcPr>
          <w:p w14:paraId="0647DCD8">
            <w:pPr>
              <w:pStyle w:val="24"/>
              <w:rPr>
                <w:rFonts w:hint="eastAsia"/>
              </w:rPr>
            </w:pPr>
            <w:r>
              <w:rPr>
                <w:rFonts w:hint="default"/>
                <w:lang w:val="en-US"/>
              </w:rPr>
              <w:t>H</w:t>
            </w:r>
          </w:p>
        </w:tc>
        <w:tc>
          <w:tcPr>
            <w:tcW w:w="1073" w:type="dxa"/>
            <w:vAlign w:val="center"/>
          </w:tcPr>
          <w:p w14:paraId="E81F5A5D">
            <w:pPr>
              <w:pStyle w:val="24"/>
              <w:rPr>
                <w:rFonts w:hint="eastAsia"/>
              </w:rPr>
            </w:pPr>
            <w:r>
              <w:rPr>
                <w:rFonts w:hint="default"/>
                <w:lang w:val="en-US"/>
              </w:rPr>
              <w:t>H</w:t>
            </w:r>
          </w:p>
        </w:tc>
      </w:tr>
      <w:tr w14:paraId="9B1E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49D55ED2">
            <w:pPr>
              <w:pStyle w:val="24"/>
              <w:jc w:val="left"/>
              <w:rPr>
                <w:rFonts w:hint="eastAsia"/>
              </w:rPr>
            </w:pPr>
            <w:r>
              <w:rPr>
                <w:rFonts w:hint="default"/>
                <w:lang w:val="en-US"/>
              </w:rPr>
              <w:t>12肿瘤</w:t>
            </w:r>
          </w:p>
        </w:tc>
        <w:tc>
          <w:tcPr>
            <w:tcW w:w="1074" w:type="dxa"/>
            <w:vAlign w:val="center"/>
          </w:tcPr>
          <w:p w14:paraId="36A37191">
            <w:pPr>
              <w:pStyle w:val="24"/>
              <w:rPr>
                <w:rFonts w:hint="eastAsia"/>
              </w:rPr>
            </w:pPr>
            <w:r>
              <w:rPr>
                <w:rFonts w:hint="default"/>
                <w:lang w:val="en-US"/>
              </w:rPr>
              <w:t>M</w:t>
            </w:r>
          </w:p>
        </w:tc>
        <w:tc>
          <w:tcPr>
            <w:tcW w:w="1074" w:type="dxa"/>
            <w:vAlign w:val="center"/>
          </w:tcPr>
          <w:p w14:paraId="EAEB2366">
            <w:pPr>
              <w:pStyle w:val="24"/>
              <w:rPr>
                <w:rFonts w:hint="eastAsia"/>
              </w:rPr>
            </w:pPr>
            <w:r>
              <w:rPr>
                <w:rFonts w:hint="default"/>
                <w:lang w:val="en-US"/>
              </w:rPr>
              <w:t>M</w:t>
            </w:r>
          </w:p>
        </w:tc>
        <w:tc>
          <w:tcPr>
            <w:tcW w:w="1074" w:type="dxa"/>
            <w:vAlign w:val="center"/>
          </w:tcPr>
          <w:p w14:paraId="D9E49B0E">
            <w:pPr>
              <w:pStyle w:val="24"/>
              <w:rPr>
                <w:rFonts w:hint="eastAsia"/>
              </w:rPr>
            </w:pPr>
            <w:r>
              <w:rPr>
                <w:rFonts w:hint="default"/>
                <w:lang w:val="en-US"/>
              </w:rPr>
              <w:t>M</w:t>
            </w:r>
          </w:p>
        </w:tc>
        <w:tc>
          <w:tcPr>
            <w:tcW w:w="1073" w:type="dxa"/>
            <w:vAlign w:val="center"/>
          </w:tcPr>
          <w:p w14:paraId="FB45D0D4">
            <w:pPr>
              <w:pStyle w:val="24"/>
              <w:rPr>
                <w:rFonts w:hint="eastAsia"/>
              </w:rPr>
            </w:pPr>
            <w:r>
              <w:rPr>
                <w:rFonts w:hint="default"/>
                <w:lang w:val="en-US"/>
              </w:rPr>
              <w:t>H</w:t>
            </w:r>
          </w:p>
        </w:tc>
        <w:tc>
          <w:tcPr>
            <w:tcW w:w="1073" w:type="dxa"/>
            <w:vAlign w:val="center"/>
          </w:tcPr>
          <w:p w14:paraId="DFA029CA">
            <w:pPr>
              <w:pStyle w:val="24"/>
              <w:rPr>
                <w:rFonts w:hint="eastAsia"/>
              </w:rPr>
            </w:pPr>
            <w:r>
              <w:rPr>
                <w:rFonts w:hint="default"/>
                <w:lang w:val="en-US"/>
              </w:rPr>
              <w:t>H</w:t>
            </w:r>
          </w:p>
        </w:tc>
      </w:tr>
      <w:tr w14:paraId="396F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3E715616">
            <w:pPr>
              <w:snapToGrid w:val="0"/>
              <w:spacing w:line="320" w:lineRule="exact"/>
              <w:jc w:val="left"/>
              <w:rPr>
                <w:rFonts w:hint="eastAsia"/>
              </w:rPr>
            </w:pPr>
            <w:r>
              <w:rPr>
                <w:rFonts w:hint="default"/>
                <w:lang w:val="en-US"/>
              </w:rPr>
              <w:t>13</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免疫系统疾病</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呼吸系统疾病</w:t>
            </w:r>
          </w:p>
        </w:tc>
        <w:tc>
          <w:tcPr>
            <w:tcW w:w="1074" w:type="dxa"/>
            <w:vAlign w:val="center"/>
          </w:tcPr>
          <w:p w14:paraId="F58AD94D">
            <w:pPr>
              <w:pStyle w:val="24"/>
              <w:rPr>
                <w:rFonts w:hint="eastAsia"/>
              </w:rPr>
            </w:pPr>
            <w:r>
              <w:rPr>
                <w:rFonts w:hint="default"/>
                <w:lang w:val="en-US"/>
              </w:rPr>
              <w:t>M</w:t>
            </w:r>
          </w:p>
        </w:tc>
        <w:tc>
          <w:tcPr>
            <w:tcW w:w="1074" w:type="dxa"/>
            <w:vAlign w:val="center"/>
          </w:tcPr>
          <w:p w14:paraId="7633DE7E">
            <w:pPr>
              <w:pStyle w:val="24"/>
              <w:rPr>
                <w:rFonts w:hint="eastAsia"/>
              </w:rPr>
            </w:pPr>
            <w:r>
              <w:rPr>
                <w:rFonts w:hint="default"/>
                <w:lang w:val="en-US"/>
              </w:rPr>
              <w:t>M</w:t>
            </w:r>
          </w:p>
        </w:tc>
        <w:tc>
          <w:tcPr>
            <w:tcW w:w="1074" w:type="dxa"/>
            <w:vAlign w:val="center"/>
          </w:tcPr>
          <w:p w14:paraId="F4B1C83C">
            <w:pPr>
              <w:pStyle w:val="24"/>
              <w:rPr>
                <w:rFonts w:hint="eastAsia"/>
              </w:rPr>
            </w:pPr>
            <w:r>
              <w:rPr>
                <w:rFonts w:hint="default"/>
                <w:lang w:val="en-US"/>
              </w:rPr>
              <w:t>M</w:t>
            </w:r>
          </w:p>
        </w:tc>
        <w:tc>
          <w:tcPr>
            <w:tcW w:w="1073" w:type="dxa"/>
            <w:vAlign w:val="center"/>
          </w:tcPr>
          <w:p w14:paraId="6976A40F">
            <w:pPr>
              <w:pStyle w:val="24"/>
              <w:rPr>
                <w:rFonts w:hint="eastAsia"/>
              </w:rPr>
            </w:pPr>
            <w:r>
              <w:rPr>
                <w:rFonts w:hint="default"/>
                <w:lang w:val="en-US"/>
              </w:rPr>
              <w:t>H</w:t>
            </w:r>
          </w:p>
        </w:tc>
        <w:tc>
          <w:tcPr>
            <w:tcW w:w="1073" w:type="dxa"/>
            <w:vAlign w:val="center"/>
          </w:tcPr>
          <w:p w14:paraId="11FDD704">
            <w:pPr>
              <w:pStyle w:val="24"/>
              <w:rPr>
                <w:rFonts w:hint="eastAsia"/>
              </w:rPr>
            </w:pPr>
            <w:r>
              <w:rPr>
                <w:rFonts w:hint="default"/>
                <w:lang w:val="en-US"/>
              </w:rPr>
              <w:t>H</w:t>
            </w:r>
          </w:p>
        </w:tc>
      </w:tr>
      <w:tr w14:paraId="9A9A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tcBorders>
          </w:tcPr>
          <w:p w14:paraId="8CA96784">
            <w:pPr>
              <w:snapToGrid w:val="0"/>
              <w:spacing w:line="320" w:lineRule="exact"/>
              <w:jc w:val="left"/>
              <w:rPr>
                <w:rFonts w:hint="eastAsia"/>
              </w:rPr>
            </w:pPr>
            <w:r>
              <w:rPr>
                <w:rFonts w:hint="default"/>
                <w:lang w:val="en-US"/>
              </w:rPr>
              <w:t>14</w:t>
            </w:r>
            <w:r>
              <w:rPr>
                <w:rFonts w:hint="default" w:ascii="宋体" w:hAnsi="宋体" w:eastAsia="宋体" w:cs="Times New Roman"/>
                <w:b w:val="0"/>
                <w:bCs w:val="0"/>
                <w:i w:val="0"/>
                <w:iCs w:val="0"/>
                <w:color w:val="auto"/>
                <w:kern w:val="2"/>
                <w:sz w:val="20"/>
                <w:szCs w:val="20"/>
                <w:highlight w:val="none"/>
                <w:vertAlign w:val="baseline"/>
                <w:lang w:val="en-US" w:eastAsia="zh-CN" w:bidi="ar-SA"/>
              </w:rPr>
              <w:t>循环系统疾病</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消化系统疾病</w:t>
            </w:r>
          </w:p>
        </w:tc>
        <w:tc>
          <w:tcPr>
            <w:tcW w:w="1074" w:type="dxa"/>
            <w:vAlign w:val="center"/>
          </w:tcPr>
          <w:p w14:paraId="35FD7F71">
            <w:pPr>
              <w:pStyle w:val="24"/>
              <w:rPr>
                <w:rFonts w:hint="eastAsia"/>
              </w:rPr>
            </w:pPr>
            <w:r>
              <w:rPr>
                <w:rFonts w:hint="default"/>
                <w:lang w:val="en-US"/>
              </w:rPr>
              <w:t>M</w:t>
            </w:r>
          </w:p>
        </w:tc>
        <w:tc>
          <w:tcPr>
            <w:tcW w:w="1074" w:type="dxa"/>
            <w:vAlign w:val="center"/>
          </w:tcPr>
          <w:p w14:paraId="7B264263">
            <w:pPr>
              <w:pStyle w:val="24"/>
              <w:rPr>
                <w:rFonts w:hint="eastAsia"/>
              </w:rPr>
            </w:pPr>
            <w:r>
              <w:rPr>
                <w:rFonts w:hint="default"/>
                <w:lang w:val="en-US"/>
              </w:rPr>
              <w:t>M</w:t>
            </w:r>
          </w:p>
        </w:tc>
        <w:tc>
          <w:tcPr>
            <w:tcW w:w="1074" w:type="dxa"/>
            <w:vAlign w:val="center"/>
          </w:tcPr>
          <w:p w14:paraId="D2E5504B">
            <w:pPr>
              <w:pStyle w:val="24"/>
              <w:rPr>
                <w:rFonts w:hint="eastAsia"/>
              </w:rPr>
            </w:pPr>
            <w:r>
              <w:rPr>
                <w:rFonts w:hint="default"/>
                <w:lang w:val="en-US"/>
              </w:rPr>
              <w:t>M</w:t>
            </w:r>
          </w:p>
        </w:tc>
        <w:tc>
          <w:tcPr>
            <w:tcW w:w="1073" w:type="dxa"/>
            <w:vAlign w:val="center"/>
          </w:tcPr>
          <w:p w14:paraId="92FF5B8E">
            <w:pPr>
              <w:pStyle w:val="24"/>
              <w:rPr>
                <w:rFonts w:hint="eastAsia"/>
              </w:rPr>
            </w:pPr>
            <w:r>
              <w:rPr>
                <w:rFonts w:hint="default"/>
                <w:lang w:val="en-US"/>
              </w:rPr>
              <w:t>H</w:t>
            </w:r>
          </w:p>
        </w:tc>
        <w:tc>
          <w:tcPr>
            <w:tcW w:w="1073" w:type="dxa"/>
            <w:vAlign w:val="center"/>
          </w:tcPr>
          <w:p w14:paraId="FBB4721E">
            <w:pPr>
              <w:pStyle w:val="24"/>
              <w:rPr>
                <w:rFonts w:hint="eastAsia"/>
              </w:rPr>
            </w:pPr>
            <w:r>
              <w:rPr>
                <w:rFonts w:hint="default"/>
                <w:lang w:val="en-US"/>
              </w:rPr>
              <w:t>H</w:t>
            </w:r>
          </w:p>
        </w:tc>
      </w:tr>
      <w:tr w14:paraId="4D97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58" w:type="dxa"/>
            <w:tcBorders>
              <w:left w:val="single" w:color="auto" w:sz="12" w:space="0"/>
              <w:bottom w:val="single" w:color="auto" w:sz="12" w:space="0"/>
            </w:tcBorders>
          </w:tcPr>
          <w:p w14:paraId="8CF0ABC2">
            <w:pPr>
              <w:snapToGrid w:val="0"/>
              <w:spacing w:line="320" w:lineRule="exact"/>
              <w:jc w:val="left"/>
              <w:rPr>
                <w:rFonts w:hint="eastAsia"/>
              </w:rPr>
            </w:pPr>
            <w:r>
              <w:rPr>
                <w:rFonts w:hint="default"/>
                <w:lang w:val="en-US"/>
              </w:rPr>
              <w:t>15</w:t>
            </w:r>
            <w:r>
              <w:rPr>
                <w:rFonts w:hint="default" w:ascii="宋体" w:hAnsi="宋体" w:eastAsia="宋体" w:cs="Times New Roman"/>
                <w:b w:val="0"/>
                <w:bCs w:val="0"/>
                <w:i w:val="0"/>
                <w:iCs w:val="0"/>
                <w:color w:val="auto"/>
                <w:kern w:val="2"/>
                <w:sz w:val="20"/>
                <w:szCs w:val="20"/>
                <w:highlight w:val="none"/>
                <w:vertAlign w:val="baseline"/>
                <w:lang w:val="en-US" w:eastAsia="zh-CN" w:bidi="ar-SA"/>
              </w:rPr>
              <w:t>泌尿系统疾病</w:t>
            </w:r>
          </w:p>
          <w:p w14:paraId="7D7B44B7">
            <w:pPr>
              <w:snapToGrid w:val="0"/>
              <w:spacing w:line="320" w:lineRule="exact"/>
              <w:jc w:val="left"/>
              <w:rPr>
                <w:rFonts w:hint="eastAsi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内分泌系统疾病</w:t>
            </w:r>
          </w:p>
        </w:tc>
        <w:tc>
          <w:tcPr>
            <w:tcW w:w="1074" w:type="dxa"/>
            <w:tcBorders>
              <w:bottom w:val="single" w:color="auto" w:sz="12" w:space="0"/>
            </w:tcBorders>
            <w:vAlign w:val="center"/>
          </w:tcPr>
          <w:p w14:paraId="71247EA8">
            <w:pPr>
              <w:pStyle w:val="24"/>
              <w:rPr>
                <w:rFonts w:hint="eastAsia"/>
              </w:rPr>
            </w:pPr>
            <w:r>
              <w:rPr>
                <w:rFonts w:hint="default"/>
                <w:lang w:val="en-US"/>
              </w:rPr>
              <w:t>M</w:t>
            </w:r>
          </w:p>
        </w:tc>
        <w:tc>
          <w:tcPr>
            <w:tcW w:w="1074" w:type="dxa"/>
            <w:tcBorders>
              <w:bottom w:val="single" w:color="auto" w:sz="12" w:space="0"/>
            </w:tcBorders>
            <w:vAlign w:val="center"/>
          </w:tcPr>
          <w:p w14:paraId="796B09CE">
            <w:pPr>
              <w:pStyle w:val="24"/>
              <w:rPr>
                <w:rFonts w:hint="eastAsia"/>
              </w:rPr>
            </w:pPr>
            <w:r>
              <w:rPr>
                <w:rFonts w:hint="default"/>
                <w:lang w:val="en-US"/>
              </w:rPr>
              <w:t>M</w:t>
            </w:r>
          </w:p>
        </w:tc>
        <w:tc>
          <w:tcPr>
            <w:tcW w:w="1074" w:type="dxa"/>
            <w:tcBorders>
              <w:bottom w:val="single" w:color="auto" w:sz="12" w:space="0"/>
            </w:tcBorders>
            <w:vAlign w:val="center"/>
          </w:tcPr>
          <w:p w14:paraId="212B172D">
            <w:pPr>
              <w:pStyle w:val="24"/>
              <w:rPr>
                <w:rFonts w:hint="eastAsia"/>
              </w:rPr>
            </w:pPr>
            <w:r>
              <w:rPr>
                <w:rFonts w:hint="default"/>
                <w:lang w:val="en-US"/>
              </w:rPr>
              <w:t>M</w:t>
            </w:r>
          </w:p>
        </w:tc>
        <w:tc>
          <w:tcPr>
            <w:tcW w:w="1073" w:type="dxa"/>
            <w:tcBorders>
              <w:bottom w:val="single" w:color="auto" w:sz="12" w:space="0"/>
            </w:tcBorders>
            <w:vAlign w:val="center"/>
          </w:tcPr>
          <w:p w14:paraId="FCF6499A">
            <w:pPr>
              <w:pStyle w:val="24"/>
              <w:rPr>
                <w:rFonts w:hint="eastAsia"/>
              </w:rPr>
            </w:pPr>
            <w:r>
              <w:rPr>
                <w:rFonts w:hint="default"/>
                <w:lang w:val="en-US"/>
              </w:rPr>
              <w:t>H</w:t>
            </w:r>
          </w:p>
        </w:tc>
        <w:tc>
          <w:tcPr>
            <w:tcW w:w="1073" w:type="dxa"/>
            <w:tcBorders>
              <w:bottom w:val="single" w:color="auto" w:sz="12" w:space="0"/>
            </w:tcBorders>
            <w:vAlign w:val="center"/>
          </w:tcPr>
          <w:p w14:paraId="50D79418">
            <w:pPr>
              <w:pStyle w:val="24"/>
              <w:rPr>
                <w:rFonts w:hint="eastAsia"/>
              </w:rPr>
            </w:pPr>
            <w:r>
              <w:rPr>
                <w:rFonts w:hint="default"/>
                <w:lang w:val="en-US"/>
              </w:rPr>
              <w:t>H</w:t>
            </w:r>
          </w:p>
        </w:tc>
      </w:tr>
    </w:tbl>
    <w:p w14:paraId="E6C4942A">
      <w:pPr>
        <w:pStyle w:val="27"/>
        <w:spacing w:before="326" w:beforeLines="100" w:after="163"/>
      </w:pPr>
      <w:r>
        <w:rPr>
          <w:rFonts w:hint="eastAsia"/>
        </w:rPr>
        <w:t>（三）课程教学方法与学时分配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E1DD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9930AAE3">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0D56D1A4">
            <w:pPr>
              <w:pStyle w:val="2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4F301CB7">
            <w:pPr>
              <w:pStyle w:val="2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E14BB5BE">
            <w:pPr>
              <w:pStyle w:val="2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F74F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7FF1012A">
            <w:pPr>
              <w:widowControl w:val="0"/>
              <w:snapToGrid w:val="0"/>
              <w:jc w:val="center"/>
              <w:rPr>
                <w:rFonts w:ascii="黑体" w:hAnsi="黑体" w:eastAsia="黑体"/>
                <w:bCs/>
                <w:sz w:val="21"/>
                <w:szCs w:val="21"/>
              </w:rPr>
            </w:pPr>
          </w:p>
        </w:tc>
        <w:tc>
          <w:tcPr>
            <w:tcW w:w="2690" w:type="dxa"/>
            <w:vMerge w:val="continue"/>
          </w:tcPr>
          <w:p w14:paraId="97DE958F">
            <w:pPr>
              <w:widowControl w:val="0"/>
              <w:snapToGrid w:val="0"/>
              <w:jc w:val="center"/>
              <w:rPr>
                <w:rFonts w:ascii="黑体" w:hAnsi="黑体" w:eastAsia="黑体"/>
                <w:bCs/>
                <w:sz w:val="21"/>
                <w:szCs w:val="21"/>
              </w:rPr>
            </w:pPr>
          </w:p>
        </w:tc>
        <w:tc>
          <w:tcPr>
            <w:tcW w:w="1697" w:type="dxa"/>
            <w:vMerge w:val="continue"/>
          </w:tcPr>
          <w:p w14:paraId="4B6D8341">
            <w:pPr>
              <w:widowControl w:val="0"/>
              <w:snapToGrid w:val="0"/>
              <w:jc w:val="center"/>
              <w:rPr>
                <w:rFonts w:ascii="黑体" w:hAnsi="黑体" w:eastAsia="黑体"/>
                <w:bCs/>
                <w:sz w:val="21"/>
                <w:szCs w:val="21"/>
              </w:rPr>
            </w:pPr>
          </w:p>
        </w:tc>
        <w:tc>
          <w:tcPr>
            <w:tcW w:w="708" w:type="dxa"/>
            <w:vAlign w:val="center"/>
          </w:tcPr>
          <w:p w14:paraId="A9C4267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D0F18145">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E8701DC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141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B6ACB71E">
            <w:pPr>
              <w:widowControl w:val="0"/>
              <w:snapToGrid w:val="0"/>
              <w:jc w:val="left"/>
              <w:rPr>
                <w:rFonts w:ascii="Times New Roman" w:hAnsi="Times New Roman"/>
                <w:bCs/>
                <w:sz w:val="21"/>
                <w:szCs w:val="21"/>
              </w:rPr>
            </w:pPr>
            <w:r>
              <w:rPr>
                <w:rFonts w:hint="default" w:ascii="宋体" w:hAnsi="宋体" w:eastAsia="宋体" w:cs="宋体"/>
                <w:b w:val="0"/>
                <w:bCs w:val="0"/>
                <w:i w:val="0"/>
                <w:iCs w:val="0"/>
                <w:color w:val="auto"/>
                <w:sz w:val="24"/>
                <w:szCs w:val="24"/>
                <w:highlight w:val="none"/>
                <w:vertAlign w:val="baseline"/>
                <w:lang w:val="en-US" w:eastAsia="zh-CN"/>
              </w:rPr>
              <w:t>1</w:t>
            </w:r>
            <w:r>
              <w:rPr>
                <w:rFonts w:hint="default" w:ascii="宋体" w:hAnsi="宋体" w:eastAsia="宋体" w:cs="Times New Roman"/>
                <w:b w:val="0"/>
                <w:bCs w:val="0"/>
                <w:i w:val="0"/>
                <w:iCs w:val="0"/>
                <w:color w:val="auto"/>
                <w:kern w:val="2"/>
                <w:sz w:val="20"/>
                <w:szCs w:val="20"/>
                <w:highlight w:val="none"/>
                <w:vertAlign w:val="baseline"/>
                <w:lang w:val="en-US" w:eastAsia="zh-CN" w:bidi="ar-SA"/>
              </w:rPr>
              <w:t>病因概述 细菌</w:t>
            </w:r>
          </w:p>
        </w:tc>
        <w:tc>
          <w:tcPr>
            <w:tcW w:w="2690" w:type="dxa"/>
            <w:vAlign w:val="center"/>
          </w:tcPr>
          <w:p w14:paraId="3D25D577">
            <w:pPr>
              <w:widowControl w:val="0"/>
              <w:snapToGrid w:val="0"/>
              <w:jc w:val="center"/>
              <w:rPr>
                <w:rFonts w:ascii="Times New Roman" w:hAnsi="Times New Roman"/>
                <w:bCs/>
                <w:sz w:val="21"/>
                <w:szCs w:val="21"/>
                <w:lang w:val="en-US"/>
              </w:rPr>
            </w:pPr>
            <w:r>
              <w:rPr>
                <w:rFonts w:ascii="Times New Roman" w:hAnsi="Times New Roman"/>
                <w:bCs/>
                <w:sz w:val="21"/>
                <w:szCs w:val="21"/>
                <w:lang w:val="en-US"/>
              </w:rPr>
              <w:t>教：理论讲授，案例分析、多媒体教学法。</w:t>
            </w:r>
          </w:p>
          <w:p w14:paraId="7B01E994">
            <w:pPr>
              <w:widowControl w:val="0"/>
              <w:snapToGrid w:val="0"/>
              <w:jc w:val="center"/>
              <w:rPr>
                <w:rFonts w:ascii="Times New Roman" w:hAnsi="Times New Roman"/>
                <w:bCs/>
                <w:sz w:val="21"/>
                <w:szCs w:val="21"/>
              </w:rPr>
            </w:pPr>
            <w:r>
              <w:rPr>
                <w:rFonts w:ascii="Times New Roman" w:hAnsi="Times New Roman"/>
                <w:bCs/>
                <w:sz w:val="21"/>
                <w:szCs w:val="21"/>
                <w:lang w:val="en-US"/>
              </w:rPr>
              <w:t>学：PBL、学生实验，教师辅导。</w:t>
            </w:r>
          </w:p>
        </w:tc>
        <w:tc>
          <w:tcPr>
            <w:tcW w:w="1697" w:type="dxa"/>
            <w:vAlign w:val="center"/>
          </w:tcPr>
          <w:p w14:paraId="CB67DFAE">
            <w:pPr>
              <w:widowControl w:val="0"/>
              <w:snapToGrid w:val="0"/>
              <w:jc w:val="center"/>
              <w:rPr>
                <w:rFonts w:ascii="Times New Roman" w:hAnsi="Times New Roman"/>
                <w:bCs/>
                <w:sz w:val="21"/>
                <w:szCs w:val="21"/>
                <w:lang w:val="en-US"/>
              </w:rPr>
            </w:pPr>
            <w:r>
              <w:rPr>
                <w:rFonts w:ascii="Times New Roman" w:hAnsi="Times New Roman"/>
                <w:bCs/>
                <w:sz w:val="21"/>
                <w:szCs w:val="21"/>
                <w:lang w:val="en-US"/>
              </w:rPr>
              <w:t>纸笔测试</w:t>
            </w:r>
          </w:p>
          <w:p w14:paraId="13E9585C">
            <w:pPr>
              <w:widowControl w:val="0"/>
              <w:snapToGrid w:val="0"/>
              <w:jc w:val="center"/>
              <w:rPr>
                <w:rFonts w:ascii="Times New Roman" w:hAnsi="Times New Roman"/>
                <w:bCs/>
                <w:sz w:val="21"/>
                <w:szCs w:val="21"/>
              </w:rPr>
            </w:pPr>
            <w:r>
              <w:rPr>
                <w:rFonts w:ascii="Times New Roman" w:hAnsi="Times New Roman"/>
                <w:bCs/>
                <w:sz w:val="21"/>
                <w:szCs w:val="21"/>
                <w:lang w:val="en-US"/>
              </w:rPr>
              <w:t>实验报告。</w:t>
            </w:r>
          </w:p>
        </w:tc>
        <w:tc>
          <w:tcPr>
            <w:tcW w:w="708" w:type="dxa"/>
            <w:vAlign w:val="center"/>
          </w:tcPr>
          <w:p w14:paraId="43F5A499">
            <w:pPr>
              <w:widowControl w:val="0"/>
              <w:snapToGrid w:val="0"/>
              <w:jc w:val="center"/>
              <w:rPr>
                <w:rFonts w:ascii="Times New Roman" w:hAnsi="Times New Roman"/>
                <w:bCs/>
                <w:sz w:val="21"/>
                <w:szCs w:val="21"/>
              </w:rPr>
            </w:pPr>
            <w:r>
              <w:rPr>
                <w:rFonts w:ascii="Times New Roman" w:hAnsi="Times New Roman"/>
                <w:bCs/>
                <w:sz w:val="21"/>
                <w:szCs w:val="21"/>
                <w:lang w:val="en-US"/>
              </w:rPr>
              <w:t>4</w:t>
            </w:r>
          </w:p>
        </w:tc>
        <w:tc>
          <w:tcPr>
            <w:tcW w:w="653" w:type="dxa"/>
            <w:vAlign w:val="center"/>
          </w:tcPr>
          <w:p w14:paraId="D3A192FE">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c>
          <w:tcPr>
            <w:tcW w:w="700" w:type="dxa"/>
            <w:tcBorders>
              <w:right w:val="single" w:color="auto" w:sz="12" w:space="0"/>
            </w:tcBorders>
            <w:vAlign w:val="center"/>
          </w:tcPr>
          <w:p w14:paraId="B5907BDE">
            <w:pPr>
              <w:widowControl w:val="0"/>
              <w:snapToGrid w:val="0"/>
              <w:jc w:val="center"/>
              <w:rPr>
                <w:rFonts w:ascii="Times New Roman" w:hAnsi="Times New Roman"/>
                <w:bCs/>
                <w:sz w:val="21"/>
                <w:szCs w:val="21"/>
              </w:rPr>
            </w:pPr>
            <w:r>
              <w:rPr>
                <w:rFonts w:ascii="Times New Roman" w:hAnsi="Times New Roman"/>
                <w:bCs/>
                <w:sz w:val="21"/>
                <w:szCs w:val="21"/>
                <w:lang w:val="en-US"/>
              </w:rPr>
              <w:t>7</w:t>
            </w:r>
          </w:p>
        </w:tc>
      </w:tr>
      <w:tr w14:paraId="87C5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8FB15CE">
            <w:pPr>
              <w:widowControl w:val="0"/>
              <w:snapToGrid w:val="0"/>
              <w:jc w:val="left"/>
              <w:rPr>
                <w:rFonts w:ascii="Times New Roman" w:hAnsi="Times New Roman"/>
                <w:bCs/>
                <w:sz w:val="21"/>
                <w:szCs w:val="21"/>
              </w:rPr>
            </w:pPr>
            <w:r>
              <w:rPr>
                <w:rFonts w:hint="default" w:ascii="宋体" w:hAnsi="宋体" w:eastAsia="宋体" w:cs="宋体"/>
                <w:b w:val="0"/>
                <w:bCs w:val="0"/>
                <w:i w:val="0"/>
                <w:iCs w:val="0"/>
                <w:color w:val="auto"/>
                <w:sz w:val="24"/>
                <w:szCs w:val="24"/>
                <w:highlight w:val="none"/>
                <w:vertAlign w:val="baseline"/>
                <w:lang w:val="en-US" w:eastAsia="zh-CN"/>
              </w:rPr>
              <w:t>2</w:t>
            </w:r>
            <w:r>
              <w:rPr>
                <w:rFonts w:hint="default" w:ascii="宋体" w:hAnsi="宋体" w:eastAsia="宋体" w:cs="Times New Roman"/>
                <w:b w:val="0"/>
                <w:bCs w:val="0"/>
                <w:i w:val="0"/>
                <w:iCs w:val="0"/>
                <w:color w:val="auto"/>
                <w:kern w:val="2"/>
                <w:sz w:val="20"/>
                <w:szCs w:val="20"/>
                <w:highlight w:val="none"/>
                <w:vertAlign w:val="baseline"/>
                <w:lang w:val="en-US" w:eastAsia="zh-CN" w:bidi="ar-SA"/>
              </w:rPr>
              <w:t>真菌 病毒</w:t>
            </w:r>
          </w:p>
        </w:tc>
        <w:tc>
          <w:tcPr>
            <w:tcW w:w="2690" w:type="dxa"/>
            <w:vAlign w:val="center"/>
          </w:tcPr>
          <w:p w14:paraId="F727CE37">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2663C727">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学：PBL、学生实验，教师辅导。</w:t>
            </w:r>
          </w:p>
        </w:tc>
        <w:tc>
          <w:tcPr>
            <w:tcW w:w="1697" w:type="dxa"/>
            <w:vAlign w:val="center"/>
          </w:tcPr>
          <w:p w14:paraId="7A362675">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p w14:paraId="61F0047B">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实验报告。</w:t>
            </w:r>
          </w:p>
        </w:tc>
        <w:tc>
          <w:tcPr>
            <w:tcW w:w="708" w:type="dxa"/>
            <w:vAlign w:val="center"/>
          </w:tcPr>
          <w:p w14:paraId="5C9138DB">
            <w:pPr>
              <w:widowControl w:val="0"/>
              <w:snapToGrid w:val="0"/>
              <w:jc w:val="center"/>
              <w:rPr>
                <w:rFonts w:ascii="Times New Roman" w:hAnsi="Times New Roman"/>
                <w:bCs/>
                <w:sz w:val="21"/>
                <w:szCs w:val="21"/>
              </w:rPr>
            </w:pPr>
            <w:r>
              <w:rPr>
                <w:rFonts w:ascii="Times New Roman" w:hAnsi="Times New Roman"/>
                <w:bCs/>
                <w:sz w:val="21"/>
                <w:szCs w:val="21"/>
                <w:lang w:val="en-US"/>
              </w:rPr>
              <w:t>4</w:t>
            </w:r>
          </w:p>
        </w:tc>
        <w:tc>
          <w:tcPr>
            <w:tcW w:w="653" w:type="dxa"/>
            <w:vAlign w:val="center"/>
          </w:tcPr>
          <w:p w14:paraId="C4C9BA9A">
            <w:pPr>
              <w:widowControl w:val="0"/>
              <w:snapToGrid w:val="0"/>
              <w:jc w:val="center"/>
              <w:rPr>
                <w:rFonts w:ascii="Times New Roman" w:hAnsi="Times New Roman"/>
                <w:bCs/>
                <w:sz w:val="21"/>
                <w:szCs w:val="21"/>
              </w:rPr>
            </w:pPr>
            <w:r>
              <w:rPr>
                <w:rFonts w:ascii="Times New Roman" w:hAnsi="Times New Roman"/>
                <w:bCs/>
                <w:sz w:val="21"/>
                <w:szCs w:val="21"/>
                <w:lang w:val="en-US"/>
              </w:rPr>
              <w:t>4</w:t>
            </w:r>
          </w:p>
        </w:tc>
        <w:tc>
          <w:tcPr>
            <w:tcW w:w="700" w:type="dxa"/>
            <w:tcBorders>
              <w:right w:val="single" w:color="auto" w:sz="12" w:space="0"/>
            </w:tcBorders>
            <w:vAlign w:val="center"/>
          </w:tcPr>
          <w:p w14:paraId="D83854A4">
            <w:pPr>
              <w:widowControl w:val="0"/>
              <w:snapToGrid w:val="0"/>
              <w:jc w:val="center"/>
              <w:rPr>
                <w:rFonts w:ascii="Times New Roman" w:hAnsi="Times New Roman"/>
                <w:bCs/>
                <w:sz w:val="21"/>
                <w:szCs w:val="21"/>
              </w:rPr>
            </w:pPr>
            <w:r>
              <w:rPr>
                <w:rFonts w:ascii="Times New Roman" w:hAnsi="Times New Roman"/>
                <w:bCs/>
                <w:sz w:val="21"/>
                <w:szCs w:val="21"/>
                <w:lang w:val="en-US"/>
              </w:rPr>
              <w:t>8</w:t>
            </w:r>
          </w:p>
        </w:tc>
      </w:tr>
      <w:tr w14:paraId="0066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C902860">
            <w:pPr>
              <w:widowControl w:val="0"/>
              <w:snapToGrid w:val="0"/>
              <w:jc w:val="left"/>
              <w:rPr>
                <w:rFonts w:ascii="Times New Roman" w:hAnsi="Times New Roman"/>
                <w:bCs/>
                <w:sz w:val="21"/>
                <w:szCs w:val="21"/>
              </w:rPr>
            </w:pPr>
            <w:r>
              <w:rPr>
                <w:rFonts w:hint="default" w:ascii="宋体" w:hAnsi="宋体" w:eastAsia="宋体" w:cs="宋体"/>
                <w:b w:val="0"/>
                <w:bCs w:val="0"/>
                <w:i w:val="0"/>
                <w:iCs w:val="0"/>
                <w:color w:val="auto"/>
                <w:sz w:val="24"/>
                <w:szCs w:val="24"/>
                <w:highlight w:val="none"/>
                <w:vertAlign w:val="baseline"/>
                <w:lang w:val="en-US" w:eastAsia="zh-CN"/>
              </w:rPr>
              <w:t>3</w:t>
            </w: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医学病毒、蠕虫</w:t>
            </w:r>
          </w:p>
        </w:tc>
        <w:tc>
          <w:tcPr>
            <w:tcW w:w="2690" w:type="dxa"/>
            <w:vAlign w:val="center"/>
          </w:tcPr>
          <w:p w14:paraId="35514787">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755004B6">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w:t>
            </w:r>
          </w:p>
        </w:tc>
        <w:tc>
          <w:tcPr>
            <w:tcW w:w="1697" w:type="dxa"/>
            <w:vAlign w:val="center"/>
          </w:tcPr>
          <w:p w14:paraId="27676876">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tc>
        <w:tc>
          <w:tcPr>
            <w:tcW w:w="708" w:type="dxa"/>
            <w:vAlign w:val="center"/>
          </w:tcPr>
          <w:p w14:paraId="5576C3F3">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c>
          <w:tcPr>
            <w:tcW w:w="653" w:type="dxa"/>
            <w:vAlign w:val="center"/>
          </w:tcPr>
          <w:p w14:paraId="FB65F910">
            <w:pPr>
              <w:widowControl w:val="0"/>
              <w:snapToGrid w:val="0"/>
              <w:jc w:val="center"/>
              <w:rPr>
                <w:rFonts w:ascii="Times New Roman" w:hAnsi="Times New Roman"/>
                <w:bCs/>
                <w:sz w:val="21"/>
                <w:szCs w:val="21"/>
              </w:rPr>
            </w:pPr>
            <w:r>
              <w:rPr>
                <w:rFonts w:ascii="Times New Roman" w:hAnsi="Times New Roman"/>
                <w:bCs/>
                <w:sz w:val="21"/>
                <w:szCs w:val="21"/>
                <w:lang w:val="en-US"/>
              </w:rPr>
              <w:t>0</w:t>
            </w:r>
          </w:p>
        </w:tc>
        <w:tc>
          <w:tcPr>
            <w:tcW w:w="700" w:type="dxa"/>
            <w:tcBorders>
              <w:right w:val="single" w:color="auto" w:sz="12" w:space="0"/>
            </w:tcBorders>
            <w:vAlign w:val="center"/>
          </w:tcPr>
          <w:p w14:paraId="A0E57763">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r>
      <w:tr w14:paraId="E1FD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9E7E0BF1">
            <w:pPr>
              <w:widowControl w:val="0"/>
              <w:snapToGrid w:val="0"/>
              <w:jc w:val="left"/>
              <w:rPr>
                <w:rFonts w:ascii="Times New Roman" w:hAnsi="Times New Roman"/>
                <w:bCs/>
                <w:sz w:val="21"/>
                <w:szCs w:val="21"/>
              </w:rPr>
            </w:pPr>
            <w:r>
              <w:rPr>
                <w:rFonts w:hint="default" w:ascii="宋体" w:hAnsi="宋体" w:eastAsia="宋体" w:cs="宋体"/>
                <w:b w:val="0"/>
                <w:bCs w:val="0"/>
                <w:i w:val="0"/>
                <w:iCs w:val="0"/>
                <w:color w:val="auto"/>
                <w:sz w:val="24"/>
                <w:szCs w:val="24"/>
                <w:highlight w:val="none"/>
                <w:vertAlign w:val="baseline"/>
                <w:lang w:val="en-US" w:eastAsia="zh-CN"/>
              </w:rPr>
              <w:t>4</w:t>
            </w: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医学原虫、节肢动物</w:t>
            </w:r>
          </w:p>
        </w:tc>
        <w:tc>
          <w:tcPr>
            <w:tcW w:w="2690" w:type="dxa"/>
            <w:vAlign w:val="center"/>
          </w:tcPr>
          <w:p w14:paraId="A937C999">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EF581E73">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学：PBL、学生实验，教师辅导。</w:t>
            </w:r>
          </w:p>
        </w:tc>
        <w:tc>
          <w:tcPr>
            <w:tcW w:w="1697" w:type="dxa"/>
            <w:vAlign w:val="center"/>
          </w:tcPr>
          <w:p w14:paraId="32CDDC5C">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p w14:paraId="DD313599">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实验报告。</w:t>
            </w:r>
          </w:p>
        </w:tc>
        <w:tc>
          <w:tcPr>
            <w:tcW w:w="708" w:type="dxa"/>
            <w:vAlign w:val="center"/>
          </w:tcPr>
          <w:p w14:paraId="0B0B46D2">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c>
          <w:tcPr>
            <w:tcW w:w="653" w:type="dxa"/>
            <w:vAlign w:val="center"/>
          </w:tcPr>
          <w:p w14:paraId="A24DFC48">
            <w:pPr>
              <w:widowControl w:val="0"/>
              <w:snapToGrid w:val="0"/>
              <w:jc w:val="center"/>
              <w:rPr>
                <w:rFonts w:ascii="Times New Roman" w:hAnsi="Times New Roman"/>
                <w:bCs/>
                <w:sz w:val="21"/>
                <w:szCs w:val="21"/>
              </w:rPr>
            </w:pPr>
            <w:r>
              <w:rPr>
                <w:rFonts w:ascii="Times New Roman" w:hAnsi="Times New Roman"/>
                <w:bCs/>
                <w:sz w:val="21"/>
                <w:szCs w:val="21"/>
                <w:lang w:val="en-US"/>
              </w:rPr>
              <w:t>4</w:t>
            </w:r>
          </w:p>
        </w:tc>
        <w:tc>
          <w:tcPr>
            <w:tcW w:w="700" w:type="dxa"/>
            <w:tcBorders>
              <w:right w:val="single" w:color="auto" w:sz="12" w:space="0"/>
            </w:tcBorders>
            <w:vAlign w:val="center"/>
          </w:tcPr>
          <w:p w14:paraId="144CA175">
            <w:pPr>
              <w:widowControl w:val="0"/>
              <w:snapToGrid w:val="0"/>
              <w:jc w:val="center"/>
              <w:rPr>
                <w:rFonts w:ascii="Times New Roman" w:hAnsi="Times New Roman"/>
                <w:bCs/>
                <w:sz w:val="21"/>
                <w:szCs w:val="21"/>
              </w:rPr>
            </w:pPr>
            <w:r>
              <w:rPr>
                <w:rFonts w:ascii="Times New Roman" w:hAnsi="Times New Roman"/>
                <w:bCs/>
                <w:sz w:val="21"/>
                <w:szCs w:val="21"/>
                <w:lang w:val="en-US"/>
              </w:rPr>
              <w:t>7</w:t>
            </w:r>
          </w:p>
        </w:tc>
      </w:tr>
      <w:tr w14:paraId="E64A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EE2DB09A">
            <w:pPr>
              <w:widowControl w:val="0"/>
              <w:snapToGrid w:val="0"/>
              <w:jc w:val="left"/>
              <w:rPr>
                <w:rFonts w:ascii="Times New Roman" w:hAnsi="Times New Roman"/>
                <w:bCs/>
                <w:sz w:val="21"/>
                <w:szCs w:val="21"/>
              </w:rPr>
            </w:pPr>
            <w:r>
              <w:rPr>
                <w:rFonts w:hint="default" w:ascii="Times New Roman" w:hAnsi="Times New Roman" w:eastAsia="宋体" w:cs="宋体"/>
                <w:b w:val="0"/>
                <w:bCs w:val="0"/>
                <w:i w:val="0"/>
                <w:iCs w:val="0"/>
                <w:color w:val="000000"/>
                <w:sz w:val="21"/>
                <w:szCs w:val="21"/>
                <w:highlight w:val="none"/>
                <w:vertAlign w:val="baseline"/>
                <w:lang w:val="en-US" w:eastAsia="zh-CN"/>
              </w:rPr>
              <w:t>5</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免疫与免疫系统、 抗原</w:t>
            </w:r>
          </w:p>
        </w:tc>
        <w:tc>
          <w:tcPr>
            <w:tcW w:w="2690" w:type="dxa"/>
            <w:vAlign w:val="center"/>
          </w:tcPr>
          <w:p w14:paraId="E47B2BE8">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9C486779">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w:t>
            </w:r>
          </w:p>
        </w:tc>
        <w:tc>
          <w:tcPr>
            <w:tcW w:w="1697" w:type="dxa"/>
            <w:vAlign w:val="center"/>
          </w:tcPr>
          <w:p w14:paraId="51BDB08F">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tc>
        <w:tc>
          <w:tcPr>
            <w:tcW w:w="708" w:type="dxa"/>
            <w:vAlign w:val="center"/>
          </w:tcPr>
          <w:p w14:paraId="A2B075A8">
            <w:pPr>
              <w:widowControl w:val="0"/>
              <w:snapToGrid w:val="0"/>
              <w:jc w:val="center"/>
              <w:rPr>
                <w:rFonts w:ascii="Times New Roman" w:hAnsi="Times New Roman"/>
                <w:bCs/>
                <w:sz w:val="21"/>
                <w:szCs w:val="21"/>
              </w:rPr>
            </w:pPr>
            <w:r>
              <w:rPr>
                <w:rFonts w:ascii="Times New Roman" w:hAnsi="Times New Roman"/>
                <w:bCs/>
                <w:sz w:val="21"/>
                <w:szCs w:val="21"/>
                <w:lang w:val="en-US"/>
              </w:rPr>
              <w:t>2</w:t>
            </w:r>
          </w:p>
        </w:tc>
        <w:tc>
          <w:tcPr>
            <w:tcW w:w="653" w:type="dxa"/>
            <w:vAlign w:val="center"/>
          </w:tcPr>
          <w:p w14:paraId="1F931837">
            <w:pPr>
              <w:widowControl w:val="0"/>
              <w:snapToGrid w:val="0"/>
              <w:jc w:val="center"/>
              <w:rPr>
                <w:rFonts w:ascii="Times New Roman" w:hAnsi="Times New Roman"/>
                <w:bCs/>
                <w:sz w:val="21"/>
                <w:szCs w:val="21"/>
              </w:rPr>
            </w:pPr>
            <w:r>
              <w:rPr>
                <w:rFonts w:ascii="Times New Roman" w:hAnsi="Times New Roman"/>
                <w:bCs/>
                <w:sz w:val="21"/>
                <w:szCs w:val="21"/>
                <w:lang w:val="en-US"/>
              </w:rPr>
              <w:t>0</w:t>
            </w:r>
          </w:p>
        </w:tc>
        <w:tc>
          <w:tcPr>
            <w:tcW w:w="700" w:type="dxa"/>
            <w:tcBorders>
              <w:right w:val="single" w:color="auto" w:sz="12" w:space="0"/>
            </w:tcBorders>
            <w:vAlign w:val="center"/>
          </w:tcPr>
          <w:p w14:paraId="29EFDFBC">
            <w:pPr>
              <w:widowControl w:val="0"/>
              <w:snapToGrid w:val="0"/>
              <w:jc w:val="center"/>
              <w:rPr>
                <w:rFonts w:ascii="Times New Roman" w:hAnsi="Times New Roman"/>
                <w:bCs/>
                <w:sz w:val="21"/>
                <w:szCs w:val="21"/>
              </w:rPr>
            </w:pPr>
            <w:r>
              <w:rPr>
                <w:rFonts w:ascii="Times New Roman" w:hAnsi="Times New Roman"/>
                <w:bCs/>
                <w:sz w:val="21"/>
                <w:szCs w:val="21"/>
                <w:lang w:val="en-US"/>
              </w:rPr>
              <w:t>2</w:t>
            </w:r>
          </w:p>
        </w:tc>
      </w:tr>
      <w:tr w14:paraId="9647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87FBA9E">
            <w:pPr>
              <w:widowControl w:val="0"/>
              <w:snapToGrid w:val="0"/>
              <w:jc w:val="left"/>
              <w:rPr>
                <w:rFonts w:ascii="Times New Roman" w:hAnsi="Times New Roman"/>
                <w:bCs/>
                <w:sz w:val="21"/>
                <w:szCs w:val="21"/>
              </w:rPr>
            </w:pPr>
            <w:r>
              <w:rPr>
                <w:rFonts w:hint="default" w:ascii="宋体" w:hAnsi="宋体" w:eastAsia="宋体" w:cs="宋体"/>
                <w:b w:val="0"/>
                <w:bCs w:val="0"/>
                <w:i w:val="0"/>
                <w:iCs w:val="0"/>
                <w:color w:val="auto"/>
                <w:sz w:val="24"/>
                <w:szCs w:val="24"/>
                <w:highlight w:val="none"/>
                <w:vertAlign w:val="baseline"/>
                <w:lang w:val="en-US" w:eastAsia="zh-CN"/>
              </w:rPr>
              <w:t>6</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免疫分子、主要组织相容性复合体</w:t>
            </w:r>
          </w:p>
        </w:tc>
        <w:tc>
          <w:tcPr>
            <w:tcW w:w="2690" w:type="dxa"/>
            <w:vAlign w:val="center"/>
          </w:tcPr>
          <w:p w14:paraId="7E8E4888">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9ED362BD">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w:t>
            </w:r>
          </w:p>
        </w:tc>
        <w:tc>
          <w:tcPr>
            <w:tcW w:w="1697" w:type="dxa"/>
            <w:vAlign w:val="center"/>
          </w:tcPr>
          <w:p w14:paraId="E592F41E">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tc>
        <w:tc>
          <w:tcPr>
            <w:tcW w:w="708" w:type="dxa"/>
            <w:vAlign w:val="center"/>
          </w:tcPr>
          <w:p w14:paraId="4124B06A">
            <w:pPr>
              <w:widowControl w:val="0"/>
              <w:snapToGrid w:val="0"/>
              <w:jc w:val="center"/>
              <w:rPr>
                <w:rFonts w:ascii="Times New Roman" w:hAnsi="Times New Roman"/>
                <w:bCs/>
                <w:sz w:val="21"/>
                <w:szCs w:val="21"/>
              </w:rPr>
            </w:pPr>
            <w:r>
              <w:rPr>
                <w:rFonts w:ascii="Times New Roman" w:hAnsi="Times New Roman"/>
                <w:bCs/>
                <w:sz w:val="21"/>
                <w:szCs w:val="21"/>
                <w:lang w:val="en-US"/>
              </w:rPr>
              <w:t>2</w:t>
            </w:r>
          </w:p>
        </w:tc>
        <w:tc>
          <w:tcPr>
            <w:tcW w:w="653" w:type="dxa"/>
            <w:vAlign w:val="center"/>
          </w:tcPr>
          <w:p w14:paraId="58E696E8">
            <w:pPr>
              <w:widowControl w:val="0"/>
              <w:snapToGrid w:val="0"/>
              <w:jc w:val="center"/>
              <w:rPr>
                <w:rFonts w:ascii="Times New Roman" w:hAnsi="Times New Roman"/>
                <w:bCs/>
                <w:sz w:val="21"/>
                <w:szCs w:val="21"/>
              </w:rPr>
            </w:pPr>
            <w:r>
              <w:rPr>
                <w:rFonts w:ascii="Times New Roman" w:hAnsi="Times New Roman"/>
                <w:bCs/>
                <w:sz w:val="21"/>
                <w:szCs w:val="21"/>
                <w:lang w:val="en-US"/>
              </w:rPr>
              <w:t>0</w:t>
            </w:r>
          </w:p>
        </w:tc>
        <w:tc>
          <w:tcPr>
            <w:tcW w:w="700" w:type="dxa"/>
            <w:tcBorders>
              <w:right w:val="single" w:color="auto" w:sz="12" w:space="0"/>
            </w:tcBorders>
            <w:vAlign w:val="center"/>
          </w:tcPr>
          <w:p w14:paraId="00C66B5B">
            <w:pPr>
              <w:widowControl w:val="0"/>
              <w:snapToGrid w:val="0"/>
              <w:jc w:val="center"/>
              <w:rPr>
                <w:rFonts w:ascii="Times New Roman" w:hAnsi="Times New Roman"/>
                <w:bCs/>
                <w:sz w:val="21"/>
                <w:szCs w:val="21"/>
              </w:rPr>
            </w:pPr>
            <w:r>
              <w:rPr>
                <w:rFonts w:ascii="Times New Roman" w:hAnsi="Times New Roman"/>
                <w:bCs/>
                <w:sz w:val="21"/>
                <w:szCs w:val="21"/>
                <w:lang w:val="en-US"/>
              </w:rPr>
              <w:t>2</w:t>
            </w:r>
          </w:p>
        </w:tc>
      </w:tr>
      <w:tr w14:paraId="7535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A9C3E06">
            <w:pPr>
              <w:widowControl w:val="0"/>
              <w:snapToGrid w:val="0"/>
              <w:jc w:val="left"/>
              <w:rPr>
                <w:rFonts w:ascii="Times New Roman" w:hAnsi="Times New Roman"/>
                <w:bCs/>
                <w:sz w:val="21"/>
                <w:szCs w:val="21"/>
              </w:rPr>
            </w:pPr>
            <w:r>
              <w:rPr>
                <w:rFonts w:hint="default" w:ascii="宋体" w:hAnsi="宋体" w:eastAsia="宋体" w:cs="宋体"/>
                <w:b w:val="0"/>
                <w:bCs w:val="0"/>
                <w:i w:val="0"/>
                <w:iCs w:val="0"/>
                <w:color w:val="auto"/>
                <w:sz w:val="24"/>
                <w:szCs w:val="24"/>
                <w:highlight w:val="none"/>
                <w:vertAlign w:val="baseline"/>
                <w:lang w:val="en-US" w:eastAsia="zh-CN"/>
              </w:rPr>
              <w:t>7</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免疫细胞、免疫应答</w:t>
            </w:r>
          </w:p>
        </w:tc>
        <w:tc>
          <w:tcPr>
            <w:tcW w:w="2690" w:type="dxa"/>
            <w:vAlign w:val="center"/>
          </w:tcPr>
          <w:p w14:paraId="7629D91E">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3EF73296">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w:t>
            </w:r>
          </w:p>
        </w:tc>
        <w:tc>
          <w:tcPr>
            <w:tcW w:w="1697" w:type="dxa"/>
            <w:vAlign w:val="center"/>
          </w:tcPr>
          <w:p w14:paraId="E74318D3">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tc>
        <w:tc>
          <w:tcPr>
            <w:tcW w:w="708" w:type="dxa"/>
            <w:vAlign w:val="center"/>
          </w:tcPr>
          <w:p w14:paraId="24E63090">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c>
          <w:tcPr>
            <w:tcW w:w="653" w:type="dxa"/>
            <w:vAlign w:val="center"/>
          </w:tcPr>
          <w:p w14:paraId="6B5DA811">
            <w:pPr>
              <w:widowControl w:val="0"/>
              <w:snapToGrid w:val="0"/>
              <w:jc w:val="center"/>
              <w:rPr>
                <w:rFonts w:ascii="Times New Roman" w:hAnsi="Times New Roman"/>
                <w:bCs/>
                <w:sz w:val="21"/>
                <w:szCs w:val="21"/>
              </w:rPr>
            </w:pPr>
            <w:r>
              <w:rPr>
                <w:rFonts w:ascii="Times New Roman" w:hAnsi="Times New Roman"/>
                <w:bCs/>
                <w:sz w:val="21"/>
                <w:szCs w:val="21"/>
                <w:lang w:val="en-US"/>
              </w:rPr>
              <w:t>0</w:t>
            </w:r>
          </w:p>
        </w:tc>
        <w:tc>
          <w:tcPr>
            <w:tcW w:w="700" w:type="dxa"/>
            <w:tcBorders>
              <w:right w:val="single" w:color="auto" w:sz="12" w:space="0"/>
            </w:tcBorders>
            <w:vAlign w:val="center"/>
          </w:tcPr>
          <w:p w14:paraId="A6754FA0">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r>
      <w:tr w14:paraId="7977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C7CCC13E">
            <w:pPr>
              <w:widowControl w:val="0"/>
              <w:snapToGrid w:val="0"/>
              <w:jc w:val="left"/>
              <w:rPr>
                <w:rFonts w:ascii="Times New Roman" w:hAnsi="Times New Roman"/>
                <w:bCs/>
                <w:sz w:val="21"/>
                <w:szCs w:val="21"/>
              </w:rPr>
            </w:pPr>
            <w:r>
              <w:rPr>
                <w:rFonts w:hint="default" w:ascii="Times New Roman" w:hAnsi="Times New Roman" w:eastAsia="宋体" w:cs="宋体"/>
                <w:b w:val="0"/>
                <w:bCs w:val="0"/>
                <w:i w:val="0"/>
                <w:iCs w:val="0"/>
                <w:color w:val="000000"/>
                <w:sz w:val="21"/>
                <w:szCs w:val="21"/>
                <w:highlight w:val="none"/>
                <w:vertAlign w:val="baseline"/>
                <w:lang w:val="en-US" w:eastAsia="zh-CN"/>
              </w:rPr>
              <w:t>8</w:t>
            </w:r>
            <w:r>
              <w:rPr>
                <w:rFonts w:hint="default" w:ascii="宋体" w:hAnsi="宋体" w:eastAsia="宋体" w:cs="Times New Roman"/>
                <w:b w:val="0"/>
                <w:bCs w:val="0"/>
                <w:i w:val="0"/>
                <w:iCs w:val="0"/>
                <w:color w:val="auto"/>
                <w:kern w:val="2"/>
                <w:sz w:val="20"/>
                <w:szCs w:val="20"/>
                <w:highlight w:val="none"/>
                <w:vertAlign w:val="baseline"/>
                <w:lang w:val="en-US" w:eastAsia="zh-CN" w:bidi="ar-SA"/>
              </w:rPr>
              <w:t>抗感染免疫、免疫调节和免疫耐受</w:t>
            </w:r>
          </w:p>
        </w:tc>
        <w:tc>
          <w:tcPr>
            <w:tcW w:w="2690" w:type="dxa"/>
            <w:vAlign w:val="center"/>
          </w:tcPr>
          <w:p w14:paraId="73A17686">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3BDE6E8E">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w:t>
            </w:r>
          </w:p>
        </w:tc>
        <w:tc>
          <w:tcPr>
            <w:tcW w:w="1697" w:type="dxa"/>
            <w:vAlign w:val="center"/>
          </w:tcPr>
          <w:p w14:paraId="CDA69432">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tc>
        <w:tc>
          <w:tcPr>
            <w:tcW w:w="708" w:type="dxa"/>
            <w:vAlign w:val="center"/>
          </w:tcPr>
          <w:p w14:paraId="1BCD1E16">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c>
          <w:tcPr>
            <w:tcW w:w="653" w:type="dxa"/>
            <w:vAlign w:val="center"/>
          </w:tcPr>
          <w:p w14:paraId="EB4C2635">
            <w:pPr>
              <w:widowControl w:val="0"/>
              <w:snapToGrid w:val="0"/>
              <w:jc w:val="center"/>
              <w:rPr>
                <w:rFonts w:ascii="Times New Roman" w:hAnsi="Times New Roman"/>
                <w:bCs/>
                <w:sz w:val="21"/>
                <w:szCs w:val="21"/>
              </w:rPr>
            </w:pPr>
            <w:r>
              <w:rPr>
                <w:rFonts w:ascii="Times New Roman" w:hAnsi="Times New Roman"/>
                <w:bCs/>
                <w:sz w:val="21"/>
                <w:szCs w:val="21"/>
                <w:lang w:val="en-US"/>
              </w:rPr>
              <w:t>0</w:t>
            </w:r>
          </w:p>
        </w:tc>
        <w:tc>
          <w:tcPr>
            <w:tcW w:w="700" w:type="dxa"/>
            <w:tcBorders>
              <w:right w:val="single" w:color="auto" w:sz="12" w:space="0"/>
            </w:tcBorders>
            <w:vAlign w:val="center"/>
          </w:tcPr>
          <w:p w14:paraId="ADC91843">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r>
      <w:tr w14:paraId="5CBC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96C689A7">
            <w:pPr>
              <w:widowControl w:val="0"/>
              <w:snapToGrid w:val="0"/>
              <w:jc w:val="left"/>
              <w:rPr>
                <w:rFonts w:ascii="Times New Roman" w:hAnsi="Times New Roman"/>
                <w:bCs/>
                <w:sz w:val="21"/>
                <w:szCs w:val="21"/>
              </w:rPr>
            </w:pPr>
            <w:r>
              <w:rPr>
                <w:rFonts w:hint="default" w:ascii="宋体" w:hAnsi="宋体" w:eastAsia="宋体" w:cs="宋体"/>
                <w:b w:val="0"/>
                <w:bCs w:val="0"/>
                <w:i w:val="0"/>
                <w:iCs w:val="0"/>
                <w:color w:val="auto"/>
                <w:sz w:val="24"/>
                <w:szCs w:val="24"/>
                <w:highlight w:val="none"/>
                <w:vertAlign w:val="baseline"/>
                <w:lang w:val="en-US" w:eastAsia="zh-CN"/>
              </w:rPr>
              <w:t>9</w:t>
            </w:r>
            <w:r>
              <w:rPr>
                <w:rFonts w:hint="default" w:ascii="宋体" w:hAnsi="宋体" w:eastAsia="宋体" w:cs="Times New Roman"/>
                <w:b w:val="0"/>
                <w:bCs w:val="0"/>
                <w:i w:val="0"/>
                <w:iCs w:val="0"/>
                <w:color w:val="auto"/>
                <w:kern w:val="2"/>
                <w:sz w:val="20"/>
                <w:szCs w:val="20"/>
                <w:highlight w:val="none"/>
                <w:vertAlign w:val="baseline"/>
                <w:lang w:val="en-US" w:eastAsia="zh-CN" w:bidi="ar-SA"/>
              </w:rPr>
              <w:t>组织细胞的适应和损伤、血液循环障碍</w:t>
            </w:r>
          </w:p>
        </w:tc>
        <w:tc>
          <w:tcPr>
            <w:tcW w:w="2690" w:type="dxa"/>
            <w:vAlign w:val="center"/>
          </w:tcPr>
          <w:p w14:paraId="0358324B">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F41932B0">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w:t>
            </w:r>
          </w:p>
        </w:tc>
        <w:tc>
          <w:tcPr>
            <w:tcW w:w="1697" w:type="dxa"/>
            <w:vAlign w:val="center"/>
          </w:tcPr>
          <w:p w14:paraId="28621A08">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tc>
        <w:tc>
          <w:tcPr>
            <w:tcW w:w="708" w:type="dxa"/>
            <w:vAlign w:val="center"/>
          </w:tcPr>
          <w:p w14:paraId="6E645E4C">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c>
          <w:tcPr>
            <w:tcW w:w="653" w:type="dxa"/>
            <w:vAlign w:val="center"/>
          </w:tcPr>
          <w:p w14:paraId="4EFE73E8">
            <w:pPr>
              <w:widowControl w:val="0"/>
              <w:snapToGrid w:val="0"/>
              <w:jc w:val="center"/>
              <w:rPr>
                <w:rFonts w:ascii="Times New Roman" w:hAnsi="Times New Roman"/>
                <w:bCs/>
                <w:sz w:val="21"/>
                <w:szCs w:val="21"/>
              </w:rPr>
            </w:pPr>
            <w:r>
              <w:rPr>
                <w:rFonts w:ascii="Times New Roman" w:hAnsi="Times New Roman"/>
                <w:bCs/>
                <w:sz w:val="21"/>
                <w:szCs w:val="21"/>
                <w:lang w:val="en-US"/>
              </w:rPr>
              <w:t>0</w:t>
            </w:r>
          </w:p>
        </w:tc>
        <w:tc>
          <w:tcPr>
            <w:tcW w:w="700" w:type="dxa"/>
            <w:tcBorders>
              <w:right w:val="single" w:color="auto" w:sz="12" w:space="0"/>
            </w:tcBorders>
            <w:vAlign w:val="center"/>
          </w:tcPr>
          <w:p w14:paraId="EA448A96">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r>
      <w:tr w14:paraId="89ED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9D37A3C5">
            <w:pPr>
              <w:widowControl w:val="0"/>
              <w:snapToGrid w:val="0"/>
              <w:jc w:val="left"/>
              <w:rPr>
                <w:rFonts w:ascii="Times New Roman" w:hAnsi="Times New Roman"/>
                <w:bCs/>
                <w:sz w:val="21"/>
                <w:szCs w:val="21"/>
              </w:rPr>
            </w:pPr>
            <w:r>
              <w:rPr>
                <w:rFonts w:hint="default" w:ascii="Times New Roman" w:hAnsi="Times New Roman" w:eastAsia="宋体" w:cs="宋体"/>
                <w:b w:val="0"/>
                <w:bCs w:val="0"/>
                <w:i w:val="0"/>
                <w:iCs w:val="0"/>
                <w:color w:val="000000"/>
                <w:sz w:val="21"/>
                <w:szCs w:val="21"/>
                <w:highlight w:val="none"/>
                <w:vertAlign w:val="baseline"/>
                <w:lang w:val="en-US" w:eastAsia="zh-CN"/>
              </w:rPr>
              <w:t>10</w:t>
            </w:r>
            <w:r>
              <w:rPr>
                <w:rFonts w:hint="default" w:ascii="宋体" w:hAnsi="宋体" w:eastAsia="宋体" w:cs="Times New Roman"/>
                <w:b w:val="0"/>
                <w:bCs w:val="0"/>
                <w:i w:val="0"/>
                <w:iCs w:val="0"/>
                <w:color w:val="auto"/>
                <w:kern w:val="2"/>
                <w:sz w:val="20"/>
                <w:szCs w:val="20"/>
                <w:highlight w:val="none"/>
                <w:vertAlign w:val="baseline"/>
                <w:lang w:val="en-US" w:eastAsia="zh-CN" w:bidi="ar-SA"/>
              </w:rPr>
              <w:t>炎症与发热，水、 电解质代谢紊乱与酸碱平衡紊乱</w:t>
            </w:r>
          </w:p>
        </w:tc>
        <w:tc>
          <w:tcPr>
            <w:tcW w:w="2690" w:type="dxa"/>
            <w:vAlign w:val="center"/>
          </w:tcPr>
          <w:p w14:paraId="575F32AE">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175311B2">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学：PBL、学生实验，教师辅导。</w:t>
            </w:r>
          </w:p>
        </w:tc>
        <w:tc>
          <w:tcPr>
            <w:tcW w:w="1697" w:type="dxa"/>
            <w:vAlign w:val="center"/>
          </w:tcPr>
          <w:p w14:paraId="62D45F4D">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p w14:paraId="54312674">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实验报告。</w:t>
            </w:r>
          </w:p>
        </w:tc>
        <w:tc>
          <w:tcPr>
            <w:tcW w:w="708" w:type="dxa"/>
            <w:vAlign w:val="center"/>
          </w:tcPr>
          <w:p w14:paraId="72D7930D">
            <w:pPr>
              <w:widowControl w:val="0"/>
              <w:snapToGrid w:val="0"/>
              <w:jc w:val="center"/>
              <w:rPr>
                <w:rFonts w:ascii="Times New Roman" w:hAnsi="Times New Roman"/>
                <w:bCs/>
                <w:sz w:val="21"/>
                <w:szCs w:val="21"/>
              </w:rPr>
            </w:pPr>
            <w:r>
              <w:rPr>
                <w:rFonts w:ascii="Times New Roman" w:hAnsi="Times New Roman"/>
                <w:bCs/>
                <w:sz w:val="21"/>
                <w:szCs w:val="21"/>
                <w:lang w:val="en-US"/>
              </w:rPr>
              <w:t>3</w:t>
            </w:r>
          </w:p>
        </w:tc>
        <w:tc>
          <w:tcPr>
            <w:tcW w:w="653" w:type="dxa"/>
            <w:vAlign w:val="center"/>
          </w:tcPr>
          <w:p w14:paraId="2C4C1ED0">
            <w:pPr>
              <w:widowControl w:val="0"/>
              <w:snapToGrid w:val="0"/>
              <w:jc w:val="center"/>
              <w:rPr>
                <w:rFonts w:ascii="Times New Roman" w:hAnsi="Times New Roman"/>
                <w:bCs/>
                <w:sz w:val="21"/>
                <w:szCs w:val="21"/>
              </w:rPr>
            </w:pPr>
            <w:r>
              <w:rPr>
                <w:rFonts w:ascii="Times New Roman" w:hAnsi="Times New Roman"/>
                <w:bCs/>
                <w:sz w:val="21"/>
                <w:szCs w:val="21"/>
                <w:lang w:val="en-US"/>
              </w:rPr>
              <w:t>1</w:t>
            </w:r>
          </w:p>
        </w:tc>
        <w:tc>
          <w:tcPr>
            <w:tcW w:w="700" w:type="dxa"/>
            <w:tcBorders>
              <w:right w:val="single" w:color="auto" w:sz="12" w:space="0"/>
            </w:tcBorders>
            <w:vAlign w:val="center"/>
          </w:tcPr>
          <w:p w14:paraId="6670AB02">
            <w:pPr>
              <w:widowControl w:val="0"/>
              <w:snapToGrid w:val="0"/>
              <w:jc w:val="center"/>
              <w:rPr>
                <w:rFonts w:ascii="Times New Roman" w:hAnsi="Times New Roman"/>
                <w:bCs/>
                <w:sz w:val="21"/>
                <w:szCs w:val="21"/>
              </w:rPr>
            </w:pPr>
            <w:r>
              <w:rPr>
                <w:rFonts w:ascii="Times New Roman" w:hAnsi="Times New Roman"/>
                <w:bCs/>
                <w:sz w:val="21"/>
                <w:szCs w:val="21"/>
                <w:lang w:val="en-US"/>
              </w:rPr>
              <w:t>4</w:t>
            </w:r>
          </w:p>
        </w:tc>
      </w:tr>
      <w:tr w14:paraId="466A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52600FA">
            <w:pPr>
              <w:widowControl w:val="0"/>
              <w:snapToGrid w:val="0"/>
              <w:jc w:val="left"/>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11缺氧</w:t>
            </w:r>
          </w:p>
        </w:tc>
        <w:tc>
          <w:tcPr>
            <w:tcW w:w="2690" w:type="dxa"/>
            <w:vAlign w:val="center"/>
          </w:tcPr>
          <w:p w14:paraId="40ED948C">
            <w:pPr>
              <w:widowControl w:val="0"/>
              <w:snapToGrid w:val="0"/>
              <w:spacing w:line="240" w:lineRule="auto"/>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150E6FFF">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学：PBL</w:t>
            </w:r>
          </w:p>
        </w:tc>
        <w:tc>
          <w:tcPr>
            <w:tcW w:w="1697" w:type="dxa"/>
            <w:vAlign w:val="center"/>
          </w:tcPr>
          <w:p w14:paraId="9DDA9459">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tc>
        <w:tc>
          <w:tcPr>
            <w:tcW w:w="708" w:type="dxa"/>
            <w:vAlign w:val="center"/>
          </w:tcPr>
          <w:p w14:paraId="E4C8D422">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3</w:t>
            </w:r>
          </w:p>
        </w:tc>
        <w:tc>
          <w:tcPr>
            <w:tcW w:w="653" w:type="dxa"/>
            <w:vAlign w:val="center"/>
          </w:tcPr>
          <w:p w14:paraId="4EE97377">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0</w:t>
            </w:r>
          </w:p>
        </w:tc>
        <w:tc>
          <w:tcPr>
            <w:tcW w:w="700" w:type="dxa"/>
            <w:tcBorders>
              <w:right w:val="single" w:color="auto" w:sz="12" w:space="0"/>
            </w:tcBorders>
            <w:vAlign w:val="center"/>
          </w:tcPr>
          <w:p w14:paraId="28D5C5C6">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3</w:t>
            </w:r>
          </w:p>
        </w:tc>
      </w:tr>
      <w:tr w14:paraId="6BA2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5164342">
            <w:pPr>
              <w:widowControl w:val="0"/>
              <w:snapToGrid w:val="0"/>
              <w:jc w:val="left"/>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12肿瘤</w:t>
            </w:r>
          </w:p>
        </w:tc>
        <w:tc>
          <w:tcPr>
            <w:tcW w:w="2690" w:type="dxa"/>
            <w:vAlign w:val="center"/>
          </w:tcPr>
          <w:p w14:paraId="B37DAA44">
            <w:pPr>
              <w:widowControl w:val="0"/>
              <w:snapToGrid w:val="0"/>
              <w:spacing w:line="240" w:lineRule="auto"/>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951C3A24">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学：PBL、学生实验，教师辅导。</w:t>
            </w:r>
          </w:p>
        </w:tc>
        <w:tc>
          <w:tcPr>
            <w:tcW w:w="1697" w:type="dxa"/>
            <w:vAlign w:val="center"/>
          </w:tcPr>
          <w:p w14:paraId="BEE8EE19">
            <w:pPr>
              <w:widowControl w:val="0"/>
              <w:snapToGrid w:val="0"/>
              <w:spacing w:line="240" w:lineRule="auto"/>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p w14:paraId="3BADA9A1">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实验报告。</w:t>
            </w:r>
          </w:p>
        </w:tc>
        <w:tc>
          <w:tcPr>
            <w:tcW w:w="708" w:type="dxa"/>
            <w:vAlign w:val="center"/>
          </w:tcPr>
          <w:p w14:paraId="3FB41433">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4</w:t>
            </w:r>
          </w:p>
        </w:tc>
        <w:tc>
          <w:tcPr>
            <w:tcW w:w="653" w:type="dxa"/>
            <w:vAlign w:val="center"/>
          </w:tcPr>
          <w:p w14:paraId="9CB510F6">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2</w:t>
            </w:r>
          </w:p>
        </w:tc>
        <w:tc>
          <w:tcPr>
            <w:tcW w:w="700" w:type="dxa"/>
            <w:tcBorders>
              <w:right w:val="single" w:color="auto" w:sz="12" w:space="0"/>
            </w:tcBorders>
            <w:vAlign w:val="center"/>
          </w:tcPr>
          <w:p w14:paraId="35CCD6C4">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6</w:t>
            </w:r>
          </w:p>
        </w:tc>
      </w:tr>
      <w:tr w14:paraId="787F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A9CEEDBF">
            <w:pPr>
              <w:widowControl w:val="0"/>
              <w:snapToGrid w:val="0"/>
              <w:jc w:val="left"/>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宋体" w:hAnsi="宋体" w:eastAsia="宋体" w:cs="宋体"/>
                <w:b w:val="0"/>
                <w:bCs w:val="0"/>
                <w:i w:val="0"/>
                <w:iCs w:val="0"/>
                <w:color w:val="auto"/>
                <w:sz w:val="24"/>
                <w:szCs w:val="24"/>
                <w:highlight w:val="none"/>
                <w:vertAlign w:val="baseline"/>
                <w:lang w:val="en-US" w:eastAsia="zh-CN"/>
              </w:rPr>
              <w:t>13</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免疫系统疾病、呼吸系统疾病</w:t>
            </w:r>
          </w:p>
        </w:tc>
        <w:tc>
          <w:tcPr>
            <w:tcW w:w="2690" w:type="dxa"/>
            <w:vAlign w:val="center"/>
          </w:tcPr>
          <w:p w14:paraId="A3FFD9B4">
            <w:pPr>
              <w:widowControl w:val="0"/>
              <w:snapToGrid w:val="0"/>
              <w:spacing w:line="240" w:lineRule="auto"/>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92A4A514">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学：PBL、学生实验，教师辅导。</w:t>
            </w:r>
          </w:p>
        </w:tc>
        <w:tc>
          <w:tcPr>
            <w:tcW w:w="1697" w:type="dxa"/>
            <w:vAlign w:val="center"/>
          </w:tcPr>
          <w:p w14:paraId="97C6ABA9">
            <w:pPr>
              <w:widowControl w:val="0"/>
              <w:snapToGrid w:val="0"/>
              <w:spacing w:line="240" w:lineRule="auto"/>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p w14:paraId="CA6B9594">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auto"/>
                <w:sz w:val="21"/>
                <w:szCs w:val="21"/>
                <w:highlight w:val="none"/>
                <w:vertAlign w:val="baseline"/>
                <w:lang w:val="en-US" w:eastAsia="zh-CN"/>
              </w:rPr>
              <w:t>实验报告。</w:t>
            </w:r>
          </w:p>
        </w:tc>
        <w:tc>
          <w:tcPr>
            <w:tcW w:w="708" w:type="dxa"/>
            <w:vAlign w:val="center"/>
          </w:tcPr>
          <w:p w14:paraId="FAC017AF">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3</w:t>
            </w:r>
          </w:p>
        </w:tc>
        <w:tc>
          <w:tcPr>
            <w:tcW w:w="653" w:type="dxa"/>
            <w:vAlign w:val="center"/>
          </w:tcPr>
          <w:p w14:paraId="3318A59D">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1</w:t>
            </w:r>
          </w:p>
        </w:tc>
        <w:tc>
          <w:tcPr>
            <w:tcW w:w="700" w:type="dxa"/>
            <w:tcBorders>
              <w:right w:val="single" w:color="auto" w:sz="12" w:space="0"/>
            </w:tcBorders>
            <w:vAlign w:val="center"/>
          </w:tcPr>
          <w:p w14:paraId="9F276B70">
            <w:pPr>
              <w:widowControl w:val="0"/>
              <w:snapToGrid w:val="0"/>
              <w:jc w:val="center"/>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4</w:t>
            </w:r>
          </w:p>
        </w:tc>
      </w:tr>
      <w:tr w14:paraId="4F6F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DBDFB828">
            <w:pPr>
              <w:widowControl w:val="0"/>
              <w:snapToGrid w:val="0"/>
              <w:jc w:val="left"/>
              <w:rPr>
                <w:rFonts w:ascii="Times New Roman" w:hAnsi="Times New Roman"/>
                <w:bCs/>
                <w:sz w:val="21"/>
                <w:szCs w:val="21"/>
              </w:rPr>
            </w:pPr>
            <w:r>
              <w:rPr>
                <w:rFonts w:hint="default" w:ascii="宋体" w:hAnsi="宋体" w:eastAsia="宋体" w:cs="宋体"/>
                <w:b w:val="0"/>
                <w:bCs w:val="0"/>
                <w:i w:val="0"/>
                <w:iCs w:val="0"/>
                <w:color w:val="auto"/>
                <w:sz w:val="24"/>
                <w:szCs w:val="24"/>
                <w:highlight w:val="none"/>
                <w:vertAlign w:val="baseline"/>
                <w:lang w:val="en-US" w:eastAsia="zh-CN"/>
              </w:rPr>
              <w:t>14</w:t>
            </w:r>
            <w:r>
              <w:rPr>
                <w:rFonts w:hint="default" w:ascii="宋体" w:hAnsi="宋体" w:eastAsia="宋体" w:cs="Times New Roman"/>
                <w:b w:val="0"/>
                <w:bCs w:val="0"/>
                <w:i w:val="0"/>
                <w:iCs w:val="0"/>
                <w:color w:val="auto"/>
                <w:kern w:val="2"/>
                <w:sz w:val="20"/>
                <w:szCs w:val="20"/>
                <w:highlight w:val="none"/>
                <w:vertAlign w:val="baseline"/>
                <w:lang w:val="en-US" w:eastAsia="zh-CN" w:bidi="ar-SA"/>
              </w:rPr>
              <w:t>循环系统疾病、消化系统疾病</w:t>
            </w:r>
          </w:p>
        </w:tc>
        <w:tc>
          <w:tcPr>
            <w:tcW w:w="2690" w:type="dxa"/>
            <w:vAlign w:val="center"/>
          </w:tcPr>
          <w:p w14:paraId="29D5D664">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13F0B619">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w:t>
            </w:r>
          </w:p>
        </w:tc>
        <w:tc>
          <w:tcPr>
            <w:tcW w:w="1697" w:type="dxa"/>
            <w:vAlign w:val="center"/>
          </w:tcPr>
          <w:p w14:paraId="4964D18E">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纸笔测试</w:t>
            </w:r>
          </w:p>
        </w:tc>
        <w:tc>
          <w:tcPr>
            <w:tcW w:w="708" w:type="dxa"/>
            <w:vAlign w:val="center"/>
          </w:tcPr>
          <w:p w14:paraId="301DFF30">
            <w:pPr>
              <w:widowControl w:val="0"/>
              <w:snapToGrid w:val="0"/>
              <w:jc w:val="center"/>
              <w:rPr>
                <w:rFonts w:ascii="Times New Roman" w:hAnsi="Times New Roman"/>
                <w:bCs/>
                <w:sz w:val="21"/>
                <w:szCs w:val="21"/>
              </w:rPr>
            </w:pPr>
            <w:r>
              <w:rPr>
                <w:rFonts w:ascii="Times New Roman" w:hAnsi="Times New Roman"/>
                <w:bCs/>
                <w:sz w:val="21"/>
                <w:szCs w:val="21"/>
                <w:lang w:val="en-US"/>
              </w:rPr>
              <w:t>4</w:t>
            </w:r>
          </w:p>
        </w:tc>
        <w:tc>
          <w:tcPr>
            <w:tcW w:w="653" w:type="dxa"/>
            <w:vAlign w:val="center"/>
          </w:tcPr>
          <w:p w14:paraId="E312D99D">
            <w:pPr>
              <w:widowControl w:val="0"/>
              <w:snapToGrid w:val="0"/>
              <w:jc w:val="center"/>
              <w:rPr>
                <w:rFonts w:ascii="Times New Roman" w:hAnsi="Times New Roman"/>
                <w:bCs/>
                <w:sz w:val="21"/>
                <w:szCs w:val="21"/>
              </w:rPr>
            </w:pPr>
            <w:r>
              <w:rPr>
                <w:rFonts w:ascii="Times New Roman" w:hAnsi="Times New Roman"/>
                <w:bCs/>
                <w:sz w:val="21"/>
                <w:szCs w:val="21"/>
                <w:lang w:val="en-US"/>
              </w:rPr>
              <w:t>0</w:t>
            </w:r>
          </w:p>
        </w:tc>
        <w:tc>
          <w:tcPr>
            <w:tcW w:w="700" w:type="dxa"/>
            <w:tcBorders>
              <w:right w:val="single" w:color="auto" w:sz="12" w:space="0"/>
            </w:tcBorders>
            <w:vAlign w:val="center"/>
          </w:tcPr>
          <w:p w14:paraId="4A6FC5FE">
            <w:pPr>
              <w:widowControl w:val="0"/>
              <w:snapToGrid w:val="0"/>
              <w:jc w:val="center"/>
              <w:rPr>
                <w:rFonts w:ascii="Times New Roman" w:hAnsi="Times New Roman"/>
                <w:bCs/>
                <w:sz w:val="21"/>
                <w:szCs w:val="21"/>
              </w:rPr>
            </w:pPr>
            <w:r>
              <w:rPr>
                <w:rFonts w:ascii="Times New Roman" w:hAnsi="Times New Roman"/>
                <w:bCs/>
                <w:sz w:val="21"/>
                <w:szCs w:val="21"/>
                <w:lang w:val="en-US"/>
              </w:rPr>
              <w:t>4</w:t>
            </w:r>
          </w:p>
        </w:tc>
      </w:tr>
      <w:tr w14:paraId="0EEE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AAFE3CE8">
            <w:pPr>
              <w:widowControl w:val="0"/>
              <w:snapToGrid w:val="0"/>
              <w:spacing w:line="320" w:lineRule="exact"/>
              <w:jc w:val="left"/>
              <w:rPr>
                <w:rFonts w:ascii="Times New Roman" w:hAnsi="Times New Roman"/>
                <w:bCs/>
                <w:sz w:val="21"/>
                <w:szCs w:val="21"/>
              </w:rPr>
            </w:pPr>
            <w:r>
              <w:rPr>
                <w:rFonts w:hint="default" w:ascii="宋体" w:hAnsi="宋体" w:eastAsia="宋体" w:cs="宋体"/>
                <w:b w:val="0"/>
                <w:bCs w:val="0"/>
                <w:i w:val="0"/>
                <w:iCs w:val="0"/>
                <w:color w:val="auto"/>
                <w:sz w:val="24"/>
                <w:szCs w:val="24"/>
                <w:highlight w:val="none"/>
                <w:vertAlign w:val="baseline"/>
                <w:lang w:val="en-US" w:eastAsia="zh-CN"/>
              </w:rPr>
              <w:t>15</w:t>
            </w:r>
            <w:r>
              <w:rPr>
                <w:rFonts w:hint="default" w:ascii="宋体" w:hAnsi="宋体" w:eastAsia="宋体" w:cs="Times New Roman"/>
                <w:b w:val="0"/>
                <w:bCs w:val="0"/>
                <w:i w:val="0"/>
                <w:iCs w:val="0"/>
                <w:color w:val="auto"/>
                <w:kern w:val="2"/>
                <w:sz w:val="20"/>
                <w:szCs w:val="20"/>
                <w:highlight w:val="none"/>
                <w:vertAlign w:val="baseline"/>
                <w:lang w:val="en-US" w:eastAsia="zh-CN" w:bidi="ar-SA"/>
              </w:rPr>
              <w:t>泌尿系统疾病</w:t>
            </w:r>
          </w:p>
          <w:p w14:paraId="F8608EF1">
            <w:pPr>
              <w:widowControl w:val="0"/>
              <w:snapToGrid w:val="0"/>
              <w:jc w:val="left"/>
              <w:rPr>
                <w:rFonts w:ascii="Times New Roman" w:hAnsi="Times New Roman"/>
                <w:bCs/>
                <w:sz w:val="21"/>
                <w:szCs w:val="21"/>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内分泌系统疾病</w:t>
            </w:r>
          </w:p>
        </w:tc>
        <w:tc>
          <w:tcPr>
            <w:tcW w:w="2690" w:type="dxa"/>
            <w:vAlign w:val="center"/>
          </w:tcPr>
          <w:p w14:paraId="0B871571">
            <w:pPr>
              <w:widowControl w:val="0"/>
              <w:snapToGrid w:val="0"/>
              <w:spacing w:line="240" w:lineRule="auto"/>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教：理论讲授，案例分析、多媒体教学法。</w:t>
            </w:r>
          </w:p>
          <w:p w14:paraId="683FC79A">
            <w:pPr>
              <w:widowControl w:val="0"/>
              <w:snapToGrid w:val="0"/>
              <w:jc w:val="center"/>
              <w:rPr>
                <w:rFonts w:ascii="Times New Roman" w:hAnsi="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学：PBL</w:t>
            </w:r>
          </w:p>
        </w:tc>
        <w:tc>
          <w:tcPr>
            <w:tcW w:w="1697" w:type="dxa"/>
            <w:vAlign w:val="center"/>
          </w:tcPr>
          <w:p w14:paraId="BE158447">
            <w:pPr>
              <w:widowControl w:val="0"/>
              <w:snapToGrid w:val="0"/>
              <w:jc w:val="center"/>
              <w:rPr>
                <w:rFonts w:ascii="Times New Roman" w:hAnsi="Times New Roman"/>
                <w:bCs/>
                <w:sz w:val="21"/>
                <w:szCs w:val="21"/>
              </w:rPr>
            </w:pPr>
            <w:r>
              <w:rPr>
                <w:rFonts w:ascii="Times New Roman" w:hAnsi="Times New Roman"/>
                <w:bCs/>
                <w:sz w:val="21"/>
                <w:szCs w:val="21"/>
                <w:lang w:val="en-US"/>
              </w:rPr>
              <w:t>纸笔测试</w:t>
            </w:r>
          </w:p>
        </w:tc>
        <w:tc>
          <w:tcPr>
            <w:tcW w:w="708" w:type="dxa"/>
            <w:vAlign w:val="center"/>
          </w:tcPr>
          <w:p w14:paraId="849DB8E4">
            <w:pPr>
              <w:widowControl w:val="0"/>
              <w:snapToGrid w:val="0"/>
              <w:jc w:val="center"/>
              <w:rPr>
                <w:rFonts w:ascii="Times New Roman" w:hAnsi="Times New Roman"/>
                <w:bCs/>
                <w:sz w:val="21"/>
                <w:szCs w:val="21"/>
              </w:rPr>
            </w:pPr>
            <w:r>
              <w:rPr>
                <w:rFonts w:ascii="Times New Roman" w:hAnsi="Times New Roman"/>
                <w:bCs/>
                <w:sz w:val="21"/>
                <w:szCs w:val="21"/>
                <w:lang w:val="en-US"/>
              </w:rPr>
              <w:t>4</w:t>
            </w:r>
          </w:p>
        </w:tc>
        <w:tc>
          <w:tcPr>
            <w:tcW w:w="653" w:type="dxa"/>
            <w:vAlign w:val="center"/>
          </w:tcPr>
          <w:p w14:paraId="245CE653">
            <w:pPr>
              <w:widowControl w:val="0"/>
              <w:snapToGrid w:val="0"/>
              <w:jc w:val="center"/>
              <w:rPr>
                <w:rFonts w:ascii="Times New Roman" w:hAnsi="Times New Roman"/>
                <w:bCs/>
                <w:sz w:val="21"/>
                <w:szCs w:val="21"/>
              </w:rPr>
            </w:pPr>
            <w:r>
              <w:rPr>
                <w:rFonts w:ascii="Times New Roman" w:hAnsi="Times New Roman"/>
                <w:bCs/>
                <w:sz w:val="21"/>
                <w:szCs w:val="21"/>
                <w:lang w:val="en-US"/>
              </w:rPr>
              <w:t>0</w:t>
            </w:r>
          </w:p>
        </w:tc>
        <w:tc>
          <w:tcPr>
            <w:tcW w:w="700" w:type="dxa"/>
            <w:tcBorders>
              <w:right w:val="single" w:color="auto" w:sz="12" w:space="0"/>
            </w:tcBorders>
            <w:vAlign w:val="center"/>
          </w:tcPr>
          <w:p w14:paraId="15FE6AED">
            <w:pPr>
              <w:widowControl w:val="0"/>
              <w:snapToGrid w:val="0"/>
              <w:jc w:val="center"/>
              <w:rPr>
                <w:rFonts w:ascii="Times New Roman" w:hAnsi="Times New Roman"/>
                <w:bCs/>
                <w:sz w:val="21"/>
                <w:szCs w:val="21"/>
              </w:rPr>
            </w:pPr>
            <w:r>
              <w:rPr>
                <w:rFonts w:ascii="Times New Roman" w:hAnsi="Times New Roman"/>
                <w:bCs/>
                <w:sz w:val="21"/>
                <w:szCs w:val="21"/>
                <w:lang w:val="en-US"/>
              </w:rPr>
              <w:t>4</w:t>
            </w:r>
          </w:p>
        </w:tc>
      </w:tr>
      <w:tr w14:paraId="2017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D5C37CA">
            <w:pPr>
              <w:pStyle w:val="23"/>
              <w:widowControl w:val="0"/>
            </w:pPr>
            <w:r>
              <w:rPr>
                <w:rFonts w:hint="eastAsia"/>
              </w:rPr>
              <w:t>合计</w:t>
            </w:r>
          </w:p>
        </w:tc>
        <w:tc>
          <w:tcPr>
            <w:tcW w:w="708" w:type="dxa"/>
            <w:tcBorders>
              <w:bottom w:val="single" w:color="auto" w:sz="12" w:space="0"/>
            </w:tcBorders>
            <w:vAlign w:val="center"/>
          </w:tcPr>
          <w:p w14:paraId="9B978CAA">
            <w:pPr>
              <w:widowControl w:val="0"/>
              <w:snapToGrid w:val="0"/>
              <w:jc w:val="center"/>
              <w:rPr>
                <w:rFonts w:ascii="Times New Roman" w:hAnsi="Times New Roman"/>
                <w:bCs/>
                <w:sz w:val="21"/>
                <w:szCs w:val="21"/>
              </w:rPr>
            </w:pPr>
            <w:r>
              <w:rPr>
                <w:rFonts w:ascii="Times New Roman" w:hAnsi="Times New Roman"/>
                <w:bCs/>
                <w:sz w:val="21"/>
                <w:szCs w:val="21"/>
                <w:lang w:val="en-US"/>
              </w:rPr>
              <w:t>48</w:t>
            </w:r>
          </w:p>
        </w:tc>
        <w:tc>
          <w:tcPr>
            <w:tcW w:w="653" w:type="dxa"/>
            <w:tcBorders>
              <w:bottom w:val="single" w:color="auto" w:sz="12" w:space="0"/>
            </w:tcBorders>
            <w:vAlign w:val="center"/>
          </w:tcPr>
          <w:p w14:paraId="23191606">
            <w:pPr>
              <w:widowControl w:val="0"/>
              <w:snapToGrid w:val="0"/>
              <w:jc w:val="center"/>
              <w:rPr>
                <w:rFonts w:ascii="Times New Roman" w:hAnsi="Times New Roman"/>
                <w:bCs/>
                <w:sz w:val="21"/>
                <w:szCs w:val="21"/>
              </w:rPr>
            </w:pPr>
            <w:r>
              <w:rPr>
                <w:rFonts w:ascii="Times New Roman" w:hAnsi="Times New Roman"/>
                <w:bCs/>
                <w:sz w:val="21"/>
                <w:szCs w:val="21"/>
                <w:lang w:val="en-US"/>
              </w:rPr>
              <w:t>16</w:t>
            </w:r>
          </w:p>
        </w:tc>
        <w:tc>
          <w:tcPr>
            <w:tcW w:w="700" w:type="dxa"/>
            <w:tcBorders>
              <w:bottom w:val="single" w:color="auto" w:sz="12" w:space="0"/>
              <w:right w:val="single" w:color="auto" w:sz="12" w:space="0"/>
            </w:tcBorders>
            <w:vAlign w:val="center"/>
          </w:tcPr>
          <w:p w14:paraId="04AF7C4F">
            <w:pPr>
              <w:widowControl w:val="0"/>
              <w:snapToGrid w:val="0"/>
              <w:jc w:val="center"/>
              <w:rPr>
                <w:rFonts w:ascii="Times New Roman" w:hAnsi="Times New Roman"/>
                <w:bCs/>
                <w:sz w:val="21"/>
                <w:szCs w:val="21"/>
              </w:rPr>
            </w:pPr>
            <w:r>
              <w:rPr>
                <w:rFonts w:ascii="Times New Roman" w:hAnsi="Times New Roman"/>
                <w:bCs/>
                <w:sz w:val="21"/>
                <w:szCs w:val="21"/>
                <w:lang w:val="en-US"/>
              </w:rPr>
              <w:t>64</w:t>
            </w:r>
          </w:p>
        </w:tc>
      </w:tr>
    </w:tbl>
    <w:p w14:paraId="10AB6CF7">
      <w:pPr>
        <w:pStyle w:val="27"/>
        <w:spacing w:before="326" w:beforeLines="100" w:after="163"/>
      </w:pPr>
      <w:r>
        <w:rPr>
          <w:rFonts w:hint="eastAsia"/>
        </w:rPr>
        <w:t>（四）课内实验项目与基本要求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8FC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4B43616">
            <w:pPr>
              <w:pStyle w:val="2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372E338B">
            <w:pPr>
              <w:pStyle w:val="2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824BB380">
            <w:pPr>
              <w:pStyle w:val="2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B2AE1693">
            <w:pPr>
              <w:pStyle w:val="23"/>
              <w:rPr>
                <w:szCs w:val="16"/>
              </w:rPr>
            </w:pPr>
            <w:r>
              <w:rPr>
                <w:rFonts w:hint="eastAsia"/>
                <w:szCs w:val="16"/>
              </w:rPr>
              <w:t>实验</w:t>
            </w:r>
          </w:p>
          <w:p w14:paraId="329AE3E6">
            <w:pPr>
              <w:pStyle w:val="2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CCBC54C5">
            <w:pPr>
              <w:pStyle w:val="23"/>
              <w:rPr>
                <w:szCs w:val="16"/>
              </w:rPr>
            </w:pPr>
            <w:r>
              <w:rPr>
                <w:rFonts w:hint="eastAsia"/>
                <w:szCs w:val="16"/>
              </w:rPr>
              <w:t>实验</w:t>
            </w:r>
          </w:p>
          <w:p w14:paraId="D979C645">
            <w:pPr>
              <w:pStyle w:val="23"/>
              <w:rPr>
                <w:szCs w:val="16"/>
              </w:rPr>
            </w:pPr>
            <w:r>
              <w:rPr>
                <w:rFonts w:hint="eastAsia"/>
                <w:szCs w:val="16"/>
              </w:rPr>
              <w:t>类型</w:t>
            </w:r>
          </w:p>
        </w:tc>
      </w:tr>
      <w:tr w14:paraId="85D2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A7821580">
            <w:pPr>
              <w:pStyle w:val="2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BDBD8BA">
            <w:pPr>
              <w:snapToGrid w:val="0"/>
              <w:spacing w:line="320" w:lineRule="exact"/>
              <w:ind w:firstLine="200" w:firstLineChars="100"/>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病因概述</w:t>
            </w:r>
            <w:r>
              <w:rPr>
                <w:rFonts w:hint="default" w:ascii="宋体" w:hAnsi="宋体" w:eastAsia="宋体" w:cs="Times New Roman"/>
                <w:b w:val="0"/>
                <w:bCs w:val="0"/>
                <w:i w:val="0"/>
                <w:iCs w:val="0"/>
                <w:color w:val="auto"/>
                <w:kern w:val="2"/>
                <w:sz w:val="20"/>
                <w:szCs w:val="22"/>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细菌</w:t>
            </w:r>
          </w:p>
        </w:tc>
        <w:tc>
          <w:tcPr>
            <w:tcW w:w="3965" w:type="dxa"/>
            <w:tcBorders>
              <w:top w:val="single" w:color="auto" w:sz="4" w:space="0"/>
              <w:left w:val="single" w:color="auto" w:sz="4" w:space="0"/>
              <w:bottom w:val="single" w:color="auto" w:sz="4" w:space="0"/>
              <w:right w:val="single" w:color="auto" w:sz="4" w:space="0"/>
            </w:tcBorders>
            <w:vAlign w:val="center"/>
          </w:tcPr>
          <w:p w14:paraId="38692010">
            <w:pPr>
              <w:pStyle w:val="24"/>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细菌的基本性质、革兰氏阳性菌、革兰氏阴性菌、抗酸杆菌、支原体、螺旋体、立克次体、衣原体、放线菌的生物学特征、致病性、检测方法</w:t>
            </w:r>
          </w:p>
        </w:tc>
        <w:tc>
          <w:tcPr>
            <w:tcW w:w="842" w:type="dxa"/>
            <w:tcBorders>
              <w:left w:val="single" w:color="auto" w:sz="4" w:space="0"/>
              <w:right w:val="single" w:color="auto" w:sz="4" w:space="0"/>
            </w:tcBorders>
            <w:shd w:val="clear" w:color="auto" w:fill="auto"/>
            <w:vAlign w:val="center"/>
          </w:tcPr>
          <w:p w14:paraId="D0194B48">
            <w:pPr>
              <w:pStyle w:val="24"/>
            </w:pPr>
            <w:r>
              <w:rPr>
                <w:lang w:val="en-US"/>
              </w:rPr>
              <w:t>3</w:t>
            </w:r>
          </w:p>
        </w:tc>
        <w:tc>
          <w:tcPr>
            <w:tcW w:w="928" w:type="dxa"/>
            <w:tcBorders>
              <w:left w:val="single" w:color="auto" w:sz="4" w:space="0"/>
              <w:right w:val="single" w:color="auto" w:sz="12" w:space="0"/>
            </w:tcBorders>
            <w:shd w:val="clear" w:color="auto" w:fill="auto"/>
            <w:vAlign w:val="center"/>
          </w:tcPr>
          <w:p w14:paraId="4FDB0B70">
            <w:pPr>
              <w:pStyle w:val="24"/>
            </w:pPr>
            <w:r>
              <w:rPr>
                <w:lang w:val="en-US"/>
              </w:rPr>
              <w:t>④</w:t>
            </w:r>
          </w:p>
        </w:tc>
      </w:tr>
      <w:tr w14:paraId="005A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B2F8B0C">
            <w:pPr>
              <w:pStyle w:val="2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B03D6077">
            <w:pPr>
              <w:snapToGrid w:val="0"/>
              <w:spacing w:line="320" w:lineRule="exact"/>
              <w:ind w:firstLine="400" w:firstLineChars="200"/>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真菌</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病毒</w:t>
            </w:r>
          </w:p>
        </w:tc>
        <w:tc>
          <w:tcPr>
            <w:tcW w:w="3965" w:type="dxa"/>
            <w:tcBorders>
              <w:top w:val="single" w:color="auto" w:sz="4" w:space="0"/>
              <w:left w:val="single" w:color="auto" w:sz="4" w:space="0"/>
              <w:bottom w:val="single" w:color="auto" w:sz="4" w:space="0"/>
              <w:right w:val="single" w:color="auto" w:sz="4" w:space="0"/>
            </w:tcBorders>
            <w:vAlign w:val="center"/>
          </w:tcPr>
          <w:p w14:paraId="2F9A96B7">
            <w:pPr>
              <w:pStyle w:val="24"/>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致病性真菌（皮肤癣真菌、白假丝酵母菌、新生隐球菌）的生物学性状、致病性和微生物学检查方法。</w:t>
            </w:r>
          </w:p>
        </w:tc>
        <w:tc>
          <w:tcPr>
            <w:tcW w:w="842" w:type="dxa"/>
            <w:tcBorders>
              <w:left w:val="single" w:color="auto" w:sz="4" w:space="0"/>
              <w:bottom w:val="single" w:color="auto" w:sz="4" w:space="0"/>
              <w:right w:val="single" w:color="auto" w:sz="4" w:space="0"/>
            </w:tcBorders>
            <w:shd w:val="clear" w:color="auto" w:fill="auto"/>
            <w:vAlign w:val="center"/>
          </w:tcPr>
          <w:p w14:paraId="B2A05535">
            <w:pPr>
              <w:pStyle w:val="24"/>
            </w:pPr>
            <w:r>
              <w:rPr>
                <w:lang w:val="en-US"/>
              </w:rPr>
              <w:t>4</w:t>
            </w:r>
          </w:p>
        </w:tc>
        <w:tc>
          <w:tcPr>
            <w:tcW w:w="928" w:type="dxa"/>
            <w:tcBorders>
              <w:left w:val="single" w:color="auto" w:sz="4" w:space="0"/>
              <w:bottom w:val="single" w:color="auto" w:sz="4" w:space="0"/>
              <w:right w:val="single" w:color="auto" w:sz="12" w:space="0"/>
            </w:tcBorders>
            <w:shd w:val="clear" w:color="auto" w:fill="auto"/>
            <w:vAlign w:val="center"/>
          </w:tcPr>
          <w:p w14:paraId="DFEAC327">
            <w:pPr>
              <w:pStyle w:val="24"/>
            </w:pPr>
            <w:r>
              <w:rPr>
                <w:lang w:val="en-US"/>
              </w:rPr>
              <w:t>④</w:t>
            </w:r>
          </w:p>
        </w:tc>
      </w:tr>
      <w:tr w14:paraId="DFC3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E9D0CD7A">
            <w:pPr>
              <w:pStyle w:val="24"/>
              <w:rPr>
                <w:rFonts w:hint="eastAsia"/>
              </w:rPr>
            </w:pPr>
            <w:r>
              <w:rPr>
                <w:rFonts w:hint="default"/>
                <w:lang w:val="en-US"/>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66265B6">
            <w:pPr>
              <w:snapToGrid w:val="0"/>
              <w:spacing w:line="320" w:lineRule="exact"/>
              <w:ind w:firstLine="0"/>
              <w:jc w:val="left"/>
              <w:rPr>
                <w:rFonts w:hint="eastAsia"/>
              </w:rP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医学蠕虫</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原虫</w:t>
            </w:r>
            <w:r>
              <w:rPr>
                <w:rFonts w:hint="default" w:ascii="宋体" w:hAnsi="宋体" w:cs="Times New Roman"/>
                <w:b w:val="0"/>
                <w:bCs w:val="0"/>
                <w:i w:val="0"/>
                <w:iCs w:val="0"/>
                <w:color w:val="auto"/>
                <w:kern w:val="2"/>
                <w:sz w:val="20"/>
                <w:szCs w:val="20"/>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节肢动物</w:t>
            </w:r>
          </w:p>
        </w:tc>
        <w:tc>
          <w:tcPr>
            <w:tcW w:w="3965" w:type="dxa"/>
            <w:tcBorders>
              <w:top w:val="single" w:color="auto" w:sz="4" w:space="0"/>
              <w:left w:val="single" w:color="auto" w:sz="4" w:space="0"/>
              <w:bottom w:val="single" w:color="auto" w:sz="4" w:space="0"/>
              <w:right w:val="single" w:color="auto" w:sz="4" w:space="0"/>
            </w:tcBorders>
            <w:vAlign w:val="center"/>
          </w:tcPr>
          <w:p w14:paraId="84E75546">
            <w:pPr>
              <w:pStyle w:val="24"/>
              <w:jc w:val="left"/>
              <w:rPr>
                <w:rFonts w:hint="eastAsia"/>
              </w:rPr>
            </w:pPr>
            <w:r>
              <w:rPr>
                <w:rFonts w:hint="default"/>
                <w:lang w:val="en-US"/>
              </w:rPr>
              <w:t>掌握绦虫、其他人体寄生虫、蠕虫、叶足虫、鞭毛虫、孢子虫的感染方式和致病特点，能判断蛔虫、钩虫、吸虫、绦虫的结构特点。</w:t>
            </w:r>
          </w:p>
        </w:tc>
        <w:tc>
          <w:tcPr>
            <w:tcW w:w="842" w:type="dxa"/>
            <w:tcBorders>
              <w:left w:val="single" w:color="auto" w:sz="4" w:space="0"/>
              <w:right w:val="single" w:color="auto" w:sz="4" w:space="0"/>
            </w:tcBorders>
            <w:shd w:val="clear" w:color="auto" w:fill="auto"/>
            <w:vAlign w:val="center"/>
          </w:tcPr>
          <w:p w14:paraId="0918E495">
            <w:pPr>
              <w:pStyle w:val="24"/>
              <w:rPr>
                <w:rFonts w:hint="eastAsia"/>
              </w:rPr>
            </w:pPr>
            <w:r>
              <w:rPr>
                <w:rFonts w:hint="default"/>
                <w:lang w:val="en-US"/>
              </w:rPr>
              <w:t>4</w:t>
            </w:r>
          </w:p>
        </w:tc>
        <w:tc>
          <w:tcPr>
            <w:tcW w:w="928" w:type="dxa"/>
            <w:tcBorders>
              <w:left w:val="single" w:color="auto" w:sz="4" w:space="0"/>
              <w:right w:val="single" w:color="auto" w:sz="12" w:space="0"/>
            </w:tcBorders>
            <w:shd w:val="clear" w:color="auto" w:fill="auto"/>
            <w:vAlign w:val="center"/>
          </w:tcPr>
          <w:p w14:paraId="9725033B">
            <w:pPr>
              <w:pStyle w:val="24"/>
              <w:rPr>
                <w:rFonts w:hint="eastAsia"/>
              </w:rPr>
            </w:pPr>
            <w:r>
              <w:rPr>
                <w:rFonts w:hint="default"/>
                <w:lang w:val="en-US"/>
              </w:rPr>
              <w:t>④</w:t>
            </w:r>
          </w:p>
        </w:tc>
      </w:tr>
      <w:tr w14:paraId="FF6D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FF3D6CB2">
            <w:pPr>
              <w:pStyle w:val="24"/>
              <w:rPr>
                <w:rFonts w:hint="eastAsia"/>
              </w:rPr>
            </w:pPr>
            <w:r>
              <w:rPr>
                <w:rFonts w:hint="default"/>
                <w:lang w:val="en-US"/>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390F49A">
            <w:pPr>
              <w:pStyle w:val="24"/>
              <w:rPr>
                <w:rFonts w:hint="eastAsia"/>
              </w:rPr>
            </w:pPr>
            <w:r>
              <w:rPr>
                <w:rFonts w:hint="default"/>
                <w:lang w:val="en-US"/>
              </w:rPr>
              <w:t>炎症与发热</w:t>
            </w:r>
          </w:p>
        </w:tc>
        <w:tc>
          <w:tcPr>
            <w:tcW w:w="3965" w:type="dxa"/>
            <w:tcBorders>
              <w:top w:val="single" w:color="auto" w:sz="4" w:space="0"/>
              <w:left w:val="single" w:color="auto" w:sz="4" w:space="0"/>
              <w:bottom w:val="single" w:color="auto" w:sz="4" w:space="0"/>
              <w:right w:val="single" w:color="auto" w:sz="4" w:space="0"/>
            </w:tcBorders>
            <w:vAlign w:val="center"/>
          </w:tcPr>
          <w:p w14:paraId="1CC9C215">
            <w:pPr>
              <w:pStyle w:val="24"/>
              <w:jc w:val="left"/>
              <w:rPr>
                <w:rFonts w:hint="eastAsia"/>
              </w:rPr>
            </w:pPr>
            <w:r>
              <w:rPr>
                <w:rFonts w:hint="default"/>
                <w:lang w:val="en-US"/>
              </w:rPr>
              <w:t>发热的分期和热代谢特点。掌握炎症基本病理变化，炎症局部表现，急性炎症过程中的白细胞反应，急性炎症病理学类型。</w:t>
            </w:r>
          </w:p>
        </w:tc>
        <w:tc>
          <w:tcPr>
            <w:tcW w:w="842" w:type="dxa"/>
            <w:tcBorders>
              <w:left w:val="single" w:color="auto" w:sz="4" w:space="0"/>
              <w:right w:val="single" w:color="auto" w:sz="4" w:space="0"/>
            </w:tcBorders>
            <w:shd w:val="clear" w:color="auto" w:fill="auto"/>
            <w:vAlign w:val="center"/>
          </w:tcPr>
          <w:p w14:paraId="CC42C57E">
            <w:pPr>
              <w:pStyle w:val="24"/>
              <w:rPr>
                <w:rFonts w:hint="eastAsia"/>
              </w:rPr>
            </w:pPr>
            <w:r>
              <w:rPr>
                <w:rFonts w:hint="default"/>
                <w:lang w:val="en-US"/>
              </w:rPr>
              <w:t>1</w:t>
            </w:r>
          </w:p>
        </w:tc>
        <w:tc>
          <w:tcPr>
            <w:tcW w:w="928" w:type="dxa"/>
            <w:tcBorders>
              <w:left w:val="single" w:color="auto" w:sz="4" w:space="0"/>
              <w:right w:val="single" w:color="auto" w:sz="12" w:space="0"/>
            </w:tcBorders>
            <w:shd w:val="clear" w:color="auto" w:fill="auto"/>
            <w:vAlign w:val="center"/>
          </w:tcPr>
          <w:p w14:paraId="F18DD325">
            <w:pPr>
              <w:pStyle w:val="24"/>
              <w:rPr>
                <w:rFonts w:hint="eastAsia"/>
              </w:rPr>
            </w:pPr>
            <w:r>
              <w:rPr>
                <w:rFonts w:hint="default"/>
                <w:lang w:val="en-US"/>
              </w:rPr>
              <w:t>④</w:t>
            </w:r>
          </w:p>
        </w:tc>
      </w:tr>
      <w:tr w14:paraId="A36C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FD8BE87D">
            <w:pPr>
              <w:pStyle w:val="24"/>
              <w:rPr>
                <w:lang w:val="en-US"/>
              </w:rPr>
            </w:pPr>
            <w:r>
              <w:rPr>
                <w:lang w:val="en-US"/>
              </w:rP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B6100B32">
            <w:pPr>
              <w:pStyle w:val="24"/>
              <w:rPr>
                <w:lang w:val="en-US"/>
              </w:rPr>
            </w:pPr>
            <w:r>
              <w:rPr>
                <w:lang w:val="en-US"/>
              </w:rPr>
              <w:t>肿瘤</w:t>
            </w:r>
          </w:p>
        </w:tc>
        <w:tc>
          <w:tcPr>
            <w:tcW w:w="3965" w:type="dxa"/>
            <w:tcBorders>
              <w:top w:val="single" w:color="auto" w:sz="4" w:space="0"/>
              <w:left w:val="single" w:color="auto" w:sz="4" w:space="0"/>
              <w:bottom w:val="single" w:color="auto" w:sz="4" w:space="0"/>
              <w:right w:val="single" w:color="auto" w:sz="4" w:space="0"/>
            </w:tcBorders>
            <w:vAlign w:val="center"/>
          </w:tcPr>
          <w:p w14:paraId="62ACAF02">
            <w:pPr>
              <w:pStyle w:val="24"/>
              <w:jc w:val="left"/>
              <w:rPr>
                <w:lang w:val="en-US"/>
              </w:rPr>
            </w:pPr>
            <w:r>
              <w:rPr>
                <w:lang w:val="en-US"/>
              </w:rPr>
              <w:t>肿瘤分化，异型性，种植性转移癌，肉瘤，癌前疾病。异型增生和原位癌概念。肿瘤的形态，肿瘤的生长，肿瘤的扩散，肿瘤的一般命名原则。良、恶性肿瘤的区分，常见的癌前疾病。</w:t>
            </w:r>
          </w:p>
        </w:tc>
        <w:tc>
          <w:tcPr>
            <w:tcW w:w="842" w:type="dxa"/>
            <w:tcBorders>
              <w:left w:val="single" w:color="auto" w:sz="4" w:space="0"/>
              <w:right w:val="single" w:color="auto" w:sz="4" w:space="0"/>
            </w:tcBorders>
            <w:shd w:val="clear" w:color="auto" w:fill="auto"/>
            <w:vAlign w:val="center"/>
          </w:tcPr>
          <w:p w14:paraId="9C879AFB">
            <w:pPr>
              <w:pStyle w:val="24"/>
              <w:rPr>
                <w:lang w:val="en-US"/>
              </w:rPr>
            </w:pPr>
            <w:r>
              <w:rPr>
                <w:lang w:val="en-US"/>
              </w:rPr>
              <w:t>3</w:t>
            </w:r>
          </w:p>
        </w:tc>
        <w:tc>
          <w:tcPr>
            <w:tcW w:w="928" w:type="dxa"/>
            <w:tcBorders>
              <w:left w:val="single" w:color="auto" w:sz="4" w:space="0"/>
              <w:right w:val="single" w:color="auto" w:sz="12" w:space="0"/>
            </w:tcBorders>
            <w:shd w:val="clear" w:color="auto" w:fill="auto"/>
            <w:vAlign w:val="center"/>
          </w:tcPr>
          <w:p w14:paraId="497CC2AA">
            <w:pPr>
              <w:pStyle w:val="24"/>
              <w:rPr>
                <w:lang w:val="en-US"/>
              </w:rPr>
            </w:pPr>
            <w:r>
              <w:rPr>
                <w:lang w:val="en-US"/>
              </w:rPr>
              <w:t>④</w:t>
            </w:r>
          </w:p>
        </w:tc>
      </w:tr>
      <w:tr w14:paraId="EF76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D031496">
            <w:pPr>
              <w:pStyle w:val="24"/>
              <w:rPr>
                <w:lang w:val="en-US"/>
              </w:rPr>
            </w:pPr>
            <w:r>
              <w:rPr>
                <w:lang w:val="en-US"/>
              </w:rPr>
              <w:t>6</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B705F176">
            <w:pPr>
              <w:pStyle w:val="24"/>
              <w:rPr>
                <w:lang w:val="en-US"/>
              </w:rPr>
            </w:pPr>
            <w:r>
              <w:rPr>
                <w:lang w:val="en-US"/>
              </w:rPr>
              <w:t>免疫系统疾病。</w:t>
            </w:r>
          </w:p>
        </w:tc>
        <w:tc>
          <w:tcPr>
            <w:tcW w:w="3965" w:type="dxa"/>
            <w:tcBorders>
              <w:top w:val="single" w:color="auto" w:sz="4" w:space="0"/>
              <w:left w:val="single" w:color="auto" w:sz="4" w:space="0"/>
              <w:bottom w:val="single" w:color="auto" w:sz="4" w:space="0"/>
              <w:right w:val="single" w:color="auto" w:sz="4" w:space="0"/>
            </w:tcBorders>
            <w:vAlign w:val="center"/>
          </w:tcPr>
          <w:p w14:paraId="F1A9C29D">
            <w:pPr>
              <w:pStyle w:val="24"/>
              <w:jc w:val="left"/>
              <w:rPr>
                <w:lang w:val="en-US"/>
              </w:rPr>
            </w:pPr>
            <w:r>
              <w:rPr>
                <w:lang w:val="en-US"/>
              </w:rPr>
              <w:t>掌握自身免疫性疾病的基本特征与分类中。免疫缺陷的分类。掌握免疫缺陷并HIV的临床表现和分期。</w:t>
            </w:r>
          </w:p>
        </w:tc>
        <w:tc>
          <w:tcPr>
            <w:tcW w:w="842" w:type="dxa"/>
            <w:tcBorders>
              <w:left w:val="single" w:color="auto" w:sz="4" w:space="0"/>
              <w:right w:val="single" w:color="auto" w:sz="4" w:space="0"/>
            </w:tcBorders>
            <w:shd w:val="clear" w:color="auto" w:fill="auto"/>
            <w:vAlign w:val="center"/>
          </w:tcPr>
          <w:p w14:paraId="3CC1342E">
            <w:pPr>
              <w:pStyle w:val="24"/>
              <w:rPr>
                <w:lang w:val="en-US"/>
              </w:rPr>
            </w:pPr>
            <w:r>
              <w:rPr>
                <w:lang w:val="en-US"/>
              </w:rPr>
              <w:t>1</w:t>
            </w:r>
          </w:p>
        </w:tc>
        <w:tc>
          <w:tcPr>
            <w:tcW w:w="928" w:type="dxa"/>
            <w:tcBorders>
              <w:left w:val="single" w:color="auto" w:sz="4" w:space="0"/>
              <w:right w:val="single" w:color="auto" w:sz="12" w:space="0"/>
            </w:tcBorders>
            <w:shd w:val="clear" w:color="auto" w:fill="auto"/>
            <w:vAlign w:val="center"/>
          </w:tcPr>
          <w:p w14:paraId="F5D87537">
            <w:pPr>
              <w:pStyle w:val="24"/>
              <w:rPr>
                <w:lang w:val="en-US"/>
              </w:rPr>
            </w:pPr>
            <w:r>
              <w:rPr>
                <w:lang w:val="en-US"/>
              </w:rPr>
              <w:t>④</w:t>
            </w:r>
          </w:p>
        </w:tc>
      </w:tr>
      <w:tr w14:paraId="0B71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BEDBFD4">
            <w:pPr>
              <w:pStyle w:val="24"/>
              <w:rPr>
                <w:rFonts w:hint="eastAsia" w:eastAsia="宋体"/>
                <w:lang w:eastAsia="zh-CN"/>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E0E53100">
            <w:pPr>
              <w:pStyle w:val="24"/>
            </w:pPr>
          </w:p>
        </w:tc>
        <w:tc>
          <w:tcPr>
            <w:tcW w:w="3965" w:type="dxa"/>
            <w:tcBorders>
              <w:top w:val="single" w:color="auto" w:sz="4" w:space="0"/>
              <w:left w:val="single" w:color="auto" w:sz="4" w:space="0"/>
              <w:bottom w:val="single" w:color="auto" w:sz="4" w:space="0"/>
              <w:right w:val="single" w:color="auto" w:sz="4" w:space="0"/>
            </w:tcBorders>
            <w:vAlign w:val="center"/>
          </w:tcPr>
          <w:p w14:paraId="24F88EDB">
            <w:pPr>
              <w:pStyle w:val="24"/>
              <w:jc w:val="left"/>
            </w:pPr>
            <w:r>
              <w:rPr>
                <w:lang w:val="en-US"/>
              </w:rPr>
              <w:t>合计</w:t>
            </w:r>
          </w:p>
        </w:tc>
        <w:tc>
          <w:tcPr>
            <w:tcW w:w="842" w:type="dxa"/>
            <w:tcBorders>
              <w:left w:val="single" w:color="auto" w:sz="4" w:space="0"/>
              <w:right w:val="single" w:color="auto" w:sz="4" w:space="0"/>
            </w:tcBorders>
            <w:shd w:val="clear" w:color="auto" w:fill="auto"/>
            <w:vAlign w:val="center"/>
          </w:tcPr>
          <w:p w14:paraId="4E80E2A5">
            <w:pPr>
              <w:pStyle w:val="24"/>
            </w:pPr>
            <w:r>
              <w:rPr>
                <w:lang w:val="en-US"/>
              </w:rPr>
              <w:t>16</w:t>
            </w:r>
          </w:p>
        </w:tc>
        <w:tc>
          <w:tcPr>
            <w:tcW w:w="928" w:type="dxa"/>
            <w:tcBorders>
              <w:left w:val="single" w:color="auto" w:sz="4" w:space="0"/>
              <w:right w:val="single" w:color="auto" w:sz="12" w:space="0"/>
            </w:tcBorders>
            <w:shd w:val="clear" w:color="auto" w:fill="auto"/>
            <w:vAlign w:val="center"/>
          </w:tcPr>
          <w:p w14:paraId="8878A7D9">
            <w:pPr>
              <w:pStyle w:val="24"/>
            </w:pPr>
          </w:p>
        </w:tc>
      </w:tr>
      <w:tr w14:paraId="7512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B6B842FD">
            <w:pPr>
              <w:pStyle w:val="2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D64DC59C">
      <w:pPr>
        <w:pStyle w:val="26"/>
        <w:spacing w:before="326" w:beforeLines="100" w:line="360" w:lineRule="auto"/>
        <w:ind w:firstLine="140" w:firstLineChars="50"/>
        <w:rPr>
          <w:rFonts w:hint="eastAsia" w:ascii="黑体" w:hAnsi="宋体"/>
        </w:rPr>
      </w:pPr>
      <w:bookmarkStart w:id="2" w:name="OLE_LINK2"/>
      <w:bookmarkStart w:id="3" w:name="OLE_LINK1"/>
    </w:p>
    <w:p w14:paraId="D386FF4A">
      <w:pPr>
        <w:pStyle w:val="26"/>
        <w:spacing w:before="326" w:beforeLines="100" w:line="360" w:lineRule="auto"/>
        <w:ind w:firstLine="140" w:firstLineChars="50"/>
        <w:rPr>
          <w:rFonts w:hint="eastAsia" w:ascii="黑体" w:hAnsi="宋体"/>
        </w:rPr>
      </w:pPr>
    </w:p>
    <w:p w14:paraId="42F336FF">
      <w:pPr>
        <w:pStyle w:val="26"/>
        <w:spacing w:before="326" w:beforeLines="100" w:line="360" w:lineRule="auto"/>
        <w:ind w:firstLine="140" w:firstLineChars="50"/>
        <w:rPr>
          <w:rFonts w:hint="eastAsia" w:ascii="黑体" w:hAnsi="宋体"/>
        </w:rPr>
      </w:pPr>
    </w:p>
    <w:p w14:paraId="CCF8786A">
      <w:pPr>
        <w:pStyle w:val="26"/>
        <w:spacing w:before="326" w:beforeLines="100" w:line="360" w:lineRule="auto"/>
        <w:ind w:firstLine="140" w:firstLineChars="50"/>
        <w:rPr>
          <w:rFonts w:hint="eastAsia" w:ascii="黑体" w:hAnsi="宋体"/>
        </w:rPr>
      </w:pPr>
    </w:p>
    <w:p w14:paraId="3AD143F2">
      <w:pPr>
        <w:pStyle w:val="26"/>
        <w:spacing w:before="326" w:beforeLines="100" w:line="360" w:lineRule="auto"/>
        <w:ind w:firstLine="140" w:firstLineChars="50"/>
        <w:rPr>
          <w:rFonts w:ascii="黑体" w:hAnsi="宋体"/>
        </w:rPr>
      </w:pPr>
      <w:r>
        <w:rPr>
          <w:rFonts w:hint="eastAsia" w:ascii="黑体" w:hAnsi="宋体"/>
        </w:rPr>
        <w:t>四、课程思政教学设计</w:t>
      </w:r>
    </w:p>
    <w:bookmarkEnd w:id="2"/>
    <w:bookmarkEnd w:id="3"/>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7953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92FA770">
            <w:pPr>
              <w:widowControl w:val="0"/>
              <w:spacing w:line="240" w:lineRule="auto"/>
              <w:jc w:val="center"/>
            </w:pPr>
            <w:r>
              <w:rPr>
                <w:rFonts w:hint="default" w:ascii="Calibri" w:hAnsi="Calibri" w:eastAsia="宋体" w:cs="宋体"/>
                <w:b/>
                <w:bCs/>
                <w:i w:val="0"/>
                <w:iCs w:val="0"/>
                <w:color w:val="auto"/>
                <w:kern w:val="2"/>
                <w:sz w:val="21"/>
                <w:szCs w:val="21"/>
                <w:highlight w:val="none"/>
                <w:vertAlign w:val="baseline"/>
                <w:lang w:val="en-US" w:eastAsia="zh-CN"/>
              </w:rPr>
              <w:t>课程简介</w:t>
            </w:r>
          </w:p>
          <w:p w14:paraId="5E029DE0">
            <w:pPr>
              <w:widowControl w:val="0"/>
              <w:spacing w:line="240" w:lineRule="auto"/>
              <w:ind w:firstLineChars="0"/>
              <w:jc w:val="both"/>
            </w:pPr>
            <w:r>
              <w:rPr>
                <w:rFonts w:hint="default" w:ascii="宋体" w:hAnsi="宋体" w:eastAsia="宋体" w:cs="Times New Roman"/>
                <w:b w:val="0"/>
                <w:bCs w:val="0"/>
                <w:i w:val="0"/>
                <w:iCs w:val="0"/>
                <w:color w:val="000000"/>
                <w:kern w:val="2"/>
                <w:sz w:val="21"/>
                <w:szCs w:val="21"/>
                <w:highlight w:val="none"/>
                <w:vertAlign w:val="baseline"/>
                <w:lang w:val="en-US" w:eastAsia="zh-CN" w:bidi="ar-SA"/>
              </w:rPr>
              <w:t xml:space="preserve">   《疾病学基础》是一门包含了医学微生物学、寄生虫学、病理学、病理生理学、免疫学和医学遗传学等多学科的基础医学综合课程。在阐述疾病发生时人体结构和功能改变的基础上，介绍疾病发生、发展变化的基本规律。其中，病因篇主要介绍诱导疾病发生的内因与外因，涵盖微生物学及寄生虫学知识；机制篇从免疫、病理、病理生理等领域阐述疾病发生的共性机制与基本规律；疾病篇着重描述机体主要系统常见疾病发生发展时器官在形态和功能上的一些共性变化；防治篇介绍遗传病、传染性疾病防治的基本原则。它培养学生对健康与疾病本质的认识，指导医疗预防的实践与健康管理保健的实施。为健康管理学专业人才的培养奠定扎实的理论根基。</w:t>
            </w:r>
          </w:p>
          <w:p w14:paraId="AE45D557">
            <w:pPr>
              <w:widowControl w:val="0"/>
              <w:spacing w:line="240" w:lineRule="auto"/>
              <w:jc w:val="center"/>
            </w:pPr>
            <w:r>
              <w:rPr>
                <w:rFonts w:hint="default" w:ascii="Calibri" w:hAnsi="Calibri" w:eastAsia="宋体" w:cs="宋体"/>
                <w:b/>
                <w:bCs/>
                <w:i w:val="0"/>
                <w:iCs w:val="0"/>
                <w:color w:val="auto"/>
                <w:kern w:val="2"/>
                <w:sz w:val="21"/>
                <w:szCs w:val="21"/>
                <w:highlight w:val="none"/>
                <w:vertAlign w:val="baseline"/>
                <w:lang w:val="en-US" w:eastAsia="zh-CN"/>
              </w:rPr>
              <w:t>思政目标</w:t>
            </w:r>
          </w:p>
          <w:p w14:paraId="1F682B29">
            <w:pPr>
              <w:widowControl w:val="0"/>
              <w:spacing w:line="240" w:lineRule="auto"/>
              <w:ind w:firstLine="420" w:firstLineChars="200"/>
              <w:jc w:val="both"/>
            </w:pPr>
            <w:r>
              <w:rPr>
                <w:rFonts w:hint="default" w:ascii="Calibri" w:hAnsi="Calibri" w:eastAsia="宋体" w:cs="宋体"/>
                <w:b w:val="0"/>
                <w:bCs w:val="0"/>
                <w:i w:val="0"/>
                <w:iCs w:val="0"/>
                <w:color w:val="auto"/>
                <w:kern w:val="2"/>
                <w:sz w:val="21"/>
                <w:szCs w:val="21"/>
                <w:highlight w:val="none"/>
                <w:vertAlign w:val="baseline"/>
                <w:lang w:val="en-US" w:eastAsia="zh-CN"/>
              </w:rPr>
              <w:t>随着医疗体制不断的改革，</w:t>
            </w:r>
            <w:r>
              <w:rPr>
                <w:rFonts w:hint="default" w:ascii="Calibri" w:hAnsi="宋体" w:eastAsia="宋体" w:cs="宋体"/>
                <w:b w:val="0"/>
                <w:bCs w:val="0"/>
                <w:i w:val="0"/>
                <w:iCs w:val="0"/>
                <w:color w:val="auto"/>
                <w:kern w:val="2"/>
                <w:sz w:val="21"/>
                <w:szCs w:val="21"/>
                <w:highlight w:val="none"/>
                <w:vertAlign w:val="baseline"/>
                <w:lang w:val="en-US" w:eastAsia="zh-CN"/>
              </w:rPr>
              <w:t>在习近平新时代下对医护人员和健康管理人员的要求已不仅仅停留在专业技术水平</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对其职业道德也提出了更高的要求</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思政元素融入专业基础课的必要性不言而喻</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 xml:space="preserve">高校教师做好课程思政建设必须做到以下几点 </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一是加强教师对</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课程思政</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的认同感和</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师德师风</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建设</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 xml:space="preserve">教师要以身作则做好当代大学生的思想引导和行为规范 </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二是</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课程思政</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必须做到思政教育元素融入各专业课程教育内容中去</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不能以</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思政课程</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枯燥的面目出现</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 xml:space="preserve">一定要达到润物细无声的双重育人作用 </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三是进行</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课程思政</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设计中</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务必注意培养学生的价值观</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人生观</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职业道德和社会道德观</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注重培养学生对中国传统文化乃至世界传统文化的兴趣</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在今后的理论及实验教学活动中</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疾病学</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课程思政</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教学重点是以科学精神为指导</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灵活运用多种教学形式</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以达到教书育人的双重目标</w:t>
            </w:r>
            <w:r>
              <w:rPr>
                <w:rFonts w:hint="default" w:ascii="Calibri" w:hAnsi="Calibri" w:eastAsia="宋体" w:cs="宋体"/>
                <w:b w:val="0"/>
                <w:bCs w:val="0"/>
                <w:i w:val="0"/>
                <w:iCs w:val="0"/>
                <w:color w:val="auto"/>
                <w:kern w:val="2"/>
                <w:sz w:val="21"/>
                <w:szCs w:val="21"/>
                <w:highlight w:val="none"/>
                <w:vertAlign w:val="baseline"/>
                <w:lang w:val="en-US" w:eastAsia="zh-CN"/>
              </w:rPr>
              <w:t>。</w:t>
            </w:r>
          </w:p>
          <w:p w14:paraId="4AC38C37">
            <w:pPr>
              <w:widowControl w:val="0"/>
              <w:spacing w:line="240" w:lineRule="auto"/>
              <w:jc w:val="both"/>
            </w:pPr>
            <w:r>
              <w:rPr>
                <w:rFonts w:hint="default" w:ascii="Calibri" w:hAnsi="Calibri" w:eastAsia="宋体" w:cs="宋体"/>
                <w:b w:val="0"/>
                <w:bCs w:val="0"/>
                <w:i w:val="0"/>
                <w:iCs w:val="0"/>
                <w:color w:val="auto"/>
                <w:kern w:val="2"/>
                <w:sz w:val="21"/>
                <w:szCs w:val="21"/>
                <w:highlight w:val="none"/>
                <w:vertAlign w:val="baseline"/>
                <w:lang w:val="en-US" w:eastAsia="zh-CN"/>
              </w:rPr>
              <w:t>本课程涉及内容庞杂，</w:t>
            </w:r>
            <w:r>
              <w:rPr>
                <w:rFonts w:hint="default" w:ascii="Calibri" w:hAnsi="宋体" w:eastAsia="宋体" w:cs="宋体"/>
                <w:b w:val="0"/>
                <w:bCs w:val="0"/>
                <w:i w:val="0"/>
                <w:iCs w:val="0"/>
                <w:color w:val="auto"/>
                <w:kern w:val="2"/>
                <w:sz w:val="21"/>
                <w:szCs w:val="21"/>
                <w:highlight w:val="none"/>
                <w:vertAlign w:val="baseline"/>
                <w:lang w:val="en-US" w:eastAsia="zh-CN"/>
              </w:rPr>
              <w:t>知识面广泛</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既密切联系人们疾病预防、发生、发展与结局，医学临床实践、慢病管理、健康促进</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又紧扣生命科学的发展前沿</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可以融入课程思政的切入点非常丰富</w:t>
            </w:r>
            <w:r>
              <w:rPr>
                <w:rFonts w:hint="default" w:ascii="Calibri" w:hAnsi="Calibri" w:eastAsia="宋体" w:cs="宋体"/>
                <w:b w:val="0"/>
                <w:bCs w:val="0"/>
                <w:i w:val="0"/>
                <w:iCs w:val="0"/>
                <w:color w:val="auto"/>
                <w:kern w:val="2"/>
                <w:sz w:val="21"/>
                <w:szCs w:val="21"/>
                <w:highlight w:val="none"/>
                <w:vertAlign w:val="baseline"/>
                <w:lang w:val="en-US" w:eastAsia="zh-CN"/>
              </w:rPr>
              <w:t>。</w:t>
            </w:r>
          </w:p>
          <w:p w14:paraId="E81B33A2">
            <w:pPr>
              <w:widowControl w:val="0"/>
              <w:spacing w:line="240" w:lineRule="auto"/>
              <w:ind w:firstLine="420" w:firstLineChars="0"/>
              <w:jc w:val="both"/>
            </w:pPr>
            <w:r>
              <w:rPr>
                <w:rFonts w:hint="default" w:ascii="Calibri" w:hAnsi="Calibri" w:eastAsia="宋体" w:cs="宋体"/>
                <w:b/>
                <w:bCs/>
                <w:i w:val="0"/>
                <w:iCs w:val="0"/>
                <w:color w:val="auto"/>
                <w:kern w:val="2"/>
                <w:sz w:val="21"/>
                <w:szCs w:val="21"/>
                <w:highlight w:val="none"/>
                <w:vertAlign w:val="baseline"/>
                <w:lang w:val="en-US" w:eastAsia="zh-CN"/>
              </w:rPr>
              <w:t>融入思政的教学设计</w:t>
            </w:r>
          </w:p>
          <w:p w14:paraId="7E4F34A2">
            <w:pPr>
              <w:widowControl w:val="0"/>
              <w:spacing w:line="240" w:lineRule="auto"/>
              <w:ind w:firstLine="420" w:firstLineChars="200"/>
              <w:jc w:val="both"/>
            </w:pPr>
            <w:r>
              <w:rPr>
                <w:rFonts w:hint="default" w:ascii="Calibri" w:hAnsi="Calibri" w:eastAsia="宋体" w:cs="宋体"/>
                <w:b w:val="0"/>
                <w:bCs w:val="0"/>
                <w:i w:val="0"/>
                <w:iCs w:val="0"/>
                <w:color w:val="auto"/>
                <w:kern w:val="2"/>
                <w:sz w:val="21"/>
                <w:szCs w:val="21"/>
                <w:highlight w:val="none"/>
                <w:vertAlign w:val="baseline"/>
                <w:lang w:val="en-US" w:eastAsia="zh-CN"/>
              </w:rPr>
              <w:t>根据本课程的教学内容及其特点，</w:t>
            </w:r>
            <w:r>
              <w:rPr>
                <w:rFonts w:hint="default" w:ascii="Calibri" w:hAnsi="宋体" w:eastAsia="宋体" w:cs="宋体"/>
                <w:b w:val="0"/>
                <w:bCs w:val="0"/>
                <w:i w:val="0"/>
                <w:iCs w:val="0"/>
                <w:color w:val="auto"/>
                <w:kern w:val="2"/>
                <w:sz w:val="21"/>
                <w:szCs w:val="21"/>
                <w:highlight w:val="none"/>
                <w:vertAlign w:val="baseline"/>
                <w:lang w:val="en-US" w:eastAsia="zh-CN"/>
              </w:rPr>
              <w:t>可将知识体系大致划分为以下六个方面</w:t>
            </w:r>
            <w:r>
              <w:rPr>
                <w:rFonts w:hint="default" w:ascii="Calibri" w:hAnsi="Calibri" w:eastAsia="宋体" w:cs="宋体"/>
                <w:b w:val="0"/>
                <w:bCs w:val="0"/>
                <w:i w:val="0"/>
                <w:iCs w:val="0"/>
                <w:color w:val="auto"/>
                <w:kern w:val="2"/>
                <w:sz w:val="21"/>
                <w:szCs w:val="21"/>
                <w:highlight w:val="none"/>
                <w:vertAlign w:val="baseline"/>
                <w:lang w:val="en-US" w:eastAsia="zh-CN"/>
              </w:rPr>
              <w:t>：</w:t>
            </w:r>
          </w:p>
          <w:p w14:paraId="7F41C9D2">
            <w:pPr>
              <w:widowControl w:val="0"/>
              <w:spacing w:line="240" w:lineRule="auto"/>
              <w:ind w:firstLine="420" w:firstLineChars="0"/>
              <w:jc w:val="both"/>
            </w:pPr>
            <w:r>
              <w:rPr>
                <w:rFonts w:hint="default" w:ascii="Calibri" w:hAnsi="Calibri" w:eastAsia="宋体" w:cs="宋体"/>
                <w:b w:val="0"/>
                <w:bCs w:val="0"/>
                <w:i w:val="0"/>
                <w:iCs w:val="0"/>
                <w:color w:val="auto"/>
                <w:kern w:val="2"/>
                <w:sz w:val="21"/>
                <w:szCs w:val="21"/>
                <w:highlight w:val="none"/>
                <w:vertAlign w:val="baseline"/>
                <w:lang w:val="en-US" w:eastAsia="zh-CN"/>
              </w:rPr>
              <w:t>①学科的发展与研究历史；</w:t>
            </w:r>
          </w:p>
          <w:p w14:paraId="2FF08BC8">
            <w:pPr>
              <w:widowControl w:val="0"/>
              <w:spacing w:line="240" w:lineRule="auto"/>
              <w:ind w:firstLine="420" w:firstLineChars="0"/>
              <w:jc w:val="both"/>
            </w:pPr>
            <w:r>
              <w:rPr>
                <w:rFonts w:hint="default" w:ascii="Calibri" w:hAnsi="Calibri" w:eastAsia="宋体" w:cs="宋体"/>
                <w:b w:val="0"/>
                <w:bCs w:val="0"/>
                <w:i w:val="0"/>
                <w:iCs w:val="0"/>
                <w:color w:val="auto"/>
                <w:kern w:val="2"/>
                <w:sz w:val="21"/>
                <w:szCs w:val="21"/>
                <w:highlight w:val="none"/>
                <w:vertAlign w:val="baseline"/>
                <w:lang w:val="en-US" w:eastAsia="zh-CN"/>
              </w:rPr>
              <w:t>②我国在疾病学方面的创新与贡献；</w:t>
            </w:r>
          </w:p>
          <w:p w14:paraId="13A2A736">
            <w:pPr>
              <w:widowControl w:val="0"/>
              <w:spacing w:line="240" w:lineRule="auto"/>
              <w:ind w:firstLine="420" w:firstLineChars="0"/>
              <w:jc w:val="both"/>
            </w:pPr>
            <w:r>
              <w:rPr>
                <w:rFonts w:hint="default" w:ascii="Calibri" w:hAnsi="Calibri" w:eastAsia="宋体" w:cs="宋体"/>
                <w:b w:val="0"/>
                <w:bCs w:val="0"/>
                <w:i w:val="0"/>
                <w:iCs w:val="0"/>
                <w:color w:val="auto"/>
                <w:kern w:val="2"/>
                <w:sz w:val="21"/>
                <w:szCs w:val="21"/>
                <w:highlight w:val="none"/>
                <w:vertAlign w:val="baseline"/>
                <w:lang w:val="en-US" w:eastAsia="zh-CN"/>
              </w:rPr>
              <w:t>③疾病过程与机体内在的病理变化；</w:t>
            </w:r>
          </w:p>
          <w:p w14:paraId="D1776FDE">
            <w:pPr>
              <w:widowControl w:val="0"/>
              <w:spacing w:line="240" w:lineRule="auto"/>
              <w:ind w:firstLine="420" w:firstLineChars="0"/>
              <w:jc w:val="both"/>
            </w:pPr>
            <w:r>
              <w:rPr>
                <w:rFonts w:hint="default" w:ascii="Calibri" w:hAnsi="Calibri" w:eastAsia="宋体" w:cs="宋体"/>
                <w:b w:val="0"/>
                <w:bCs w:val="0"/>
                <w:i w:val="0"/>
                <w:iCs w:val="0"/>
                <w:color w:val="auto"/>
                <w:kern w:val="2"/>
                <w:sz w:val="21"/>
                <w:szCs w:val="21"/>
                <w:highlight w:val="none"/>
                <w:vertAlign w:val="baseline"/>
                <w:lang w:val="en-US" w:eastAsia="zh-CN"/>
              </w:rPr>
              <w:t>④课堂知识联系临床与医疗实践；</w:t>
            </w:r>
          </w:p>
          <w:p w14:paraId="6FED888E">
            <w:pPr>
              <w:widowControl w:val="0"/>
              <w:spacing w:line="240" w:lineRule="auto"/>
              <w:ind w:firstLine="420" w:firstLineChars="0"/>
              <w:jc w:val="both"/>
            </w:pPr>
            <w:r>
              <w:rPr>
                <w:rFonts w:hint="default" w:ascii="Calibri" w:hAnsi="Calibri" w:eastAsia="宋体" w:cs="宋体"/>
                <w:b w:val="0"/>
                <w:bCs w:val="0"/>
                <w:i w:val="0"/>
                <w:iCs w:val="0"/>
                <w:color w:val="auto"/>
                <w:kern w:val="2"/>
                <w:sz w:val="21"/>
                <w:szCs w:val="21"/>
                <w:highlight w:val="none"/>
                <w:vertAlign w:val="baseline"/>
                <w:lang w:val="en-US" w:eastAsia="zh-CN"/>
              </w:rPr>
              <w:t>⑤医学大家的故事；</w:t>
            </w:r>
          </w:p>
          <w:p w14:paraId="13C92FBA">
            <w:pPr>
              <w:widowControl w:val="0"/>
              <w:spacing w:line="240" w:lineRule="auto"/>
              <w:ind w:firstLine="420" w:firstLineChars="0"/>
              <w:jc w:val="both"/>
            </w:pPr>
            <w:r>
              <w:rPr>
                <w:rFonts w:hint="default" w:ascii="Calibri" w:hAnsi="Calibri" w:eastAsia="宋体" w:cs="宋体"/>
                <w:b w:val="0"/>
                <w:bCs w:val="0"/>
                <w:i w:val="0"/>
                <w:iCs w:val="0"/>
                <w:color w:val="auto"/>
                <w:kern w:val="2"/>
                <w:sz w:val="21"/>
                <w:szCs w:val="21"/>
                <w:highlight w:val="none"/>
                <w:vertAlign w:val="baseline"/>
                <w:lang w:val="en-US" w:eastAsia="zh-CN"/>
              </w:rPr>
              <w:t>⑥与教学内容相关的社会热点事件。</w:t>
            </w:r>
          </w:p>
          <w:p w14:paraId="4FEF5596">
            <w:pPr>
              <w:widowControl w:val="0"/>
              <w:spacing w:line="240" w:lineRule="auto"/>
              <w:ind w:firstLineChars="200"/>
              <w:jc w:val="both"/>
            </w:pPr>
            <w:r>
              <w:rPr>
                <w:rFonts w:hint="default" w:ascii="Calibri" w:hAnsi="Calibri" w:eastAsia="宋体" w:cs="宋体"/>
                <w:b w:val="0"/>
                <w:bCs w:val="0"/>
                <w:i w:val="0"/>
                <w:iCs w:val="0"/>
                <w:color w:val="auto"/>
                <w:kern w:val="2"/>
                <w:sz w:val="21"/>
                <w:szCs w:val="21"/>
                <w:highlight w:val="none"/>
                <w:vertAlign w:val="baseline"/>
                <w:lang w:val="en-US" w:eastAsia="zh-CN"/>
              </w:rPr>
              <w:t>在进行具体的教学设计时，</w:t>
            </w:r>
            <w:r>
              <w:rPr>
                <w:rFonts w:hint="default" w:ascii="Calibri" w:hAnsi="宋体" w:eastAsia="宋体" w:cs="宋体"/>
                <w:b w:val="0"/>
                <w:bCs w:val="0"/>
                <w:i w:val="0"/>
                <w:iCs w:val="0"/>
                <w:color w:val="auto"/>
                <w:kern w:val="2"/>
                <w:sz w:val="21"/>
                <w:szCs w:val="21"/>
                <w:highlight w:val="none"/>
                <w:vertAlign w:val="baseline"/>
                <w:lang w:val="en-US" w:eastAsia="zh-CN"/>
              </w:rPr>
              <w:t>便可针对不同的方面融入恰当的思政元素</w:t>
            </w:r>
            <w:r>
              <w:rPr>
                <w:rFonts w:hint="default" w:ascii="Calibri" w:hAnsi="Calibri" w:eastAsia="宋体" w:cs="宋体"/>
                <w:b w:val="0"/>
                <w:bCs w:val="0"/>
                <w:i w:val="0"/>
                <w:iCs w:val="0"/>
                <w:color w:val="auto"/>
                <w:kern w:val="2"/>
                <w:sz w:val="21"/>
                <w:szCs w:val="21"/>
                <w:highlight w:val="none"/>
                <w:vertAlign w:val="baseline"/>
                <w:lang w:val="en-US" w:eastAsia="zh-CN"/>
              </w:rPr>
              <w:t>，</w:t>
            </w:r>
            <w:r>
              <w:rPr>
                <w:rFonts w:hint="default" w:ascii="Calibri" w:hAnsi="宋体" w:eastAsia="宋体" w:cs="宋体"/>
                <w:b w:val="0"/>
                <w:bCs w:val="0"/>
                <w:i w:val="0"/>
                <w:iCs w:val="0"/>
                <w:color w:val="auto"/>
                <w:kern w:val="2"/>
                <w:sz w:val="21"/>
                <w:szCs w:val="21"/>
                <w:highlight w:val="none"/>
                <w:vertAlign w:val="baseline"/>
                <w:lang w:val="en-US" w:eastAsia="zh-CN"/>
              </w:rPr>
              <w:t>现将本课程主要知识点与相关思政设计以表格形式罗列如下</w:t>
            </w:r>
            <w:r>
              <w:rPr>
                <w:rFonts w:hint="default" w:ascii="Calibri" w:hAnsi="Calibri" w:eastAsia="宋体" w:cs="宋体"/>
                <w:b w:val="0"/>
                <w:bCs w:val="0"/>
                <w:i w:val="0"/>
                <w:iCs w:val="0"/>
                <w:color w:val="auto"/>
                <w:kern w:val="2"/>
                <w:sz w:val="21"/>
                <w:szCs w:val="21"/>
                <w:highlight w:val="none"/>
                <w:vertAlign w:val="baseline"/>
                <w:lang w:val="en-US" w:eastAsia="zh-CN"/>
              </w:rPr>
              <w:t>：</w:t>
            </w:r>
          </w:p>
          <w:p w14:paraId="BE2755D5">
            <w:pPr>
              <w:widowControl w:val="0"/>
              <w:spacing w:line="240" w:lineRule="auto"/>
              <w:ind w:firstLineChars="200"/>
              <w:jc w:val="both"/>
            </w:pPr>
          </w:p>
          <w:p w14:paraId="193A178F">
            <w:pPr>
              <w:widowControl w:val="0"/>
              <w:spacing w:line="240" w:lineRule="auto"/>
              <w:ind w:firstLineChars="200"/>
              <w:jc w:val="both"/>
            </w:pPr>
          </w:p>
          <w:tbl>
            <w:tblPr>
              <w:tblStyle w:val="10"/>
              <w:tblW w:w="7644" w:type="dxa"/>
              <w:jc w:val="center"/>
              <w:tblLayout w:type="autofit"/>
              <w:tblCellMar>
                <w:top w:w="57" w:type="dxa"/>
                <w:left w:w="85" w:type="dxa"/>
                <w:bottom w:w="57" w:type="dxa"/>
                <w:right w:w="85" w:type="dxa"/>
              </w:tblCellMar>
            </w:tblPr>
            <w:tblGrid>
              <w:gridCol w:w="1219"/>
              <w:gridCol w:w="2465"/>
              <w:gridCol w:w="1382"/>
              <w:gridCol w:w="1507"/>
              <w:gridCol w:w="1071"/>
            </w:tblGrid>
            <w:tr w14:paraId="F70CB1AD">
              <w:tblPrEx>
                <w:tblCellMar>
                  <w:top w:w="57" w:type="dxa"/>
                  <w:left w:w="85" w:type="dxa"/>
                  <w:bottom w:w="57" w:type="dxa"/>
                  <w:right w:w="85" w:type="dxa"/>
                </w:tblCellMar>
              </w:tblPrEx>
              <w:trPr>
                <w:trHeight w:val="794" w:hRule="atLeast"/>
                <w:jc w:val="center"/>
              </w:trPr>
              <w:tc>
                <w:tcPr>
                  <w:tcW w:w="1219" w:type="dxa"/>
                  <w:tcBorders>
                    <w:top w:val="single" w:color="auto" w:sz="12" w:space="0"/>
                    <w:left w:val="single" w:color="auto" w:sz="12" w:space="0"/>
                    <w:bottom w:val="single" w:color="auto" w:sz="4" w:space="0"/>
                    <w:right w:val="single" w:color="auto" w:sz="4" w:space="0"/>
                    <w:tl2br w:val="single" w:color="auto" w:sz="4" w:space="0"/>
                  </w:tcBorders>
                  <w:tcMar>
                    <w:top w:w="57" w:type="dxa"/>
                    <w:left w:w="85" w:type="dxa"/>
                    <w:bottom w:w="57" w:type="dxa"/>
                    <w:right w:w="85" w:type="dxa"/>
                  </w:tcMar>
                </w:tcPr>
                <w:p w14:paraId="0E31350E">
                  <w:pPr>
                    <w:snapToGrid w:val="0"/>
                    <w:spacing w:line="240" w:lineRule="auto"/>
                    <w:ind w:right="210" w:firstLine="480"/>
                    <w:jc w:val="right"/>
                  </w:pPr>
                  <w:r>
                    <w:rPr>
                      <w:rFonts w:hint="default" w:ascii="Arial" w:hAnsi="Arial" w:eastAsia="黑体" w:cs="宋体"/>
                      <w:b w:val="0"/>
                      <w:bCs w:val="0"/>
                      <w:i w:val="0"/>
                      <w:iCs w:val="0"/>
                      <w:color w:val="000000"/>
                      <w:kern w:val="2"/>
                      <w:sz w:val="21"/>
                      <w:szCs w:val="16"/>
                      <w:highlight w:val="none"/>
                      <w:vertAlign w:val="baseline"/>
                      <w:lang w:val="en-US" w:eastAsia="zh-CN"/>
                    </w:rPr>
                    <w:t>课程思政</w:t>
                  </w:r>
                </w:p>
                <w:p w14:paraId="F503C47B">
                  <w:pPr>
                    <w:snapToGrid w:val="0"/>
                    <w:spacing w:line="240" w:lineRule="auto"/>
                    <w:ind w:right="210"/>
                    <w:jc w:val="left"/>
                  </w:pPr>
                </w:p>
                <w:p w14:paraId="648FEDD7">
                  <w:pPr>
                    <w:snapToGrid w:val="0"/>
                    <w:spacing w:line="240" w:lineRule="auto"/>
                    <w:ind w:right="210"/>
                    <w:jc w:val="left"/>
                  </w:pPr>
                  <w:r>
                    <w:rPr>
                      <w:rFonts w:hint="default" w:ascii="Arial" w:hAnsi="Arial" w:eastAsia="黑体" w:cs="宋体"/>
                      <w:b w:val="0"/>
                      <w:bCs w:val="0"/>
                      <w:i w:val="0"/>
                      <w:iCs w:val="0"/>
                      <w:color w:val="000000"/>
                      <w:kern w:val="2"/>
                      <w:sz w:val="21"/>
                      <w:szCs w:val="16"/>
                      <w:highlight w:val="none"/>
                      <w:vertAlign w:val="baseline"/>
                      <w:lang w:val="en-US" w:eastAsia="zh-CN"/>
                    </w:rPr>
                    <w:t>教学单元</w:t>
                  </w:r>
                </w:p>
              </w:tc>
              <w:tc>
                <w:tcPr>
                  <w:tcW w:w="2465"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28286AF">
                  <w:pPr>
                    <w:snapToGrid w:val="0"/>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知识点</w:t>
                  </w:r>
                </w:p>
              </w:tc>
              <w:tc>
                <w:tcPr>
                  <w:tcW w:w="1382"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08E68F9">
                  <w:pPr>
                    <w:snapToGrid w:val="0"/>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思政素材</w:t>
                  </w:r>
                </w:p>
              </w:tc>
              <w:tc>
                <w:tcPr>
                  <w:tcW w:w="1507"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14A2F59">
                  <w:pPr>
                    <w:snapToGrid w:val="0"/>
                    <w:spacing w:line="240" w:lineRule="auto"/>
                    <w:jc w:val="center"/>
                  </w:pPr>
                  <w:r>
                    <w:rPr>
                      <w:rFonts w:hint="default" w:ascii="Arial" w:hAnsi="Arial" w:eastAsia="黑体" w:cs="宋体"/>
                      <w:b w:val="0"/>
                      <w:bCs w:val="0"/>
                      <w:i w:val="0"/>
                      <w:iCs w:val="0"/>
                      <w:color w:val="000000"/>
                      <w:kern w:val="2"/>
                      <w:sz w:val="21"/>
                      <w:szCs w:val="16"/>
                      <w:highlight w:val="none"/>
                      <w:vertAlign w:val="baseline"/>
                      <w:lang w:val="en-US" w:eastAsia="zh-CN"/>
                    </w:rPr>
                    <w:t>思政目标</w:t>
                  </w:r>
                </w:p>
              </w:tc>
              <w:tc>
                <w:tcPr>
                  <w:tcW w:w="1071"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7866260E">
                  <w:pPr>
                    <w:snapToGrid w:val="0"/>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教学方法</w:t>
                  </w:r>
                </w:p>
              </w:tc>
            </w:tr>
            <w:tr w14:paraId="6702E307">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8EE49D82">
                  <w:pPr>
                    <w:spacing w:line="320" w:lineRule="exact"/>
                    <w:jc w:val="left"/>
                  </w:pPr>
                  <w:r>
                    <w:rPr>
                      <w:rFonts w:hint="default" w:ascii="宋体" w:hAnsi="宋体" w:eastAsia="宋体" w:cs="宋体"/>
                      <w:b w:val="0"/>
                      <w:bCs w:val="0"/>
                      <w:i w:val="0"/>
                      <w:iCs w:val="0"/>
                      <w:color w:val="auto"/>
                      <w:kern w:val="2"/>
                      <w:sz w:val="24"/>
                      <w:szCs w:val="24"/>
                      <w:highlight w:val="none"/>
                      <w:vertAlign w:val="baseline"/>
                      <w:lang w:val="en-US" w:eastAsia="zh-CN"/>
                    </w:rPr>
                    <w:t>1</w:t>
                  </w:r>
                  <w:r>
                    <w:rPr>
                      <w:rFonts w:hint="default" w:ascii="宋体" w:hAnsi="宋体" w:eastAsia="宋体" w:cs="Times New Roman"/>
                      <w:b w:val="0"/>
                      <w:bCs w:val="0"/>
                      <w:i w:val="0"/>
                      <w:iCs w:val="0"/>
                      <w:color w:val="auto"/>
                      <w:kern w:val="2"/>
                      <w:sz w:val="20"/>
                      <w:szCs w:val="20"/>
                      <w:highlight w:val="none"/>
                      <w:vertAlign w:val="baseline"/>
                      <w:lang w:val="en-US" w:eastAsia="zh-CN" w:bidi="ar-SA"/>
                    </w:rPr>
                    <w:t>病因概述 细菌</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A9F51A1">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.知道细菌的基本性质、革兰氏阳性菌、革兰氏阴性菌、抗酸杆菌、支原体、螺旋体、立克次体、衣原体、放线菌的生物学特征、致病性、检测与防治。</w:t>
                  </w:r>
                </w:p>
                <w:p w14:paraId="EADEB60E">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2.理解细菌的分布与消毒灭菌、细菌的感染</w:t>
                  </w:r>
                </w:p>
                <w:p w14:paraId="E9FFB124">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3.运用细菌感染的实验室诊断与防治原则，疾病的外源性因素，疾病的内源性因素。</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FAB91858">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党中央、国务院高度重视人民卫生健康于2016年10月25日发布《健康中国2030规划纲要》。这是我国首次在国家层面提出的健康领域中的长期规划。</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27955A67">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知晓该规划的核心是以人民健康为中心，坚持以基层为重点，以改革创新为动力，预防为主中西医并重把健康融入所有政策。人民共建共享的卫生与健康工作方针。</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835D7DF">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9A0FD411">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65CB4959">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84C95EBB">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839035DF">
                  <w:pPr>
                    <w:snapToGrid w:val="0"/>
                    <w:spacing w:line="320" w:lineRule="exact"/>
                    <w:jc w:val="left"/>
                  </w:pPr>
                  <w:r>
                    <w:rPr>
                      <w:rFonts w:hint="default" w:ascii="宋体" w:hAnsi="宋体" w:eastAsia="宋体" w:cs="宋体"/>
                      <w:b w:val="0"/>
                      <w:bCs w:val="0"/>
                      <w:i w:val="0"/>
                      <w:iCs w:val="0"/>
                      <w:color w:val="auto"/>
                      <w:kern w:val="2"/>
                      <w:sz w:val="24"/>
                      <w:szCs w:val="24"/>
                      <w:highlight w:val="none"/>
                      <w:vertAlign w:val="baseline"/>
                      <w:lang w:val="en-US" w:eastAsia="zh-CN"/>
                    </w:rPr>
                    <w:t>2</w:t>
                  </w:r>
                  <w:r>
                    <w:rPr>
                      <w:rFonts w:hint="default" w:ascii="宋体" w:hAnsi="宋体" w:eastAsia="宋体" w:cs="Times New Roman"/>
                      <w:b w:val="0"/>
                      <w:bCs w:val="0"/>
                      <w:i w:val="0"/>
                      <w:iCs w:val="0"/>
                      <w:color w:val="auto"/>
                      <w:kern w:val="2"/>
                      <w:sz w:val="20"/>
                      <w:szCs w:val="20"/>
                      <w:highlight w:val="none"/>
                      <w:vertAlign w:val="baseline"/>
                      <w:lang w:val="en-US" w:eastAsia="zh-CN" w:bidi="ar-SA"/>
                    </w:rPr>
                    <w:t>真菌 病毒</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DBCCFCA4">
                  <w:pPr>
                    <w:snapToGrid w:val="0"/>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.能够根据真菌和病毒的特征，对临床的各种病原体感染现象做出分析和初步诊断。能够运用病原体的检测和防治原则。</w:t>
                  </w:r>
                </w:p>
                <w:p w14:paraId="3AB79534">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2.培养积极对待和正确认识真菌和病毒感染的认知能力和防治措施。</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54304056">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巴斯德与鹅颈烧瓶实验。巴氏消毒法的创立。</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C8E31999">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巴斯德以严谨求实的治学态度，用实践去检验理论，最终推动微生物学的进步。</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5DBD1C23">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3EFBC621">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BD95719B">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03532F7E">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0FDD227B">
                  <w:pPr>
                    <w:snapToGrid w:val="0"/>
                    <w:spacing w:line="320" w:lineRule="exact"/>
                    <w:jc w:val="left"/>
                  </w:pPr>
                  <w:r>
                    <w:rPr>
                      <w:rFonts w:hint="default" w:ascii="宋体" w:hAnsi="宋体" w:eastAsia="宋体" w:cs="宋体"/>
                      <w:b w:val="0"/>
                      <w:bCs w:val="0"/>
                      <w:i w:val="0"/>
                      <w:iCs w:val="0"/>
                      <w:color w:val="auto"/>
                      <w:kern w:val="2"/>
                      <w:sz w:val="24"/>
                      <w:szCs w:val="24"/>
                      <w:highlight w:val="none"/>
                      <w:vertAlign w:val="baseline"/>
                      <w:lang w:val="en-US" w:eastAsia="zh-CN"/>
                    </w:rPr>
                    <w:t>3</w:t>
                  </w: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医学病毒、蠕虫</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2309A421">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肝炎病毒（甲型肝炎病毒、乙型肝炎病毒、丙型肝炎病毒、丁型肝炎病毒、戊型肝炎病毒）、虫媒病毒和出血热病毒、疱疹病毒、反转录病毒的生物学性状、致病特点、微生物学检查方法、防治原则。知道线虫、吸虫的感染方式和致病特点。</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3CC28F7">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1、上世纪八十年代的上海甲肝大爆发、我国的乙肝流行病学特征。</w:t>
                  </w:r>
                </w:p>
                <w:p w14:paraId="0A218771">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2、青蒿素与屠呦呦。</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76DB5D8">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1、了解病毒性肝炎可防、可控、可治。2、抗疟道路上的中国智慧和中国贡献。</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588B200">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465D8F0C">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5EC35CA2">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6B9BF1C3">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C08EC5A1">
                  <w:pPr>
                    <w:snapToGrid w:val="0"/>
                    <w:spacing w:line="320" w:lineRule="exact"/>
                    <w:jc w:val="left"/>
                  </w:pPr>
                  <w:r>
                    <w:rPr>
                      <w:rFonts w:hint="default" w:ascii="宋体" w:hAnsi="宋体" w:eastAsia="宋体" w:cs="宋体"/>
                      <w:b w:val="0"/>
                      <w:bCs w:val="0"/>
                      <w:i w:val="0"/>
                      <w:iCs w:val="0"/>
                      <w:color w:val="auto"/>
                      <w:kern w:val="2"/>
                      <w:sz w:val="24"/>
                      <w:szCs w:val="24"/>
                      <w:highlight w:val="none"/>
                      <w:vertAlign w:val="baseline"/>
                      <w:lang w:val="en-US" w:eastAsia="zh-CN"/>
                    </w:rPr>
                    <w:t>4</w:t>
                  </w: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医学原虫、节肢动物</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5319A66">
                  <w:pPr>
                    <w:snapToGrid w:val="0"/>
                    <w:spacing w:line="320" w:lineRule="exact"/>
                    <w:jc w:val="both"/>
                  </w:pPr>
                  <w:r>
                    <w:rPr>
                      <w:rFonts w:hint="default" w:ascii="宋体" w:hAnsi="宋体" w:eastAsia="宋体" w:cs="Times New Roman"/>
                      <w:b w:val="0"/>
                      <w:bCs w:val="0"/>
                      <w:i w:val="0"/>
                      <w:iCs w:val="0"/>
                      <w:color w:val="auto"/>
                      <w:kern w:val="2"/>
                      <w:sz w:val="20"/>
                      <w:szCs w:val="20"/>
                      <w:highlight w:val="none"/>
                      <w:vertAlign w:val="baseline"/>
                      <w:lang w:val="en-US" w:eastAsia="zh-CN" w:bidi="ar-SA"/>
                    </w:rPr>
                    <w:t>.能判断蛔虫、钩虫、吸虫、绦虫的结构特点。</w:t>
                  </w:r>
                </w:p>
                <w:p w14:paraId="0893CB72">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2.能阐述蛔虫、钩虫、吸虫、绦虫的流行病学特点与防治</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70F092A9">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我国20世纪50年代消灭血吸虫传媒介钉螺。为控制血吸虫病的传播提供了重要基础。自20世纪70年代基本消灭了钉螺。送瘟神。</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1E6D63D">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我国在血吸虫病防治的成就：1、消灭了血吸虫的传播媒介钉螺。2、实现了血吸虫病的控制和消除。3、建立了完善的监测体系。4、提高了公众的健康意识。</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796EE61">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8E0E6BBB">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EBA2F77D">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B32F2C59">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09DE3900">
                  <w:pPr>
                    <w:spacing w:line="240" w:lineRule="auto"/>
                    <w:jc w:val="cente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5</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免疫与免疫系统、 抗原</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9A6724B9">
                  <w:pPr>
                    <w:snapToGrid w:val="0"/>
                    <w:spacing w:line="320" w:lineRule="exact"/>
                    <w:jc w:val="both"/>
                  </w:pPr>
                  <w:r>
                    <w:rPr>
                      <w:rFonts w:hint="default" w:ascii="宋体" w:hAnsi="宋体" w:eastAsia="宋体" w:cs="Times New Roman"/>
                      <w:b w:val="0"/>
                      <w:bCs w:val="0"/>
                      <w:i w:val="0"/>
                      <w:iCs w:val="0"/>
                      <w:color w:val="auto"/>
                      <w:kern w:val="2"/>
                      <w:sz w:val="20"/>
                      <w:szCs w:val="20"/>
                      <w:highlight w:val="none"/>
                      <w:vertAlign w:val="baseline"/>
                      <w:lang w:val="en-US" w:eastAsia="zh-CN" w:bidi="ar-SA"/>
                    </w:rPr>
                    <w:t>.知道免疫的概念、免疫系统的组成及功能；掌握抗原的概念和特征；掌握抗原表位、的概念。</w:t>
                  </w:r>
                </w:p>
                <w:p w14:paraId="A8AA5B3A">
                  <w:pPr>
                    <w:snapToGrid w:val="0"/>
                    <w:spacing w:line="320" w:lineRule="exact"/>
                    <w:jc w:val="both"/>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2.理解抗原的特异性、抗体的基本结构、抗体的生物学活性及主要生物学功能。</w:t>
                  </w:r>
                </w:p>
                <w:p w14:paraId="F5A554C3">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3.运用抗原的种类和医学中常见的抗原物质。</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AEC65F6">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2020年初武汉爆发新冠疫情，各地医护人员奔赴武汉抗击新冠肺炎疫情的先进事迹。</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3D3C46A">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白衣天使们不惧感染风险，以大无畏精神救死扶伤。另一方面，也要做好防护、规范操作，把感染风险降到最低，我们所提倡的大无畏并不是盲目牺牲，而是在做好万全准备的前提下有的放矢。</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17C37259">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01C58C89">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20ECB64D">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97FFFD9D">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041D9962">
                  <w:pPr>
                    <w:snapToGrid w:val="0"/>
                    <w:spacing w:line="320" w:lineRule="exact"/>
                    <w:jc w:val="left"/>
                  </w:pPr>
                  <w:r>
                    <w:rPr>
                      <w:rFonts w:hint="default" w:ascii="宋体" w:hAnsi="宋体" w:eastAsia="宋体" w:cs="宋体"/>
                      <w:b w:val="0"/>
                      <w:bCs w:val="0"/>
                      <w:i w:val="0"/>
                      <w:iCs w:val="0"/>
                      <w:color w:val="auto"/>
                      <w:kern w:val="2"/>
                      <w:sz w:val="24"/>
                      <w:szCs w:val="24"/>
                      <w:highlight w:val="none"/>
                      <w:vertAlign w:val="baseline"/>
                      <w:lang w:val="en-US" w:eastAsia="zh-CN"/>
                    </w:rPr>
                    <w:t>6</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免疫分子、主要组织相容性复合体</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9529ECA">
                  <w:pPr>
                    <w:snapToGrid w:val="0"/>
                    <w:spacing w:line="320" w:lineRule="exact"/>
                    <w:jc w:val="both"/>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1.知道抗体、补体、细胞因子的概念；知道主要组织相容性复合体的概念、基因特点。掌握补体系统的经典激活途径。</w:t>
                  </w:r>
                </w:p>
                <w:p w14:paraId="D89F9EAF">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2.掌握抗体的基本结构、抗体的生物学活性及主要生物学功能。熟悉补体系统各成分的主要生物学作用、补体系统的替代激活途径及MBL激活途径；熟悉HLA分子的结构、分布和与医学的相关性。</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5080CBC">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国家免疫计划是指由政府主导通过免费或低价为公民提供免疫性疫苗接种服务的计划。</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057D277">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国家免疫计划的意义在于：1、提高免疫接种率。2、防止疾病传播。3、保护弱势群体。4、节省医疗资源。5、提升公众健康水平。6、促进经济发展。</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CEDFF3B5">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888522E2">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FDBAE36A">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AA8005E4">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B8C93A7B">
                  <w:pPr>
                    <w:snapToGrid w:val="0"/>
                    <w:spacing w:line="320" w:lineRule="exact"/>
                    <w:jc w:val="left"/>
                  </w:pPr>
                  <w:r>
                    <w:rPr>
                      <w:rFonts w:hint="default" w:ascii="宋体" w:hAnsi="宋体" w:eastAsia="宋体" w:cs="宋体"/>
                      <w:b w:val="0"/>
                      <w:bCs w:val="0"/>
                      <w:i w:val="0"/>
                      <w:iCs w:val="0"/>
                      <w:color w:val="auto"/>
                      <w:kern w:val="2"/>
                      <w:sz w:val="24"/>
                      <w:szCs w:val="24"/>
                      <w:highlight w:val="none"/>
                      <w:vertAlign w:val="baseline"/>
                      <w:lang w:val="en-US" w:eastAsia="zh-CN"/>
                    </w:rPr>
                    <w:t>7</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免疫细胞、免疫应答</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54EEB3A7">
                  <w:pPr>
                    <w:snapToGrid w:val="0"/>
                    <w:spacing w:line="320" w:lineRule="exact"/>
                    <w:jc w:val="both"/>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1.知道免疫细胞的分化和发育、固有免疫细胞、适应性免疫细胞、提呈免疫细胞、免疫应答的概念。</w:t>
                  </w:r>
                </w:p>
                <w:p w14:paraId="486E6EB0">
                  <w:pPr>
                    <w:snapToGrid w:val="0"/>
                    <w:spacing w:line="320" w:lineRule="exact"/>
                    <w:jc w:val="both"/>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2.理解T、B淋巴细胞介导的免疫应答的基本过程（抗原的加工处理及提呈；“双信号”学说）。</w:t>
                  </w:r>
                </w:p>
                <w:p w14:paraId="2477C1BA">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HLA复合体基因组成，HLA的分子结构与分布。熟悉MHC分子的生物学意义。免疫应答的类型（体液、细胞免疫；初次、再次应答；正向、负向应答）。了解综合免疫应答的结局（免疫保护作用、免疫损伤作用、免疫耐受现象）。</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25A3A7F">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人类消灭天花的壮举。</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6D92BE2D">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1、全球公共卫生的胜利。2、减少死亡和残疾。3、减少巨量的经济损失。4、消除了生物恐怖主义。5、具有难得的科学研究价值。</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2BDE55B3">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DF63B3EC">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CF094A2A">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310E268A">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0E1A4004">
                  <w:pPr>
                    <w:spacing w:line="240" w:lineRule="auto"/>
                    <w:jc w:val="cente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8</w:t>
                  </w:r>
                  <w:r>
                    <w:rPr>
                      <w:rFonts w:hint="default" w:ascii="宋体" w:hAnsi="宋体" w:eastAsia="宋体" w:cs="Times New Roman"/>
                      <w:b w:val="0"/>
                      <w:bCs w:val="0"/>
                      <w:i w:val="0"/>
                      <w:iCs w:val="0"/>
                      <w:color w:val="auto"/>
                      <w:kern w:val="2"/>
                      <w:sz w:val="20"/>
                      <w:szCs w:val="20"/>
                      <w:highlight w:val="none"/>
                      <w:vertAlign w:val="baseline"/>
                      <w:lang w:val="en-US" w:eastAsia="zh-CN" w:bidi="ar-SA"/>
                    </w:rPr>
                    <w:t>抗感染免疫、免疫调节和免疫耐受</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89F51C2">
                  <w:pPr>
                    <w:snapToGrid w:val="0"/>
                    <w:spacing w:line="320" w:lineRule="exact"/>
                    <w:jc w:val="both"/>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1.知道抗感染过程中，人体具有的三道基本防线；掌握宿主抗不同病原体的免疫特点</w:t>
                  </w:r>
                </w:p>
                <w:p w14:paraId="3ED41122">
                  <w:pPr>
                    <w:snapToGrid w:val="0"/>
                    <w:spacing w:line="320" w:lineRule="exact"/>
                    <w:jc w:val="both"/>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2.理解免疫耐受的形成与表现</w:t>
                  </w:r>
                </w:p>
                <w:p w14:paraId="55D7FB87">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3.运用免疫调节的机制</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6D13C9F0">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抗生素的滥用与耐药。</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D0A145D">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全球面临的公共危机。</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9DFB223D">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DC2636F7">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14293AAB">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2CB16CA3">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DF5F3CA5">
                  <w:pPr>
                    <w:snapToGrid w:val="0"/>
                    <w:spacing w:line="320" w:lineRule="exact"/>
                    <w:jc w:val="left"/>
                  </w:pPr>
                  <w:r>
                    <w:rPr>
                      <w:rFonts w:hint="default" w:ascii="宋体" w:hAnsi="宋体" w:eastAsia="宋体" w:cs="宋体"/>
                      <w:b w:val="0"/>
                      <w:bCs w:val="0"/>
                      <w:i w:val="0"/>
                      <w:iCs w:val="0"/>
                      <w:color w:val="auto"/>
                      <w:kern w:val="2"/>
                      <w:sz w:val="24"/>
                      <w:szCs w:val="24"/>
                      <w:highlight w:val="none"/>
                      <w:vertAlign w:val="baseline"/>
                      <w:lang w:val="en-US" w:eastAsia="zh-CN"/>
                    </w:rPr>
                    <w:t>9</w:t>
                  </w:r>
                  <w:r>
                    <w:rPr>
                      <w:rFonts w:hint="default" w:ascii="宋体" w:hAnsi="宋体" w:eastAsia="宋体" w:cs="Times New Roman"/>
                      <w:b w:val="0"/>
                      <w:bCs w:val="0"/>
                      <w:i w:val="0"/>
                      <w:iCs w:val="0"/>
                      <w:color w:val="auto"/>
                      <w:kern w:val="2"/>
                      <w:sz w:val="20"/>
                      <w:szCs w:val="20"/>
                      <w:highlight w:val="none"/>
                      <w:vertAlign w:val="baseline"/>
                      <w:lang w:val="en-US" w:eastAsia="zh-CN" w:bidi="ar-SA"/>
                    </w:rPr>
                    <w:t>组织细胞的适应和损伤、血液循环障碍</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CB6A03D">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适应中肥大、萎缩、增生、化生的概念。掌握细胞物质积聚中水变性、脂肪变性、透明样变性的概念。细胞死亡中坏死、细胞凋亡的概念。掌握充血、出血、血栓形成、梗死、DIC、休克形成原因和发生机制。</w:t>
                  </w:r>
                </w:p>
                <w:p w14:paraId="6C767C35">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2.理解再生、纤维性修复、创伤愈合的过程；熟悉栓塞的过程，影响DIC发生发展的因素、休克的发生机制。       3.运用创伤愈合的过程和影响创伤愈合的因素；了解DIC的诊断和防治原则；了解休克防治。</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F37035BF">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1、白求恩大夫牺牲的原因。</w:t>
                  </w:r>
                </w:p>
                <w:p w14:paraId="3AEEC6A5">
                  <w:pPr>
                    <w:spacing w:line="240" w:lineRule="auto"/>
                    <w:jc w:val="center"/>
                  </w:pPr>
                </w:p>
                <w:p w14:paraId="76E49C8B">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2、sepesis /sepesis shock与《巴塞罗那宣言》</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51AE42ED">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伟大的国际主义精神与救死扶伤的精神相结合。</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CC82294">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223DD58D">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5D0C1160">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E5C360B3">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E41C9900">
                  <w:pPr>
                    <w:spacing w:line="240" w:lineRule="auto"/>
                    <w:jc w:val="cente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10</w:t>
                  </w:r>
                  <w:r>
                    <w:rPr>
                      <w:rFonts w:hint="default" w:ascii="宋体" w:hAnsi="宋体" w:eastAsia="宋体" w:cs="Times New Roman"/>
                      <w:b w:val="0"/>
                      <w:bCs w:val="0"/>
                      <w:i w:val="0"/>
                      <w:iCs w:val="0"/>
                      <w:color w:val="auto"/>
                      <w:kern w:val="2"/>
                      <w:sz w:val="20"/>
                      <w:szCs w:val="20"/>
                      <w:highlight w:val="none"/>
                      <w:vertAlign w:val="baseline"/>
                      <w:lang w:val="en-US" w:eastAsia="zh-CN" w:bidi="ar-SA"/>
                    </w:rPr>
                    <w:t>炎症与发热，水、 电解质代谢紊乱与酸碱平衡紊乱</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26B5354">
                  <w:pPr>
                    <w:spacing w:line="31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1.知道炎症和发热的概念，发热的分期和热代谢特点。掌握脱水、水肿的概念，低血钾血症、高血钾血症的概念。炎症基本病理变化，炎症局部表现，急性炎症过程中的白细胞反应，急性炎症病理学类型。</w:t>
                  </w:r>
                </w:p>
                <w:p w14:paraId="C49EA337">
                  <w:pPr>
                    <w:spacing w:line="31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2.理解慢性炎症概念；炎症全身反应；炎症意义；急性炎症过程中的血管反应；急性炎症结局；慢性炎症原因及类型。熟悉各型脱水临床表现；水肿发生原因及基本机制；低钾血症和高钾血症对机体的影响。</w:t>
                  </w:r>
                </w:p>
                <w:p w14:paraId="F4E5E172">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3.运用炎症原因、分类；类症介质作用；了解发热发生机制、机体代谢和功能变化和防治病理生理基础。了解各型脱水、低钾血症和高钾血症原因及其防治病理生理学基础。</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B338978">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祖国医学对炎症的不同认识以及诊治上的中医智慧与贡献。</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A2647F7">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中医认为：1、病因：炎症的产生与外邪入侵，饮食不洁，情志不畅等因素有关。2、病机：炎症的产生与体内的气血运行不畅有关，3、症状：通常包括红、肿、热、痛。4、治疗：主要是通过调和气血，清热解毒。5、预防：关键是保持气血运行通畅。</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850B631">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18F30121">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2BFB760B">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FBF25CA7">
              <w:tblPrEx>
                <w:tblCellMar>
                  <w:top w:w="57" w:type="dxa"/>
                  <w:left w:w="85" w:type="dxa"/>
                  <w:bottom w:w="57" w:type="dxa"/>
                  <w:right w:w="85" w:type="dxa"/>
                </w:tblCellMar>
              </w:tblPrEx>
              <w:trPr>
                <w:trHeight w:val="403"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C72129DD">
                  <w:pPr>
                    <w:spacing w:line="240" w:lineRule="auto"/>
                    <w:jc w:val="cente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11缺氧</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00449988">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1.知道缺氧的概念、各种类型缺氧的原因、发生机制和血氧变化特点。</w:t>
                  </w:r>
                </w:p>
                <w:p w14:paraId="EA1C2044">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2.理解缺氧时机体功能和代谢变化；缺氧防治与护理的病理生理学基础。</w:t>
                  </w:r>
                </w:p>
                <w:p w14:paraId="556D1BDC">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3.运用影响机体对缺氧耐受性的因素</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26540278">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青藏高原上戍边为国的英模集体的故事。</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564EB31">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在喀什昆仑高原官兵们战斗在卫国戍边一线。面对缺氧、寒冷等困难，用生命和鲜血捍卫每一寸国土。</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4A88F98">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A1FA8438">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215758D1">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2C53E074">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3BA18212">
                  <w:pPr>
                    <w:spacing w:line="240" w:lineRule="auto"/>
                    <w:jc w:val="cente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12肿瘤</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EFE8322">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1.知道肿瘤、分化、异型性、种植性转移、癌、肉瘤、癌前疾病(病变)、异型增生和原位癌概念；肿瘤的形态；肿瘤的生长；肿瘤的扩散；肿瘤的一般命名原则；良、恶性肿瘤的区别；常见的癌前疾病(病变)。</w:t>
                  </w:r>
                </w:p>
                <w:p w14:paraId="B90CD720">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2.熟悉肿瘤的异型性表现；肿瘤对机体的影响；肿的异型增生。</w:t>
                  </w:r>
                </w:p>
                <w:p w14:paraId="382AED28">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3.了解肿瘤的特殊命名原则；肿瘤的分类；癌与内瘤的区别；肿瘤的原因及发生机制。</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BF41740">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我国肿瘤防治的现状</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791A381">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早筛查，早发现，早诊断，早治疗，早康复。</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A856AD2">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1BC22633">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21AB20CB">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1388582A">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4A49286B">
                  <w:pPr>
                    <w:snapToGrid w:val="0"/>
                    <w:spacing w:line="320" w:lineRule="exact"/>
                    <w:jc w:val="center"/>
                  </w:pPr>
                  <w:r>
                    <w:rPr>
                      <w:rFonts w:hint="default" w:ascii="宋体" w:hAnsi="宋体" w:eastAsia="宋体" w:cs="宋体"/>
                      <w:b w:val="0"/>
                      <w:bCs w:val="0"/>
                      <w:i w:val="0"/>
                      <w:iCs w:val="0"/>
                      <w:color w:val="auto"/>
                      <w:kern w:val="2"/>
                      <w:sz w:val="24"/>
                      <w:szCs w:val="24"/>
                      <w:highlight w:val="none"/>
                      <w:vertAlign w:val="baseline"/>
                      <w:lang w:val="en-US" w:eastAsia="zh-CN"/>
                    </w:rPr>
                    <w:t>13</w:t>
                  </w:r>
                  <w:r>
                    <w:rPr>
                      <w:rFonts w:hint="default" w:ascii="宋体" w:hAnsi="宋体" w:eastAsia="宋体" w:cs="Times New Roman"/>
                      <w:b w:val="0"/>
                      <w:bCs w:val="0"/>
                      <w:i w:val="0"/>
                      <w:iCs w:val="0"/>
                      <w:color w:val="auto"/>
                      <w:kern w:val="2"/>
                      <w:sz w:val="20"/>
                      <w:szCs w:val="20"/>
                      <w:highlight w:val="none"/>
                      <w:vertAlign w:val="baseline"/>
                      <w:lang w:val="en-US" w:eastAsia="zh-CN" w:bidi="ar-SA"/>
                    </w:rPr>
                    <w:t>免疫系统疾病、呼吸系统疾病</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E3D8588">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1.知道四型超敏反应的发生原因、临床表现。自身免疫性疾病的基本特征与分类。免疫缺陷并的分类。掌握免疫缺陷并HIV的临床表现和分歧。掌握大叶性肺炎和小叶性肺炎概念；大叶性肺炎、小叶性肺炎病理交化及临床病理联系。</w:t>
                  </w:r>
                </w:p>
                <w:p w14:paraId="0904BA81">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2.理解四型超敏反应的发生机制，自身免疫性疾病的病因和发生机制。熟悉移植免疫。熟悉病毒性肺炎、慢性阻塞性肺疾病、肺心病的发病机制、病理变化及临床病理联系性、结局及并发症。</w:t>
                  </w:r>
                </w:p>
                <w:p w14:paraId="26167746">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3.运用移植免疫中排斥反应的识别机制。</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2E896DA3">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我国结核病防治的现状。</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AEB5937">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我国是全球结核病的高负担国家之一，2019年我国新发结核病病例数为86.6万。位列全球第三。</w:t>
                  </w:r>
                </w:p>
                <w:p w14:paraId="1F67CA81">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结核病防治任重道远。</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A990927">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A6AF0930">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2C669A37">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B8529BDD">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634826A8">
                  <w:pPr>
                    <w:snapToGrid w:val="0"/>
                    <w:spacing w:line="320" w:lineRule="exact"/>
                    <w:jc w:val="center"/>
                  </w:pPr>
                  <w:r>
                    <w:rPr>
                      <w:rFonts w:hint="default" w:ascii="宋体" w:hAnsi="宋体" w:eastAsia="宋体" w:cs="宋体"/>
                      <w:b w:val="0"/>
                      <w:bCs w:val="0"/>
                      <w:i w:val="0"/>
                      <w:iCs w:val="0"/>
                      <w:color w:val="auto"/>
                      <w:kern w:val="2"/>
                      <w:sz w:val="24"/>
                      <w:szCs w:val="24"/>
                      <w:highlight w:val="none"/>
                      <w:vertAlign w:val="baseline"/>
                      <w:lang w:val="en-US" w:eastAsia="zh-CN"/>
                    </w:rPr>
                    <w:t>14</w:t>
                  </w:r>
                  <w:r>
                    <w:rPr>
                      <w:rFonts w:hint="default" w:ascii="宋体" w:hAnsi="宋体" w:eastAsia="宋体" w:cs="Times New Roman"/>
                      <w:b w:val="0"/>
                      <w:bCs w:val="0"/>
                      <w:i w:val="0"/>
                      <w:iCs w:val="0"/>
                      <w:color w:val="auto"/>
                      <w:kern w:val="2"/>
                      <w:sz w:val="20"/>
                      <w:szCs w:val="20"/>
                      <w:highlight w:val="none"/>
                      <w:vertAlign w:val="baseline"/>
                      <w:lang w:val="en-US" w:eastAsia="zh-CN" w:bidi="ar-SA"/>
                    </w:rPr>
                    <w:t>循环系统疾病、消化系统疾病</w:t>
                  </w:r>
                </w:p>
              </w:tc>
              <w:tc>
                <w:tcPr>
                  <w:tcW w:w="24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7128F596">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1.掌握动脉粥样硬化、冠心病、高血压病、风湿病的概念和病理变化；知道消化性溃疡病、病毒性肝炎、肝硬化和消化道肿瘤的概念及基本病理变化</w:t>
                  </w:r>
                </w:p>
                <w:p w14:paraId="49AE1FBA">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2.理解冠心病、高血压病、消化道溃疡、病毒性肝炎的病因和发病机制</w:t>
                  </w:r>
                </w:p>
                <w:p w14:paraId="F6DF83CB">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3.运用循环系统和消化系统疾病的防治原则。</w:t>
                  </w:r>
                </w:p>
              </w:tc>
              <w:tc>
                <w:tcPr>
                  <w:tcW w:w="13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DFCA5A22">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社区卫生高血压病的慢病管理</w:t>
                  </w:r>
                </w:p>
              </w:tc>
              <w:tc>
                <w:tcPr>
                  <w:tcW w:w="1507"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24156126">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贯彻落实《健康中国2030规划纲要》</w:t>
                  </w:r>
                </w:p>
              </w:tc>
              <w:tc>
                <w:tcPr>
                  <w:tcW w:w="1071"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D6AE6D09">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72FA1353">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BB5A9221">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C1744ACE">
              <w:tblPrEx>
                <w:tblCellMar>
                  <w:top w:w="57" w:type="dxa"/>
                  <w:left w:w="85" w:type="dxa"/>
                  <w:bottom w:w="57" w:type="dxa"/>
                  <w:right w:w="85" w:type="dxa"/>
                </w:tblCellMar>
              </w:tblPrEx>
              <w:trPr>
                <w:trHeight w:val="340" w:hRule="atLeast"/>
                <w:jc w:val="center"/>
              </w:trPr>
              <w:tc>
                <w:tcPr>
                  <w:tcW w:w="1219" w:type="dxa"/>
                  <w:tcBorders>
                    <w:top w:val="single" w:color="auto" w:sz="4" w:space="0"/>
                    <w:left w:val="single" w:color="auto" w:sz="12" w:space="0"/>
                    <w:bottom w:val="single" w:color="auto" w:sz="12" w:space="0"/>
                    <w:right w:val="single" w:color="auto" w:sz="4" w:space="0"/>
                  </w:tcBorders>
                  <w:tcMar>
                    <w:top w:w="57" w:type="dxa"/>
                    <w:left w:w="85" w:type="dxa"/>
                    <w:bottom w:w="57" w:type="dxa"/>
                    <w:right w:w="85" w:type="dxa"/>
                  </w:tcMar>
                </w:tcPr>
                <w:p w14:paraId="21132114">
                  <w:pPr>
                    <w:snapToGrid w:val="0"/>
                    <w:spacing w:line="320" w:lineRule="exact"/>
                    <w:jc w:val="center"/>
                  </w:pPr>
                  <w:r>
                    <w:rPr>
                      <w:rFonts w:hint="default" w:ascii="宋体" w:hAnsi="宋体" w:eastAsia="宋体" w:cs="宋体"/>
                      <w:b w:val="0"/>
                      <w:bCs w:val="0"/>
                      <w:i w:val="0"/>
                      <w:iCs w:val="0"/>
                      <w:color w:val="auto"/>
                      <w:kern w:val="2"/>
                      <w:sz w:val="24"/>
                      <w:szCs w:val="24"/>
                      <w:highlight w:val="none"/>
                      <w:vertAlign w:val="baseline"/>
                      <w:lang w:val="en-US" w:eastAsia="zh-CN"/>
                    </w:rPr>
                    <w:t>15</w:t>
                  </w:r>
                  <w:r>
                    <w:rPr>
                      <w:rFonts w:hint="default" w:ascii="宋体" w:hAnsi="宋体" w:eastAsia="宋体" w:cs="Times New Roman"/>
                      <w:b w:val="0"/>
                      <w:bCs w:val="0"/>
                      <w:i w:val="0"/>
                      <w:iCs w:val="0"/>
                      <w:color w:val="auto"/>
                      <w:kern w:val="2"/>
                      <w:sz w:val="20"/>
                      <w:szCs w:val="20"/>
                      <w:highlight w:val="none"/>
                      <w:vertAlign w:val="baseline"/>
                      <w:lang w:val="en-US" w:eastAsia="zh-CN" w:bidi="ar-SA"/>
                    </w:rPr>
                    <w:t>泌尿系统疾病</w:t>
                  </w:r>
                </w:p>
                <w:p w14:paraId="179116CD">
                  <w:pPr>
                    <w:snapToGrid w:val="0"/>
                    <w:spacing w:line="320" w:lineRule="exact"/>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内分泌系统疾病</w:t>
                  </w:r>
                </w:p>
              </w:tc>
              <w:tc>
                <w:tcPr>
                  <w:tcW w:w="2465" w:type="dxa"/>
                  <w:tcBorders>
                    <w:top w:val="single" w:color="auto" w:sz="4" w:space="0"/>
                    <w:left w:val="single" w:color="auto" w:sz="4" w:space="0"/>
                    <w:bottom w:val="single" w:color="auto" w:sz="12" w:space="0"/>
                    <w:right w:val="single" w:color="auto" w:sz="4" w:space="0"/>
                  </w:tcBorders>
                  <w:tcMar>
                    <w:top w:w="57" w:type="dxa"/>
                    <w:left w:w="85" w:type="dxa"/>
                    <w:bottom w:w="57" w:type="dxa"/>
                    <w:right w:w="85" w:type="dxa"/>
                  </w:tcMar>
                  <w:vAlign w:val="center"/>
                </w:tcPr>
                <w:p w14:paraId="6B0CACCB">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.掌握肾小球肾炎、肾盂肾炎、肾衰竭、甲状腺肿、甲状腺癌、糖尿病的基本病理变化。</w:t>
                  </w:r>
                </w:p>
                <w:p w14:paraId="2560E8DE">
                  <w:pPr>
                    <w:spacing w:line="320" w:lineRule="exact"/>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2.理解肾小球肾炎、肾盂肾炎、肾衰竭、甲状腺肿、甲状腺癌、糖尿病的病因和发病机制</w:t>
                  </w:r>
                </w:p>
                <w:p w14:paraId="6274FAA8">
                  <w:pPr>
                    <w:spacing w:line="240" w:lineRule="auto"/>
                    <w:jc w:val="center"/>
                  </w:pPr>
                  <w:r>
                    <w:rPr>
                      <w:rFonts w:hint="default" w:ascii="宋体" w:hAnsi="宋体" w:eastAsia="宋体" w:cs="Times New Roman"/>
                      <w:b w:val="0"/>
                      <w:bCs w:val="0"/>
                      <w:i w:val="0"/>
                      <w:iCs w:val="0"/>
                      <w:color w:val="auto"/>
                      <w:kern w:val="2"/>
                      <w:sz w:val="20"/>
                      <w:szCs w:val="20"/>
                      <w:highlight w:val="none"/>
                      <w:vertAlign w:val="baseline"/>
                      <w:lang w:val="en-US" w:eastAsia="zh-CN" w:bidi="ar-SA"/>
                    </w:rPr>
                    <w:t>3.运用肾小球肾炎、肾盂肾炎、肾衰竭、甲状腺肿、甲状腺癌、糖尿病的防治原则。</w:t>
                  </w:r>
                </w:p>
              </w:tc>
              <w:tc>
                <w:tcPr>
                  <w:tcW w:w="1382" w:type="dxa"/>
                  <w:tcBorders>
                    <w:top w:val="single" w:color="auto" w:sz="4" w:space="0"/>
                    <w:left w:val="single" w:color="auto" w:sz="4" w:space="0"/>
                    <w:bottom w:val="single" w:color="auto" w:sz="12" w:space="0"/>
                    <w:right w:val="single" w:color="auto" w:sz="4" w:space="0"/>
                  </w:tcBorders>
                  <w:tcMar>
                    <w:top w:w="57" w:type="dxa"/>
                    <w:left w:w="85" w:type="dxa"/>
                    <w:bottom w:w="57" w:type="dxa"/>
                    <w:right w:w="85" w:type="dxa"/>
                  </w:tcMar>
                  <w:vAlign w:val="center"/>
                </w:tcPr>
                <w:p w14:paraId="411A65B1">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尿毒症与血液净化技术。</w:t>
                  </w:r>
                </w:p>
              </w:tc>
              <w:tc>
                <w:tcPr>
                  <w:tcW w:w="1507" w:type="dxa"/>
                  <w:tcBorders>
                    <w:top w:val="single" w:color="auto" w:sz="4" w:space="0"/>
                    <w:left w:val="single" w:color="auto" w:sz="4" w:space="0"/>
                    <w:bottom w:val="single" w:color="auto" w:sz="12" w:space="0"/>
                    <w:right w:val="single" w:color="auto" w:sz="4" w:space="0"/>
                  </w:tcBorders>
                  <w:tcMar>
                    <w:top w:w="57" w:type="dxa"/>
                    <w:left w:w="85" w:type="dxa"/>
                    <w:bottom w:w="57" w:type="dxa"/>
                    <w:right w:w="85" w:type="dxa"/>
                  </w:tcMar>
                  <w:vAlign w:val="center"/>
                </w:tcPr>
                <w:p w14:paraId="D26B8523">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rPr>
                    <w:t>1、血液净化模式多样。2、公共卫生负担沉重。3、患者生存质量有待提升。</w:t>
                  </w:r>
                </w:p>
              </w:tc>
              <w:tc>
                <w:tcPr>
                  <w:tcW w:w="1071" w:type="dxa"/>
                  <w:tcBorders>
                    <w:top w:val="single" w:color="auto" w:sz="4" w:space="0"/>
                    <w:left w:val="single" w:color="auto" w:sz="4" w:space="0"/>
                    <w:bottom w:val="single" w:color="auto" w:sz="12" w:space="0"/>
                    <w:right w:val="single" w:color="auto" w:sz="4" w:space="0"/>
                  </w:tcBorders>
                  <w:tcMar>
                    <w:top w:w="57" w:type="dxa"/>
                    <w:left w:w="85" w:type="dxa"/>
                    <w:bottom w:w="57" w:type="dxa"/>
                    <w:right w:w="85" w:type="dxa"/>
                  </w:tcMar>
                  <w:vAlign w:val="center"/>
                </w:tcPr>
                <w:p w14:paraId="1648809B">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C9CE5EE3">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415F0622">
                  <w:pPr>
                    <w:spacing w:line="240" w:lineRule="auto"/>
                    <w:jc w:val="center"/>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bl>
          <w:p w14:paraId="B0D2F3BE">
            <w:pPr>
              <w:pStyle w:val="24"/>
              <w:widowControl w:val="0"/>
              <w:jc w:val="left"/>
            </w:pPr>
          </w:p>
          <w:p w14:paraId="0166D6A6">
            <w:pPr>
              <w:pStyle w:val="24"/>
              <w:widowControl w:val="0"/>
              <w:jc w:val="left"/>
            </w:pPr>
          </w:p>
          <w:p w14:paraId="4F37799C">
            <w:pPr>
              <w:pStyle w:val="24"/>
              <w:widowControl w:val="0"/>
              <w:jc w:val="left"/>
              <w:rPr>
                <w:rFonts w:hint="eastAsia"/>
              </w:rPr>
            </w:pPr>
          </w:p>
        </w:tc>
      </w:tr>
    </w:tbl>
    <w:p w14:paraId="677011CA">
      <w:pPr>
        <w:pStyle w:val="26"/>
        <w:numPr>
          <w:ilvl w:val="0"/>
          <w:numId w:val="1"/>
        </w:numPr>
        <w:spacing w:before="326" w:beforeLines="100" w:line="360" w:lineRule="auto"/>
        <w:rPr>
          <w:rFonts w:hint="eastAsia" w:ascii="黑体" w:hAnsi="宋体"/>
        </w:rPr>
      </w:pPr>
      <w:r>
        <w:rPr>
          <w:rFonts w:hint="default" w:ascii="黑体" w:hAnsi="宋体"/>
          <w:lang w:val="en-US"/>
        </w:rPr>
        <w:t>文理融合、医工融合教学课程设计</w:t>
      </w:r>
    </w:p>
    <w:p w14:paraId="B1A8AE5A">
      <w:pPr>
        <w:spacing w:line="240" w:lineRule="auto"/>
        <w:jc w:val="center"/>
      </w:pPr>
      <w:r>
        <w:rPr>
          <w:rFonts w:hint="default" w:ascii="Calibri" w:hAnsi="Calibri" w:eastAsia="宋体" w:cs="宋体"/>
          <w:b/>
          <w:bCs/>
          <w:i w:val="0"/>
          <w:iCs w:val="0"/>
          <w:color w:val="auto"/>
          <w:kern w:val="2"/>
          <w:sz w:val="21"/>
          <w:szCs w:val="21"/>
          <w:highlight w:val="none"/>
          <w:vertAlign w:val="baseline"/>
          <w:lang w:val="en-US" w:eastAsia="zh-CN" w:bidi="ar-SA"/>
        </w:rPr>
        <w:t>课程简介</w:t>
      </w:r>
    </w:p>
    <w:p w14:paraId="D3A5212D">
      <w:pPr>
        <w:spacing w:line="240" w:lineRule="auto"/>
        <w:ind w:firstLineChars="0"/>
        <w:jc w:val="both"/>
      </w:pPr>
      <w:r>
        <w:rPr>
          <w:rFonts w:hint="default" w:ascii="宋体" w:hAnsi="宋体" w:eastAsia="宋体" w:cs="Times New Roman"/>
          <w:b w:val="0"/>
          <w:bCs w:val="0"/>
          <w:i w:val="0"/>
          <w:iCs w:val="0"/>
          <w:color w:val="000000"/>
          <w:kern w:val="2"/>
          <w:sz w:val="21"/>
          <w:szCs w:val="21"/>
          <w:highlight w:val="none"/>
          <w:vertAlign w:val="baseline"/>
          <w:lang w:val="en-US" w:eastAsia="zh-CN" w:bidi="ar-SA"/>
        </w:rPr>
        <w:t xml:space="preserve">   《疾病学基础》是一门包含了医学微生物学、寄生虫学、病理学、病理生理学、免疫学和医学遗传学等多学科的基础医学综合课程。在阐述疾病发生时人体结构和功能改变的基础上，介绍疾病发生、发展变化的基本规律。其中，病因篇主要介绍诱导疾病发生的内因与外因，涵盖微生物学及寄生虫学知识；机制篇从免疫、病理、病理生理等领域阐述疾病发生的共性机制与基本规律；疾病篇着重描述机体主要系统常见疾病发生发展时器官在形态和功能上的一些共性变化；防治篇介绍遗传病、传染性疾病防治的基本原则。它培养学生对健康与疾病本质的认识，指导医疗预防的实践与健康管理保健的实施。为健康管理学专业人才的培养奠定扎实的理论根基。</w:t>
      </w:r>
    </w:p>
    <w:p w14:paraId="EB6CA773">
      <w:pPr>
        <w:spacing w:line="240" w:lineRule="auto"/>
        <w:jc w:val="center"/>
      </w:pPr>
      <w:r>
        <w:rPr>
          <w:rFonts w:hint="default" w:ascii="Calibri" w:hAnsi="Calibri" w:eastAsia="宋体" w:cs="宋体"/>
          <w:b/>
          <w:bCs/>
          <w:i w:val="0"/>
          <w:iCs w:val="0"/>
          <w:color w:val="auto"/>
          <w:kern w:val="2"/>
          <w:sz w:val="21"/>
          <w:szCs w:val="21"/>
          <w:highlight w:val="none"/>
          <w:vertAlign w:val="baseline"/>
          <w:lang w:val="en-US" w:eastAsia="zh-CN" w:bidi="ar-SA"/>
        </w:rPr>
        <w:t>融合目标</w:t>
      </w:r>
    </w:p>
    <w:p w14:paraId="86986162">
      <w:pPr>
        <w:spacing w:line="240" w:lineRule="auto"/>
        <w:ind w:firstLine="420" w:firstLineChars="0"/>
        <w:jc w:val="both"/>
      </w:pPr>
      <w:r>
        <w:rPr>
          <w:rFonts w:hint="default" w:ascii="Calibri" w:hAnsi="Calibri" w:eastAsia="宋体" w:cs="宋体"/>
          <w:b w:val="0"/>
          <w:bCs w:val="0"/>
          <w:i w:val="0"/>
          <w:iCs w:val="0"/>
          <w:color w:val="auto"/>
          <w:kern w:val="2"/>
          <w:sz w:val="21"/>
          <w:szCs w:val="21"/>
          <w:highlight w:val="none"/>
          <w:vertAlign w:val="baseline"/>
          <w:lang w:val="en-US" w:eastAsia="zh-CN" w:bidi="ar-SA"/>
        </w:rPr>
        <w:t>随着医疗体制不断的改革和新医学的发展，</w:t>
      </w:r>
      <w:r>
        <w:rPr>
          <w:rFonts w:hint="default" w:ascii="Calibri" w:hAnsi="Calibri" w:eastAsia="宋体" w:cs="Arial"/>
          <w:b w:val="0"/>
          <w:bCs w:val="0"/>
          <w:i w:val="0"/>
          <w:iCs w:val="0"/>
          <w:color w:val="auto"/>
          <w:kern w:val="2"/>
          <w:sz w:val="21"/>
          <w:szCs w:val="22"/>
          <w:highlight w:val="none"/>
          <w:vertAlign w:val="baseline"/>
          <w:lang w:val="en-US" w:eastAsia="zh-CN"/>
        </w:rPr>
        <w:t>医学基础学科中文理融合、医工融合是跨学科合作的重要方面，旨在将文科、理科和工程学的知识与医学知识结合起来，以促进更全面、高效的医疗、护理、康复、健康管理的解决方案。在医学教育中</w:t>
      </w:r>
    </w:p>
    <w:p w14:paraId="CB710D78">
      <w:pPr>
        <w:spacing w:line="240" w:lineRule="auto"/>
        <w:ind w:firstLine="420" w:firstLineChars="0"/>
        <w:jc w:val="both"/>
      </w:pPr>
      <w:r>
        <w:rPr>
          <w:rFonts w:hint="default" w:ascii="Calibri" w:hAnsi="Calibri" w:eastAsia="宋体" w:cs="Arial"/>
          <w:b w:val="0"/>
          <w:bCs w:val="0"/>
          <w:i w:val="0"/>
          <w:iCs w:val="0"/>
          <w:color w:val="auto"/>
          <w:kern w:val="2"/>
          <w:sz w:val="21"/>
          <w:szCs w:val="22"/>
          <w:highlight w:val="none"/>
          <w:vertAlign w:val="baseline"/>
          <w:lang w:val="en-US" w:eastAsia="zh-CN"/>
        </w:rPr>
        <w:t>①融入文理课程要素，如生物信息学、医学伦理学、医学心理学等，培养学生的跨学科思维。</w:t>
      </w:r>
    </w:p>
    <w:p w14:paraId="39F1C1FB">
      <w:pPr>
        <w:spacing w:line="240" w:lineRule="auto"/>
        <w:ind w:firstLine="420" w:firstLineChars="200"/>
        <w:jc w:val="both"/>
      </w:pPr>
      <w:r>
        <w:rPr>
          <w:rFonts w:hint="default" w:ascii="Calibri" w:hAnsi="Calibri" w:eastAsia="宋体" w:cs="Arial"/>
          <w:b w:val="0"/>
          <w:bCs w:val="0"/>
          <w:i w:val="0"/>
          <w:iCs w:val="0"/>
          <w:color w:val="auto"/>
          <w:kern w:val="2"/>
          <w:sz w:val="21"/>
          <w:szCs w:val="22"/>
          <w:highlight w:val="none"/>
          <w:vertAlign w:val="baseline"/>
          <w:lang w:val="en-US" w:eastAsia="zh-CN"/>
        </w:rPr>
        <w:t>②融入工程学的基础课程要素，如生物材料学、医学影像技术、医疗器械设计等，使学生理解工程技术在医疗领域的应用。</w:t>
      </w:r>
    </w:p>
    <w:p w14:paraId="1B5EA38F">
      <w:pPr>
        <w:spacing w:line="240" w:lineRule="auto"/>
        <w:jc w:val="both"/>
      </w:pPr>
      <w:r>
        <w:rPr>
          <w:rFonts w:hint="default" w:ascii="Calibri" w:hAnsi="Calibri" w:eastAsia="宋体" w:cs="宋体"/>
          <w:b w:val="0"/>
          <w:bCs w:val="0"/>
          <w:i w:val="0"/>
          <w:iCs w:val="0"/>
          <w:color w:val="auto"/>
          <w:kern w:val="2"/>
          <w:sz w:val="21"/>
          <w:szCs w:val="21"/>
          <w:highlight w:val="none"/>
          <w:vertAlign w:val="baseline"/>
          <w:lang w:val="en-US" w:eastAsia="zh-CN" w:bidi="ar-SA"/>
        </w:rPr>
        <w:t xml:space="preserve">   本课程涉及内容庞杂，</w:t>
      </w:r>
      <w:r>
        <w:rPr>
          <w:rFonts w:hint="default" w:ascii="Calibri" w:hAnsi="宋体" w:eastAsia="宋体" w:cs="宋体"/>
          <w:b w:val="0"/>
          <w:bCs w:val="0"/>
          <w:i w:val="0"/>
          <w:iCs w:val="0"/>
          <w:color w:val="auto"/>
          <w:kern w:val="2"/>
          <w:sz w:val="21"/>
          <w:szCs w:val="21"/>
          <w:highlight w:val="none"/>
          <w:vertAlign w:val="baseline"/>
          <w:lang w:val="en-US" w:eastAsia="zh-CN" w:bidi="ar-SA"/>
        </w:rPr>
        <w:t>知识面广泛</w:t>
      </w:r>
      <w:r>
        <w:rPr>
          <w:rFonts w:hint="default" w:ascii="Calibri" w:hAnsi="Calibri" w:eastAsia="宋体" w:cs="宋体"/>
          <w:b w:val="0"/>
          <w:bCs w:val="0"/>
          <w:i w:val="0"/>
          <w:iCs w:val="0"/>
          <w:color w:val="auto"/>
          <w:kern w:val="2"/>
          <w:sz w:val="21"/>
          <w:szCs w:val="21"/>
          <w:highlight w:val="none"/>
          <w:vertAlign w:val="baseline"/>
          <w:lang w:val="en-US" w:eastAsia="zh-CN" w:bidi="ar-SA"/>
        </w:rPr>
        <w:t>，</w:t>
      </w:r>
      <w:r>
        <w:rPr>
          <w:rFonts w:hint="default" w:ascii="Calibri" w:hAnsi="宋体" w:eastAsia="宋体" w:cs="宋体"/>
          <w:b w:val="0"/>
          <w:bCs w:val="0"/>
          <w:i w:val="0"/>
          <w:iCs w:val="0"/>
          <w:color w:val="auto"/>
          <w:kern w:val="2"/>
          <w:sz w:val="21"/>
          <w:szCs w:val="21"/>
          <w:highlight w:val="none"/>
          <w:vertAlign w:val="baseline"/>
          <w:lang w:val="en-US" w:eastAsia="zh-CN" w:bidi="ar-SA"/>
        </w:rPr>
        <w:t>既密切联系人们疾病预防、发生、发展与结局，又</w:t>
      </w:r>
      <w:r>
        <w:rPr>
          <w:rFonts w:hint="default" w:ascii="Calibri" w:hAnsi="Calibri" w:eastAsia="宋体" w:cs="宋体"/>
          <w:b w:val="0"/>
          <w:bCs w:val="0"/>
          <w:i w:val="0"/>
          <w:iCs w:val="0"/>
          <w:color w:val="auto"/>
          <w:kern w:val="2"/>
          <w:sz w:val="21"/>
          <w:szCs w:val="22"/>
          <w:highlight w:val="none"/>
          <w:vertAlign w:val="baseline"/>
          <w:lang w:val="en-US" w:eastAsia="zh-CN"/>
        </w:rPr>
        <w:t>密切联系</w:t>
      </w:r>
      <w:r>
        <w:rPr>
          <w:rFonts w:hint="default" w:ascii="Calibri" w:hAnsi="Calibri" w:eastAsia="宋体" w:cs="Arial"/>
          <w:b w:val="0"/>
          <w:bCs w:val="0"/>
          <w:i w:val="0"/>
          <w:iCs w:val="0"/>
          <w:color w:val="auto"/>
          <w:kern w:val="2"/>
          <w:sz w:val="21"/>
          <w:szCs w:val="22"/>
          <w:highlight w:val="none"/>
          <w:vertAlign w:val="baseline"/>
          <w:lang w:val="en-US" w:eastAsia="zh-CN"/>
        </w:rPr>
        <w:t>医疗、护理、康复、健康管理</w:t>
      </w:r>
      <w:r>
        <w:rPr>
          <w:rFonts w:hint="default" w:ascii="Calibri" w:hAnsi="宋体" w:eastAsia="宋体" w:cs="宋体"/>
          <w:b w:val="0"/>
          <w:bCs w:val="0"/>
          <w:i w:val="0"/>
          <w:iCs w:val="0"/>
          <w:color w:val="auto"/>
          <w:kern w:val="2"/>
          <w:sz w:val="21"/>
          <w:szCs w:val="21"/>
          <w:highlight w:val="none"/>
          <w:vertAlign w:val="baseline"/>
          <w:lang w:val="en-US" w:eastAsia="zh-CN" w:bidi="ar-SA"/>
        </w:rPr>
        <w:t>实践、慢病管理、健康促进</w:t>
      </w:r>
      <w:r>
        <w:rPr>
          <w:rFonts w:hint="default" w:ascii="Calibri" w:hAnsi="Calibri" w:eastAsia="宋体" w:cs="宋体"/>
          <w:b w:val="0"/>
          <w:bCs w:val="0"/>
          <w:i w:val="0"/>
          <w:iCs w:val="0"/>
          <w:color w:val="auto"/>
          <w:kern w:val="2"/>
          <w:sz w:val="21"/>
          <w:szCs w:val="21"/>
          <w:highlight w:val="none"/>
          <w:vertAlign w:val="baseline"/>
          <w:lang w:val="en-US" w:eastAsia="zh-CN" w:bidi="ar-SA"/>
        </w:rPr>
        <w:t>，</w:t>
      </w:r>
      <w:r>
        <w:rPr>
          <w:rFonts w:hint="default" w:ascii="Calibri" w:hAnsi="Calibri" w:eastAsia="宋体" w:cs="宋体"/>
          <w:b w:val="0"/>
          <w:bCs w:val="0"/>
          <w:i w:val="0"/>
          <w:iCs w:val="0"/>
          <w:color w:val="auto"/>
          <w:kern w:val="2"/>
          <w:sz w:val="21"/>
          <w:szCs w:val="22"/>
          <w:highlight w:val="none"/>
          <w:vertAlign w:val="baseline"/>
          <w:lang w:val="en-US" w:eastAsia="zh-CN"/>
        </w:rPr>
        <w:t>紧扣人文、医学工程的发展前沿，可以融入的切入点非常丰富。</w:t>
      </w:r>
    </w:p>
    <w:p w14:paraId="692B9091">
      <w:pPr>
        <w:spacing w:line="240" w:lineRule="auto"/>
        <w:ind w:firstLine="420" w:firstLineChars="0"/>
        <w:jc w:val="both"/>
      </w:pPr>
      <w:r>
        <w:rPr>
          <w:rFonts w:hint="default" w:ascii="Calibri" w:hAnsi="Calibri" w:eastAsia="宋体" w:cs="宋体"/>
          <w:b/>
          <w:bCs/>
          <w:i w:val="0"/>
          <w:iCs w:val="0"/>
          <w:color w:val="auto"/>
          <w:kern w:val="2"/>
          <w:sz w:val="21"/>
          <w:szCs w:val="21"/>
          <w:highlight w:val="none"/>
          <w:vertAlign w:val="baseline"/>
          <w:lang w:val="en-US" w:eastAsia="zh-CN" w:bidi="ar-SA"/>
        </w:rPr>
        <w:t>文理融合、医工融合的教学设计</w:t>
      </w:r>
    </w:p>
    <w:p w14:paraId="B47F132E">
      <w:pPr>
        <w:spacing w:line="240" w:lineRule="auto"/>
        <w:jc w:val="both"/>
      </w:pPr>
      <w:r>
        <w:rPr>
          <w:rFonts w:hint="default" w:ascii="Calibri" w:hAnsi="Calibri" w:eastAsia="宋体" w:cs="Arial"/>
          <w:b w:val="0"/>
          <w:bCs w:val="0"/>
          <w:i w:val="0"/>
          <w:iCs w:val="0"/>
          <w:color w:val="auto"/>
          <w:kern w:val="2"/>
          <w:sz w:val="21"/>
          <w:szCs w:val="22"/>
          <w:highlight w:val="none"/>
          <w:vertAlign w:val="baseline"/>
          <w:lang w:val="en-US" w:eastAsia="zh-CN"/>
        </w:rPr>
        <w:t>医学专家、生物学家、工程师和人文社科学者共同解决复杂的医学问题。</w:t>
      </w:r>
    </w:p>
    <w:p w14:paraId="1D5AF13D">
      <w:pPr>
        <w:spacing w:line="240" w:lineRule="auto"/>
        <w:jc w:val="both"/>
      </w:pPr>
      <w:r>
        <w:rPr>
          <w:rFonts w:hint="default" w:ascii="Calibri" w:hAnsi="Calibri" w:eastAsia="宋体" w:cs="Arial"/>
          <w:b w:val="0"/>
          <w:bCs w:val="0"/>
          <w:i w:val="0"/>
          <w:iCs w:val="0"/>
          <w:color w:val="auto"/>
          <w:kern w:val="2"/>
          <w:sz w:val="21"/>
          <w:szCs w:val="22"/>
          <w:highlight w:val="none"/>
          <w:vertAlign w:val="baseline"/>
          <w:lang w:val="en-US" w:eastAsia="zh-CN"/>
        </w:rPr>
        <w:t>与教学内容相关的新技术，如智能医疗设备、远程诊疗系统的介绍：</w:t>
      </w:r>
    </w:p>
    <w:p w14:paraId="CC317E80">
      <w:pPr>
        <w:spacing w:line="240" w:lineRule="auto"/>
        <w:jc w:val="both"/>
      </w:pPr>
      <w:r>
        <w:rPr>
          <w:rFonts w:hint="default" w:ascii="Calibri" w:hAnsi="Calibri" w:eastAsia="宋体" w:cs="Arial"/>
          <w:b w:val="0"/>
          <w:bCs w:val="0"/>
          <w:i w:val="0"/>
          <w:iCs w:val="0"/>
          <w:color w:val="auto"/>
          <w:kern w:val="2"/>
          <w:sz w:val="21"/>
          <w:szCs w:val="22"/>
          <w:highlight w:val="none"/>
          <w:vertAlign w:val="baseline"/>
          <w:lang w:val="en-US" w:eastAsia="zh-CN"/>
        </w:rPr>
        <w:t>(1)在临床环境中应用工程原理，比如使用机器人手术、穿戴设备、人工智能辅助诊断等。</w:t>
      </w:r>
    </w:p>
    <w:p w14:paraId="9B367B23">
      <w:pPr>
        <w:spacing w:line="240" w:lineRule="auto"/>
        <w:jc w:val="both"/>
      </w:pPr>
      <w:r>
        <w:rPr>
          <w:rFonts w:hint="default" w:ascii="Calibri" w:hAnsi="Calibri" w:eastAsia="宋体" w:cs="Arial"/>
          <w:b w:val="0"/>
          <w:bCs w:val="0"/>
          <w:i w:val="0"/>
          <w:iCs w:val="0"/>
          <w:color w:val="auto"/>
          <w:kern w:val="2"/>
          <w:sz w:val="21"/>
          <w:szCs w:val="22"/>
          <w:highlight w:val="none"/>
          <w:vertAlign w:val="baseline"/>
          <w:lang w:val="en-US" w:eastAsia="zh-CN"/>
        </w:rPr>
        <w:t>(2)结合心理学和社会学知识，提高患者满意度,优化医疗服务流程。</w:t>
      </w:r>
    </w:p>
    <w:p w14:paraId="5718818F">
      <w:pPr>
        <w:spacing w:line="240" w:lineRule="auto"/>
        <w:jc w:val="both"/>
      </w:pPr>
      <w:r>
        <w:rPr>
          <w:rFonts w:hint="default" w:ascii="Calibri" w:hAnsi="Calibri" w:eastAsia="宋体" w:cs="Arial"/>
          <w:b w:val="0"/>
          <w:bCs w:val="0"/>
          <w:i w:val="0"/>
          <w:iCs w:val="0"/>
          <w:color w:val="auto"/>
          <w:kern w:val="2"/>
          <w:sz w:val="21"/>
          <w:szCs w:val="22"/>
          <w:highlight w:val="none"/>
          <w:vertAlign w:val="baseline"/>
          <w:lang w:val="en-US" w:eastAsia="zh-CN"/>
        </w:rPr>
        <w:t>与教学内容相关的政策与标准:</w:t>
      </w:r>
    </w:p>
    <w:p w14:paraId="14465536">
      <w:pPr>
        <w:spacing w:line="240" w:lineRule="auto"/>
        <w:jc w:val="both"/>
      </w:pPr>
      <w:r>
        <w:rPr>
          <w:rFonts w:hint="default" w:ascii="Calibri" w:hAnsi="Calibri" w:eastAsia="宋体" w:cs="Arial"/>
          <w:b w:val="0"/>
          <w:bCs w:val="0"/>
          <w:i w:val="0"/>
          <w:iCs w:val="0"/>
          <w:color w:val="auto"/>
          <w:kern w:val="2"/>
          <w:sz w:val="21"/>
          <w:szCs w:val="22"/>
          <w:highlight w:val="none"/>
          <w:vertAlign w:val="baseline"/>
          <w:lang w:val="en-US" w:eastAsia="zh-CN"/>
        </w:rPr>
        <w:t>(1)在医疗政策制定中所融入的跨学科视角，考虑伦理、法律和社会影响。</w:t>
      </w:r>
    </w:p>
    <w:p w14:paraId="B894A82B">
      <w:pPr>
        <w:spacing w:line="240" w:lineRule="auto"/>
        <w:jc w:val="both"/>
      </w:pPr>
      <w:r>
        <w:rPr>
          <w:rFonts w:hint="default" w:ascii="Calibri" w:hAnsi="Calibri" w:eastAsia="宋体" w:cs="Arial"/>
          <w:b w:val="0"/>
          <w:bCs w:val="0"/>
          <w:i w:val="0"/>
          <w:iCs w:val="0"/>
          <w:color w:val="auto"/>
          <w:kern w:val="2"/>
          <w:sz w:val="21"/>
          <w:szCs w:val="22"/>
          <w:highlight w:val="none"/>
          <w:vertAlign w:val="baseline"/>
          <w:lang w:val="en-US" w:eastAsia="zh-CN"/>
        </w:rPr>
        <w:t>(2)设立标准化组织，制定医工产品和程序的标准，确保安全性和有效性。</w:t>
      </w:r>
    </w:p>
    <w:p w14:paraId="6CD2AAE8">
      <w:pPr>
        <w:spacing w:line="240" w:lineRule="auto"/>
        <w:jc w:val="both"/>
      </w:pPr>
      <w:r>
        <w:rPr>
          <w:rFonts w:hint="default" w:ascii="Calibri" w:hAnsi="Calibri" w:eastAsia="宋体" w:cs="Arial"/>
          <w:b w:val="0"/>
          <w:bCs w:val="0"/>
          <w:i w:val="0"/>
          <w:iCs w:val="0"/>
          <w:color w:val="auto"/>
          <w:kern w:val="2"/>
          <w:sz w:val="21"/>
          <w:szCs w:val="22"/>
          <w:highlight w:val="none"/>
          <w:vertAlign w:val="baseline"/>
          <w:lang w:val="en-US" w:eastAsia="zh-CN"/>
        </w:rPr>
        <w:t>创新与创业:</w:t>
      </w:r>
    </w:p>
    <w:p w14:paraId="3C525C92">
      <w:pPr>
        <w:spacing w:line="240" w:lineRule="auto"/>
        <w:jc w:val="both"/>
      </w:pPr>
      <w:r>
        <w:rPr>
          <w:rFonts w:hint="default" w:ascii="Calibri" w:hAnsi="Calibri" w:eastAsia="宋体" w:cs="Arial"/>
          <w:b w:val="0"/>
          <w:bCs w:val="0"/>
          <w:i w:val="0"/>
          <w:iCs w:val="0"/>
          <w:color w:val="auto"/>
          <w:kern w:val="2"/>
          <w:sz w:val="21"/>
          <w:szCs w:val="22"/>
          <w:highlight w:val="none"/>
          <w:vertAlign w:val="baseline"/>
          <w:lang w:val="en-US" w:eastAsia="zh-CN"/>
        </w:rPr>
        <w:t>(1)鼓励医学背景的学生学习创新和创业技能，推动医学技术的商业化。</w:t>
      </w:r>
    </w:p>
    <w:p w14:paraId="5C3B19DC">
      <w:pPr>
        <w:spacing w:line="240" w:lineRule="auto"/>
        <w:jc w:val="both"/>
      </w:pPr>
      <w:r>
        <w:rPr>
          <w:rFonts w:hint="default" w:ascii="Calibri" w:hAnsi="Calibri" w:eastAsia="宋体" w:cs="Arial"/>
          <w:b w:val="0"/>
          <w:bCs w:val="0"/>
          <w:i w:val="0"/>
          <w:iCs w:val="0"/>
          <w:color w:val="auto"/>
          <w:kern w:val="2"/>
          <w:sz w:val="21"/>
          <w:szCs w:val="22"/>
          <w:highlight w:val="none"/>
          <w:vertAlign w:val="baseline"/>
          <w:lang w:val="en-US" w:eastAsia="zh-CN"/>
        </w:rPr>
        <w:t>(2)支持跨学科团队创立初创企业，将科研成果转化为实际的医疗产品和服务。</w:t>
      </w:r>
    </w:p>
    <w:p w14:paraId="B45C4D3F">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与教学内容相关的热点事件。</w:t>
      </w:r>
    </w:p>
    <w:p w14:paraId="F45DCDB3">
      <w:pPr>
        <w:spacing w:line="240" w:lineRule="auto"/>
        <w:ind w:firstLineChars="200"/>
        <w:jc w:val="both"/>
      </w:pPr>
      <w:r>
        <w:rPr>
          <w:rFonts w:hint="default" w:ascii="Calibri" w:hAnsi="Calibri" w:eastAsia="宋体" w:cs="Arial"/>
          <w:b w:val="0"/>
          <w:bCs w:val="0"/>
          <w:i w:val="0"/>
          <w:iCs w:val="0"/>
          <w:color w:val="auto"/>
          <w:kern w:val="2"/>
          <w:sz w:val="21"/>
          <w:szCs w:val="22"/>
          <w:highlight w:val="none"/>
          <w:vertAlign w:val="baseline"/>
          <w:lang w:val="en-US" w:eastAsia="zh-CN"/>
        </w:rPr>
        <w:t>总之，通过上述方式，医学基础学科可以有效地进行文理融合和医工融合，不仅有助于培养具有综合能力的新医学人才，而且能够促进医学科技的创新和发展，最终提升医疗健康服务的水平。</w:t>
      </w:r>
    </w:p>
    <w:p w14:paraId="97B1F0F0">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在进行具体的教学设计时，可针对不同的方面融入恰当的</w:t>
      </w:r>
      <w:r>
        <w:rPr>
          <w:rFonts w:hint="default" w:ascii="Calibri" w:hAnsi="Calibri" w:eastAsia="宋体" w:cs="Arial"/>
          <w:b w:val="0"/>
          <w:bCs w:val="0"/>
          <w:i w:val="0"/>
          <w:iCs w:val="0"/>
          <w:color w:val="auto"/>
          <w:kern w:val="2"/>
          <w:sz w:val="21"/>
          <w:szCs w:val="22"/>
          <w:highlight w:val="none"/>
          <w:vertAlign w:val="baseline"/>
          <w:lang w:val="en-US" w:eastAsia="zh-CN"/>
        </w:rPr>
        <w:t>文理、医工</w:t>
      </w:r>
      <w:r>
        <w:rPr>
          <w:rFonts w:hint="default" w:ascii="Calibri" w:hAnsi="Calibri" w:eastAsia="宋体" w:cs="宋体"/>
          <w:b w:val="0"/>
          <w:bCs w:val="0"/>
          <w:i w:val="0"/>
          <w:iCs w:val="0"/>
          <w:color w:val="auto"/>
          <w:kern w:val="2"/>
          <w:sz w:val="21"/>
          <w:szCs w:val="22"/>
          <w:highlight w:val="none"/>
          <w:vertAlign w:val="baseline"/>
          <w:lang w:val="en-US" w:eastAsia="zh-CN"/>
        </w:rPr>
        <w:t>元素，现将本课程主要知识点与相关</w:t>
      </w:r>
      <w:r>
        <w:rPr>
          <w:rFonts w:hint="default" w:ascii="Calibri" w:hAnsi="Calibri" w:eastAsia="宋体" w:cs="Arial"/>
          <w:b w:val="0"/>
          <w:bCs w:val="0"/>
          <w:i w:val="0"/>
          <w:iCs w:val="0"/>
          <w:color w:val="auto"/>
          <w:kern w:val="2"/>
          <w:sz w:val="21"/>
          <w:szCs w:val="22"/>
          <w:highlight w:val="none"/>
          <w:vertAlign w:val="baseline"/>
          <w:lang w:val="en-US" w:eastAsia="zh-CN"/>
        </w:rPr>
        <w:t>文理融合、医工融合</w:t>
      </w:r>
      <w:r>
        <w:rPr>
          <w:rFonts w:hint="default" w:ascii="Calibri" w:hAnsi="Calibri" w:eastAsia="宋体" w:cs="宋体"/>
          <w:b w:val="0"/>
          <w:bCs w:val="0"/>
          <w:i w:val="0"/>
          <w:iCs w:val="0"/>
          <w:color w:val="auto"/>
          <w:kern w:val="2"/>
          <w:sz w:val="21"/>
          <w:szCs w:val="22"/>
          <w:highlight w:val="none"/>
          <w:vertAlign w:val="baseline"/>
          <w:lang w:val="en-US" w:eastAsia="zh-CN"/>
        </w:rPr>
        <w:t>设计以表格形式罗列如下：</w:t>
      </w:r>
    </w:p>
    <w:p w14:paraId="51FAE0EF">
      <w:pPr>
        <w:spacing w:line="240" w:lineRule="auto"/>
        <w:jc w:val="both"/>
      </w:pPr>
    </w:p>
    <w:p w14:paraId="AADE7826">
      <w:pPr>
        <w:spacing w:line="240" w:lineRule="auto"/>
        <w:jc w:val="both"/>
      </w:pPr>
    </w:p>
    <w:tbl>
      <w:tblPr>
        <w:tblStyle w:val="10"/>
        <w:tblW w:w="8522" w:type="dxa"/>
        <w:jc w:val="center"/>
        <w:tblLayout w:type="fixed"/>
        <w:tblCellMar>
          <w:top w:w="57" w:type="dxa"/>
          <w:left w:w="85" w:type="dxa"/>
          <w:bottom w:w="57" w:type="dxa"/>
          <w:right w:w="85" w:type="dxa"/>
        </w:tblCellMar>
      </w:tblPr>
      <w:tblGrid>
        <w:gridCol w:w="1374"/>
        <w:gridCol w:w="2538"/>
        <w:gridCol w:w="2119"/>
        <w:gridCol w:w="1326"/>
        <w:gridCol w:w="1165"/>
      </w:tblGrid>
      <w:tr w14:paraId="98E39F4C">
        <w:tblPrEx>
          <w:tblCellMar>
            <w:top w:w="57" w:type="dxa"/>
            <w:left w:w="85" w:type="dxa"/>
            <w:bottom w:w="57" w:type="dxa"/>
            <w:right w:w="85" w:type="dxa"/>
          </w:tblCellMar>
        </w:tblPrEx>
        <w:trPr>
          <w:trHeight w:val="454" w:hRule="atLeast"/>
          <w:jc w:val="center"/>
        </w:trPr>
        <w:tc>
          <w:tcPr>
            <w:tcW w:w="1374" w:type="dxa"/>
            <w:tcBorders>
              <w:top w:val="single" w:color="auto" w:sz="12"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C2798013">
            <w:pPr>
              <w:snapToGrid w:val="0"/>
              <w:spacing w:line="240" w:lineRule="auto"/>
              <w:jc w:val="left"/>
            </w:pPr>
            <w:r>
              <w:rPr>
                <w:rFonts w:hint="default" w:ascii="Arial" w:hAnsi="Arial" w:eastAsia="黑体" w:cs="宋体"/>
                <w:b w:val="0"/>
                <w:bCs w:val="0"/>
                <w:i w:val="0"/>
                <w:iCs w:val="0"/>
                <w:color w:val="000000"/>
                <w:kern w:val="2"/>
                <w:sz w:val="21"/>
                <w:szCs w:val="16"/>
                <w:highlight w:val="none"/>
                <w:vertAlign w:val="baseline"/>
                <w:lang w:val="en-US" w:eastAsia="zh-CN" w:bidi="ar-SA"/>
              </w:rPr>
              <w:t>实验名称</w:t>
            </w:r>
          </w:p>
        </w:tc>
        <w:tc>
          <w:tcPr>
            <w:tcW w:w="2538"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E35000B">
            <w:pPr>
              <w:snapToGrid w:val="0"/>
              <w:spacing w:line="240" w:lineRule="auto"/>
              <w:jc w:val="left"/>
            </w:pPr>
            <w:r>
              <w:rPr>
                <w:rFonts w:hint="default" w:ascii="Arial" w:hAnsi="Arial" w:eastAsia="黑体" w:cs="宋体"/>
                <w:b w:val="0"/>
                <w:bCs w:val="0"/>
                <w:i w:val="0"/>
                <w:iCs w:val="0"/>
                <w:color w:val="000000"/>
                <w:kern w:val="2"/>
                <w:sz w:val="21"/>
                <w:szCs w:val="16"/>
                <w:highlight w:val="none"/>
                <w:vertAlign w:val="baseline"/>
                <w:lang w:val="en-US" w:eastAsia="zh-CN" w:bidi="ar-SA"/>
              </w:rPr>
              <w:t>主要内容</w:t>
            </w:r>
          </w:p>
        </w:tc>
        <w:tc>
          <w:tcPr>
            <w:tcW w:w="2119" w:type="dxa"/>
            <w:tcBorders>
              <w:top w:val="single" w:color="auto" w:sz="12"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83B2E51C">
            <w:pPr>
              <w:snapToGrid w:val="0"/>
              <w:spacing w:line="240" w:lineRule="auto"/>
              <w:jc w:val="left"/>
            </w:pPr>
            <w:r>
              <w:rPr>
                <w:rFonts w:hint="default" w:ascii="Calibri" w:hAnsi="Calibri" w:eastAsia="宋体" w:cs="Arial"/>
                <w:b/>
                <w:bCs/>
                <w:i w:val="0"/>
                <w:iCs w:val="0"/>
                <w:color w:val="auto"/>
                <w:kern w:val="2"/>
                <w:sz w:val="21"/>
                <w:szCs w:val="22"/>
                <w:highlight w:val="none"/>
                <w:vertAlign w:val="baseline"/>
                <w:lang w:val="en-US" w:eastAsia="zh-CN"/>
              </w:rPr>
              <w:t>文理、医工融合</w:t>
            </w:r>
            <w:r>
              <w:rPr>
                <w:rFonts w:hint="default" w:ascii="Calibri" w:hAnsi="Calibri" w:eastAsia="宋体" w:cs="宋体"/>
                <w:b/>
                <w:bCs/>
                <w:i w:val="0"/>
                <w:iCs w:val="0"/>
                <w:color w:val="auto"/>
                <w:kern w:val="2"/>
                <w:sz w:val="21"/>
                <w:szCs w:val="22"/>
                <w:highlight w:val="none"/>
                <w:vertAlign w:val="baseline"/>
                <w:lang w:val="en-US" w:eastAsia="zh-CN"/>
              </w:rPr>
              <w:t>素材</w:t>
            </w:r>
          </w:p>
        </w:tc>
        <w:tc>
          <w:tcPr>
            <w:tcW w:w="1326" w:type="dxa"/>
            <w:tcBorders>
              <w:top w:val="single" w:color="auto" w:sz="12"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AFD4D5C2">
            <w:pPr>
              <w:snapToGrid w:val="0"/>
              <w:spacing w:line="240" w:lineRule="auto"/>
              <w:jc w:val="left"/>
            </w:pPr>
            <w:r>
              <w:rPr>
                <w:rFonts w:hint="default" w:ascii="Calibri" w:hAnsi="Calibri" w:eastAsia="宋体" w:cs="宋体"/>
                <w:b/>
                <w:bCs/>
                <w:i w:val="0"/>
                <w:iCs w:val="0"/>
                <w:color w:val="auto"/>
                <w:kern w:val="2"/>
                <w:sz w:val="21"/>
                <w:szCs w:val="22"/>
                <w:highlight w:val="none"/>
                <w:vertAlign w:val="baseline"/>
                <w:lang w:val="en-US" w:eastAsia="zh-CN"/>
              </w:rPr>
              <w:t>融合教学目标</w:t>
            </w:r>
          </w:p>
        </w:tc>
        <w:tc>
          <w:tcPr>
            <w:tcW w:w="1165" w:type="dxa"/>
            <w:tcBorders>
              <w:top w:val="single" w:color="auto" w:sz="12" w:space="0"/>
              <w:left w:val="single" w:color="auto" w:sz="12" w:space="0"/>
              <w:bottom w:val="single" w:color="auto" w:sz="4" w:space="0"/>
              <w:right w:val="single" w:color="auto" w:sz="12" w:space="0"/>
            </w:tcBorders>
            <w:shd w:val="clear" w:color="FFFFFF" w:fill="auto"/>
            <w:tcMar>
              <w:top w:w="57" w:type="dxa"/>
              <w:left w:w="85" w:type="dxa"/>
              <w:bottom w:w="57" w:type="dxa"/>
              <w:right w:w="85" w:type="dxa"/>
            </w:tcMar>
            <w:vAlign w:val="center"/>
          </w:tcPr>
          <w:p w14:paraId="6AA30BFD">
            <w:pPr>
              <w:snapToGrid w:val="0"/>
              <w:spacing w:line="240" w:lineRule="auto"/>
              <w:jc w:val="left"/>
            </w:pPr>
            <w:r>
              <w:rPr>
                <w:rFonts w:hint="default" w:ascii="Calibri" w:hAnsi="Calibri" w:eastAsia="宋体" w:cs="宋体"/>
                <w:b/>
                <w:bCs/>
                <w:i w:val="0"/>
                <w:iCs w:val="0"/>
                <w:color w:val="auto"/>
                <w:kern w:val="2"/>
                <w:sz w:val="21"/>
                <w:szCs w:val="22"/>
                <w:highlight w:val="none"/>
                <w:vertAlign w:val="baseline"/>
                <w:lang w:val="en-US" w:eastAsia="zh-CN"/>
              </w:rPr>
              <w:t>教学方法</w:t>
            </w:r>
          </w:p>
        </w:tc>
      </w:tr>
      <w:tr w14:paraId="6CE43F82">
        <w:tblPrEx>
          <w:tblCellMar>
            <w:top w:w="57" w:type="dxa"/>
            <w:left w:w="85" w:type="dxa"/>
            <w:bottom w:w="57" w:type="dxa"/>
            <w:right w:w="85" w:type="dxa"/>
          </w:tblCellMar>
        </w:tblPrEx>
        <w:trPr>
          <w:trHeight w:val="454" w:hRule="atLeast"/>
          <w:jc w:val="center"/>
        </w:trPr>
        <w:tc>
          <w:tcPr>
            <w:tcW w:w="1374"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48F17908">
            <w:pPr>
              <w:snapToGrid w:val="0"/>
              <w:spacing w:line="320" w:lineRule="exact"/>
              <w:ind w:firstLine="200" w:firstLineChars="100"/>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病因概述</w:t>
            </w:r>
            <w:r>
              <w:rPr>
                <w:rFonts w:hint="default" w:ascii="宋体" w:hAnsi="宋体" w:eastAsia="宋体" w:cs="Times New Roman"/>
                <w:b w:val="0"/>
                <w:bCs w:val="0"/>
                <w:i w:val="0"/>
                <w:iCs w:val="0"/>
                <w:color w:val="auto"/>
                <w:kern w:val="2"/>
                <w:sz w:val="20"/>
                <w:szCs w:val="22"/>
                <w:highlight w:val="none"/>
                <w:vertAlign w:val="baseline"/>
                <w:lang w:val="en-US" w:eastAsia="zh-CN" w:bidi="ar-SA"/>
              </w:rPr>
              <w:t>、</w:t>
            </w:r>
            <w:r>
              <w:rPr>
                <w:rFonts w:hint="default" w:ascii="宋体" w:hAnsi="宋体" w:eastAsia="宋体" w:cs="Times New Roman"/>
                <w:b w:val="0"/>
                <w:bCs w:val="0"/>
                <w:i w:val="0"/>
                <w:iCs w:val="0"/>
                <w:color w:val="auto"/>
                <w:kern w:val="2"/>
                <w:sz w:val="20"/>
                <w:szCs w:val="20"/>
                <w:highlight w:val="none"/>
                <w:vertAlign w:val="baseline"/>
                <w:lang w:val="en-US" w:eastAsia="zh-CN" w:bidi="ar-SA"/>
              </w:rPr>
              <w:t>细菌</w:t>
            </w:r>
          </w:p>
        </w:tc>
        <w:tc>
          <w:tcPr>
            <w:tcW w:w="253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37A09B7">
            <w:pPr>
              <w:spacing w:line="240" w:lineRule="auto"/>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细菌的基本性质、革兰氏阳性菌、革兰氏阴性菌、抗酸杆菌、支原体、螺旋体、立克次体、衣原体、放线菌的生物学特征、致病性、检测方法</w:t>
            </w:r>
          </w:p>
        </w:tc>
        <w:tc>
          <w:tcPr>
            <w:tcW w:w="2119"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74EACF07">
            <w:pPr>
              <w:spacing w:line="240" w:lineRule="auto"/>
              <w:jc w:val="left"/>
            </w:pPr>
            <w:r>
              <w:rPr>
                <w:rFonts w:hint="default" w:ascii="Calibri" w:hAnsi="Calibri" w:eastAsia="宋体" w:cs="宋体"/>
                <w:b w:val="0"/>
                <w:bCs w:val="0"/>
                <w:i w:val="0"/>
                <w:iCs w:val="0"/>
                <w:color w:val="auto"/>
                <w:kern w:val="2"/>
                <w:sz w:val="21"/>
                <w:szCs w:val="22"/>
                <w:highlight w:val="none"/>
                <w:vertAlign w:val="baseline"/>
                <w:lang w:val="en-US" w:eastAsia="zh-CN"/>
              </w:rPr>
              <w:t>1.实验设备的设计和制造如生理记录仪，显微镜，离心机。2.实验数据的处理和分析：数据的处理和分析需要使用计算机和信息技术。3.实验方法的创新实验结果的应用</w:t>
            </w:r>
          </w:p>
        </w:tc>
        <w:tc>
          <w:tcPr>
            <w:tcW w:w="1326"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0152287F">
            <w:pPr>
              <w:spacing w:line="240" w:lineRule="auto"/>
              <w:jc w:val="left"/>
            </w:pPr>
            <w:r>
              <w:rPr>
                <w:rFonts w:hint="default" w:ascii="Calibri" w:hAnsi="Calibri" w:eastAsia="宋体" w:cs="Arial"/>
                <w:b w:val="0"/>
                <w:bCs w:val="0"/>
                <w:i w:val="0"/>
                <w:iCs w:val="0"/>
                <w:color w:val="auto"/>
                <w:kern w:val="2"/>
                <w:sz w:val="21"/>
                <w:szCs w:val="22"/>
                <w:highlight w:val="none"/>
                <w:vertAlign w:val="baseline"/>
                <w:lang w:val="en-US" w:eastAsia="zh-CN"/>
              </w:rPr>
              <w:t>使同学知晓：实验是疾病医学研究中的重要环节，它涉及到对微生物体的各种生理过程的观察和测量，在这个过程中医工融合起着重要的作用。</w:t>
            </w:r>
          </w:p>
        </w:tc>
        <w:tc>
          <w:tcPr>
            <w:tcW w:w="1165" w:type="dxa"/>
            <w:tcBorders>
              <w:top w:val="single" w:color="auto" w:sz="4" w:space="0"/>
              <w:left w:val="single" w:color="auto" w:sz="12" w:space="0"/>
              <w:bottom w:val="single" w:color="auto" w:sz="4" w:space="0"/>
              <w:right w:val="single" w:color="auto" w:sz="12" w:space="0"/>
            </w:tcBorders>
            <w:shd w:val="clear" w:color="FFFFFF" w:fill="auto"/>
            <w:tcMar>
              <w:top w:w="57" w:type="dxa"/>
              <w:left w:w="85" w:type="dxa"/>
              <w:bottom w:w="57" w:type="dxa"/>
              <w:right w:w="85" w:type="dxa"/>
            </w:tcMar>
            <w:vAlign w:val="center"/>
          </w:tcPr>
          <w:p w14:paraId="84015B52">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4CCB00D5">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AF891F4B">
            <w:pPr>
              <w:spacing w:line="240" w:lineRule="auto"/>
              <w:jc w:val="left"/>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5169DECD">
        <w:tblPrEx>
          <w:tblCellMar>
            <w:top w:w="57" w:type="dxa"/>
            <w:left w:w="85" w:type="dxa"/>
            <w:bottom w:w="57" w:type="dxa"/>
            <w:right w:w="85" w:type="dxa"/>
          </w:tblCellMar>
        </w:tblPrEx>
        <w:trPr>
          <w:trHeight w:val="454" w:hRule="atLeast"/>
          <w:jc w:val="center"/>
        </w:trPr>
        <w:tc>
          <w:tcPr>
            <w:tcW w:w="1374"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F15D92C2">
            <w:pPr>
              <w:snapToGrid w:val="0"/>
              <w:spacing w:line="320" w:lineRule="exact"/>
              <w:ind w:firstLine="400" w:firstLineChars="200"/>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真菌、病毒</w:t>
            </w:r>
          </w:p>
        </w:tc>
        <w:tc>
          <w:tcPr>
            <w:tcW w:w="253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14CBE05C">
            <w:pPr>
              <w:spacing w:line="240" w:lineRule="auto"/>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致病性真菌（皮肤癣真菌、白假丝酵母菌、新生隐球菌）的生物学性状、致病性和微生物学检查方法。</w:t>
            </w:r>
          </w:p>
        </w:tc>
        <w:tc>
          <w:tcPr>
            <w:tcW w:w="2119"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B761DA47">
            <w:pPr>
              <w:spacing w:line="240" w:lineRule="auto"/>
              <w:jc w:val="left"/>
            </w:pPr>
            <w:r>
              <w:rPr>
                <w:rFonts w:hint="default" w:ascii="Calibri" w:hAnsi="Calibri" w:eastAsia="宋体" w:cs="Arial"/>
                <w:b w:val="0"/>
                <w:bCs w:val="0"/>
                <w:i w:val="0"/>
                <w:iCs w:val="0"/>
                <w:color w:val="auto"/>
                <w:kern w:val="2"/>
                <w:sz w:val="21"/>
                <w:szCs w:val="22"/>
                <w:highlight w:val="none"/>
                <w:vertAlign w:val="baseline"/>
                <w:lang w:val="en-US" w:eastAsia="zh-CN"/>
              </w:rPr>
              <w:t>腺病毒的改造。</w:t>
            </w:r>
          </w:p>
        </w:tc>
        <w:tc>
          <w:tcPr>
            <w:tcW w:w="1326"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EA5674A6">
            <w:pPr>
              <w:spacing w:line="240" w:lineRule="auto"/>
              <w:jc w:val="left"/>
            </w:pPr>
            <w:r>
              <w:rPr>
                <w:rFonts w:hint="default" w:ascii="Calibri" w:hAnsi="Calibri" w:eastAsia="宋体" w:cs="Arial"/>
                <w:b w:val="0"/>
                <w:bCs w:val="0"/>
                <w:i w:val="0"/>
                <w:iCs w:val="0"/>
                <w:color w:val="auto"/>
                <w:kern w:val="2"/>
                <w:sz w:val="21"/>
                <w:szCs w:val="22"/>
                <w:highlight w:val="none"/>
                <w:vertAlign w:val="baseline"/>
                <w:lang w:val="en-US" w:eastAsia="zh-CN"/>
              </w:rPr>
              <w:t>腺病毒在基因工程中的工具性作用。</w:t>
            </w:r>
          </w:p>
        </w:tc>
        <w:tc>
          <w:tcPr>
            <w:tcW w:w="1165" w:type="dxa"/>
            <w:tcBorders>
              <w:top w:val="single" w:color="auto" w:sz="4" w:space="0"/>
              <w:left w:val="single" w:color="auto" w:sz="12" w:space="0"/>
              <w:bottom w:val="single" w:color="auto" w:sz="4" w:space="0"/>
              <w:right w:val="single" w:color="auto" w:sz="12" w:space="0"/>
            </w:tcBorders>
            <w:shd w:val="clear" w:color="FFFFFF" w:fill="auto"/>
            <w:tcMar>
              <w:top w:w="57" w:type="dxa"/>
              <w:left w:w="85" w:type="dxa"/>
              <w:bottom w:w="57" w:type="dxa"/>
              <w:right w:w="85" w:type="dxa"/>
            </w:tcMar>
            <w:vAlign w:val="center"/>
          </w:tcPr>
          <w:p w14:paraId="74511F3A">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EA5A83B1">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CB2BF07C">
            <w:pPr>
              <w:spacing w:line="240" w:lineRule="auto"/>
              <w:jc w:val="left"/>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CEFAB0C5">
        <w:tblPrEx>
          <w:tblCellMar>
            <w:top w:w="57" w:type="dxa"/>
            <w:left w:w="85" w:type="dxa"/>
            <w:bottom w:w="57" w:type="dxa"/>
            <w:right w:w="85" w:type="dxa"/>
          </w:tblCellMar>
        </w:tblPrEx>
        <w:trPr>
          <w:trHeight w:val="454" w:hRule="atLeast"/>
          <w:jc w:val="center"/>
        </w:trPr>
        <w:tc>
          <w:tcPr>
            <w:tcW w:w="1374"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C3939DCF">
            <w:pPr>
              <w:snapToGrid w:val="0"/>
              <w:spacing w:line="320" w:lineRule="exact"/>
              <w:ind w:firstLine="0"/>
              <w:jc w:val="left"/>
            </w:pPr>
            <w:r>
              <w:rPr>
                <w:rFonts w:hint="default" w:ascii="宋体" w:hAnsi="宋体" w:eastAsia="宋体" w:cs="Times New Roman"/>
                <w:b w:val="0"/>
                <w:bCs w:val="0"/>
                <w:i w:val="0"/>
                <w:iCs w:val="0"/>
                <w:color w:val="auto"/>
                <w:kern w:val="2"/>
                <w:sz w:val="20"/>
                <w:szCs w:val="20"/>
                <w:highlight w:val="none"/>
                <w:vertAlign w:val="baseline"/>
                <w:lang w:val="en-US" w:eastAsia="zh-CN" w:bidi="ar-SA"/>
              </w:rPr>
              <w:t>医学蠕虫、原虫、节肢动物</w:t>
            </w:r>
          </w:p>
        </w:tc>
        <w:tc>
          <w:tcPr>
            <w:tcW w:w="253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E1FA43F">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bidi="ar-SA"/>
              </w:rPr>
              <w:t>掌握绦虫、其他人体寄生虫、蠕虫、叶足虫、鞭毛虫、孢子虫的感染方式和致病特点，能判断蛔虫、钩虫、吸虫、绦虫的结构特点。</w:t>
            </w:r>
          </w:p>
        </w:tc>
        <w:tc>
          <w:tcPr>
            <w:tcW w:w="2119"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61AD9096">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青蒿素与屠呦呦－中药提纯与人工合成/改造技术的发展。</w:t>
            </w:r>
          </w:p>
        </w:tc>
        <w:tc>
          <w:tcPr>
            <w:tcW w:w="1326"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CEEB649C">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抗疟道路上的中国智慧和中国贡献。</w:t>
            </w:r>
          </w:p>
        </w:tc>
        <w:tc>
          <w:tcPr>
            <w:tcW w:w="1165" w:type="dxa"/>
            <w:tcBorders>
              <w:top w:val="single" w:color="auto" w:sz="4" w:space="0"/>
              <w:left w:val="single" w:color="auto" w:sz="12" w:space="0"/>
              <w:bottom w:val="single" w:color="auto" w:sz="4" w:space="0"/>
              <w:right w:val="single" w:color="auto" w:sz="12" w:space="0"/>
            </w:tcBorders>
            <w:shd w:val="clear" w:color="FFFFFF" w:fill="auto"/>
            <w:tcMar>
              <w:top w:w="57" w:type="dxa"/>
              <w:left w:w="85" w:type="dxa"/>
              <w:bottom w:w="57" w:type="dxa"/>
              <w:right w:w="85" w:type="dxa"/>
            </w:tcMar>
            <w:vAlign w:val="center"/>
          </w:tcPr>
          <w:p w14:paraId="5380310A">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CBFE557D">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261C03F9">
            <w:pPr>
              <w:spacing w:line="240" w:lineRule="auto"/>
              <w:jc w:val="left"/>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6EA6A836">
        <w:tblPrEx>
          <w:tblCellMar>
            <w:top w:w="57" w:type="dxa"/>
            <w:left w:w="85" w:type="dxa"/>
            <w:bottom w:w="57" w:type="dxa"/>
            <w:right w:w="85" w:type="dxa"/>
          </w:tblCellMar>
        </w:tblPrEx>
        <w:trPr>
          <w:trHeight w:val="454" w:hRule="atLeast"/>
          <w:jc w:val="center"/>
        </w:trPr>
        <w:tc>
          <w:tcPr>
            <w:tcW w:w="1374"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F3067DB6">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bidi="ar-SA"/>
              </w:rPr>
              <w:t>炎症与发热</w:t>
            </w:r>
          </w:p>
        </w:tc>
        <w:tc>
          <w:tcPr>
            <w:tcW w:w="253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08E5FC0A">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bidi="ar-SA"/>
              </w:rPr>
              <w:t>发热的分期和热代谢特点。掌握炎症基本病理变化，炎症局部表现，急性炎症过程中的白细胞反应，急性炎症病理学类型。</w:t>
            </w:r>
          </w:p>
        </w:tc>
        <w:tc>
          <w:tcPr>
            <w:tcW w:w="2119"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19EF4D9C">
            <w:pPr>
              <w:spacing w:line="240" w:lineRule="auto"/>
              <w:jc w:val="left"/>
            </w:pPr>
            <w:r>
              <w:rPr>
                <w:rFonts w:hint="default" w:ascii="Calibri" w:hAnsi="Calibri" w:eastAsia="宋体" w:cs="Arial"/>
                <w:b w:val="0"/>
                <w:bCs w:val="0"/>
                <w:i w:val="0"/>
                <w:iCs w:val="0"/>
                <w:color w:val="auto"/>
                <w:kern w:val="2"/>
                <w:sz w:val="21"/>
                <w:szCs w:val="22"/>
                <w:highlight w:val="none"/>
                <w:vertAlign w:val="baseline"/>
                <w:lang w:val="en-US" w:eastAsia="zh-CN"/>
              </w:rPr>
              <w:t>脓毒症与血液净化技术--血液净化设备的发展与功能的拓展。</w:t>
            </w:r>
          </w:p>
        </w:tc>
        <w:tc>
          <w:tcPr>
            <w:tcW w:w="1326"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1450B0D2">
            <w:pPr>
              <w:spacing w:line="240" w:lineRule="auto"/>
              <w:jc w:val="left"/>
            </w:pPr>
            <w:r>
              <w:rPr>
                <w:rFonts w:hint="default" w:ascii="Calibri" w:hAnsi="Calibri" w:eastAsia="宋体" w:cs="Arial"/>
                <w:b w:val="0"/>
                <w:bCs w:val="0"/>
                <w:i w:val="0"/>
                <w:iCs w:val="0"/>
                <w:color w:val="auto"/>
                <w:kern w:val="2"/>
                <w:sz w:val="21"/>
                <w:szCs w:val="22"/>
                <w:highlight w:val="none"/>
                <w:vertAlign w:val="baseline"/>
                <w:lang w:val="en-US" w:eastAsia="zh-CN"/>
              </w:rPr>
              <w:t>血液净化技术是重症医学的基石之一。</w:t>
            </w:r>
          </w:p>
        </w:tc>
        <w:tc>
          <w:tcPr>
            <w:tcW w:w="1165" w:type="dxa"/>
            <w:tcBorders>
              <w:top w:val="single" w:color="auto" w:sz="4" w:space="0"/>
              <w:left w:val="single" w:color="auto" w:sz="12" w:space="0"/>
              <w:bottom w:val="single" w:color="auto" w:sz="4" w:space="0"/>
              <w:right w:val="single" w:color="auto" w:sz="12" w:space="0"/>
            </w:tcBorders>
            <w:shd w:val="clear" w:color="FFFFFF" w:fill="auto"/>
            <w:tcMar>
              <w:top w:w="57" w:type="dxa"/>
              <w:left w:w="85" w:type="dxa"/>
              <w:bottom w:w="57" w:type="dxa"/>
              <w:right w:w="85" w:type="dxa"/>
            </w:tcMar>
            <w:vAlign w:val="center"/>
          </w:tcPr>
          <w:p w14:paraId="FAB229A6">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2DFEAA64">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2FABE540">
            <w:pPr>
              <w:spacing w:line="240" w:lineRule="auto"/>
              <w:jc w:val="left"/>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A8942C7E">
        <w:tblPrEx>
          <w:tblCellMar>
            <w:top w:w="57" w:type="dxa"/>
            <w:left w:w="85" w:type="dxa"/>
            <w:bottom w:w="57" w:type="dxa"/>
            <w:right w:w="85" w:type="dxa"/>
          </w:tblCellMar>
        </w:tblPrEx>
        <w:trPr>
          <w:trHeight w:val="454" w:hRule="atLeast"/>
          <w:jc w:val="center"/>
        </w:trPr>
        <w:tc>
          <w:tcPr>
            <w:tcW w:w="1374"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D8E5F2B3">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bidi="ar-SA"/>
              </w:rPr>
              <w:t>肿瘤</w:t>
            </w:r>
          </w:p>
        </w:tc>
        <w:tc>
          <w:tcPr>
            <w:tcW w:w="253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EFCB864">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bidi="ar-SA"/>
              </w:rPr>
              <w:t>肿瘤分化，异型性，种植性转移癌，肉瘤，癌前疾病。异型增生和原位癌概念。肿瘤的形态，肿瘤的生长，肿瘤的扩散，肿瘤的一般命名原则。良、恶性肿瘤的区分，常见的癌前疾病。</w:t>
            </w:r>
          </w:p>
        </w:tc>
        <w:tc>
          <w:tcPr>
            <w:tcW w:w="2119"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137E286E">
            <w:pPr>
              <w:spacing w:line="240" w:lineRule="auto"/>
              <w:jc w:val="left"/>
            </w:pPr>
            <w:r>
              <w:rPr>
                <w:rFonts w:hint="default" w:ascii="Calibri" w:hAnsi="Calibri" w:eastAsia="宋体" w:cs="Arial"/>
                <w:b w:val="0"/>
                <w:bCs w:val="0"/>
                <w:i w:val="0"/>
                <w:iCs w:val="0"/>
                <w:color w:val="auto"/>
                <w:kern w:val="2"/>
                <w:sz w:val="21"/>
                <w:szCs w:val="22"/>
                <w:highlight w:val="none"/>
                <w:vertAlign w:val="baseline"/>
                <w:lang w:val="en-US" w:eastAsia="zh-CN"/>
              </w:rPr>
              <w:t xml:space="preserve">肿瘤相关的基因检测、实验室检测。影像学检查（CT/petCT、RMI、B超等）以及肿瘤相关的微创/内窥镜手术器械的发展。 </w:t>
            </w:r>
          </w:p>
        </w:tc>
        <w:tc>
          <w:tcPr>
            <w:tcW w:w="1326"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377ABF5B">
            <w:pPr>
              <w:spacing w:line="240" w:lineRule="auto"/>
              <w:jc w:val="left"/>
            </w:pPr>
            <w:r>
              <w:rPr>
                <w:rFonts w:hint="default" w:ascii="Calibri" w:hAnsi="Calibri" w:eastAsia="宋体" w:cs="Arial"/>
                <w:b w:val="0"/>
                <w:bCs w:val="0"/>
                <w:i w:val="0"/>
                <w:iCs w:val="0"/>
                <w:color w:val="auto"/>
                <w:kern w:val="2"/>
                <w:sz w:val="21"/>
                <w:szCs w:val="22"/>
                <w:highlight w:val="none"/>
                <w:vertAlign w:val="baseline"/>
                <w:lang w:val="en-US" w:eastAsia="zh-CN"/>
              </w:rPr>
              <w:t>医工助力肿瘤早发现、早诊断、早治疗。</w:t>
            </w:r>
          </w:p>
        </w:tc>
        <w:tc>
          <w:tcPr>
            <w:tcW w:w="1165" w:type="dxa"/>
            <w:tcBorders>
              <w:top w:val="single" w:color="auto" w:sz="4" w:space="0"/>
              <w:left w:val="single" w:color="auto" w:sz="12" w:space="0"/>
              <w:bottom w:val="single" w:color="auto" w:sz="4" w:space="0"/>
              <w:right w:val="single" w:color="auto" w:sz="12" w:space="0"/>
            </w:tcBorders>
            <w:shd w:val="clear" w:color="FFFFFF" w:fill="auto"/>
            <w:tcMar>
              <w:top w:w="57" w:type="dxa"/>
              <w:left w:w="85" w:type="dxa"/>
              <w:bottom w:w="57" w:type="dxa"/>
              <w:right w:w="85" w:type="dxa"/>
            </w:tcMar>
            <w:vAlign w:val="center"/>
          </w:tcPr>
          <w:p w14:paraId="84FC2237">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1E3B70E2">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6DE9B2C3">
            <w:pPr>
              <w:spacing w:line="240" w:lineRule="auto"/>
              <w:jc w:val="left"/>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r w14:paraId="E6C416F0">
        <w:tblPrEx>
          <w:tblCellMar>
            <w:top w:w="57" w:type="dxa"/>
            <w:left w:w="85" w:type="dxa"/>
            <w:bottom w:w="57" w:type="dxa"/>
            <w:right w:w="85" w:type="dxa"/>
          </w:tblCellMar>
        </w:tblPrEx>
        <w:trPr>
          <w:trHeight w:val="454" w:hRule="atLeast"/>
          <w:jc w:val="center"/>
        </w:trPr>
        <w:tc>
          <w:tcPr>
            <w:tcW w:w="1374"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295D3DF0">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bidi="ar-SA"/>
              </w:rPr>
              <w:t>免疫系统疾病。</w:t>
            </w:r>
          </w:p>
        </w:tc>
        <w:tc>
          <w:tcPr>
            <w:tcW w:w="253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A559BEC">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bidi="ar-SA"/>
              </w:rPr>
              <w:t>掌握自身免疫性疾病的基本特征与分类中。免疫缺陷的分类。掌握免疫缺陷并HIV的临床表现和分期。</w:t>
            </w:r>
          </w:p>
        </w:tc>
        <w:tc>
          <w:tcPr>
            <w:tcW w:w="2119"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19D63499">
            <w:pPr>
              <w:spacing w:line="240" w:lineRule="auto"/>
              <w:jc w:val="left"/>
            </w:pPr>
            <w:r>
              <w:rPr>
                <w:rFonts w:hint="default" w:ascii="Calibri" w:hAnsi="Calibri" w:eastAsia="宋体" w:cs="Arial"/>
                <w:b w:val="0"/>
                <w:bCs w:val="0"/>
                <w:i w:val="0"/>
                <w:iCs w:val="0"/>
                <w:color w:val="auto"/>
                <w:kern w:val="2"/>
                <w:sz w:val="21"/>
                <w:szCs w:val="22"/>
                <w:highlight w:val="none"/>
                <w:vertAlign w:val="baseline"/>
                <w:lang w:val="en-US" w:eastAsia="zh-CN"/>
              </w:rPr>
              <w:t>HIV早期筛查工具的商品化、便捷化、大众化。</w:t>
            </w:r>
          </w:p>
        </w:tc>
        <w:tc>
          <w:tcPr>
            <w:tcW w:w="1326"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3246C8D1">
            <w:pPr>
              <w:spacing w:line="240" w:lineRule="auto"/>
              <w:jc w:val="left"/>
            </w:pPr>
            <w:r>
              <w:rPr>
                <w:rFonts w:hint="default" w:ascii="Calibri" w:hAnsi="Calibri" w:eastAsia="宋体" w:cs="Arial"/>
                <w:b w:val="0"/>
                <w:bCs w:val="0"/>
                <w:i w:val="0"/>
                <w:iCs w:val="0"/>
                <w:color w:val="auto"/>
                <w:kern w:val="2"/>
                <w:sz w:val="21"/>
                <w:szCs w:val="22"/>
                <w:highlight w:val="none"/>
                <w:vertAlign w:val="baseline"/>
                <w:lang w:val="en-US" w:eastAsia="zh-CN"/>
              </w:rPr>
              <w:t>医工助力艾滋病早期防控。</w:t>
            </w:r>
          </w:p>
        </w:tc>
        <w:tc>
          <w:tcPr>
            <w:tcW w:w="1165" w:type="dxa"/>
            <w:tcBorders>
              <w:top w:val="single" w:color="auto" w:sz="4" w:space="0"/>
              <w:left w:val="single" w:color="auto" w:sz="12" w:space="0"/>
              <w:bottom w:val="single" w:color="auto" w:sz="4" w:space="0"/>
              <w:right w:val="single" w:color="auto" w:sz="12" w:space="0"/>
            </w:tcBorders>
            <w:shd w:val="clear" w:color="FFFFFF" w:fill="auto"/>
            <w:tcMar>
              <w:top w:w="57" w:type="dxa"/>
              <w:left w:w="85" w:type="dxa"/>
              <w:bottom w:w="57" w:type="dxa"/>
              <w:right w:w="85" w:type="dxa"/>
            </w:tcMar>
            <w:vAlign w:val="center"/>
          </w:tcPr>
          <w:p w14:paraId="E6152CA2">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课堂讲授</w:t>
            </w:r>
          </w:p>
          <w:p w14:paraId="500C21D8">
            <w:pPr>
              <w:spacing w:line="240" w:lineRule="auto"/>
              <w:jc w:val="both"/>
            </w:pPr>
            <w:r>
              <w:rPr>
                <w:rFonts w:hint="default" w:ascii="Calibri" w:hAnsi="Calibri" w:eastAsia="宋体" w:cs="宋体"/>
                <w:b w:val="0"/>
                <w:bCs w:val="0"/>
                <w:i w:val="0"/>
                <w:iCs w:val="0"/>
                <w:color w:val="auto"/>
                <w:kern w:val="2"/>
                <w:sz w:val="21"/>
                <w:szCs w:val="22"/>
                <w:highlight w:val="none"/>
                <w:vertAlign w:val="baseline"/>
                <w:lang w:val="en-US" w:eastAsia="zh-CN"/>
              </w:rPr>
              <w:t>播放视频</w:t>
            </w:r>
          </w:p>
          <w:p w14:paraId="96D821D2">
            <w:pPr>
              <w:spacing w:line="240" w:lineRule="auto"/>
              <w:jc w:val="left"/>
            </w:pPr>
            <w:r>
              <w:rPr>
                <w:rFonts w:hint="default" w:ascii="Calibri" w:hAnsi="Calibri" w:eastAsia="宋体" w:cs="宋体"/>
                <w:b w:val="0"/>
                <w:bCs w:val="0"/>
                <w:i w:val="0"/>
                <w:iCs w:val="0"/>
                <w:color w:val="auto"/>
                <w:kern w:val="2"/>
                <w:sz w:val="21"/>
                <w:szCs w:val="22"/>
                <w:highlight w:val="none"/>
                <w:vertAlign w:val="baseline"/>
                <w:lang w:val="en-US" w:eastAsia="zh-CN"/>
              </w:rPr>
              <w:t>互动讨论</w:t>
            </w:r>
          </w:p>
        </w:tc>
      </w:tr>
    </w:tbl>
    <w:p w14:paraId="5DCCA906">
      <w:pPr>
        <w:pStyle w:val="26"/>
        <w:numPr>
          <w:ilvl w:val="0"/>
          <w:numId w:val="0"/>
        </w:numPr>
        <w:spacing w:before="326" w:beforeLines="100" w:line="360" w:lineRule="auto"/>
        <w:ind w:left="420" w:firstLine="0"/>
        <w:rPr>
          <w:rFonts w:hint="eastAsia" w:ascii="黑体" w:hAnsi="宋体"/>
          <w:b w:val="0"/>
          <w:bCs w:val="0"/>
          <w:sz w:val="20"/>
          <w:szCs w:val="20"/>
        </w:rPr>
      </w:pPr>
    </w:p>
    <w:p w14:paraId="57C318E1">
      <w:pPr>
        <w:pStyle w:val="26"/>
        <w:spacing w:before="326" w:beforeLines="100" w:line="360" w:lineRule="auto"/>
        <w:rPr>
          <w:rFonts w:ascii="黑体" w:hAnsi="宋体"/>
        </w:rPr>
      </w:pPr>
      <w:r>
        <w:rPr>
          <w:rFonts w:hint="default" w:ascii="黑体" w:hAnsi="宋体"/>
          <w:lang w:val="en-US"/>
        </w:rPr>
        <w:t>六</w:t>
      </w:r>
      <w:r>
        <w:rPr>
          <w:rFonts w:hint="eastAsia" w:ascii="黑体" w:hAnsi="宋体"/>
        </w:rPr>
        <w:t>、课程考核</w:t>
      </w:r>
      <w:bookmarkStart w:id="4" w:name="OLE_LINK3"/>
      <w:bookmarkStart w:id="5" w:name="OLE_LINK4"/>
    </w:p>
    <w:bookmarkEnd w:id="4"/>
    <w:bookmarkEnd w:id="5"/>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E9D8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DD5896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F1972E5">
            <w:pPr>
              <w:pStyle w:val="2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858A7ED3">
            <w:pPr>
              <w:pStyle w:val="2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3B48DA0">
            <w:pPr>
              <w:pStyle w:val="2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E19A4A6B">
            <w:pPr>
              <w:pStyle w:val="26"/>
              <w:widowControl w:val="0"/>
              <w:spacing w:line="240" w:lineRule="auto"/>
              <w:jc w:val="center"/>
              <w:rPr>
                <w:rFonts w:ascii="黑体" w:hAnsi="黑体"/>
                <w:bCs/>
                <w:sz w:val="21"/>
                <w:szCs w:val="21"/>
              </w:rPr>
            </w:pPr>
            <w:r>
              <w:rPr>
                <w:rFonts w:hint="eastAsia" w:ascii="黑体" w:hAnsi="黑体"/>
                <w:bCs/>
                <w:sz w:val="21"/>
                <w:szCs w:val="21"/>
              </w:rPr>
              <w:t>合计</w:t>
            </w:r>
          </w:p>
        </w:tc>
      </w:tr>
      <w:tr w14:paraId="7BDD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FFC1DA98">
            <w:pPr>
              <w:widowControl w:val="0"/>
              <w:snapToGrid w:val="0"/>
              <w:jc w:val="center"/>
              <w:rPr>
                <w:rFonts w:ascii="黑体" w:hAnsi="黑体" w:eastAsia="黑体"/>
                <w:bCs/>
                <w:sz w:val="21"/>
                <w:szCs w:val="21"/>
              </w:rPr>
            </w:pPr>
          </w:p>
        </w:tc>
        <w:tc>
          <w:tcPr>
            <w:tcW w:w="709" w:type="dxa"/>
            <w:vMerge w:val="continue"/>
          </w:tcPr>
          <w:p w14:paraId="2D456952">
            <w:pPr>
              <w:pStyle w:val="26"/>
              <w:widowControl w:val="0"/>
              <w:jc w:val="both"/>
              <w:rPr>
                <w:rFonts w:ascii="黑体" w:hAnsi="黑体"/>
                <w:bCs/>
                <w:sz w:val="21"/>
                <w:szCs w:val="21"/>
              </w:rPr>
            </w:pPr>
          </w:p>
        </w:tc>
        <w:tc>
          <w:tcPr>
            <w:tcW w:w="2353" w:type="dxa"/>
            <w:vMerge w:val="continue"/>
            <w:tcBorders>
              <w:right w:val="double" w:color="auto" w:sz="4" w:space="0"/>
            </w:tcBorders>
          </w:tcPr>
          <w:p w14:paraId="6179B1B1">
            <w:pPr>
              <w:pStyle w:val="26"/>
              <w:widowControl w:val="0"/>
              <w:jc w:val="both"/>
              <w:rPr>
                <w:rFonts w:ascii="黑体" w:hAnsi="黑体"/>
                <w:bCs/>
                <w:sz w:val="21"/>
                <w:szCs w:val="21"/>
              </w:rPr>
            </w:pPr>
          </w:p>
        </w:tc>
        <w:tc>
          <w:tcPr>
            <w:tcW w:w="612" w:type="dxa"/>
            <w:tcBorders>
              <w:left w:val="double" w:color="auto" w:sz="4" w:space="0"/>
            </w:tcBorders>
            <w:vAlign w:val="center"/>
          </w:tcPr>
          <w:p w14:paraId="A989ECAB">
            <w:pPr>
              <w:pStyle w:val="26"/>
              <w:widowControl w:val="0"/>
              <w:spacing w:line="240" w:lineRule="auto"/>
              <w:jc w:val="center"/>
              <w:rPr>
                <w:rFonts w:ascii="黑体" w:hAnsi="黑体"/>
                <w:bCs/>
                <w:sz w:val="21"/>
                <w:szCs w:val="21"/>
              </w:rPr>
            </w:pPr>
            <w:r>
              <w:rPr>
                <w:rFonts w:hAnsi="黑体"/>
                <w:bCs/>
                <w:sz w:val="21"/>
                <w:szCs w:val="21"/>
                <w:lang w:val="en-US"/>
              </w:rPr>
              <w:t>1</w:t>
            </w:r>
          </w:p>
        </w:tc>
        <w:tc>
          <w:tcPr>
            <w:tcW w:w="612" w:type="dxa"/>
            <w:vAlign w:val="center"/>
          </w:tcPr>
          <w:p w14:paraId="D706A481">
            <w:pPr>
              <w:pStyle w:val="26"/>
              <w:widowControl w:val="0"/>
              <w:spacing w:line="240" w:lineRule="auto"/>
              <w:jc w:val="center"/>
              <w:rPr>
                <w:rFonts w:ascii="黑体" w:hAnsi="黑体"/>
                <w:bCs/>
                <w:sz w:val="21"/>
                <w:szCs w:val="21"/>
              </w:rPr>
            </w:pPr>
            <w:r>
              <w:rPr>
                <w:rFonts w:ascii="黑体" w:hAnsi="黑体"/>
                <w:bCs/>
                <w:sz w:val="21"/>
                <w:szCs w:val="21"/>
                <w:lang w:val="en-US"/>
              </w:rPr>
              <w:t>2</w:t>
            </w:r>
          </w:p>
        </w:tc>
        <w:tc>
          <w:tcPr>
            <w:tcW w:w="612" w:type="dxa"/>
            <w:vAlign w:val="center"/>
          </w:tcPr>
          <w:p w14:paraId="5477E4D9">
            <w:pPr>
              <w:pStyle w:val="26"/>
              <w:widowControl w:val="0"/>
              <w:spacing w:line="240" w:lineRule="auto"/>
              <w:jc w:val="center"/>
              <w:rPr>
                <w:rFonts w:ascii="黑体" w:hAnsi="黑体"/>
                <w:bCs/>
                <w:sz w:val="21"/>
                <w:szCs w:val="21"/>
              </w:rPr>
            </w:pPr>
            <w:r>
              <w:rPr>
                <w:rFonts w:ascii="黑体" w:hAnsi="黑体"/>
                <w:bCs/>
                <w:sz w:val="21"/>
                <w:szCs w:val="21"/>
                <w:lang w:val="en-US"/>
              </w:rPr>
              <w:t>3</w:t>
            </w:r>
          </w:p>
        </w:tc>
        <w:tc>
          <w:tcPr>
            <w:tcW w:w="612" w:type="dxa"/>
            <w:vAlign w:val="center"/>
          </w:tcPr>
          <w:p w14:paraId="CB540EBE">
            <w:pPr>
              <w:pStyle w:val="26"/>
              <w:widowControl w:val="0"/>
              <w:spacing w:line="240" w:lineRule="auto"/>
              <w:jc w:val="center"/>
              <w:rPr>
                <w:rFonts w:ascii="黑体" w:hAnsi="黑体"/>
                <w:bCs/>
                <w:sz w:val="21"/>
                <w:szCs w:val="21"/>
              </w:rPr>
            </w:pPr>
            <w:r>
              <w:rPr>
                <w:rFonts w:ascii="黑体" w:hAnsi="黑体"/>
                <w:bCs/>
                <w:sz w:val="21"/>
                <w:szCs w:val="21"/>
                <w:lang w:val="en-US"/>
              </w:rPr>
              <w:t>4</w:t>
            </w:r>
          </w:p>
        </w:tc>
        <w:tc>
          <w:tcPr>
            <w:tcW w:w="612" w:type="dxa"/>
            <w:vAlign w:val="center"/>
          </w:tcPr>
          <w:p w14:paraId="7469981E">
            <w:pPr>
              <w:pStyle w:val="26"/>
              <w:widowControl w:val="0"/>
              <w:spacing w:line="240" w:lineRule="auto"/>
              <w:jc w:val="center"/>
              <w:rPr>
                <w:rFonts w:ascii="黑体" w:hAnsi="黑体"/>
                <w:bCs/>
                <w:sz w:val="21"/>
                <w:szCs w:val="21"/>
              </w:rPr>
            </w:pPr>
            <w:r>
              <w:rPr>
                <w:rFonts w:ascii="黑体" w:hAnsi="黑体"/>
                <w:bCs/>
                <w:sz w:val="21"/>
                <w:szCs w:val="21"/>
                <w:lang w:val="en-US"/>
              </w:rPr>
              <w:t>5</w:t>
            </w:r>
          </w:p>
        </w:tc>
        <w:tc>
          <w:tcPr>
            <w:tcW w:w="612" w:type="dxa"/>
            <w:vAlign w:val="center"/>
          </w:tcPr>
          <w:p w14:paraId="C8E6E698">
            <w:pPr>
              <w:pStyle w:val="26"/>
              <w:widowControl w:val="0"/>
              <w:spacing w:line="240" w:lineRule="auto"/>
              <w:jc w:val="center"/>
              <w:rPr>
                <w:rFonts w:ascii="黑体" w:hAnsi="黑体"/>
                <w:bCs/>
                <w:sz w:val="21"/>
                <w:szCs w:val="21"/>
              </w:rPr>
            </w:pPr>
            <w:r>
              <w:rPr>
                <w:rFonts w:ascii="黑体" w:hAnsi="黑体"/>
                <w:bCs/>
                <w:sz w:val="21"/>
                <w:szCs w:val="21"/>
                <w:lang w:val="en-US"/>
              </w:rPr>
              <w:t>6</w:t>
            </w:r>
          </w:p>
        </w:tc>
        <w:tc>
          <w:tcPr>
            <w:tcW w:w="706" w:type="dxa"/>
            <w:vMerge w:val="continue"/>
            <w:tcBorders>
              <w:right w:val="single" w:color="auto" w:sz="12" w:space="0"/>
            </w:tcBorders>
          </w:tcPr>
          <w:p w14:paraId="71805054">
            <w:pPr>
              <w:pStyle w:val="26"/>
              <w:widowControl w:val="0"/>
              <w:spacing w:line="240" w:lineRule="auto"/>
              <w:jc w:val="center"/>
              <w:rPr>
                <w:rFonts w:ascii="黑体" w:hAnsi="黑体"/>
                <w:bCs/>
                <w:sz w:val="21"/>
                <w:szCs w:val="21"/>
              </w:rPr>
            </w:pPr>
          </w:p>
        </w:tc>
      </w:tr>
      <w:tr w14:paraId="C95B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8982AF4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0E5D44D0">
            <w:pPr>
              <w:pStyle w:val="24"/>
              <w:widowControl w:val="0"/>
            </w:pPr>
            <w:r>
              <w:rPr>
                <w:lang w:val="en-US"/>
              </w:rPr>
              <w:t>60%</w:t>
            </w:r>
          </w:p>
        </w:tc>
        <w:tc>
          <w:tcPr>
            <w:tcW w:w="2353" w:type="dxa"/>
            <w:tcBorders>
              <w:right w:val="double" w:color="auto" w:sz="4" w:space="0"/>
            </w:tcBorders>
            <w:vAlign w:val="center"/>
          </w:tcPr>
          <w:p w14:paraId="128B2EB2">
            <w:pPr>
              <w:pStyle w:val="24"/>
              <w:widowControl w:val="0"/>
            </w:pPr>
            <w:r>
              <w:rPr>
                <w:lang w:val="en-US"/>
              </w:rPr>
              <w:t>期末纸笔闭卷考试</w:t>
            </w:r>
          </w:p>
        </w:tc>
        <w:tc>
          <w:tcPr>
            <w:tcW w:w="612" w:type="dxa"/>
            <w:tcBorders>
              <w:left w:val="double" w:color="auto" w:sz="4" w:space="0"/>
            </w:tcBorders>
            <w:vAlign w:val="center"/>
          </w:tcPr>
          <w:p w14:paraId="5D44BFEC">
            <w:pPr>
              <w:pStyle w:val="24"/>
              <w:widowControl w:val="0"/>
            </w:pPr>
            <w:r>
              <w:rPr>
                <w:lang w:val="en-US"/>
              </w:rPr>
              <w:t>20</w:t>
            </w:r>
          </w:p>
        </w:tc>
        <w:tc>
          <w:tcPr>
            <w:tcW w:w="612" w:type="dxa"/>
            <w:vAlign w:val="center"/>
          </w:tcPr>
          <w:p w14:paraId="788BD918">
            <w:pPr>
              <w:pStyle w:val="24"/>
              <w:widowControl w:val="0"/>
            </w:pPr>
            <w:r>
              <w:rPr>
                <w:lang w:val="en-US"/>
              </w:rPr>
              <w:t>20</w:t>
            </w:r>
          </w:p>
        </w:tc>
        <w:tc>
          <w:tcPr>
            <w:tcW w:w="612" w:type="dxa"/>
            <w:vAlign w:val="center"/>
          </w:tcPr>
          <w:p w14:paraId="9F0625AE">
            <w:pPr>
              <w:pStyle w:val="24"/>
              <w:widowControl w:val="0"/>
            </w:pPr>
            <w:r>
              <w:rPr>
                <w:lang w:val="en-US"/>
              </w:rPr>
              <w:t>20</w:t>
            </w:r>
          </w:p>
        </w:tc>
        <w:tc>
          <w:tcPr>
            <w:tcW w:w="612" w:type="dxa"/>
            <w:vAlign w:val="center"/>
          </w:tcPr>
          <w:p w14:paraId="090FE095">
            <w:pPr>
              <w:pStyle w:val="24"/>
              <w:widowControl w:val="0"/>
            </w:pPr>
            <w:r>
              <w:rPr>
                <w:lang w:val="en-US"/>
              </w:rPr>
              <w:t>20</w:t>
            </w:r>
          </w:p>
        </w:tc>
        <w:tc>
          <w:tcPr>
            <w:tcW w:w="612" w:type="dxa"/>
            <w:vAlign w:val="center"/>
          </w:tcPr>
          <w:p w14:paraId="050F0CCD">
            <w:pPr>
              <w:pStyle w:val="24"/>
              <w:widowControl w:val="0"/>
            </w:pPr>
            <w:r>
              <w:rPr>
                <w:lang w:val="en-US"/>
              </w:rPr>
              <w:t>10</w:t>
            </w:r>
          </w:p>
        </w:tc>
        <w:tc>
          <w:tcPr>
            <w:tcW w:w="612" w:type="dxa"/>
            <w:vAlign w:val="center"/>
          </w:tcPr>
          <w:p w14:paraId="18F78E58">
            <w:pPr>
              <w:pStyle w:val="24"/>
              <w:widowControl w:val="0"/>
            </w:pPr>
            <w:r>
              <w:rPr>
                <w:lang w:val="en-US"/>
              </w:rPr>
              <w:t>10</w:t>
            </w:r>
          </w:p>
        </w:tc>
        <w:tc>
          <w:tcPr>
            <w:tcW w:w="706" w:type="dxa"/>
            <w:tcBorders>
              <w:right w:val="single" w:color="auto" w:sz="12" w:space="0"/>
            </w:tcBorders>
            <w:vAlign w:val="center"/>
          </w:tcPr>
          <w:p w14:paraId="212E2D70">
            <w:pPr>
              <w:pStyle w:val="24"/>
              <w:widowControl w:val="0"/>
            </w:pPr>
            <w:r>
              <w:rPr>
                <w:rFonts w:hint="eastAsia"/>
              </w:rPr>
              <w:t>1</w:t>
            </w:r>
            <w:r>
              <w:t>00</w:t>
            </w:r>
          </w:p>
        </w:tc>
      </w:tr>
      <w:tr w14:paraId="36C0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D60DAC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1160431">
            <w:pPr>
              <w:pStyle w:val="24"/>
              <w:widowControl w:val="0"/>
            </w:pPr>
            <w:r>
              <w:rPr>
                <w:lang w:val="en-US"/>
              </w:rPr>
              <w:t>20%</w:t>
            </w:r>
          </w:p>
        </w:tc>
        <w:tc>
          <w:tcPr>
            <w:tcW w:w="2353" w:type="dxa"/>
            <w:tcBorders>
              <w:right w:val="double" w:color="auto" w:sz="4" w:space="0"/>
            </w:tcBorders>
            <w:vAlign w:val="center"/>
          </w:tcPr>
          <w:p w14:paraId="7B2EE743">
            <w:pPr>
              <w:pStyle w:val="24"/>
              <w:widowControl w:val="0"/>
            </w:pPr>
            <w:r>
              <w:rPr>
                <w:lang w:val="en-US"/>
              </w:rPr>
              <w:t>实验报告</w:t>
            </w:r>
          </w:p>
        </w:tc>
        <w:tc>
          <w:tcPr>
            <w:tcW w:w="612" w:type="dxa"/>
            <w:tcBorders>
              <w:left w:val="double" w:color="auto" w:sz="4" w:space="0"/>
            </w:tcBorders>
            <w:vAlign w:val="center"/>
          </w:tcPr>
          <w:p w14:paraId="6AF13C53">
            <w:pPr>
              <w:pStyle w:val="24"/>
              <w:widowControl w:val="0"/>
            </w:pPr>
            <w:r>
              <w:rPr>
                <w:lang w:val="en-US"/>
              </w:rPr>
              <w:t>20</w:t>
            </w:r>
          </w:p>
        </w:tc>
        <w:tc>
          <w:tcPr>
            <w:tcW w:w="612" w:type="dxa"/>
            <w:vAlign w:val="center"/>
          </w:tcPr>
          <w:p w14:paraId="C9CEE75F">
            <w:pPr>
              <w:pStyle w:val="24"/>
              <w:widowControl w:val="0"/>
            </w:pPr>
            <w:r>
              <w:rPr>
                <w:lang w:val="en-US"/>
              </w:rPr>
              <w:t>20</w:t>
            </w:r>
          </w:p>
        </w:tc>
        <w:tc>
          <w:tcPr>
            <w:tcW w:w="612" w:type="dxa"/>
            <w:vAlign w:val="center"/>
          </w:tcPr>
          <w:p w14:paraId="EB3E144E">
            <w:pPr>
              <w:pStyle w:val="24"/>
              <w:widowControl w:val="0"/>
            </w:pPr>
            <w:r>
              <w:rPr>
                <w:lang w:val="en-US"/>
              </w:rPr>
              <w:t>20</w:t>
            </w:r>
          </w:p>
        </w:tc>
        <w:tc>
          <w:tcPr>
            <w:tcW w:w="612" w:type="dxa"/>
            <w:vAlign w:val="center"/>
          </w:tcPr>
          <w:p w14:paraId="82793E60">
            <w:pPr>
              <w:pStyle w:val="24"/>
              <w:widowControl w:val="0"/>
            </w:pPr>
            <w:r>
              <w:rPr>
                <w:lang w:val="en-US"/>
              </w:rPr>
              <w:t>20</w:t>
            </w:r>
          </w:p>
        </w:tc>
        <w:tc>
          <w:tcPr>
            <w:tcW w:w="612" w:type="dxa"/>
            <w:vAlign w:val="center"/>
          </w:tcPr>
          <w:p w14:paraId="D1143F5E">
            <w:pPr>
              <w:pStyle w:val="24"/>
              <w:widowControl w:val="0"/>
            </w:pPr>
            <w:r>
              <w:rPr>
                <w:lang w:val="en-US"/>
              </w:rPr>
              <w:t>10</w:t>
            </w:r>
          </w:p>
        </w:tc>
        <w:tc>
          <w:tcPr>
            <w:tcW w:w="612" w:type="dxa"/>
            <w:vAlign w:val="center"/>
          </w:tcPr>
          <w:p w14:paraId="54932033">
            <w:pPr>
              <w:pStyle w:val="24"/>
              <w:widowControl w:val="0"/>
            </w:pPr>
            <w:r>
              <w:rPr>
                <w:lang w:val="en-US"/>
              </w:rPr>
              <w:t>10</w:t>
            </w:r>
          </w:p>
        </w:tc>
        <w:tc>
          <w:tcPr>
            <w:tcW w:w="706" w:type="dxa"/>
            <w:tcBorders>
              <w:right w:val="single" w:color="auto" w:sz="12" w:space="0"/>
            </w:tcBorders>
            <w:vAlign w:val="center"/>
          </w:tcPr>
          <w:p w14:paraId="D25EE1CB">
            <w:pPr>
              <w:pStyle w:val="24"/>
              <w:widowControl w:val="0"/>
            </w:pPr>
            <w:r>
              <w:rPr>
                <w:rFonts w:hint="eastAsia"/>
              </w:rPr>
              <w:t>1</w:t>
            </w:r>
            <w:r>
              <w:t>00</w:t>
            </w:r>
          </w:p>
        </w:tc>
      </w:tr>
      <w:tr w14:paraId="1BC7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A321862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BA517E89">
            <w:pPr>
              <w:pStyle w:val="24"/>
              <w:widowControl w:val="0"/>
            </w:pPr>
            <w:r>
              <w:rPr>
                <w:lang w:val="en-US"/>
              </w:rPr>
              <w:t>10%</w:t>
            </w:r>
          </w:p>
        </w:tc>
        <w:tc>
          <w:tcPr>
            <w:tcW w:w="2353" w:type="dxa"/>
            <w:tcBorders>
              <w:right w:val="double" w:color="auto" w:sz="4" w:space="0"/>
            </w:tcBorders>
            <w:vAlign w:val="center"/>
          </w:tcPr>
          <w:p w14:paraId="D0F069D3">
            <w:pPr>
              <w:pStyle w:val="24"/>
              <w:widowControl w:val="0"/>
            </w:pPr>
            <w:r>
              <w:rPr>
                <w:lang w:val="en-US"/>
              </w:rPr>
              <w:t>病例小组讨论</w:t>
            </w:r>
          </w:p>
        </w:tc>
        <w:tc>
          <w:tcPr>
            <w:tcW w:w="612" w:type="dxa"/>
            <w:tcBorders>
              <w:left w:val="double" w:color="auto" w:sz="4" w:space="0"/>
            </w:tcBorders>
            <w:vAlign w:val="center"/>
          </w:tcPr>
          <w:p w14:paraId="62B29308">
            <w:pPr>
              <w:pStyle w:val="24"/>
              <w:widowControl w:val="0"/>
            </w:pPr>
            <w:r>
              <w:rPr>
                <w:lang w:val="en-US"/>
              </w:rPr>
              <w:t>10</w:t>
            </w:r>
          </w:p>
        </w:tc>
        <w:tc>
          <w:tcPr>
            <w:tcW w:w="612" w:type="dxa"/>
            <w:vAlign w:val="center"/>
          </w:tcPr>
          <w:p w14:paraId="A850586A">
            <w:pPr>
              <w:pStyle w:val="24"/>
              <w:widowControl w:val="0"/>
            </w:pPr>
            <w:r>
              <w:rPr>
                <w:lang w:val="en-US"/>
              </w:rPr>
              <w:t>10</w:t>
            </w:r>
          </w:p>
        </w:tc>
        <w:tc>
          <w:tcPr>
            <w:tcW w:w="612" w:type="dxa"/>
            <w:vAlign w:val="center"/>
          </w:tcPr>
          <w:p w14:paraId="A6AAA0AB">
            <w:pPr>
              <w:pStyle w:val="24"/>
              <w:widowControl w:val="0"/>
            </w:pPr>
            <w:r>
              <w:rPr>
                <w:lang w:val="en-US"/>
              </w:rPr>
              <w:t>10</w:t>
            </w:r>
          </w:p>
        </w:tc>
        <w:tc>
          <w:tcPr>
            <w:tcW w:w="612" w:type="dxa"/>
            <w:vAlign w:val="center"/>
          </w:tcPr>
          <w:p w14:paraId="2980AD71">
            <w:pPr>
              <w:pStyle w:val="24"/>
              <w:widowControl w:val="0"/>
            </w:pPr>
            <w:r>
              <w:rPr>
                <w:lang w:val="en-US"/>
              </w:rPr>
              <w:t>10</w:t>
            </w:r>
          </w:p>
        </w:tc>
        <w:tc>
          <w:tcPr>
            <w:tcW w:w="612" w:type="dxa"/>
            <w:vAlign w:val="center"/>
          </w:tcPr>
          <w:p w14:paraId="9F4F0EB1">
            <w:pPr>
              <w:pStyle w:val="24"/>
              <w:widowControl w:val="0"/>
            </w:pPr>
            <w:r>
              <w:rPr>
                <w:lang w:val="en-US"/>
              </w:rPr>
              <w:t>30</w:t>
            </w:r>
          </w:p>
        </w:tc>
        <w:tc>
          <w:tcPr>
            <w:tcW w:w="612" w:type="dxa"/>
            <w:vAlign w:val="center"/>
          </w:tcPr>
          <w:p w14:paraId="F45C9888">
            <w:pPr>
              <w:pStyle w:val="24"/>
              <w:widowControl w:val="0"/>
            </w:pPr>
            <w:r>
              <w:rPr>
                <w:lang w:val="en-US"/>
              </w:rPr>
              <w:t>30</w:t>
            </w:r>
          </w:p>
        </w:tc>
        <w:tc>
          <w:tcPr>
            <w:tcW w:w="706" w:type="dxa"/>
            <w:tcBorders>
              <w:right w:val="single" w:color="auto" w:sz="12" w:space="0"/>
            </w:tcBorders>
            <w:vAlign w:val="center"/>
          </w:tcPr>
          <w:p w14:paraId="8DC48B19">
            <w:pPr>
              <w:pStyle w:val="24"/>
              <w:widowControl w:val="0"/>
            </w:pPr>
            <w:r>
              <w:rPr>
                <w:rFonts w:hint="eastAsia"/>
              </w:rPr>
              <w:t>1</w:t>
            </w:r>
            <w:r>
              <w:t>00</w:t>
            </w:r>
          </w:p>
        </w:tc>
      </w:tr>
      <w:tr w14:paraId="C4BF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A3B0323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9A983934">
            <w:pPr>
              <w:pStyle w:val="24"/>
              <w:widowControl w:val="0"/>
            </w:pPr>
            <w:r>
              <w:rPr>
                <w:lang w:val="en-US"/>
              </w:rPr>
              <w:t>10%</w:t>
            </w:r>
          </w:p>
        </w:tc>
        <w:tc>
          <w:tcPr>
            <w:tcW w:w="2353" w:type="dxa"/>
            <w:tcBorders>
              <w:bottom w:val="single" w:color="auto" w:sz="12" w:space="0"/>
              <w:right w:val="double" w:color="auto" w:sz="4" w:space="0"/>
            </w:tcBorders>
            <w:vAlign w:val="center"/>
          </w:tcPr>
          <w:p w14:paraId="6CDD0D16">
            <w:pPr>
              <w:pStyle w:val="24"/>
              <w:widowControl w:val="0"/>
            </w:pPr>
            <w:r>
              <w:rPr>
                <w:lang w:val="en-US"/>
              </w:rPr>
              <w:t>案例分析报告</w:t>
            </w:r>
          </w:p>
        </w:tc>
        <w:tc>
          <w:tcPr>
            <w:tcW w:w="612" w:type="dxa"/>
            <w:tcBorders>
              <w:left w:val="double" w:color="auto" w:sz="4" w:space="0"/>
              <w:bottom w:val="single" w:color="auto" w:sz="12" w:space="0"/>
            </w:tcBorders>
            <w:vAlign w:val="center"/>
          </w:tcPr>
          <w:p w14:paraId="5A749F6A">
            <w:pPr>
              <w:pStyle w:val="24"/>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14:paraId="9532AA39">
            <w:pPr>
              <w:pStyle w:val="24"/>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14:paraId="61C863C7">
            <w:pPr>
              <w:pStyle w:val="24"/>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14:paraId="93DF878D">
            <w:pPr>
              <w:pStyle w:val="24"/>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14:paraId="BE64F340">
            <w:pPr>
              <w:pStyle w:val="24"/>
              <w:widowControl w:val="0"/>
              <w:rPr>
                <w:rFonts w:hint="default" w:eastAsia="宋体"/>
                <w:lang w:val="en-US" w:eastAsia="zh-CN"/>
              </w:rPr>
            </w:pPr>
            <w:r>
              <w:rPr>
                <w:rFonts w:hint="eastAsia"/>
                <w:lang w:val="en-US" w:eastAsia="zh-CN"/>
              </w:rPr>
              <w:t>30</w:t>
            </w:r>
          </w:p>
        </w:tc>
        <w:tc>
          <w:tcPr>
            <w:tcW w:w="612" w:type="dxa"/>
            <w:tcBorders>
              <w:bottom w:val="single" w:color="auto" w:sz="12" w:space="0"/>
            </w:tcBorders>
            <w:vAlign w:val="center"/>
          </w:tcPr>
          <w:p w14:paraId="3D0D63EB">
            <w:pPr>
              <w:pStyle w:val="24"/>
              <w:widowControl w:val="0"/>
              <w:rPr>
                <w:rFonts w:hint="default" w:eastAsia="宋体"/>
                <w:lang w:val="en-US" w:eastAsia="zh-CN"/>
              </w:rPr>
            </w:pPr>
            <w:r>
              <w:rPr>
                <w:rFonts w:hint="eastAsia"/>
                <w:lang w:val="en-US" w:eastAsia="zh-CN"/>
              </w:rPr>
              <w:t>30</w:t>
            </w:r>
          </w:p>
        </w:tc>
        <w:tc>
          <w:tcPr>
            <w:tcW w:w="706" w:type="dxa"/>
            <w:tcBorders>
              <w:bottom w:val="single" w:color="auto" w:sz="12" w:space="0"/>
              <w:right w:val="single" w:color="auto" w:sz="12" w:space="0"/>
            </w:tcBorders>
            <w:vAlign w:val="center"/>
          </w:tcPr>
          <w:p w14:paraId="DF6D11C9">
            <w:pPr>
              <w:pStyle w:val="24"/>
              <w:widowControl w:val="0"/>
            </w:pPr>
            <w:r>
              <w:rPr>
                <w:rFonts w:hint="eastAsia"/>
              </w:rPr>
              <w:t>1</w:t>
            </w:r>
            <w:r>
              <w:t>00</w:t>
            </w:r>
          </w:p>
        </w:tc>
      </w:tr>
    </w:tbl>
    <w:p w14:paraId="DA75CE8B">
      <w:pPr>
        <w:pStyle w:val="27"/>
        <w:spacing w:before="326" w:beforeLines="100" w:after="163"/>
        <w:jc w:val="center"/>
      </w:pPr>
      <w:r>
        <w:rPr>
          <w:rFonts w:hint="eastAsia"/>
        </w:rPr>
        <w:t>评价标准细则（选填）</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0C2F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EFD7FAF">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DA43F613">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DAD07E4B">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B150785A">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4C2B5D52">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728451F1">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294943FB">
            <w:pPr>
              <w:pStyle w:val="2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E8EB2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E7A73A99">
            <w:pPr>
              <w:widowControl w:val="0"/>
              <w:snapToGrid w:val="0"/>
              <w:jc w:val="center"/>
              <w:rPr>
                <w:rFonts w:ascii="黑体" w:hAnsi="黑体" w:eastAsia="黑体"/>
                <w:bCs/>
                <w:sz w:val="21"/>
                <w:szCs w:val="21"/>
              </w:rPr>
            </w:pPr>
          </w:p>
        </w:tc>
        <w:tc>
          <w:tcPr>
            <w:tcW w:w="648" w:type="dxa"/>
            <w:vMerge w:val="continue"/>
          </w:tcPr>
          <w:p w14:paraId="2AA382E9">
            <w:pPr>
              <w:pStyle w:val="26"/>
              <w:widowControl w:val="0"/>
              <w:jc w:val="both"/>
              <w:rPr>
                <w:rFonts w:ascii="黑体" w:hAnsi="黑体"/>
                <w:bCs/>
                <w:sz w:val="21"/>
                <w:szCs w:val="21"/>
              </w:rPr>
            </w:pPr>
          </w:p>
        </w:tc>
        <w:tc>
          <w:tcPr>
            <w:tcW w:w="1403" w:type="dxa"/>
            <w:vMerge w:val="continue"/>
          </w:tcPr>
          <w:p w14:paraId="BEB430ED">
            <w:pPr>
              <w:pStyle w:val="26"/>
              <w:widowControl w:val="0"/>
              <w:jc w:val="both"/>
              <w:rPr>
                <w:rFonts w:ascii="黑体" w:hAnsi="黑体"/>
                <w:bCs/>
                <w:sz w:val="21"/>
                <w:szCs w:val="21"/>
              </w:rPr>
            </w:pPr>
          </w:p>
        </w:tc>
        <w:tc>
          <w:tcPr>
            <w:tcW w:w="1403" w:type="dxa"/>
            <w:vAlign w:val="center"/>
          </w:tcPr>
          <w:p w14:paraId="A750610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FE1BB8E3">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AB12E8A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BDB32DAB">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E1CCFC2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309EDCF">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3FAB69AF">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4EEABC2">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B69C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D2BC52B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9147E6CC">
            <w:pPr>
              <w:widowControl w:val="0"/>
              <w:snapToGrid w:val="0"/>
              <w:jc w:val="center"/>
              <w:rPr>
                <w:rFonts w:ascii="Arial" w:hAnsi="Arial" w:eastAsia="黑体" w:cs="Arial"/>
                <w:bCs/>
                <w:sz w:val="21"/>
                <w:szCs w:val="21"/>
              </w:rPr>
            </w:pPr>
          </w:p>
        </w:tc>
        <w:tc>
          <w:tcPr>
            <w:tcW w:w="1403" w:type="dxa"/>
          </w:tcPr>
          <w:p w14:paraId="4F20B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tcPr>
          <w:p w14:paraId="EB6588B3">
            <w:pPr>
              <w:pStyle w:val="24"/>
              <w:widowControl w:val="0"/>
              <w:jc w:val="both"/>
            </w:pPr>
          </w:p>
        </w:tc>
        <w:tc>
          <w:tcPr>
            <w:tcW w:w="1403" w:type="dxa"/>
          </w:tcPr>
          <w:p w14:paraId="B115256B">
            <w:pPr>
              <w:pStyle w:val="24"/>
              <w:widowControl w:val="0"/>
              <w:jc w:val="both"/>
            </w:pPr>
          </w:p>
        </w:tc>
        <w:tc>
          <w:tcPr>
            <w:tcW w:w="1403" w:type="dxa"/>
          </w:tcPr>
          <w:p w14:paraId="468D28DD">
            <w:pPr>
              <w:pStyle w:val="24"/>
              <w:widowControl w:val="0"/>
              <w:jc w:val="both"/>
            </w:pPr>
          </w:p>
        </w:tc>
        <w:tc>
          <w:tcPr>
            <w:tcW w:w="1403" w:type="dxa"/>
          </w:tcPr>
          <w:p w14:paraId="9476F85F">
            <w:pPr>
              <w:pStyle w:val="9"/>
              <w:widowControl/>
              <w:shd w:val="clear" w:color="auto" w:fill="FFFFFF"/>
              <w:jc w:val="both"/>
            </w:pPr>
          </w:p>
        </w:tc>
      </w:tr>
      <w:tr w14:paraId="DB0B0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A96DF88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0C5E810D">
            <w:pPr>
              <w:widowControl w:val="0"/>
              <w:snapToGrid w:val="0"/>
              <w:jc w:val="center"/>
              <w:rPr>
                <w:rFonts w:ascii="Arial" w:hAnsi="Arial" w:eastAsia="黑体" w:cs="Arial"/>
                <w:bCs/>
                <w:sz w:val="21"/>
                <w:szCs w:val="21"/>
              </w:rPr>
            </w:pPr>
          </w:p>
        </w:tc>
        <w:tc>
          <w:tcPr>
            <w:tcW w:w="1403" w:type="dxa"/>
            <w:vAlign w:val="center"/>
          </w:tcPr>
          <w:p w14:paraId="CAA8E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eastAsia="宋体" w:cs="Helvetica"/>
                <w:color w:val="000000"/>
                <w:sz w:val="19"/>
                <w:szCs w:val="19"/>
              </w:rPr>
            </w:pPr>
          </w:p>
        </w:tc>
        <w:tc>
          <w:tcPr>
            <w:tcW w:w="1403" w:type="dxa"/>
            <w:vAlign w:val="center"/>
          </w:tcPr>
          <w:p w14:paraId="F0E117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4F02F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3F7F2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C226C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r>
      <w:tr w14:paraId="95277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4FDC19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E999A515">
            <w:pPr>
              <w:widowControl w:val="0"/>
              <w:snapToGrid w:val="0"/>
              <w:jc w:val="center"/>
              <w:rPr>
                <w:rFonts w:ascii="Arial" w:hAnsi="Arial" w:eastAsia="黑体" w:cs="Arial"/>
                <w:bCs/>
                <w:sz w:val="21"/>
                <w:szCs w:val="21"/>
              </w:rPr>
            </w:pPr>
          </w:p>
        </w:tc>
        <w:tc>
          <w:tcPr>
            <w:tcW w:w="1403" w:type="dxa"/>
            <w:vAlign w:val="center"/>
          </w:tcPr>
          <w:p w14:paraId="C07FB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eastAsia="宋体" w:cs="Helvetica"/>
                <w:color w:val="000000"/>
                <w:sz w:val="19"/>
                <w:szCs w:val="19"/>
              </w:rPr>
            </w:pPr>
          </w:p>
        </w:tc>
        <w:tc>
          <w:tcPr>
            <w:tcW w:w="1403" w:type="dxa"/>
            <w:vAlign w:val="center"/>
          </w:tcPr>
          <w:p w14:paraId="A76E9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0812C2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B7D26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2624D8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r>
      <w:tr w14:paraId="DDA2A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849B76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C398BBA3">
            <w:pPr>
              <w:widowControl w:val="0"/>
              <w:snapToGrid w:val="0"/>
              <w:jc w:val="center"/>
              <w:rPr>
                <w:rFonts w:ascii="Arial" w:hAnsi="Arial" w:eastAsia="黑体" w:cs="Arial"/>
                <w:bCs/>
                <w:sz w:val="21"/>
                <w:szCs w:val="21"/>
              </w:rPr>
            </w:pPr>
          </w:p>
        </w:tc>
        <w:tc>
          <w:tcPr>
            <w:tcW w:w="1403" w:type="dxa"/>
            <w:vAlign w:val="center"/>
          </w:tcPr>
          <w:p w14:paraId="754A20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eastAsia="宋体" w:cs="Helvetica"/>
                <w:color w:val="000000"/>
                <w:sz w:val="19"/>
                <w:szCs w:val="19"/>
              </w:rPr>
            </w:pPr>
          </w:p>
        </w:tc>
        <w:tc>
          <w:tcPr>
            <w:tcW w:w="1403" w:type="dxa"/>
            <w:vAlign w:val="center"/>
          </w:tcPr>
          <w:p w14:paraId="5F39B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DB0420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D02E9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C164C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r>
      <w:tr w14:paraId="9E72B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8B73E441">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A23FA4C">
            <w:pPr>
              <w:widowControl w:val="0"/>
              <w:snapToGrid w:val="0"/>
              <w:jc w:val="center"/>
              <w:rPr>
                <w:rFonts w:ascii="Arial" w:hAnsi="Arial" w:eastAsia="黑体" w:cs="Arial"/>
                <w:bCs/>
                <w:sz w:val="21"/>
                <w:szCs w:val="21"/>
              </w:rPr>
            </w:pPr>
          </w:p>
        </w:tc>
        <w:tc>
          <w:tcPr>
            <w:tcW w:w="1403" w:type="dxa"/>
            <w:vAlign w:val="center"/>
          </w:tcPr>
          <w:p w14:paraId="0B48F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eastAsia="宋体" w:cs="Helvetica"/>
                <w:color w:val="000000"/>
                <w:sz w:val="19"/>
                <w:szCs w:val="19"/>
              </w:rPr>
            </w:pPr>
          </w:p>
        </w:tc>
        <w:tc>
          <w:tcPr>
            <w:tcW w:w="1403" w:type="dxa"/>
            <w:vAlign w:val="center"/>
          </w:tcPr>
          <w:p w14:paraId="4E7F43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2B667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8C85D2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2760B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r>
      <w:tr w14:paraId="7B6EE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C099119A">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903A47E">
            <w:pPr>
              <w:widowControl w:val="0"/>
              <w:snapToGrid w:val="0"/>
              <w:jc w:val="center"/>
              <w:rPr>
                <w:rFonts w:ascii="Arial" w:hAnsi="Arial" w:eastAsia="黑体" w:cs="Arial"/>
                <w:bCs/>
                <w:sz w:val="21"/>
                <w:szCs w:val="21"/>
              </w:rPr>
            </w:pPr>
          </w:p>
        </w:tc>
        <w:tc>
          <w:tcPr>
            <w:tcW w:w="1403" w:type="dxa"/>
            <w:vAlign w:val="center"/>
          </w:tcPr>
          <w:p w14:paraId="0FB114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eastAsia="宋体" w:cs="Helvetica"/>
                <w:color w:val="000000"/>
                <w:sz w:val="19"/>
                <w:szCs w:val="19"/>
              </w:rPr>
            </w:pPr>
          </w:p>
        </w:tc>
        <w:tc>
          <w:tcPr>
            <w:tcW w:w="1403" w:type="dxa"/>
            <w:vAlign w:val="center"/>
          </w:tcPr>
          <w:p w14:paraId="C09A8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E4E6C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95FD1D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c>
          <w:tcPr>
            <w:tcW w:w="1403" w:type="dxa"/>
            <w:vAlign w:val="center"/>
          </w:tcPr>
          <w:p w14:paraId="64BB0E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宋体" w:cs="Helvetica"/>
                <w:color w:val="000000"/>
                <w:sz w:val="19"/>
                <w:szCs w:val="19"/>
              </w:rPr>
            </w:pPr>
          </w:p>
        </w:tc>
      </w:tr>
    </w:tbl>
    <w:p w14:paraId="785B8AA1">
      <w:pPr>
        <w:pStyle w:val="26"/>
        <w:spacing w:before="326" w:beforeLines="100" w:line="360" w:lineRule="auto"/>
        <w:rPr>
          <w:rFonts w:ascii="黑体" w:hAnsi="宋体"/>
        </w:rPr>
      </w:pPr>
      <w:r>
        <w:rPr>
          <w:rFonts w:hint="default" w:ascii="黑体" w:hAnsi="宋体"/>
          <w:lang w:val="en-US"/>
        </w:rPr>
        <w:t>七</w:t>
      </w:r>
      <w:r>
        <w:rPr>
          <w:rFonts w:hint="eastAsia" w:ascii="黑体" w:hAnsi="宋体"/>
        </w:rPr>
        <w:t xml:space="preserve">、其他需要说明的问题 </w:t>
      </w:r>
    </w:p>
    <w:tbl>
      <w:tblPr>
        <w:tblStyle w:val="1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B1C6D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ED0C391">
            <w:pPr>
              <w:pStyle w:val="24"/>
              <w:widowControl w:val="0"/>
              <w:jc w:val="left"/>
              <w:rPr>
                <w:rFonts w:ascii="仿宋" w:hAnsi="仿宋" w:eastAsia="仿宋" w:cs="仿宋"/>
              </w:rPr>
            </w:pPr>
          </w:p>
          <w:p w14:paraId="14A2FBF3">
            <w:pPr>
              <w:pStyle w:val="24"/>
              <w:widowControl w:val="0"/>
              <w:jc w:val="left"/>
              <w:rPr>
                <w:rFonts w:ascii="宋体" w:hAnsi="宋体"/>
                <w:bCs/>
              </w:rPr>
            </w:pPr>
          </w:p>
          <w:p w14:paraId="C8C623AB">
            <w:pPr>
              <w:pStyle w:val="24"/>
              <w:widowControl w:val="0"/>
              <w:jc w:val="left"/>
              <w:rPr>
                <w:rFonts w:ascii="黑体"/>
              </w:rPr>
            </w:pPr>
          </w:p>
        </w:tc>
      </w:tr>
    </w:tbl>
    <w:p w14:paraId="550186B1">
      <w:pPr>
        <w:pStyle w:val="26"/>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93"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25EECDA">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D4E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0" distR="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097" name="文本框 1"/>
              <wp:cNvGraphicFramePr/>
              <a:graphic xmlns:a="http://schemas.openxmlformats.org/drawingml/2006/main">
                <a:graphicData uri="http://schemas.microsoft.com/office/word/2010/wordprocessingShape">
                  <wps:wsp>
                    <wps:cNvSpPr/>
                    <wps:spPr>
                      <a:xfrm>
                        <a:off x="0" y="0"/>
                        <a:ext cx="2635249" cy="280670"/>
                      </a:xfrm>
                      <a:prstGeom prst="rect">
                        <a:avLst/>
                      </a:prstGeom>
                      <a:solidFill>
                        <a:srgbClr val="FFFFFF"/>
                      </a:solidFill>
                      <a:ln>
                        <a:noFill/>
                      </a:ln>
                    </wps:spPr>
                    <wps:txbx>
                      <w:txbxContent>
                        <w:p w14:paraId="B9A57E7A">
                          <w:pPr>
                            <w:rPr>
                              <w:rFonts w:ascii="Times New Roman" w:hAnsi="Times New Roman"/>
                            </w:rPr>
                          </w:pPr>
                          <w:r>
                            <w:rPr>
                              <w:rFonts w:ascii="Times New Roman" w:hAnsi="Times New Roman"/>
                            </w:rPr>
                            <w:t>SJQU-QR-JW-055（A0）</w:t>
                          </w:r>
                        </w:p>
                      </w:txbxContent>
                    </wps:txbx>
                    <wps:bodyPr vert="horz" wrap="square" lIns="91440" tIns="45720" rIns="91440" bIns="45720" anchor="t">
                      <a:noAutofit/>
                    </wps:bodyPr>
                  </wps:wsp>
                </a:graphicData>
              </a:graphic>
            </wp:anchor>
          </w:drawing>
        </mc:Choice>
        <mc:Fallback>
          <w:pict>
            <v:rect id="文本框 1" o:spid="_x0000_s1026" o:spt="1"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i3Tv1gAAAAkBAAAPAAAAAAAAAAEAIAAAACIAAABkcnMvZG93bnJldi54bWxQSwECFAAU&#10;AAAACACHTuJA81QayvMBAADXAwAADgAAAAAAAAABACAAAAAlAQAAZHJzL2Uyb0RvYy54bWxQSwUG&#10;AAAAAAYABgBZAQAAigUAAAAA&#10;">
              <v:fill on="t" focussize="0,0"/>
              <v:stroke on="f"/>
              <v:imagedata o:title=""/>
              <o:lock v:ext="edit" aspectratio="f"/>
              <v:textbox>
                <w:txbxContent>
                  <w:p w14:paraId="B9A57E7A">
                    <w:pPr>
                      <w:rPr>
                        <w:rFonts w:ascii="Times New Roman" w:hAnsi="Times New Roman"/>
                      </w:rPr>
                    </w:pPr>
                    <w:r>
                      <w:rPr>
                        <w:rFonts w:ascii="Times New Roman" w:hAnsi="Times New Roman"/>
                      </w:rPr>
                      <w:t>SJQU-QR-JW-055（A0）</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5"/>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F68074A"/>
    <w:rsid w:val="4BFB3965"/>
    <w:rsid w:val="4FCB46B2"/>
    <w:rsid w:val="74FE634D"/>
    <w:rsid w:val="7F2C0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character" w:default="1" w:styleId="19">
    <w:name w:val="Default Paragraph Font"/>
    <w:uiPriority w:val="1"/>
  </w:style>
  <w:style w:type="table" w:default="1" w:styleId="10">
    <w:name w:val="Normal Table"/>
    <w:qFormat/>
    <w:uiPriority w:val="99"/>
    <w:tblPr>
      <w:tblCellMar>
        <w:top w:w="0" w:type="dxa"/>
        <w:left w:w="108" w:type="dxa"/>
        <w:bottom w:w="0" w:type="dxa"/>
        <w:right w:w="108" w:type="dxa"/>
      </w:tblCellMar>
    </w:tblPr>
  </w:style>
  <w:style w:type="paragraph" w:styleId="3">
    <w:name w:val="annotation text"/>
    <w:basedOn w:val="1"/>
    <w:link w:val="30"/>
    <w:qFormat/>
    <w:uiPriority w:val="99"/>
    <w:pPr>
      <w:widowControl w:val="0"/>
    </w:pPr>
    <w:rPr>
      <w:rFonts w:ascii="Times New Roman" w:hAnsi="Times New Roman" w:cs="Times New Roman"/>
      <w:kern w:val="2"/>
      <w:sz w:val="21"/>
    </w:rPr>
  </w:style>
  <w:style w:type="paragraph" w:styleId="4">
    <w:name w:val="Body Text"/>
    <w:basedOn w:val="1"/>
    <w:qFormat/>
    <w:uiPriority w:val="0"/>
    <w:pPr>
      <w:widowControl w:val="0"/>
      <w:autoSpaceDE w:val="0"/>
      <w:autoSpaceDN w:val="0"/>
      <w:spacing w:after="0"/>
    </w:pPr>
    <w:rPr>
      <w:rFonts w:ascii="黑体" w:hAnsi="黑体" w:eastAsia="黑体" w:cs="黑体"/>
      <w:sz w:val="36"/>
      <w:szCs w:val="36"/>
      <w:lang w:val="zh-CN" w:eastAsia="zh-CN" w:bidi="zh-CN"/>
    </w:rPr>
  </w:style>
  <w:style w:type="paragraph" w:styleId="5">
    <w:name w:val="Body Text Indent"/>
    <w:basedOn w:val="1"/>
    <w:qFormat/>
    <w:uiPriority w:val="0"/>
    <w:pPr>
      <w:widowControl w:val="0"/>
      <w:spacing w:after="0" w:line="480" w:lineRule="exact"/>
      <w:ind w:firstLine="420"/>
      <w:jc w:val="both"/>
    </w:pPr>
    <w:rPr>
      <w:rFonts w:ascii="Times New Roman" w:hAnsi="Times New Roman" w:eastAsia="宋体" w:cs="Times New Roman"/>
      <w:kern w:val="2"/>
      <w:sz w:val="21"/>
      <w:szCs w:val="20"/>
      <w:lang w:bidi="ar-SA"/>
    </w:rPr>
  </w:style>
  <w:style w:type="paragraph" w:styleId="6">
    <w:name w:val="footer"/>
    <w:basedOn w:val="1"/>
    <w:link w:val="22"/>
    <w:qFormat/>
    <w:uiPriority w:val="99"/>
    <w:pPr>
      <w:tabs>
        <w:tab w:val="center" w:pos="4153"/>
        <w:tab w:val="right" w:pos="8306"/>
      </w:tabs>
      <w:snapToGrid w:val="0"/>
    </w:pPr>
    <w:rPr>
      <w:rFonts w:ascii="Calibri" w:hAnsi="Calibri" w:eastAsia="宋体" w:cs="宋体"/>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paragraph" w:styleId="8">
    <w:name w:val="Subtitle"/>
    <w:basedOn w:val="1"/>
    <w:qFormat/>
    <w:uiPriority w:val="0"/>
    <w:pPr>
      <w:widowControl w:val="0"/>
      <w:spacing w:before="240" w:after="60" w:line="312" w:lineRule="auto"/>
      <w:ind w:left="0" w:right="0"/>
      <w:jc w:val="center"/>
      <w:outlineLvl w:val="1"/>
    </w:pPr>
    <w:rPr>
      <w:rFonts w:ascii="Cambria" w:hAnsi="Cambria" w:eastAsia="宋体" w:cs="Cambria"/>
      <w:b/>
      <w:bCs/>
      <w:kern w:val="28"/>
      <w:sz w:val="32"/>
      <w:szCs w:val="32"/>
      <w:lang w:val="en-US" w:eastAsia="zh-CN" w:bidi="ar-SA"/>
    </w:rPr>
  </w:style>
  <w:style w:type="paragraph" w:styleId="9">
    <w:name w:val="Normal (Web)"/>
    <w:basedOn w:val="1"/>
    <w:qFormat/>
    <w:uiPriority w:val="99"/>
    <w:pPr>
      <w:spacing w:before="100" w:beforeAutospacing="1" w:after="100" w:afterAutospacing="1"/>
    </w:p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Medium Grid 3"/>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3">
    <w:name w:val="Medium Grid 3 Accent 1"/>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4">
    <w:name w:val="Medium Grid 3 Accent 2"/>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5">
    <w:name w:val="Medium Grid 3 Accent 3"/>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6">
    <w:name w:val="Medium Grid 3 Accent 4"/>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7">
    <w:name w:val="Medium Grid 3 Accent 5"/>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8">
    <w:name w:val="Medium Grid 3 Accent 6"/>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0">
    <w:name w:val="Strong"/>
    <w:basedOn w:val="19"/>
    <w:qFormat/>
    <w:uiPriority w:val="22"/>
    <w:rPr>
      <w:b/>
      <w:bCs/>
    </w:rPr>
  </w:style>
  <w:style w:type="character" w:customStyle="1" w:styleId="21">
    <w:name w:val="页眉 字符"/>
    <w:basedOn w:val="19"/>
    <w:link w:val="7"/>
    <w:qFormat/>
    <w:uiPriority w:val="99"/>
    <w:rPr>
      <w:sz w:val="18"/>
      <w:szCs w:val="18"/>
    </w:rPr>
  </w:style>
  <w:style w:type="character" w:customStyle="1" w:styleId="22">
    <w:name w:val="页脚 字符"/>
    <w:basedOn w:val="19"/>
    <w:link w:val="6"/>
    <w:qFormat/>
    <w:uiPriority w:val="99"/>
    <w:rPr>
      <w:sz w:val="18"/>
      <w:szCs w:val="18"/>
    </w:rPr>
  </w:style>
  <w:style w:type="paragraph" w:customStyle="1" w:styleId="23">
    <w:name w:val="表格标题DG"/>
    <w:basedOn w:val="1"/>
    <w:qFormat/>
    <w:uiPriority w:val="0"/>
    <w:pPr>
      <w:snapToGrid w:val="0"/>
      <w:jc w:val="center"/>
    </w:pPr>
    <w:rPr>
      <w:rFonts w:ascii="Arial" w:hAnsi="Arial" w:eastAsia="黑体"/>
      <w:bCs/>
      <w:color w:val="000000"/>
      <w:sz w:val="21"/>
      <w:szCs w:val="20"/>
    </w:rPr>
  </w:style>
  <w:style w:type="paragraph" w:customStyle="1" w:styleId="24">
    <w:name w:val="表格正文DG"/>
    <w:basedOn w:val="1"/>
    <w:qFormat/>
    <w:uiPriority w:val="0"/>
    <w:pPr>
      <w:jc w:val="center"/>
    </w:pPr>
    <w:rPr>
      <w:rFonts w:ascii="Times New Roman" w:hAnsi="Times New Roman"/>
      <w:color w:val="000000"/>
      <w:sz w:val="21"/>
      <w:szCs w:val="21"/>
    </w:rPr>
  </w:style>
  <w:style w:type="paragraph" w:styleId="25">
    <w:name w:val="List Paragraph"/>
    <w:basedOn w:val="1"/>
    <w:qFormat/>
    <w:uiPriority w:val="99"/>
    <w:pPr>
      <w:ind w:firstLine="420" w:firstLineChars="200"/>
    </w:pPr>
  </w:style>
  <w:style w:type="paragraph" w:customStyle="1" w:styleId="26">
    <w:name w:val="一级标题DG"/>
    <w:basedOn w:val="1"/>
    <w:qFormat/>
    <w:uiPriority w:val="0"/>
    <w:pPr>
      <w:spacing w:line="480" w:lineRule="auto"/>
      <w:outlineLvl w:val="0"/>
    </w:pPr>
    <w:rPr>
      <w:rFonts w:ascii="Arial" w:hAnsi="Arial" w:eastAsia="黑体"/>
      <w:sz w:val="28"/>
    </w:rPr>
  </w:style>
  <w:style w:type="paragraph" w:customStyle="1" w:styleId="27">
    <w:name w:val="二级标题DG"/>
    <w:basedOn w:val="9"/>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9">
    <w:name w:val="标题 1 字符"/>
    <w:basedOn w:val="19"/>
    <w:link w:val="2"/>
    <w:qFormat/>
    <w:uiPriority w:val="9"/>
    <w:rPr>
      <w:rFonts w:ascii="Calibri" w:hAnsi="Calibri" w:eastAsia="宋体" w:cs="Times New Roman"/>
      <w:b/>
      <w:bCs/>
      <w:kern w:val="44"/>
      <w:sz w:val="44"/>
      <w:szCs w:val="44"/>
    </w:rPr>
  </w:style>
  <w:style w:type="character" w:customStyle="1" w:styleId="30">
    <w:name w:val="批注文字 字符"/>
    <w:basedOn w:val="19"/>
    <w:link w:val="3"/>
    <w:qFormat/>
    <w:uiPriority w:val="99"/>
    <w:rPr>
      <w:rFonts w:ascii="Times New Roman" w:hAnsi="Times New Roman" w:eastAsia="宋体" w:cs="Times New Roman"/>
      <w:kern w:val="2"/>
      <w:sz w:val="21"/>
      <w:szCs w:val="24"/>
    </w:rPr>
  </w:style>
  <w:style w:type="character" w:customStyle="1" w:styleId="31">
    <w:name w:val="editor-text-node"/>
    <w:basedOn w:val="19"/>
    <w:qFormat/>
    <w:uiPriority w:val="0"/>
  </w:style>
  <w:style w:type="character" w:styleId="32">
    <w:name w:val="Placeholder Text"/>
    <w:basedOn w:val="19"/>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1782</Words>
  <Characters>1851</Characters>
  <Paragraphs>1107</Paragraphs>
  <TotalTime>0</TotalTime>
  <ScaleCrop>false</ScaleCrop>
  <LinksUpToDate>false</LinksUpToDate>
  <CharactersWithSpaces>1856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2025-03-19T06:54:55Z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2ffe7fbcf8e64c5ab169f6d4bb75ee9f_22</vt:lpwstr>
  </property>
  <property fmtid="{D5CDD505-2E9C-101B-9397-08002B2CF9AE}" pid="4" name="KSOTemplateDocerSaveRecord">
    <vt:lpwstr>eyJoZGlkIjoiOGYyZTQwNzY0YmUwZjVjNTE5NzMzOGJiOTgwZmM0NTEiLCJ1c2VySWQiOiI1NTQ0NjQ5MzAifQ==</vt:lpwstr>
  </property>
</Properties>
</file>