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【康复医学】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imes New Roman" w:hAnsi="Times New Roman"/>
          <w:sz w:val="28"/>
          <w:szCs w:val="28"/>
        </w:rPr>
        <w:t>Rehabilitation Medicine</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ascii="Times New Roman" w:hAnsi="Times New Roman"/>
          <w:color w:val="000000"/>
          <w:sz w:val="24"/>
          <w:szCs w:val="24"/>
        </w:rPr>
        <w:t>2170015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ascii="Times New Roman" w:hAnsi="Times New Roman"/>
          <w:color w:val="000000"/>
          <w:sz w:val="24"/>
          <w:szCs w:val="24"/>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ascii="仿宋" w:hAnsi="仿宋" w:eastAsia="仿宋"/>
          <w:color w:val="000000"/>
          <w:sz w:val="24"/>
          <w:szCs w:val="24"/>
        </w:rPr>
        <w:t>健康服务与管理</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院级选修课</w:t>
      </w:r>
      <w:r>
        <w:rPr>
          <w:color w:val="000000"/>
          <w:sz w:val="20"/>
          <w:szCs w:val="20"/>
        </w:rPr>
        <w:t>】</w:t>
      </w:r>
    </w:p>
    <w:p>
      <w:pPr>
        <w:snapToGrid w:val="0"/>
        <w:spacing w:line="288" w:lineRule="auto"/>
        <w:ind w:firstLine="394" w:firstLineChars="196"/>
        <w:rPr>
          <w:rFonts w:eastAsia="仿宋"/>
          <w:b/>
          <w:bCs/>
          <w:color w:val="000000"/>
          <w:szCs w:val="21"/>
        </w:rPr>
      </w:pPr>
      <w:r>
        <w:rPr>
          <w:b/>
          <w:bCs/>
          <w:color w:val="000000"/>
          <w:sz w:val="20"/>
          <w:szCs w:val="20"/>
        </w:rPr>
        <w:t>开课院系：</w:t>
      </w:r>
      <w:r>
        <w:rPr>
          <w:rFonts w:hint="eastAsia"/>
          <w:color w:val="000000"/>
          <w:sz w:val="20"/>
          <w:szCs w:val="20"/>
        </w:rPr>
        <w:t>健康管理学院</w:t>
      </w:r>
      <w:r>
        <w:rPr>
          <w:rFonts w:hint="eastAsia" w:ascii="仿宋" w:hAnsi="仿宋" w:eastAsia="仿宋"/>
          <w:color w:val="000000"/>
          <w:sz w:val="24"/>
          <w:szCs w:val="24"/>
        </w:rPr>
        <w:t>健康服务与管理系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ascii="Times New Roman" w:hAnsi="Times New Roman"/>
        </w:rPr>
        <w:t>黄晓琳、燕铁斌主编，康复医学（第6版），人民卫生出版社，2018,8</w:t>
      </w:r>
      <w:r>
        <w:rPr>
          <w:color w:val="000000"/>
          <w:sz w:val="20"/>
          <w:szCs w:val="20"/>
        </w:rPr>
        <w:t>】</w:t>
      </w:r>
    </w:p>
    <w:p>
      <w:pPr>
        <w:snapToGrid w:val="0"/>
        <w:spacing w:line="288" w:lineRule="auto"/>
        <w:ind w:left="718" w:leftChars="342" w:firstLine="100" w:firstLineChars="50"/>
        <w:rPr>
          <w:color w:val="000000"/>
          <w:szCs w:val="21"/>
        </w:rPr>
      </w:pPr>
      <w:r>
        <w:rPr>
          <w:color w:val="000000"/>
          <w:sz w:val="20"/>
          <w:szCs w:val="20"/>
        </w:rPr>
        <w:t>参考</w:t>
      </w:r>
      <w:r>
        <w:rPr>
          <w:rFonts w:hint="eastAsia"/>
          <w:color w:val="000000"/>
          <w:sz w:val="20"/>
          <w:szCs w:val="20"/>
        </w:rPr>
        <w:t>书目</w:t>
      </w:r>
      <w:r>
        <w:rPr>
          <w:color w:val="000000"/>
          <w:sz w:val="20"/>
          <w:szCs w:val="20"/>
        </w:rPr>
        <w:t>【</w:t>
      </w:r>
      <w:r>
        <w:rPr>
          <w:rFonts w:hint="eastAsia" w:ascii="宋体" w:hAnsi="宋体"/>
          <w:szCs w:val="21"/>
        </w:rPr>
        <w:t>励建安主编，康复医学，人民卫生出版社，201</w:t>
      </w:r>
      <w:r>
        <w:rPr>
          <w:rFonts w:ascii="宋体" w:hAnsi="宋体"/>
          <w:szCs w:val="21"/>
        </w:rPr>
        <w:t>4,6</w:t>
      </w:r>
      <w:r>
        <w:rPr>
          <w:color w:val="000000"/>
          <w:sz w:val="20"/>
          <w:szCs w:val="20"/>
        </w:rPr>
        <w:t>】</w:t>
      </w:r>
    </w:p>
    <w:p>
      <w:pPr>
        <w:snapToGrid w:val="0"/>
        <w:spacing w:line="360" w:lineRule="auto"/>
        <w:ind w:firstLine="1600" w:firstLineChars="800"/>
        <w:jc w:val="left"/>
        <w:rPr>
          <w:rFonts w:ascii="宋体" w:hAnsi="宋体"/>
          <w:szCs w:val="21"/>
        </w:rPr>
      </w:pPr>
      <w:r>
        <w:rPr>
          <w:color w:val="000000"/>
          <w:sz w:val="20"/>
          <w:szCs w:val="20"/>
        </w:rPr>
        <w:t>【</w:t>
      </w:r>
      <w:r>
        <w:rPr>
          <w:rFonts w:hint="eastAsia" w:ascii="宋体" w:hAnsi="宋体"/>
          <w:szCs w:val="21"/>
        </w:rPr>
        <w:t>王玉龙主编，康复功能评定学(第3版)，2</w:t>
      </w:r>
      <w:r>
        <w:rPr>
          <w:rFonts w:ascii="宋体" w:hAnsi="宋体"/>
          <w:szCs w:val="21"/>
        </w:rPr>
        <w:t>018,10</w:t>
      </w:r>
      <w:r>
        <w:rPr>
          <w:color w:val="000000"/>
          <w:sz w:val="20"/>
          <w:szCs w:val="20"/>
        </w:rPr>
        <w:t>】</w:t>
      </w:r>
    </w:p>
    <w:p>
      <w:pPr>
        <w:snapToGrid w:val="0"/>
        <w:spacing w:line="360" w:lineRule="auto"/>
        <w:ind w:left="420" w:firstLine="1200" w:firstLineChars="600"/>
        <w:jc w:val="left"/>
        <w:rPr>
          <w:rFonts w:ascii="宋体" w:hAnsi="宋体"/>
          <w:szCs w:val="21"/>
        </w:rPr>
      </w:pPr>
      <w:r>
        <w:rPr>
          <w:color w:val="000000"/>
          <w:sz w:val="20"/>
          <w:szCs w:val="20"/>
        </w:rPr>
        <w:t>【</w:t>
      </w:r>
      <w:r>
        <w:rPr>
          <w:rFonts w:hint="eastAsia" w:ascii="宋体" w:hAnsi="宋体"/>
          <w:szCs w:val="21"/>
        </w:rPr>
        <w:t>倪朝民主编，神经康复学（第3版），2</w:t>
      </w:r>
      <w:r>
        <w:rPr>
          <w:rFonts w:ascii="宋体" w:hAnsi="宋体"/>
          <w:szCs w:val="21"/>
        </w:rPr>
        <w:t>018,4</w:t>
      </w:r>
      <w:r>
        <w:rPr>
          <w:color w:val="000000"/>
          <w:sz w:val="20"/>
          <w:szCs w:val="20"/>
        </w:rPr>
        <w:t>】</w:t>
      </w:r>
    </w:p>
    <w:p>
      <w:pPr>
        <w:snapToGrid w:val="0"/>
        <w:spacing w:line="360" w:lineRule="auto"/>
        <w:ind w:firstLine="1600" w:firstLineChars="800"/>
        <w:jc w:val="left"/>
        <w:rPr>
          <w:rFonts w:ascii="宋体" w:hAnsi="宋体"/>
          <w:szCs w:val="21"/>
        </w:rPr>
      </w:pPr>
      <w:r>
        <w:rPr>
          <w:color w:val="000000"/>
          <w:sz w:val="20"/>
          <w:szCs w:val="20"/>
        </w:rPr>
        <w:t>【</w:t>
      </w:r>
      <w:r>
        <w:rPr>
          <w:rFonts w:hint="eastAsia" w:ascii="宋体" w:hAnsi="宋体"/>
          <w:szCs w:val="21"/>
        </w:rPr>
        <w:t>张长杰主编，肌肉骨骼康复学（第2版），人民卫生出版社，2013</w:t>
      </w:r>
      <w:r>
        <w:rPr>
          <w:rFonts w:ascii="宋体" w:hAnsi="宋体"/>
          <w:szCs w:val="21"/>
        </w:rPr>
        <w:t>,</w:t>
      </w:r>
      <w:r>
        <w:rPr>
          <w:rFonts w:hint="eastAsia" w:ascii="宋体" w:hAnsi="宋体"/>
          <w:szCs w:val="21"/>
        </w:rPr>
        <w:t>5</w:t>
      </w:r>
      <w:r>
        <w:rPr>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360" w:lineRule="auto"/>
        <w:ind w:firstLine="420" w:firstLineChars="200"/>
        <w:jc w:val="left"/>
        <w:rPr>
          <w:rFonts w:ascii="Times New Roman"/>
        </w:rPr>
      </w:pPr>
      <w:r>
        <w:rPr>
          <w:rFonts w:hint="eastAsia" w:ascii="Times New Roman"/>
        </w:rPr>
        <w:t>康复医学是一门新兴的医学学科，与保健医学、预防医学、临床医学并列而成为现代医学中的四大分支之一。康复医学的目的是通过各种康复手段，使病、伤、残者最大限度地恢复身心、社会等方面的功能，尽最大可能恢复其生活自理、劳动和工作能力，为重返社会打下基础。康复医学是应用医学科学中的专门技术，是使功能障碍者的潜在能力和残存功能得到充分发挥的医学科学体系，它与临床医学有着不可分割的联系。作为一门新兴学科，康复医学任重而道远，它既是一项长期的任务，也是现代医学发展不可或缺的组成部分。</w:t>
      </w:r>
    </w:p>
    <w:p>
      <w:pPr>
        <w:snapToGrid w:val="0"/>
        <w:spacing w:line="360" w:lineRule="auto"/>
        <w:ind w:firstLine="420" w:firstLineChars="200"/>
        <w:jc w:val="left"/>
        <w:rPr>
          <w:rFonts w:ascii="Times New Roman"/>
        </w:rPr>
      </w:pPr>
      <w:r>
        <w:rPr>
          <w:rFonts w:hint="eastAsia" w:ascii="Times New Roman"/>
        </w:rPr>
        <w:t>本课程较为全面地介绍了康复医学的基本概念、理论、功能评定和物理治疗、作业治疗等操作技能，讲述了神经系统、骨骼肌肉系统常见疾病的康复治疗原则、康复治疗过程和主要措施等，为帮助学生掌握或了解康复医学理论、康复治疗基本方法奠定基础，使学生了解现代医学的团队工作方式，培养不同医学专业的协作精神。</w:t>
      </w:r>
      <w:r>
        <w:rPr>
          <w:rFonts w:ascii="Times New Roman"/>
        </w:rPr>
        <w:t>本课程总学时为32学时，其中理论课24学时，实践8学时。</w:t>
      </w:r>
    </w:p>
    <w:p>
      <w:pPr>
        <w:snapToGrid w:val="0"/>
        <w:spacing w:line="360" w:lineRule="auto"/>
        <w:ind w:firstLine="400" w:firstLineChars="200"/>
        <w:rPr>
          <w:color w:val="000000"/>
          <w:sz w:val="20"/>
          <w:szCs w:val="20"/>
        </w:rPr>
      </w:pPr>
    </w:p>
    <w:p>
      <w:pPr>
        <w:snapToGrid w:val="0"/>
        <w:spacing w:line="288" w:lineRule="auto"/>
        <w:ind w:firstLine="400" w:firstLineChars="200"/>
        <w:rPr>
          <w:color w:val="000000"/>
          <w:sz w:val="20"/>
          <w:szCs w:val="20"/>
        </w:rPr>
      </w:pPr>
    </w:p>
    <w:p>
      <w:pPr>
        <w:snapToGrid w:val="0"/>
        <w:spacing w:line="288" w:lineRule="auto"/>
        <w:rPr>
          <w:color w:val="000000"/>
          <w:sz w:val="20"/>
          <w:szCs w:val="20"/>
        </w:rPr>
      </w:pPr>
    </w:p>
    <w:p>
      <w:pPr>
        <w:widowControl/>
        <w:spacing w:before="156" w:beforeLines="50" w:after="156" w:afterLines="50" w:line="288" w:lineRule="auto"/>
        <w:ind w:firstLine="360" w:firstLineChars="150"/>
        <w:jc w:val="left"/>
        <w:rPr>
          <w:color w:val="000000"/>
          <w:sz w:val="20"/>
          <w:szCs w:val="20"/>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420" w:firstLineChars="200"/>
        <w:rPr>
          <w:rFonts w:ascii="宋体" w:hAnsi="宋体" w:cs="宋体"/>
          <w:szCs w:val="21"/>
        </w:rPr>
      </w:pPr>
      <w:r>
        <w:rPr>
          <w:rFonts w:hint="eastAsia" w:ascii="宋体" w:hAnsi="宋体" w:cs="宋体"/>
          <w:szCs w:val="21"/>
        </w:rPr>
        <w:t>进入21世纪，康复医学事业以令人瞩目的速度发展。危重患者的抢救成功率明显提高，人口老龄化、意外伤残的不断增加，人们对健康的认识和要求的变化，对康复工作的需求日益增加。为了维护和促进残疾人、老年人、老年病和慢性病者的健康状态，提高残疾人、老年人、老年病和慢性病者的生命质量。</w:t>
      </w:r>
      <w:r>
        <w:rPr>
          <w:rFonts w:hint="eastAsia" w:ascii="Times New Roman"/>
        </w:rPr>
        <w:t>作为一门新兴学科，康复医学任重而道远，它既是一项长期的任务，也是现代医学发展不可或缺</w:t>
      </w:r>
      <w:r>
        <w:rPr>
          <w:rFonts w:hint="eastAsia" w:ascii="宋体" w:hAnsi="宋体" w:cs="宋体"/>
          <w:szCs w:val="21"/>
        </w:rPr>
        <w:t>的组成部分。适用于健康服务与管理专业学生学习，为今后的专业知识学习提供解决难题的方向和思路。</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hint="eastAsia"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健康检测：掌握健康检测的基本内容及方法。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健康评估：能全面评估服务对象的健康状态，具有健康监测、健康风险评估能力。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健康咨询：掌握健康保健专业知识，为服务对象提供健康咨询服务。能确定服务对象的健康需求，并采用合适的健康教育方法。</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健康促进：掌握慢性病管理相关知识，协助医生开展慢性病病人社区健康管理，包括健康干预方案的跟踪随访。</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hint="default" w:cs="宋体" w:asciiTheme="minorEastAsia" w:hAnsiTheme="minorEastAsia" w:eastAsiaTheme="minorEastAsia"/>
                <w:color w:val="000000"/>
                <w:kern w:val="0"/>
                <w:sz w:val="20"/>
                <w:szCs w:val="20"/>
                <w:lang w:val="en-US" w:eastAsia="zh-CN"/>
              </w:rPr>
            </w:pPr>
            <w:r>
              <w:rPr>
                <w:rFonts w:hint="eastAsia" w:cs="宋体" w:asciiTheme="minorEastAsia" w:hAnsiTheme="minorEastAsia" w:eastAsiaTheme="minorEastAsia"/>
                <w:color w:val="000000"/>
                <w:kern w:val="0"/>
                <w:sz w:val="20"/>
                <w:szCs w:val="20"/>
              </w:rPr>
              <w:t>LO2</w:t>
            </w:r>
            <w:r>
              <w:rPr>
                <w:rFonts w:hint="eastAsia" w:cs="宋体" w:asciiTheme="minorEastAsia" w:hAnsiTheme="minorEastAsia" w:eastAsiaTheme="minorEastAsia"/>
                <w:color w:val="000000"/>
                <w:kern w:val="0"/>
                <w:sz w:val="20"/>
                <w:szCs w:val="20"/>
                <w:lang w:val="en-US" w:eastAsia="zh-CN"/>
              </w:rPr>
              <w:t>6 健康管理：掌握对个人或人群的健康风险因素进行全面管理的能力，开展健康管理服务。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熟</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hint="eastAsia" w:cs="宋体" w:asciiTheme="minorEastAsia" w:hAnsiTheme="minorEastAsia" w:eastAsiaTheme="minorEastAsia"/>
                <w:color w:val="000000"/>
                <w:kern w:val="0"/>
                <w:sz w:val="20"/>
                <w:szCs w:val="20"/>
              </w:rPr>
            </w:pPr>
          </w:p>
        </w:tc>
        <w:tc>
          <w:tcPr>
            <w:tcW w:w="4961" w:type="dxa"/>
          </w:tcPr>
          <w:p>
            <w:pPr>
              <w:widowControl/>
              <w:jc w:val="lef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（必填项）（</w:t>
      </w:r>
      <w:r>
        <w:rPr>
          <w:rFonts w:hint="eastAsia" w:ascii="黑体" w:hAnsi="宋体" w:eastAsia="黑体"/>
          <w:sz w:val="24"/>
        </w:rPr>
        <w:t>预期学习成果</w:t>
      </w:r>
      <w:r>
        <w:rPr>
          <w:rFonts w:ascii="黑体" w:hAnsi="宋体" w:eastAsia="黑体"/>
          <w:sz w:val="24"/>
        </w:rPr>
        <w:t>要可测量/能够证明）</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highlight w:val="none"/>
              </w:rPr>
              <w:t>（细化的预期学习成果</w:t>
            </w:r>
            <w:r>
              <w:rPr>
                <w:rFonts w:hint="eastAsia"/>
                <w:b/>
                <w:color w:val="000000"/>
                <w:sz w:val="20"/>
                <w:szCs w:val="20"/>
              </w:rPr>
              <w:t>）</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vMerge w:val="restart"/>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1</w:t>
            </w:r>
          </w:p>
        </w:tc>
        <w:tc>
          <w:tcPr>
            <w:tcW w:w="1175" w:type="dxa"/>
            <w:vMerge w:val="restart"/>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25</w:t>
            </w: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1.</w:t>
            </w:r>
            <w:r>
              <w:rPr>
                <w:rFonts w:hint="eastAsia" w:ascii="仿宋" w:hAnsi="仿宋" w:eastAsia="仿宋" w:cs="宋体"/>
                <w:color w:val="000000"/>
                <w:kern w:val="0"/>
                <w:sz w:val="24"/>
                <w:szCs w:val="24"/>
                <w:lang w:val="en-US" w:eastAsia="zh-CN"/>
              </w:rPr>
              <w:t>掌握常规运动疗法技术</w:t>
            </w:r>
          </w:p>
        </w:tc>
        <w:tc>
          <w:tcPr>
            <w:tcW w:w="2199" w:type="dxa"/>
            <w:shd w:val="clear" w:color="auto" w:fill="auto"/>
            <w:vAlign w:val="top"/>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p>
            <w:pPr>
              <w:snapToGrid w:val="0"/>
              <w:spacing w:line="288" w:lineRule="auto"/>
              <w:jc w:val="left"/>
              <w:rPr>
                <w:rFonts w:ascii="黑体" w:hAnsi="宋体" w:eastAsia="黑体"/>
                <w:sz w:val="24"/>
              </w:rPr>
            </w:pPr>
            <w:r>
              <w:rPr>
                <w:rFonts w:hint="eastAsia" w:asciiTheme="minorEastAsia" w:hAnsiTheme="minorEastAsia" w:eastAsiaTheme="minorEastAsia" w:cstheme="minorEastAsia"/>
                <w:sz w:val="20"/>
                <w:szCs w:val="20"/>
              </w:rPr>
              <w:t>讨论教学法</w:t>
            </w:r>
          </w:p>
        </w:tc>
        <w:tc>
          <w:tcPr>
            <w:tcW w:w="1276" w:type="dxa"/>
            <w:shd w:val="clear" w:color="auto" w:fill="auto"/>
            <w:vAlign w:val="top"/>
          </w:tcPr>
          <w:p>
            <w:pPr>
              <w:snapToGrid w:val="0"/>
              <w:spacing w:line="288" w:lineRule="auto"/>
              <w:jc w:val="left"/>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2.</w:t>
            </w:r>
            <w:r>
              <w:rPr>
                <w:rFonts w:hint="eastAsia" w:ascii="仿宋" w:hAnsi="仿宋" w:eastAsia="仿宋" w:cs="宋体"/>
                <w:color w:val="000000"/>
                <w:kern w:val="0"/>
                <w:sz w:val="24"/>
                <w:szCs w:val="24"/>
                <w:lang w:val="en-US" w:eastAsia="zh-CN"/>
              </w:rPr>
              <w:t>掌握脊柱牵引疗法</w:t>
            </w:r>
          </w:p>
        </w:tc>
        <w:tc>
          <w:tcPr>
            <w:tcW w:w="2199" w:type="dxa"/>
            <w:shd w:val="clear" w:color="auto" w:fill="auto"/>
            <w:vAlign w:val="top"/>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pPr>
              <w:snapToGrid w:val="0"/>
              <w:spacing w:line="288" w:lineRule="auto"/>
              <w:jc w:val="left"/>
              <w:rPr>
                <w:rFonts w:ascii="黑体" w:hAnsi="宋体" w:eastAsia="黑体"/>
                <w:sz w:val="24"/>
              </w:rPr>
            </w:pPr>
            <w:r>
              <w:rPr>
                <w:rFonts w:hint="eastAsia" w:asciiTheme="minorEastAsia" w:hAnsiTheme="minorEastAsia" w:eastAsiaTheme="minorEastAsia" w:cstheme="minorEastAsia"/>
                <w:sz w:val="20"/>
                <w:szCs w:val="20"/>
              </w:rPr>
              <w:t>探究教学法</w:t>
            </w:r>
          </w:p>
        </w:tc>
        <w:tc>
          <w:tcPr>
            <w:tcW w:w="1276" w:type="dxa"/>
            <w:shd w:val="clear" w:color="auto" w:fill="auto"/>
            <w:vAlign w:val="top"/>
          </w:tcPr>
          <w:p>
            <w:pPr>
              <w:snapToGrid w:val="0"/>
              <w:spacing w:line="288" w:lineRule="auto"/>
              <w:jc w:val="left"/>
              <w:rPr>
                <w:rFonts w:asciiTheme="minorEastAsia" w:hAnsiTheme="minorEastAsia" w:eastAsiaTheme="minorEastAsia" w:cstheme="minorEastAsia"/>
                <w:kern w:val="2"/>
                <w:sz w:val="20"/>
                <w:szCs w:val="20"/>
                <w:lang w:val="en-US" w:eastAsia="zh-CN" w:bidi="ar-SA"/>
              </w:rPr>
            </w:pPr>
            <w:r>
              <w:rPr>
                <w:rFonts w:hint="eastAsia" w:asciiTheme="minorEastAsia" w:hAnsiTheme="minorEastAsia" w:eastAsiaTheme="minorEastAsia" w:cstheme="minorEastAsia"/>
                <w:sz w:val="20"/>
                <w:szCs w:val="20"/>
              </w:rPr>
              <w:t>口头评价或纸笔测验评价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470"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szCs w:val="24"/>
              </w:rPr>
              <w:t>3.</w:t>
            </w:r>
            <w:r>
              <w:rPr>
                <w:rFonts w:hint="eastAsia" w:ascii="仿宋" w:hAnsi="仿宋" w:eastAsia="仿宋" w:cs="宋体"/>
                <w:color w:val="000000"/>
                <w:kern w:val="0"/>
                <w:sz w:val="24"/>
                <w:szCs w:val="24"/>
                <w:lang w:val="en-US" w:eastAsia="zh-CN"/>
              </w:rPr>
              <w:t>掌握神经生理学疗法</w:t>
            </w:r>
          </w:p>
        </w:tc>
        <w:tc>
          <w:tcPr>
            <w:tcW w:w="2199" w:type="dxa"/>
            <w:shd w:val="clear" w:color="auto" w:fill="auto"/>
            <w:vAlign w:val="top"/>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w:t>
            </w:r>
          </w:p>
          <w:p>
            <w:pPr>
              <w:snapToGrid w:val="0"/>
              <w:spacing w:line="288" w:lineRule="auto"/>
              <w:jc w:val="left"/>
              <w:rPr>
                <w:rFonts w:ascii="黑体" w:hAnsi="宋体" w:eastAsia="黑体" w:cs="Times New Roman"/>
                <w:kern w:val="2"/>
                <w:sz w:val="24"/>
                <w:szCs w:val="22"/>
                <w:lang w:val="en-US" w:eastAsia="zh-CN" w:bidi="ar-SA"/>
              </w:rPr>
            </w:pPr>
            <w:r>
              <w:rPr>
                <w:rFonts w:hint="eastAsia" w:asciiTheme="minorEastAsia" w:hAnsiTheme="minorEastAsia" w:eastAsiaTheme="minorEastAsia" w:cstheme="minorEastAsia"/>
                <w:sz w:val="20"/>
                <w:szCs w:val="20"/>
              </w:rPr>
              <w:t>探究教学法</w:t>
            </w:r>
          </w:p>
        </w:tc>
        <w:tc>
          <w:tcPr>
            <w:tcW w:w="1276" w:type="dxa"/>
            <w:shd w:val="clear" w:color="auto" w:fill="auto"/>
          </w:tcPr>
          <w:p>
            <w:pPr>
              <w:snapToGrid w:val="0"/>
              <w:spacing w:line="288" w:lineRule="auto"/>
              <w:jc w:val="center"/>
              <w:rPr>
                <w:rFonts w:hint="default" w:ascii="黑体" w:hAnsi="宋体" w:eastAsia="黑体"/>
                <w:sz w:val="24"/>
                <w:lang w:val="en-US" w:eastAsia="zh-CN"/>
              </w:rPr>
            </w:pPr>
            <w:r>
              <w:rPr>
                <w:rFonts w:hint="eastAsia" w:asciiTheme="minorEastAsia" w:hAnsiTheme="minorEastAsia" w:eastAsiaTheme="minorEastAsia" w:cstheme="minorEastAsia"/>
                <w:sz w:val="20"/>
                <w:szCs w:val="20"/>
                <w:lang w:val="en-US" w:eastAsia="zh-CN"/>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hint="eastAsia"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2</w:t>
            </w:r>
          </w:p>
        </w:tc>
        <w:tc>
          <w:tcPr>
            <w:tcW w:w="1175" w:type="dxa"/>
            <w:shd w:val="clear" w:color="auto" w:fill="auto"/>
          </w:tcPr>
          <w:p>
            <w:pPr>
              <w:rPr>
                <w:rFonts w:hint="default" w:ascii="仿宋" w:hAnsi="仿宋" w:eastAsia="仿宋" w:cs="宋体"/>
                <w:color w:val="000000"/>
                <w:kern w:val="0"/>
                <w:sz w:val="24"/>
                <w:lang w:val="en-US" w:eastAsia="zh-CN"/>
              </w:rPr>
            </w:pPr>
            <w:r>
              <w:rPr>
                <w:rFonts w:hint="eastAsia" w:ascii="仿宋" w:hAnsi="仿宋" w:eastAsia="仿宋" w:cs="宋体"/>
                <w:color w:val="000000"/>
                <w:kern w:val="0"/>
                <w:sz w:val="24"/>
                <w:lang w:val="en-US" w:eastAsia="zh-CN"/>
              </w:rPr>
              <w:t>L032</w:t>
            </w:r>
          </w:p>
        </w:tc>
        <w:tc>
          <w:tcPr>
            <w:tcW w:w="2470" w:type="dxa"/>
            <w:shd w:val="clear" w:color="auto" w:fill="auto"/>
          </w:tcPr>
          <w:p>
            <w:pPr>
              <w:rPr>
                <w:rFonts w:hint="eastAsia" w:ascii="仿宋" w:hAnsi="仿宋" w:eastAsia="仿宋" w:cs="宋体"/>
                <w:color w:val="000000"/>
                <w:kern w:val="0"/>
                <w:sz w:val="24"/>
                <w:szCs w:val="24"/>
              </w:rPr>
            </w:pPr>
            <w:r>
              <w:rPr>
                <w:rFonts w:hint="eastAsia" w:cs="宋体" w:asciiTheme="minorEastAsia" w:hAnsiTheme="minorEastAsia" w:eastAsiaTheme="minorEastAsia"/>
                <w:color w:val="000000"/>
                <w:kern w:val="0"/>
                <w:sz w:val="20"/>
                <w:szCs w:val="20"/>
              </w:rPr>
              <w:t>应用书面或口头形式，阐释自己的观点，有效沟通。</w:t>
            </w:r>
          </w:p>
        </w:tc>
        <w:tc>
          <w:tcPr>
            <w:tcW w:w="2199" w:type="dxa"/>
            <w:shd w:val="clear" w:color="auto" w:fill="auto"/>
            <w:vAlign w:val="top"/>
          </w:tcPr>
          <w:p>
            <w:pPr>
              <w:snapToGrid w:val="0"/>
              <w:spacing w:line="288" w:lineRule="auto"/>
              <w:jc w:val="left"/>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小组汇报法</w:t>
            </w:r>
          </w:p>
        </w:tc>
        <w:tc>
          <w:tcPr>
            <w:tcW w:w="1276" w:type="dxa"/>
            <w:shd w:val="clear" w:color="auto" w:fill="auto"/>
          </w:tcPr>
          <w:p>
            <w:pPr>
              <w:snapToGrid w:val="0"/>
              <w:spacing w:line="288" w:lineRule="auto"/>
              <w:jc w:val="center"/>
              <w:rPr>
                <w:rFonts w:hint="default" w:ascii="黑体" w:hAnsi="宋体" w:eastAsia="黑体"/>
                <w:sz w:val="24"/>
                <w:lang w:val="en-US" w:eastAsia="zh-CN"/>
              </w:rPr>
            </w:pPr>
            <w:r>
              <w:rPr>
                <w:rFonts w:hint="eastAsia" w:asciiTheme="minorEastAsia" w:hAnsiTheme="minorEastAsia" w:eastAsiaTheme="minorEastAsia" w:cstheme="minorEastAsia"/>
                <w:sz w:val="20"/>
                <w:szCs w:val="20"/>
                <w:lang w:val="en-US" w:eastAsia="zh-CN"/>
              </w:rPr>
              <w:t>汇报成绩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1</w:t>
            </w:r>
          </w:p>
        </w:tc>
        <w:tc>
          <w:tcPr>
            <w:tcW w:w="2470" w:type="dxa"/>
            <w:shd w:val="clear" w:color="auto" w:fill="auto"/>
            <w:vAlign w:val="top"/>
          </w:tcPr>
          <w:p>
            <w:pPr>
              <w:snapToGrid w:val="0"/>
              <w:spacing w:line="288" w:lineRule="auto"/>
              <w:jc w:val="left"/>
              <w:rPr>
                <w:rFonts w:ascii="仿宋" w:hAnsi="仿宋" w:eastAsia="仿宋" w:cs="宋体"/>
                <w:color w:val="000000"/>
                <w:kern w:val="0"/>
                <w:sz w:val="24"/>
              </w:rPr>
            </w:pPr>
            <w:r>
              <w:rPr>
                <w:rFonts w:hint="eastAsia" w:asciiTheme="minorEastAsia" w:hAnsiTheme="minorEastAsia" w:eastAsiaTheme="minorEastAsia" w:cstheme="minorEastAsia"/>
                <w:sz w:val="20"/>
                <w:szCs w:val="20"/>
              </w:rPr>
              <w:t>在集体活动中能主动担任自己的角色，与其他成员密切合作，共同完成任务。</w:t>
            </w:r>
          </w:p>
        </w:tc>
        <w:tc>
          <w:tcPr>
            <w:tcW w:w="2199" w:type="dxa"/>
            <w:shd w:val="clear" w:color="auto" w:fill="auto"/>
            <w:vAlign w:val="top"/>
          </w:tcPr>
          <w:p>
            <w:pPr>
              <w:snapToGrid w:val="0"/>
              <w:spacing w:line="288" w:lineRule="auto"/>
              <w:rPr>
                <w:rFonts w:ascii="黑体" w:hAnsi="宋体" w:eastAsia="黑体"/>
                <w:sz w:val="24"/>
              </w:rPr>
            </w:pPr>
            <w:r>
              <w:rPr>
                <w:rFonts w:hint="eastAsia" w:asciiTheme="minorEastAsia" w:hAnsiTheme="minorEastAsia" w:eastAsiaTheme="minorEastAsia" w:cstheme="minorEastAsia"/>
                <w:sz w:val="20"/>
                <w:szCs w:val="20"/>
              </w:rPr>
              <w:t>合作学习教学法</w:t>
            </w:r>
          </w:p>
        </w:tc>
        <w:tc>
          <w:tcPr>
            <w:tcW w:w="1276" w:type="dxa"/>
            <w:shd w:val="clear" w:color="auto" w:fill="auto"/>
            <w:vAlign w:val="top"/>
          </w:tcPr>
          <w:p>
            <w:pPr>
              <w:snapToGrid w:val="0"/>
              <w:spacing w:line="288" w:lineRule="auto"/>
              <w:rPr>
                <w:rFonts w:ascii="黑体" w:hAnsi="宋体" w:eastAsia="黑体"/>
                <w:sz w:val="24"/>
              </w:rPr>
            </w:pPr>
            <w:r>
              <w:rPr>
                <w:rFonts w:hint="eastAsia" w:asciiTheme="minorEastAsia" w:hAnsiTheme="minorEastAsia" w:eastAsiaTheme="minorEastAsia" w:cstheme="minorEastAsia"/>
                <w:sz w:val="20"/>
                <w:szCs w:val="20"/>
              </w:rPr>
              <w:t>实验报告</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489"/>
        <w:gridCol w:w="2643"/>
        <w:gridCol w:w="1415"/>
        <w:gridCol w:w="1813"/>
        <w:gridCol w:w="528"/>
        <w:gridCol w:w="446"/>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3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8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643"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4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81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528"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446"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33"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489" w:type="dxa"/>
            <w:vAlign w:val="center"/>
          </w:tcPr>
          <w:p>
            <w:pPr>
              <w:snapToGrid w:val="0"/>
              <w:spacing w:before="156" w:beforeLines="50" w:line="360" w:lineRule="auto"/>
              <w:ind w:firstLine="422" w:firstLineChars="200"/>
              <w:jc w:val="center"/>
              <w:rPr>
                <w:bCs/>
              </w:rPr>
            </w:pPr>
            <w:r>
              <w:rPr>
                <w:rFonts w:hint="eastAsia"/>
                <w:b/>
              </w:rPr>
              <w:t>康</w:t>
            </w:r>
            <w:r>
              <w:rPr>
                <w:rFonts w:hint="eastAsia"/>
                <w:bCs/>
              </w:rPr>
              <w:t>康复医学概论</w:t>
            </w:r>
          </w:p>
          <w:p>
            <w:pPr>
              <w:snapToGrid w:val="0"/>
              <w:spacing w:line="288" w:lineRule="auto"/>
              <w:rPr>
                <w:rFonts w:ascii="宋体" w:hAnsi="宋体"/>
                <w:color w:val="000000"/>
                <w:sz w:val="20"/>
                <w:szCs w:val="20"/>
              </w:rPr>
            </w:pPr>
          </w:p>
        </w:tc>
        <w:tc>
          <w:tcPr>
            <w:tcW w:w="2643" w:type="dxa"/>
          </w:tcPr>
          <w:p>
            <w:pPr>
              <w:numPr>
                <w:ilvl w:val="0"/>
                <w:numId w:val="1"/>
              </w:numPr>
              <w:snapToGrid w:val="0"/>
              <w:spacing w:line="360" w:lineRule="auto"/>
              <w:jc w:val="left"/>
              <w:rPr>
                <w:rFonts w:ascii="Times New Roman" w:hAnsi="Times New Roman"/>
              </w:rPr>
            </w:pPr>
            <w:r>
              <w:rPr>
                <w:rFonts w:ascii="Times New Roman" w:hAnsi="Times New Roman"/>
              </w:rPr>
              <w:t>理解康复、医疗康复、康复医学的概念和内涵</w:t>
            </w:r>
            <w:r>
              <w:rPr>
                <w:rFonts w:hint="eastAsia" w:ascii="Times New Roman" w:hAnsi="Times New Roman"/>
              </w:rPr>
              <w:t>；</w:t>
            </w:r>
            <w:r>
              <w:rPr>
                <w:rFonts w:ascii="Times New Roman" w:hAnsi="Times New Roman"/>
              </w:rPr>
              <w:t>康复医学与临床医学的区别和联系</w:t>
            </w:r>
            <w:r>
              <w:rPr>
                <w:rFonts w:hint="eastAsia" w:ascii="Times New Roman" w:hAnsi="Times New Roman"/>
              </w:rPr>
              <w:t>。</w:t>
            </w:r>
          </w:p>
          <w:p>
            <w:pPr>
              <w:numPr>
                <w:ilvl w:val="0"/>
                <w:numId w:val="1"/>
              </w:numPr>
              <w:snapToGrid w:val="0"/>
              <w:spacing w:line="360" w:lineRule="auto"/>
              <w:jc w:val="left"/>
              <w:rPr>
                <w:rFonts w:ascii="Times New Roman" w:hAnsi="Times New Roman"/>
              </w:rPr>
            </w:pPr>
            <w:r>
              <w:rPr>
                <w:rFonts w:hint="eastAsia" w:ascii="Times New Roman" w:hAnsi="Times New Roman"/>
              </w:rPr>
              <w:t>知道</w:t>
            </w:r>
            <w:r>
              <w:rPr>
                <w:rFonts w:ascii="Times New Roman" w:hAnsi="Times New Roman"/>
              </w:rPr>
              <w:t>康复医学的组成和康复治疗的常用手段</w:t>
            </w:r>
            <w:r>
              <w:rPr>
                <w:rFonts w:hint="eastAsia" w:ascii="Times New Roman" w:hAnsi="Times New Roman"/>
              </w:rPr>
              <w:t>；</w:t>
            </w:r>
            <w:r>
              <w:rPr>
                <w:rFonts w:ascii="Times New Roman" w:hAnsi="Times New Roman"/>
              </w:rPr>
              <w:t>ICIDH和ICF的基本框架</w:t>
            </w:r>
            <w:r>
              <w:rPr>
                <w:rFonts w:hint="eastAsia" w:ascii="Times New Roman" w:hAnsi="Times New Roman"/>
              </w:rPr>
              <w:t>；</w:t>
            </w:r>
            <w:r>
              <w:rPr>
                <w:rFonts w:ascii="Times New Roman" w:hAnsi="Times New Roman"/>
              </w:rPr>
              <w:t>ICF的理论模式和应用</w:t>
            </w:r>
            <w:r>
              <w:rPr>
                <w:rFonts w:hint="eastAsia" w:ascii="Times New Roman" w:hAnsi="Times New Roman"/>
              </w:rPr>
              <w:t>；</w:t>
            </w:r>
            <w:r>
              <w:rPr>
                <w:rFonts w:ascii="Times New Roman" w:hAnsi="Times New Roman"/>
              </w:rPr>
              <w:t>残疾分类方法，掌握残疾三级预防的概念及措施，了解康复医学的发展过程和现状</w:t>
            </w:r>
          </w:p>
          <w:p>
            <w:pPr>
              <w:rPr>
                <w:rFonts w:ascii="宋体" w:hAnsi="宋体"/>
                <w:color w:val="000000"/>
                <w:sz w:val="20"/>
                <w:szCs w:val="20"/>
              </w:rPr>
            </w:pPr>
          </w:p>
        </w:tc>
        <w:tc>
          <w:tcPr>
            <w:tcW w:w="1415" w:type="dxa"/>
          </w:tcPr>
          <w:p>
            <w:pPr>
              <w:snapToGrid w:val="0"/>
              <w:spacing w:line="288" w:lineRule="auto"/>
              <w:jc w:val="left"/>
              <w:rPr>
                <w:rFonts w:ascii="宋体" w:hAnsi="Times New Roman"/>
                <w:b/>
                <w:color w:val="000000"/>
                <w:sz w:val="20"/>
                <w:szCs w:val="20"/>
              </w:rPr>
            </w:pPr>
          </w:p>
        </w:tc>
        <w:tc>
          <w:tcPr>
            <w:tcW w:w="1813" w:type="dxa"/>
          </w:tcPr>
          <w:p>
            <w:pPr>
              <w:snapToGrid w:val="0"/>
              <w:spacing w:line="360" w:lineRule="auto"/>
              <w:jc w:val="left"/>
            </w:pPr>
            <w:r>
              <w:rPr>
                <w:rFonts w:hint="eastAsia"/>
              </w:rPr>
              <w:t>重点：康复医学的组成及工作方式。</w:t>
            </w:r>
          </w:p>
          <w:p>
            <w:pPr>
              <w:snapToGrid w:val="0"/>
              <w:spacing w:line="360" w:lineRule="auto"/>
              <w:jc w:val="left"/>
            </w:pPr>
            <w:r>
              <w:rPr>
                <w:rFonts w:hint="eastAsia"/>
              </w:rPr>
              <w:t>难点：I</w:t>
            </w:r>
            <w:r>
              <w:t>CF模式的框架结构与内部联系</w:t>
            </w:r>
            <w:r>
              <w:rPr>
                <w:rFonts w:hint="eastAsia"/>
              </w:rPr>
              <w:t>，I</w:t>
            </w:r>
            <w:r>
              <w:t>CF模式的实际运用</w:t>
            </w:r>
            <w:r>
              <w:rPr>
                <w:rFonts w:hint="eastAsia"/>
              </w:rPr>
              <w:t>。</w:t>
            </w:r>
          </w:p>
          <w:p>
            <w:pPr>
              <w:rPr>
                <w:rFonts w:ascii="宋体" w:hAnsi="宋体"/>
                <w:color w:val="000000"/>
                <w:sz w:val="20"/>
                <w:szCs w:val="20"/>
              </w:rPr>
            </w:pPr>
          </w:p>
        </w:tc>
        <w:tc>
          <w:tcPr>
            <w:tcW w:w="528" w:type="dxa"/>
          </w:tcPr>
          <w:p>
            <w:pPr>
              <w:ind w:firstLine="200" w:firstLineChars="100"/>
              <w:rPr>
                <w:rFonts w:ascii="宋体" w:hAnsi="宋体"/>
                <w:color w:val="000000"/>
                <w:sz w:val="20"/>
                <w:szCs w:val="20"/>
              </w:rPr>
            </w:pPr>
            <w:r>
              <w:rPr>
                <w:rFonts w:hint="eastAsia" w:ascii="宋体" w:hAnsi="宋体"/>
                <w:color w:val="000000"/>
                <w:sz w:val="20"/>
                <w:szCs w:val="20"/>
              </w:rPr>
              <w:t>2</w:t>
            </w:r>
          </w:p>
        </w:tc>
        <w:tc>
          <w:tcPr>
            <w:tcW w:w="446"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3"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489"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康复医学评定</w:t>
            </w:r>
          </w:p>
        </w:tc>
        <w:tc>
          <w:tcPr>
            <w:tcW w:w="2643" w:type="dxa"/>
          </w:tcPr>
          <w:p>
            <w:pPr>
              <w:numPr>
                <w:ilvl w:val="0"/>
                <w:numId w:val="2"/>
              </w:numPr>
            </w:pPr>
            <w:r>
              <w:rPr>
                <w:rFonts w:hint="eastAsia"/>
              </w:rPr>
              <w:t>知道运动功能评定的组成；肌力，肌力，肌张力的概念，评定方法及注意事项；心肺功能评定的组成及注意事项</w:t>
            </w:r>
          </w:p>
          <w:p>
            <w:pPr>
              <w:numPr>
                <w:ilvl w:val="0"/>
                <w:numId w:val="2"/>
              </w:numPr>
              <w:rPr>
                <w:rFonts w:ascii="宋体" w:hAnsi="宋体"/>
                <w:color w:val="000000"/>
                <w:sz w:val="20"/>
                <w:szCs w:val="20"/>
              </w:rPr>
            </w:pPr>
            <w:r>
              <w:rPr>
                <w:rFonts w:hint="eastAsia"/>
              </w:rPr>
              <w:t>理解运动功能评定的适应症及禁忌症；心肺功能评定的组成及结果解读</w:t>
            </w:r>
          </w:p>
          <w:p>
            <w:pPr>
              <w:snapToGrid w:val="0"/>
              <w:spacing w:line="360" w:lineRule="auto"/>
              <w:jc w:val="left"/>
            </w:pPr>
            <w:r>
              <w:rPr>
                <w:rFonts w:hint="eastAsia"/>
              </w:rPr>
              <w:t>3.理解言语功能评定概述；</w:t>
            </w:r>
            <w:r>
              <w:t>失语症的表现及其原因</w:t>
            </w:r>
            <w:r>
              <w:rPr>
                <w:rFonts w:hint="eastAsia"/>
              </w:rPr>
              <w:t>；</w:t>
            </w:r>
            <w:r>
              <w:t>失语症的分类</w:t>
            </w:r>
            <w:r>
              <w:rPr>
                <w:rFonts w:hint="eastAsia"/>
              </w:rPr>
              <w:t>及特点；</w:t>
            </w:r>
            <w:r>
              <w:t>失语症评定方法</w:t>
            </w:r>
            <w:r>
              <w:rPr>
                <w:rFonts w:hint="eastAsia"/>
              </w:rPr>
              <w:t>。</w:t>
            </w:r>
            <w:r>
              <w:t>构音障碍的定义</w:t>
            </w:r>
            <w:r>
              <w:rPr>
                <w:rFonts w:hint="eastAsia"/>
              </w:rPr>
              <w:t>、</w:t>
            </w:r>
            <w:r>
              <w:t>特征</w:t>
            </w:r>
            <w:r>
              <w:rPr>
                <w:rFonts w:hint="eastAsia"/>
              </w:rPr>
              <w:t>、</w:t>
            </w:r>
            <w:r>
              <w:t>病因及分类</w:t>
            </w:r>
            <w:r>
              <w:rPr>
                <w:rFonts w:hint="eastAsia"/>
              </w:rPr>
              <w:t>。</w:t>
            </w:r>
            <w:r>
              <w:t>构音障碍评定方法</w:t>
            </w:r>
            <w:r>
              <w:rPr>
                <w:rFonts w:hint="eastAsia"/>
              </w:rPr>
              <w:t>。</w:t>
            </w:r>
          </w:p>
          <w:p>
            <w:pPr>
              <w:snapToGrid w:val="0"/>
              <w:spacing w:line="360" w:lineRule="auto"/>
              <w:jc w:val="left"/>
              <w:rPr>
                <w:rFonts w:ascii="宋体" w:hAnsi="宋体"/>
                <w:color w:val="000000"/>
                <w:sz w:val="20"/>
                <w:szCs w:val="20"/>
              </w:rPr>
            </w:pPr>
            <w:r>
              <w:rPr>
                <w:rFonts w:hint="eastAsia"/>
              </w:rPr>
              <w:t>4.知道</w:t>
            </w:r>
            <w:r>
              <w:t>认知功能评定的内容与方法</w:t>
            </w:r>
            <w:r>
              <w:rPr>
                <w:rFonts w:hint="eastAsia"/>
              </w:rPr>
              <w:t>。日常生活活动（A</w:t>
            </w:r>
            <w:r>
              <w:t>DL</w:t>
            </w:r>
            <w:r>
              <w:rPr>
                <w:rFonts w:hint="eastAsia"/>
              </w:rPr>
              <w:t>）的定义、范围、分类及评定目的；</w:t>
            </w:r>
            <w:r>
              <w:t>日常生活活动能力评定方法</w:t>
            </w:r>
            <w:r>
              <w:rPr>
                <w:rFonts w:hint="eastAsia"/>
              </w:rPr>
              <w:t>：B</w:t>
            </w:r>
            <w:r>
              <w:t>arthel指数与改良</w:t>
            </w:r>
            <w:r>
              <w:rPr>
                <w:rFonts w:hint="eastAsia"/>
              </w:rPr>
              <w:t>B</w:t>
            </w:r>
            <w:r>
              <w:t>arthel指数内容及评分结果提示的临床意义</w:t>
            </w:r>
            <w:r>
              <w:rPr>
                <w:rFonts w:hint="eastAsia"/>
              </w:rPr>
              <w:t>。</w:t>
            </w:r>
          </w:p>
        </w:tc>
        <w:tc>
          <w:tcPr>
            <w:tcW w:w="1415" w:type="dxa"/>
          </w:tcPr>
          <w:p>
            <w:pPr>
              <w:snapToGrid w:val="0"/>
              <w:spacing w:line="360" w:lineRule="auto"/>
              <w:jc w:val="left"/>
            </w:pPr>
            <w:r>
              <w:rPr>
                <w:rFonts w:hint="eastAsia" w:ascii="宋体" w:hAnsi="宋体"/>
                <w:color w:val="000000"/>
                <w:sz w:val="20"/>
                <w:szCs w:val="20"/>
              </w:rPr>
              <w:t>1.运用相关理论知识对运动功能及心肺功能进行评定，</w:t>
            </w:r>
            <w:r>
              <w:rPr>
                <w:rFonts w:hint="eastAsia"/>
              </w:rPr>
              <w:t>培养善于动手实践的能力，具有仁爱之心和良好的人文关怀精神。</w:t>
            </w:r>
          </w:p>
          <w:p>
            <w:pPr>
              <w:snapToGrid w:val="0"/>
              <w:spacing w:line="288" w:lineRule="auto"/>
              <w:jc w:val="left"/>
              <w:rPr>
                <w:rFonts w:ascii="宋体" w:hAnsi="宋体"/>
                <w:color w:val="000000"/>
                <w:sz w:val="20"/>
                <w:szCs w:val="20"/>
              </w:rPr>
            </w:pPr>
            <w:r>
              <w:rPr>
                <w:rFonts w:hint="eastAsia" w:ascii="宋体" w:hAnsi="宋体"/>
                <w:color w:val="000000"/>
                <w:sz w:val="20"/>
                <w:szCs w:val="20"/>
              </w:rPr>
              <w:t>2.运用相关知识对言语/认知功能及日常生活能力等进行评定及记录评定结果</w:t>
            </w:r>
          </w:p>
        </w:tc>
        <w:tc>
          <w:tcPr>
            <w:tcW w:w="1813" w:type="dxa"/>
          </w:tcPr>
          <w:p>
            <w:r>
              <w:rPr>
                <w:rFonts w:hint="eastAsia" w:ascii="宋体" w:hAnsi="宋体" w:cs="宋体"/>
              </w:rPr>
              <w:t>重点：肌张力评定方法及注意事项；关节活动范围的量角器测量方法及注意事项；人</w:t>
            </w:r>
            <w:r>
              <w:rPr>
                <w:rFonts w:hint="eastAsia"/>
              </w:rPr>
              <w:t>体主要关节的正常活动范围；常见异常步态的特征；心电运动试验的应用范畴、适应症和禁忌症</w:t>
            </w:r>
          </w:p>
          <w:p>
            <w:r>
              <w:rPr>
                <w:rFonts w:hint="eastAsia"/>
              </w:rPr>
              <w:t>失语症的评定内容与方法；吞咽障碍的评定内容与方法；认知功能障碍筛查的方法；</w:t>
            </w:r>
          </w:p>
          <w:p>
            <w:pPr>
              <w:snapToGrid w:val="0"/>
              <w:spacing w:line="360" w:lineRule="auto"/>
              <w:jc w:val="left"/>
            </w:pPr>
            <w:r>
              <w:rPr>
                <w:rFonts w:hint="eastAsia"/>
              </w:rPr>
              <w:t>难点：肌张力及徒手肌力评定的操作要点与分级结果的确定；步行周期的相关概念；</w:t>
            </w:r>
            <w:r>
              <w:t>人体平衡的维持机制</w:t>
            </w:r>
            <w:r>
              <w:rPr>
                <w:rFonts w:hint="eastAsia"/>
              </w:rPr>
              <w:t>；心电运动试验结果的解释。</w:t>
            </w:r>
          </w:p>
        </w:tc>
        <w:tc>
          <w:tcPr>
            <w:tcW w:w="528" w:type="dxa"/>
          </w:tcPr>
          <w:p>
            <w:pPr>
              <w:rPr>
                <w:rFonts w:ascii="宋体" w:hAnsi="宋体"/>
                <w:color w:val="000000"/>
                <w:sz w:val="20"/>
                <w:szCs w:val="20"/>
              </w:rPr>
            </w:pPr>
          </w:p>
          <w:p>
            <w:pPr>
              <w:rPr>
                <w:rFonts w:ascii="宋体" w:hAnsi="宋体"/>
                <w:color w:val="000000"/>
                <w:sz w:val="20"/>
                <w:szCs w:val="20"/>
              </w:rPr>
            </w:pPr>
          </w:p>
          <w:p>
            <w:pPr>
              <w:rPr>
                <w:rFonts w:ascii="宋体" w:hAnsi="宋体"/>
                <w:color w:val="000000"/>
                <w:sz w:val="20"/>
                <w:szCs w:val="20"/>
              </w:rPr>
            </w:pPr>
          </w:p>
          <w:p>
            <w:pPr>
              <w:ind w:firstLine="200" w:firstLineChars="100"/>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446" w:type="dxa"/>
          </w:tcPr>
          <w:p>
            <w:pPr>
              <w:rPr>
                <w:rFonts w:ascii="宋体" w:hAnsi="宋体"/>
                <w:color w:val="000000"/>
                <w:sz w:val="20"/>
                <w:szCs w:val="20"/>
              </w:rPr>
            </w:pPr>
          </w:p>
          <w:p>
            <w:pPr>
              <w:rPr>
                <w:rFonts w:ascii="宋体" w:hAnsi="宋体"/>
                <w:color w:val="000000"/>
                <w:sz w:val="20"/>
                <w:szCs w:val="20"/>
              </w:rPr>
            </w:pPr>
          </w:p>
          <w:p>
            <w:pPr>
              <w:rPr>
                <w:rFonts w:ascii="宋体" w:hAnsi="宋体"/>
                <w:color w:val="000000"/>
                <w:sz w:val="20"/>
                <w:szCs w:val="20"/>
              </w:rPr>
            </w:pPr>
          </w:p>
          <w:p>
            <w:pPr>
              <w:ind w:firstLine="200" w:firstLineChars="100"/>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527" w:type="dxa"/>
          </w:tcPr>
          <w:p>
            <w:pPr>
              <w:rPr>
                <w:rFonts w:ascii="宋体" w:hAnsi="宋体"/>
                <w:color w:val="000000"/>
                <w:sz w:val="20"/>
                <w:szCs w:val="20"/>
              </w:rPr>
            </w:pPr>
          </w:p>
          <w:p>
            <w:pPr>
              <w:rPr>
                <w:rFonts w:ascii="宋体" w:hAnsi="宋体"/>
                <w:color w:val="000000"/>
                <w:sz w:val="20"/>
                <w:szCs w:val="20"/>
              </w:rPr>
            </w:pPr>
          </w:p>
          <w:p>
            <w:pPr>
              <w:rPr>
                <w:rFonts w:ascii="宋体" w:hAnsi="宋体"/>
                <w:color w:val="000000"/>
                <w:sz w:val="20"/>
                <w:szCs w:val="20"/>
              </w:rPr>
            </w:pPr>
          </w:p>
          <w:p>
            <w:pPr>
              <w:rPr>
                <w:rFonts w:hint="eastAsia" w:ascii="宋体" w:hAnsi="宋体" w:eastAsia="宋体"/>
                <w:color w:val="000000"/>
                <w:sz w:val="20"/>
                <w:szCs w:val="20"/>
                <w:lang w:val="en-US" w:eastAsia="zh-CN"/>
              </w:rPr>
            </w:pPr>
            <w:r>
              <w:rPr>
                <w:rFonts w:hint="eastAsia" w:ascii="宋体" w:hAnsi="宋体"/>
                <w:color w:val="000000"/>
                <w:sz w:val="20"/>
                <w:szCs w:val="20"/>
              </w:rPr>
              <w:t xml:space="preserve"> </w:t>
            </w:r>
            <w:r>
              <w:rPr>
                <w:rFonts w:hint="eastAsia" w:ascii="宋体" w:hAnsi="宋体"/>
                <w:color w:val="00000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33"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489" w:type="dxa"/>
            <w:vAlign w:val="center"/>
          </w:tcPr>
          <w:p>
            <w:pPr>
              <w:snapToGrid w:val="0"/>
              <w:spacing w:line="360" w:lineRule="auto"/>
              <w:ind w:firstLine="422" w:firstLineChars="200"/>
              <w:jc w:val="center"/>
              <w:rPr>
                <w:bCs/>
              </w:rPr>
            </w:pPr>
            <w:r>
              <w:rPr>
                <w:rFonts w:hint="eastAsia"/>
                <w:b/>
              </w:rPr>
              <w:t>康</w:t>
            </w:r>
            <w:r>
              <w:rPr>
                <w:rFonts w:hint="eastAsia"/>
                <w:bCs/>
              </w:rPr>
              <w:t>康复治疗技术</w:t>
            </w:r>
          </w:p>
          <w:p>
            <w:pPr>
              <w:rPr>
                <w:rFonts w:ascii="宋体" w:hAnsi="宋体"/>
                <w:color w:val="000000"/>
                <w:sz w:val="20"/>
                <w:szCs w:val="20"/>
              </w:rPr>
            </w:pPr>
          </w:p>
        </w:tc>
        <w:tc>
          <w:tcPr>
            <w:tcW w:w="2643" w:type="dxa"/>
          </w:tcPr>
          <w:p>
            <w:pPr>
              <w:numPr>
                <w:ilvl w:val="0"/>
                <w:numId w:val="3"/>
              </w:numPr>
              <w:snapToGrid w:val="0"/>
              <w:spacing w:line="360" w:lineRule="auto"/>
              <w:jc w:val="left"/>
            </w:pPr>
            <w:r>
              <w:rPr>
                <w:rFonts w:hint="eastAsia"/>
              </w:rPr>
              <w:t>知道物理治疗的概念；常用物理因子治疗的种类及各自的适应症和禁忌症；关节松动技术的适应症和禁忌症，</w:t>
            </w:r>
          </w:p>
          <w:p>
            <w:pPr>
              <w:numPr>
                <w:ilvl w:val="0"/>
                <w:numId w:val="3"/>
              </w:numPr>
              <w:snapToGrid w:val="0"/>
              <w:spacing w:line="360" w:lineRule="auto"/>
              <w:jc w:val="left"/>
            </w:pPr>
            <w:r>
              <w:rPr>
                <w:rFonts w:hint="eastAsia"/>
              </w:rPr>
              <w:t>理解运动治疗的常用方法；中、西方手法治疗的异同点，掌握作业治疗的定义</w:t>
            </w:r>
          </w:p>
          <w:p>
            <w:pPr>
              <w:snapToGrid w:val="0"/>
              <w:spacing w:line="360" w:lineRule="auto"/>
              <w:jc w:val="left"/>
            </w:pPr>
            <w:r>
              <w:rPr>
                <w:rFonts w:hint="eastAsia"/>
              </w:rPr>
              <w:t>3.知道作业治疗项目的种类；作业治疗在康复团队中的角色及工作定位；作业治疗的新技术和发展趋势，</w:t>
            </w:r>
          </w:p>
          <w:p>
            <w:pPr>
              <w:snapToGrid w:val="0"/>
              <w:spacing w:line="360" w:lineRule="auto"/>
              <w:jc w:val="left"/>
            </w:pPr>
            <w:r>
              <w:rPr>
                <w:rFonts w:hint="eastAsia"/>
              </w:rPr>
              <w:t>4.理解言语治疗、吞咽障碍治疗的内容与方法</w:t>
            </w:r>
          </w:p>
          <w:p>
            <w:pPr>
              <w:pStyle w:val="9"/>
              <w:snapToGrid w:val="0"/>
              <w:spacing w:line="360" w:lineRule="auto"/>
              <w:ind w:firstLine="0" w:firstLineChars="0"/>
              <w:jc w:val="left"/>
              <w:rPr>
                <w:rFonts w:ascii="宋体" w:hAnsi="宋体"/>
                <w:color w:val="000000"/>
                <w:sz w:val="20"/>
                <w:szCs w:val="20"/>
              </w:rPr>
            </w:pPr>
            <w:r>
              <w:rPr>
                <w:rFonts w:hint="eastAsia"/>
              </w:rPr>
              <w:t>5.知道假肢的分类和选用原则；</w:t>
            </w:r>
            <w:r>
              <w:t>矫形器的分类</w:t>
            </w:r>
            <w:r>
              <w:rPr>
                <w:rFonts w:hint="eastAsia"/>
              </w:rPr>
              <w:t>；</w:t>
            </w:r>
            <w:r>
              <w:t>助行器的分类</w:t>
            </w:r>
            <w:r>
              <w:rPr>
                <w:rFonts w:hint="eastAsia"/>
              </w:rPr>
              <w:t>。</w:t>
            </w:r>
            <w:r>
              <w:t>轮椅的种类和选择</w:t>
            </w:r>
            <w:r>
              <w:rPr>
                <w:rFonts w:hint="eastAsia"/>
              </w:rPr>
              <w:t>。</w:t>
            </w:r>
          </w:p>
        </w:tc>
        <w:tc>
          <w:tcPr>
            <w:tcW w:w="1415" w:type="dxa"/>
          </w:tcPr>
          <w:p>
            <w:pPr>
              <w:rPr>
                <w:rFonts w:ascii="宋体" w:hAnsi="宋体"/>
                <w:color w:val="000000"/>
                <w:sz w:val="20"/>
                <w:szCs w:val="20"/>
              </w:rPr>
            </w:pPr>
          </w:p>
          <w:p>
            <w:pPr>
              <w:snapToGrid w:val="0"/>
              <w:spacing w:line="360" w:lineRule="auto"/>
              <w:jc w:val="left"/>
            </w:pPr>
            <w:r>
              <w:rPr>
                <w:rFonts w:hint="eastAsia"/>
              </w:rPr>
              <w:t>培养总结分析的能力和解决实际问题的能力。</w:t>
            </w:r>
          </w:p>
          <w:p>
            <w:pPr>
              <w:rPr>
                <w:rFonts w:ascii="宋体" w:hAnsi="宋体"/>
                <w:color w:val="000000"/>
                <w:sz w:val="20"/>
                <w:szCs w:val="20"/>
              </w:rPr>
            </w:pPr>
          </w:p>
        </w:tc>
        <w:tc>
          <w:tcPr>
            <w:tcW w:w="1813" w:type="dxa"/>
          </w:tcPr>
          <w:p>
            <w:pPr>
              <w:rPr>
                <w:rFonts w:ascii="宋体" w:hAnsi="宋体"/>
                <w:color w:val="000000"/>
                <w:sz w:val="20"/>
                <w:szCs w:val="20"/>
              </w:rPr>
            </w:pPr>
            <w:r>
              <w:rPr>
                <w:rFonts w:hint="eastAsia" w:ascii="宋体" w:hAnsi="宋体"/>
                <w:color w:val="000000"/>
                <w:sz w:val="20"/>
                <w:szCs w:val="20"/>
              </w:rPr>
              <w:t>重点：</w:t>
            </w:r>
            <w:r>
              <w:rPr>
                <w:rFonts w:hint="eastAsia"/>
              </w:rPr>
              <w:t>常用物理因子治疗的种类及各自的适应症和禁忌症</w:t>
            </w:r>
          </w:p>
          <w:p>
            <w:pPr>
              <w:snapToGrid w:val="0"/>
              <w:spacing w:line="360" w:lineRule="auto"/>
              <w:jc w:val="left"/>
            </w:pPr>
            <w:r>
              <w:rPr>
                <w:rFonts w:hint="eastAsia" w:ascii="宋体" w:hAnsi="宋体"/>
                <w:color w:val="000000"/>
                <w:sz w:val="20"/>
                <w:szCs w:val="20"/>
              </w:rPr>
              <w:t>难点：</w:t>
            </w:r>
            <w:r>
              <w:rPr>
                <w:rFonts w:hint="eastAsia"/>
              </w:rPr>
              <w:t>关节松动技术的适应症和禁忌症；</w:t>
            </w:r>
            <w:r>
              <w:rPr>
                <w:rFonts w:hint="eastAsia" w:ascii="宋体" w:hAnsi="宋体"/>
                <w:color w:val="000000"/>
                <w:sz w:val="20"/>
                <w:szCs w:val="20"/>
              </w:rPr>
              <w:t>康复器具的使用指导</w:t>
            </w:r>
          </w:p>
          <w:p>
            <w:pPr>
              <w:rPr>
                <w:rFonts w:ascii="宋体" w:hAnsi="宋体"/>
                <w:color w:val="000000"/>
                <w:sz w:val="20"/>
                <w:szCs w:val="20"/>
              </w:rPr>
            </w:pPr>
          </w:p>
        </w:tc>
        <w:tc>
          <w:tcPr>
            <w:tcW w:w="528" w:type="dxa"/>
          </w:tcPr>
          <w:p>
            <w:pPr>
              <w:rPr>
                <w:rFonts w:ascii="宋体" w:hAnsi="宋体"/>
                <w:color w:val="000000"/>
                <w:sz w:val="20"/>
                <w:szCs w:val="20"/>
              </w:rPr>
            </w:pPr>
          </w:p>
          <w:p>
            <w:pPr>
              <w:rPr>
                <w:rFonts w:ascii="宋体" w:hAnsi="宋体"/>
                <w:color w:val="000000"/>
                <w:sz w:val="20"/>
                <w:szCs w:val="20"/>
              </w:rPr>
            </w:pPr>
          </w:p>
          <w:p>
            <w:pPr>
              <w:ind w:firstLine="200" w:firstLineChars="100"/>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446" w:type="dxa"/>
          </w:tcPr>
          <w:p>
            <w:pPr>
              <w:rPr>
                <w:rFonts w:ascii="宋体" w:hAnsi="宋体"/>
                <w:color w:val="000000"/>
                <w:sz w:val="20"/>
                <w:szCs w:val="20"/>
              </w:rPr>
            </w:pPr>
          </w:p>
          <w:p>
            <w:pPr>
              <w:ind w:firstLine="200" w:firstLineChars="100"/>
              <w:rPr>
                <w:rFonts w:ascii="宋体" w:hAnsi="宋体"/>
                <w:color w:val="000000"/>
                <w:sz w:val="20"/>
                <w:szCs w:val="20"/>
              </w:rPr>
            </w:pPr>
          </w:p>
          <w:p>
            <w:pPr>
              <w:ind w:firstLine="200" w:firstLineChars="100"/>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527" w:type="dxa"/>
          </w:tcPr>
          <w:p>
            <w:pPr>
              <w:rPr>
                <w:rFonts w:ascii="宋体" w:hAnsi="宋体"/>
                <w:color w:val="000000"/>
                <w:sz w:val="20"/>
                <w:szCs w:val="20"/>
              </w:rPr>
            </w:pPr>
          </w:p>
          <w:p>
            <w:pPr>
              <w:rPr>
                <w:rFonts w:ascii="宋体" w:hAnsi="宋体"/>
                <w:color w:val="000000"/>
                <w:sz w:val="20"/>
                <w:szCs w:val="20"/>
              </w:rPr>
            </w:pPr>
          </w:p>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33" w:type="dxa"/>
            <w:vAlign w:val="center"/>
          </w:tcPr>
          <w:p>
            <w:pPr>
              <w:widowControl/>
              <w:rPr>
                <w:rFonts w:ascii="宋体" w:hAnsi="宋体"/>
                <w:color w:val="000000"/>
                <w:sz w:val="20"/>
                <w:szCs w:val="20"/>
              </w:rPr>
            </w:pPr>
            <w:r>
              <w:rPr>
                <w:rFonts w:hint="eastAsia" w:ascii="宋体" w:hAnsi="宋体"/>
                <w:color w:val="000000"/>
                <w:sz w:val="20"/>
                <w:szCs w:val="20"/>
              </w:rPr>
              <w:t>4</w:t>
            </w:r>
          </w:p>
        </w:tc>
        <w:tc>
          <w:tcPr>
            <w:tcW w:w="489" w:type="dxa"/>
            <w:vAlign w:val="center"/>
          </w:tcPr>
          <w:p>
            <w:pPr>
              <w:widowControl/>
              <w:rPr>
                <w:rFonts w:ascii="宋体" w:hAnsi="宋体"/>
                <w:color w:val="000000"/>
                <w:sz w:val="20"/>
                <w:szCs w:val="20"/>
              </w:rPr>
            </w:pPr>
            <w:r>
              <w:rPr>
                <w:rFonts w:hint="eastAsia" w:ascii="宋体" w:hAnsi="宋体"/>
                <w:color w:val="000000"/>
                <w:sz w:val="20"/>
                <w:szCs w:val="20"/>
              </w:rPr>
              <w:t>常见神经系统疾病的康复</w:t>
            </w:r>
          </w:p>
        </w:tc>
        <w:tc>
          <w:tcPr>
            <w:tcW w:w="2643" w:type="dxa"/>
          </w:tcPr>
          <w:p>
            <w:pPr>
              <w:widowControl/>
            </w:pPr>
            <w:r>
              <w:rPr>
                <w:rFonts w:hint="eastAsia" w:ascii="宋体" w:hAnsi="宋体"/>
                <w:color w:val="000000"/>
                <w:sz w:val="20"/>
                <w:szCs w:val="20"/>
              </w:rPr>
              <w:t>1.</w:t>
            </w:r>
            <w:r>
              <w:rPr>
                <w:rFonts w:hint="eastAsia"/>
              </w:rPr>
              <w:t>脑卒中的临床特点和常见的功能障碍，脑卒中的康复评定方法</w:t>
            </w:r>
          </w:p>
          <w:p>
            <w:pPr>
              <w:widowControl/>
              <w:rPr>
                <w:szCs w:val="21"/>
              </w:rPr>
            </w:pPr>
            <w:r>
              <w:rPr>
                <w:rFonts w:hint="eastAsia"/>
              </w:rPr>
              <w:t>2.理解掌握脑卒中的康复时机选择和康复治疗措施</w:t>
            </w:r>
          </w:p>
          <w:p>
            <w:pPr>
              <w:widowControl/>
              <w:rPr>
                <w:szCs w:val="21"/>
              </w:rPr>
            </w:pPr>
            <w:r>
              <w:rPr>
                <w:rFonts w:hint="eastAsia"/>
                <w:szCs w:val="21"/>
              </w:rPr>
              <w:t>3.知道颅脑损伤的发生机制及病理特点，颅脑损伤的康复评定内容，颅脑损伤的康复治疗措施；</w:t>
            </w:r>
          </w:p>
          <w:p>
            <w:pPr>
              <w:widowControl/>
              <w:rPr>
                <w:rFonts w:ascii="宋体" w:hAnsi="宋体"/>
                <w:color w:val="000000"/>
                <w:szCs w:val="21"/>
              </w:rPr>
            </w:pPr>
            <w:r>
              <w:rPr>
                <w:rFonts w:hint="eastAsia"/>
                <w:szCs w:val="21"/>
              </w:rPr>
              <w:t>4.知道脊髓损伤神经平面、运动平面、感觉平面评定要点，脊髓损伤程度评定的A</w:t>
            </w:r>
            <w:r>
              <w:rPr>
                <w:szCs w:val="21"/>
              </w:rPr>
              <w:t>SIA分级标准</w:t>
            </w:r>
            <w:r>
              <w:rPr>
                <w:rFonts w:hint="eastAsia"/>
                <w:szCs w:val="21"/>
              </w:rPr>
              <w:t>，</w:t>
            </w:r>
          </w:p>
          <w:p>
            <w:pPr>
              <w:widowControl/>
              <w:rPr>
                <w:szCs w:val="21"/>
              </w:rPr>
            </w:pPr>
            <w:r>
              <w:rPr>
                <w:rFonts w:hint="eastAsia"/>
                <w:szCs w:val="21"/>
              </w:rPr>
              <w:t>5.理解脊髓损伤急性期与恢复期的康复治疗方法，脊髓损伤的并发症及处理方法</w:t>
            </w:r>
          </w:p>
          <w:p>
            <w:pPr>
              <w:pStyle w:val="9"/>
              <w:snapToGrid w:val="0"/>
              <w:spacing w:line="360" w:lineRule="auto"/>
              <w:ind w:firstLine="0" w:firstLineChars="0"/>
              <w:jc w:val="left"/>
              <w:rPr>
                <w:szCs w:val="21"/>
              </w:rPr>
            </w:pPr>
            <w:r>
              <w:rPr>
                <w:rFonts w:hint="eastAsia"/>
              </w:rPr>
              <w:t>6.知道脑性瘫痪的定义与临床分型。</w:t>
            </w:r>
            <w:r>
              <w:t>小儿脑瘫的危险因素</w:t>
            </w:r>
            <w:r>
              <w:rPr>
                <w:rFonts w:hint="eastAsia"/>
              </w:rPr>
              <w:t>；小儿脑瘫的康复评定：评定目的与评定方法；小儿脑瘫的康复治疗：康复治疗原则、内容和方法。</w:t>
            </w:r>
          </w:p>
        </w:tc>
        <w:tc>
          <w:tcPr>
            <w:tcW w:w="1415" w:type="dxa"/>
          </w:tcPr>
          <w:p>
            <w:pPr>
              <w:snapToGrid w:val="0"/>
              <w:spacing w:line="360" w:lineRule="auto"/>
              <w:jc w:val="left"/>
            </w:pPr>
            <w:r>
              <w:rPr>
                <w:rFonts w:hint="eastAsia"/>
              </w:rPr>
              <w:t>用理论结合真实临床案例的教学方式，提高学生理解、注意、记忆及学习能力，使学生树立“关爱生命，以患者为中心”的职业道德理念</w:t>
            </w:r>
            <w:r>
              <w:rPr>
                <w:rFonts w:hint="eastAsia" w:ascii="宋体" w:hAnsi="宋体"/>
                <w:szCs w:val="21"/>
              </w:rPr>
              <w:t>。</w:t>
            </w:r>
          </w:p>
          <w:p>
            <w:pPr>
              <w:widowControl/>
              <w:rPr>
                <w:rFonts w:ascii="宋体" w:hAnsi="宋体"/>
                <w:color w:val="000000"/>
                <w:sz w:val="20"/>
                <w:szCs w:val="20"/>
              </w:rPr>
            </w:pPr>
          </w:p>
        </w:tc>
        <w:tc>
          <w:tcPr>
            <w:tcW w:w="1813" w:type="dxa"/>
          </w:tcPr>
          <w:p>
            <w:pPr>
              <w:snapToGrid w:val="0"/>
              <w:spacing w:line="360" w:lineRule="auto"/>
              <w:jc w:val="left"/>
            </w:pPr>
            <w:r>
              <w:rPr>
                <w:rFonts w:hint="eastAsia"/>
              </w:rPr>
              <w:t>重点：脑卒中的功能障碍特征；脑卒中的康复时机选择；脑卒中不同时期的康复治疗措施及并发症的处理；颅脑损伤的康复治疗措施；脊髓损伤程度评定的A</w:t>
            </w:r>
            <w:r>
              <w:t>SIA分级标准</w:t>
            </w:r>
            <w:r>
              <w:rPr>
                <w:rFonts w:hint="eastAsia"/>
              </w:rPr>
              <w:t>；</w:t>
            </w:r>
          </w:p>
          <w:p>
            <w:pPr>
              <w:snapToGrid w:val="0"/>
              <w:spacing w:line="360" w:lineRule="auto"/>
              <w:jc w:val="left"/>
            </w:pPr>
            <w:r>
              <w:rPr>
                <w:rFonts w:hint="eastAsia"/>
              </w:rPr>
              <w:t>难点：脊髓损伤神经平面、运动平面、感觉平面的评定。</w:t>
            </w:r>
          </w:p>
          <w:p>
            <w:pPr>
              <w:widowControl/>
              <w:rPr>
                <w:rFonts w:ascii="宋体" w:hAnsi="宋体"/>
                <w:color w:val="000000"/>
                <w:sz w:val="20"/>
                <w:szCs w:val="20"/>
              </w:rPr>
            </w:pPr>
          </w:p>
        </w:tc>
        <w:tc>
          <w:tcPr>
            <w:tcW w:w="528" w:type="dxa"/>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446" w:type="dxa"/>
          </w:tcPr>
          <w:p>
            <w:pPr>
              <w:rPr>
                <w:rFonts w:ascii="宋体" w:hAnsi="宋体"/>
                <w:color w:val="000000"/>
                <w:sz w:val="20"/>
                <w:szCs w:val="20"/>
              </w:rPr>
            </w:pPr>
          </w:p>
        </w:tc>
        <w:tc>
          <w:tcPr>
            <w:tcW w:w="527"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33" w:type="dxa"/>
            <w:vAlign w:val="center"/>
          </w:tcPr>
          <w:p>
            <w:pPr>
              <w:widowControl/>
              <w:rPr>
                <w:rFonts w:ascii="宋体" w:hAnsi="宋体"/>
                <w:color w:val="000000"/>
                <w:sz w:val="20"/>
                <w:szCs w:val="20"/>
              </w:rPr>
            </w:pPr>
            <w:r>
              <w:rPr>
                <w:rFonts w:hint="eastAsia" w:ascii="宋体" w:hAnsi="宋体"/>
                <w:color w:val="000000"/>
                <w:sz w:val="20"/>
                <w:szCs w:val="20"/>
              </w:rPr>
              <w:t>5</w:t>
            </w:r>
          </w:p>
        </w:tc>
        <w:tc>
          <w:tcPr>
            <w:tcW w:w="489" w:type="dxa"/>
            <w:vAlign w:val="center"/>
          </w:tcPr>
          <w:p>
            <w:pPr>
              <w:widowControl/>
              <w:rPr>
                <w:rFonts w:ascii="宋体" w:hAnsi="宋体"/>
                <w:color w:val="000000"/>
                <w:sz w:val="20"/>
                <w:szCs w:val="20"/>
              </w:rPr>
            </w:pPr>
            <w:r>
              <w:rPr>
                <w:rFonts w:hint="eastAsia" w:ascii="宋体" w:hAnsi="宋体"/>
                <w:color w:val="000000"/>
                <w:sz w:val="20"/>
                <w:szCs w:val="20"/>
              </w:rPr>
              <w:t>骨骼肌肉系统常见病损的康复</w:t>
            </w:r>
          </w:p>
        </w:tc>
        <w:tc>
          <w:tcPr>
            <w:tcW w:w="2643" w:type="dxa"/>
          </w:tcPr>
          <w:p>
            <w:pPr>
              <w:snapToGrid w:val="0"/>
              <w:spacing w:line="360" w:lineRule="auto"/>
              <w:jc w:val="left"/>
            </w:pPr>
            <w:r>
              <w:rPr>
                <w:rFonts w:hint="eastAsia"/>
              </w:rPr>
              <w:t>1.知道骨折、骨关节炎等常见病症的临床表现及康复评定内容</w:t>
            </w:r>
          </w:p>
          <w:p>
            <w:pPr>
              <w:snapToGrid w:val="0"/>
              <w:spacing w:line="360" w:lineRule="auto"/>
              <w:jc w:val="left"/>
            </w:pPr>
            <w:r>
              <w:rPr>
                <w:rFonts w:hint="eastAsia"/>
              </w:rPr>
              <w:t>2.知道关节置换术、颈椎病、肩周炎、腰痛及软组织损伤等常见病症的临床表现及康复评定内容</w:t>
            </w:r>
          </w:p>
          <w:p>
            <w:pPr>
              <w:pStyle w:val="9"/>
              <w:snapToGrid w:val="0"/>
              <w:spacing w:line="360" w:lineRule="auto"/>
              <w:ind w:firstLine="0" w:firstLineChars="0"/>
              <w:jc w:val="left"/>
            </w:pPr>
            <w:r>
              <w:rPr>
                <w:rFonts w:hint="eastAsia"/>
              </w:rPr>
              <w:t>3.理解初步掌握上述常见病症的康复治疗方法，</w:t>
            </w:r>
            <w:r>
              <w:t xml:space="preserve"> </w:t>
            </w:r>
          </w:p>
        </w:tc>
        <w:tc>
          <w:tcPr>
            <w:tcW w:w="1415" w:type="dxa"/>
          </w:tcPr>
          <w:p>
            <w:pPr>
              <w:widowControl/>
              <w:rPr>
                <w:rFonts w:ascii="宋体" w:hAnsi="宋体"/>
                <w:color w:val="000000"/>
                <w:sz w:val="20"/>
                <w:szCs w:val="20"/>
              </w:rPr>
            </w:pPr>
            <w:r>
              <w:rPr>
                <w:rFonts w:hint="eastAsia"/>
              </w:rPr>
              <w:t>建立骨骼肌肉系统病症康复治疗的整体概念。</w:t>
            </w:r>
          </w:p>
        </w:tc>
        <w:tc>
          <w:tcPr>
            <w:tcW w:w="1813" w:type="dxa"/>
          </w:tcPr>
          <w:p>
            <w:pPr>
              <w:snapToGrid w:val="0"/>
              <w:spacing w:line="360" w:lineRule="auto"/>
              <w:jc w:val="left"/>
            </w:pPr>
            <w:r>
              <w:rPr>
                <w:rFonts w:hint="eastAsia"/>
              </w:rPr>
              <w:t>重点：骨折临床愈合及骨性愈合标准；骨关节炎的临床表现；肩关节周围炎的运动疗法；关节置换术常见并发症及处理；颈椎病的临床分型及特点；肩关节周围炎的运动疗法；腰椎间盘突出症的主要临床表现；腰痛的康复教育与预防；软组织损伤急性期的治疗原则。</w:t>
            </w:r>
          </w:p>
          <w:p>
            <w:pPr>
              <w:snapToGrid w:val="0"/>
              <w:spacing w:line="360" w:lineRule="auto"/>
              <w:jc w:val="left"/>
              <w:rPr>
                <w:rFonts w:ascii="宋体" w:hAnsi="宋体"/>
                <w:color w:val="000000"/>
                <w:sz w:val="20"/>
                <w:szCs w:val="20"/>
              </w:rPr>
            </w:pPr>
            <w:r>
              <w:rPr>
                <w:rFonts w:hint="eastAsia"/>
              </w:rPr>
              <w:t>难点：骨关节炎的运动功能评定；肩关节周围炎的临床分期；关节置换术后关节周围肌肉训练方法；腰痛的分型。</w:t>
            </w:r>
          </w:p>
        </w:tc>
        <w:tc>
          <w:tcPr>
            <w:tcW w:w="528" w:type="dxa"/>
          </w:tcPr>
          <w:p>
            <w:pPr>
              <w:widowControl/>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5</w:t>
            </w:r>
          </w:p>
        </w:tc>
        <w:tc>
          <w:tcPr>
            <w:tcW w:w="446" w:type="dxa"/>
          </w:tcPr>
          <w:p>
            <w:pPr>
              <w:widowControl/>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527" w:type="dxa"/>
          </w:tcPr>
          <w:p>
            <w:pPr>
              <w:rPr>
                <w:rFonts w:ascii="宋体" w:hAnsi="宋体"/>
                <w:color w:val="000000"/>
                <w:sz w:val="20"/>
                <w:szCs w:val="20"/>
              </w:rPr>
            </w:pPr>
            <w:r>
              <w:rPr>
                <w:rFonts w:hint="eastAsia"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433" w:type="dxa"/>
            <w:vAlign w:val="center"/>
          </w:tcPr>
          <w:p>
            <w:pPr>
              <w:widowControl/>
              <w:rPr>
                <w:rFonts w:ascii="宋体" w:hAnsi="宋体"/>
                <w:color w:val="000000"/>
                <w:sz w:val="20"/>
                <w:szCs w:val="20"/>
              </w:rPr>
            </w:pPr>
            <w:r>
              <w:rPr>
                <w:rFonts w:hint="eastAsia" w:ascii="宋体" w:hAnsi="宋体"/>
                <w:color w:val="000000"/>
                <w:sz w:val="20"/>
                <w:szCs w:val="20"/>
              </w:rPr>
              <w:t>6</w:t>
            </w:r>
          </w:p>
        </w:tc>
        <w:tc>
          <w:tcPr>
            <w:tcW w:w="489" w:type="dxa"/>
            <w:vAlign w:val="center"/>
          </w:tcPr>
          <w:p>
            <w:pPr>
              <w:widowControl/>
              <w:rPr>
                <w:rFonts w:ascii="宋体" w:hAnsi="宋体"/>
                <w:color w:val="000000"/>
                <w:sz w:val="20"/>
                <w:szCs w:val="20"/>
              </w:rPr>
            </w:pPr>
            <w:r>
              <w:rPr>
                <w:rFonts w:hint="eastAsia" w:ascii="宋体" w:hAnsi="宋体"/>
                <w:color w:val="000000"/>
                <w:sz w:val="20"/>
                <w:szCs w:val="20"/>
              </w:rPr>
              <w:t>内脏疾病的康复</w:t>
            </w:r>
          </w:p>
        </w:tc>
        <w:tc>
          <w:tcPr>
            <w:tcW w:w="2643" w:type="dxa"/>
          </w:tcPr>
          <w:p>
            <w:pPr>
              <w:numPr>
                <w:ilvl w:val="0"/>
                <w:numId w:val="4"/>
              </w:numPr>
              <w:snapToGrid w:val="0"/>
              <w:spacing w:line="360" w:lineRule="auto"/>
              <w:jc w:val="left"/>
            </w:pPr>
            <w:r>
              <w:rPr>
                <w:rFonts w:hint="eastAsia"/>
              </w:rPr>
              <w:t>知道内脏系统的常见病损，知道冠心病、慢性阻塞性肺疾病、糖尿病等常见病症的临床表现及康复评定内容</w:t>
            </w:r>
          </w:p>
          <w:p>
            <w:pPr>
              <w:snapToGrid w:val="0"/>
              <w:spacing w:line="360" w:lineRule="auto"/>
              <w:jc w:val="left"/>
            </w:pPr>
          </w:p>
          <w:p>
            <w:pPr>
              <w:widowControl/>
            </w:pPr>
          </w:p>
        </w:tc>
        <w:tc>
          <w:tcPr>
            <w:tcW w:w="1415" w:type="dxa"/>
          </w:tcPr>
          <w:p>
            <w:pPr>
              <w:widowControl/>
            </w:pPr>
            <w:r>
              <w:rPr>
                <w:rFonts w:hint="eastAsia"/>
              </w:rPr>
              <w:t>理解上述常见病症的康复治疗方法，建立内脏系统病症康复治疗的整体概念。</w:t>
            </w:r>
          </w:p>
        </w:tc>
        <w:tc>
          <w:tcPr>
            <w:tcW w:w="1813" w:type="dxa"/>
          </w:tcPr>
          <w:p>
            <w:pPr>
              <w:snapToGrid w:val="0"/>
              <w:spacing w:line="360" w:lineRule="auto"/>
              <w:jc w:val="left"/>
            </w:pPr>
            <w:r>
              <w:rPr>
                <w:rFonts w:hint="eastAsia"/>
              </w:rPr>
              <w:t>重点：内脏疾病患者常见并发症；内脏疾病康复治疗方法。</w:t>
            </w:r>
          </w:p>
          <w:p>
            <w:pPr>
              <w:snapToGrid w:val="0"/>
              <w:spacing w:line="360" w:lineRule="auto"/>
              <w:jc w:val="left"/>
            </w:pPr>
            <w:r>
              <w:rPr>
                <w:rFonts w:hint="eastAsia"/>
              </w:rPr>
              <w:t>难点：冠心病及慢性阻塞性肺疾病的评定，分阶段康复的评定及和康复治疗。</w:t>
            </w:r>
          </w:p>
        </w:tc>
        <w:tc>
          <w:tcPr>
            <w:tcW w:w="528" w:type="dxa"/>
          </w:tcPr>
          <w:p>
            <w:pPr>
              <w:widowControl/>
              <w:rPr>
                <w:rFonts w:ascii="宋体" w:hAnsi="宋体"/>
                <w:color w:val="000000"/>
                <w:sz w:val="20"/>
                <w:szCs w:val="20"/>
              </w:rPr>
            </w:pPr>
            <w:r>
              <w:rPr>
                <w:rFonts w:hint="eastAsia" w:ascii="宋体" w:hAnsi="宋体"/>
                <w:color w:val="000000"/>
                <w:sz w:val="20"/>
                <w:szCs w:val="20"/>
              </w:rPr>
              <w:t>2</w:t>
            </w:r>
          </w:p>
        </w:tc>
        <w:tc>
          <w:tcPr>
            <w:tcW w:w="446" w:type="dxa"/>
          </w:tcPr>
          <w:p>
            <w:pPr>
              <w:widowControl/>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3" w:hRule="atLeast"/>
          <w:jc w:val="center"/>
        </w:trPr>
        <w:tc>
          <w:tcPr>
            <w:tcW w:w="433" w:type="dxa"/>
            <w:vAlign w:val="center"/>
          </w:tcPr>
          <w:p>
            <w:pPr>
              <w:widowControl/>
              <w:rPr>
                <w:rFonts w:ascii="宋体" w:hAnsi="宋体"/>
                <w:color w:val="000000"/>
                <w:sz w:val="20"/>
                <w:szCs w:val="20"/>
              </w:rPr>
            </w:pPr>
            <w:r>
              <w:rPr>
                <w:rFonts w:hint="eastAsia" w:ascii="宋体" w:hAnsi="宋体"/>
                <w:color w:val="000000"/>
                <w:sz w:val="20"/>
                <w:szCs w:val="20"/>
              </w:rPr>
              <w:t>7</w:t>
            </w:r>
          </w:p>
        </w:tc>
        <w:tc>
          <w:tcPr>
            <w:tcW w:w="489" w:type="dxa"/>
            <w:vAlign w:val="center"/>
          </w:tcPr>
          <w:p>
            <w:pPr>
              <w:widowControl/>
              <w:rPr>
                <w:rFonts w:ascii="宋体" w:hAnsi="宋体"/>
                <w:color w:val="000000"/>
                <w:sz w:val="20"/>
                <w:szCs w:val="20"/>
              </w:rPr>
            </w:pPr>
            <w:r>
              <w:rPr>
                <w:rFonts w:hint="eastAsia" w:ascii="宋体" w:hAnsi="宋体"/>
                <w:color w:val="000000"/>
                <w:sz w:val="20"/>
                <w:szCs w:val="20"/>
              </w:rPr>
              <w:t>其他</w:t>
            </w:r>
          </w:p>
          <w:p>
            <w:pPr>
              <w:widowControl/>
              <w:rPr>
                <w:rFonts w:ascii="宋体" w:hAnsi="宋体"/>
                <w:color w:val="000000"/>
                <w:sz w:val="20"/>
                <w:szCs w:val="20"/>
              </w:rPr>
            </w:pPr>
            <w:r>
              <w:rPr>
                <w:rFonts w:hint="eastAsia" w:ascii="宋体" w:hAnsi="宋体"/>
                <w:color w:val="000000"/>
                <w:sz w:val="20"/>
                <w:szCs w:val="20"/>
              </w:rPr>
              <w:t>系统疾病</w:t>
            </w:r>
          </w:p>
          <w:p>
            <w:pPr>
              <w:widowControl/>
              <w:rPr>
                <w:rFonts w:ascii="宋体" w:hAnsi="宋体"/>
                <w:color w:val="000000"/>
                <w:sz w:val="20"/>
                <w:szCs w:val="20"/>
              </w:rPr>
            </w:pPr>
            <w:r>
              <w:rPr>
                <w:rFonts w:hint="eastAsia" w:ascii="宋体" w:hAnsi="宋体"/>
                <w:color w:val="000000"/>
                <w:sz w:val="20"/>
                <w:szCs w:val="20"/>
              </w:rPr>
              <w:t>的康复</w:t>
            </w:r>
          </w:p>
        </w:tc>
        <w:tc>
          <w:tcPr>
            <w:tcW w:w="2643" w:type="dxa"/>
          </w:tcPr>
          <w:p>
            <w:pPr>
              <w:snapToGrid w:val="0"/>
              <w:spacing w:line="360" w:lineRule="auto"/>
              <w:jc w:val="left"/>
              <w:rPr>
                <w:rFonts w:ascii="Times New Roman" w:hAnsi="Times New Roman" w:eastAsia="PMingLiU"/>
                <w:szCs w:val="21"/>
                <w:lang w:eastAsia="zh-TW"/>
              </w:rPr>
            </w:pPr>
            <w:r>
              <w:rPr>
                <w:rFonts w:hint="eastAsia" w:ascii="Times New Roman" w:hAnsi="Times New Roman"/>
                <w:szCs w:val="21"/>
              </w:rPr>
              <w:t>1.知道</w:t>
            </w:r>
            <w:r>
              <w:rPr>
                <w:rFonts w:hint="eastAsia" w:ascii="Times New Roman" w:hAnsi="Times New Roman" w:eastAsia="PMingLiU"/>
                <w:szCs w:val="21"/>
                <w:lang w:eastAsia="zh-TW"/>
              </w:rPr>
              <w:t>重症康复概述</w:t>
            </w:r>
            <w:r>
              <w:rPr>
                <w:rFonts w:hint="eastAsia" w:ascii="Times New Roman" w:hAnsi="Times New Roman"/>
                <w:szCs w:val="21"/>
              </w:rPr>
              <w:t>；</w:t>
            </w:r>
            <w:r>
              <w:rPr>
                <w:rFonts w:hint="eastAsia" w:ascii="Times New Roman" w:hAnsi="Times New Roman" w:eastAsia="PMingLiU"/>
                <w:szCs w:val="21"/>
                <w:lang w:eastAsia="zh-TW"/>
              </w:rPr>
              <w:t>重症患者常见的并发症。加速康复外科的定义与主要内容。手术患者的功能问题。术前康复内容与主要措施。常见外科手术的围术期康复措施。</w:t>
            </w:r>
          </w:p>
          <w:p>
            <w:pPr>
              <w:pStyle w:val="9"/>
              <w:snapToGrid w:val="0"/>
              <w:spacing w:line="360" w:lineRule="auto"/>
              <w:ind w:firstLine="0" w:firstLineChars="0"/>
              <w:jc w:val="left"/>
              <w:rPr>
                <w:b/>
              </w:rPr>
            </w:pPr>
            <w:r>
              <w:rPr>
                <w:rFonts w:hint="eastAsia" w:ascii="Times New Roman" w:hAnsi="Times New Roman"/>
                <w:szCs w:val="21"/>
              </w:rPr>
              <w:t>2.理解</w:t>
            </w:r>
            <w:r>
              <w:rPr>
                <w:rFonts w:hint="eastAsia" w:ascii="Times New Roman" w:hAnsi="Times New Roman" w:eastAsia="PMingLiU"/>
                <w:szCs w:val="21"/>
                <w:lang w:eastAsia="zh-TW"/>
              </w:rPr>
              <w:t>重症患者的康复评定，适宜开展康复指征，不宜康复的指征与康复治疗过程中需要终止治疗的情况。</w:t>
            </w:r>
          </w:p>
          <w:p>
            <w:pPr>
              <w:snapToGrid w:val="0"/>
              <w:spacing w:line="360" w:lineRule="auto"/>
              <w:jc w:val="left"/>
            </w:pPr>
            <w:r>
              <w:rPr>
                <w:rFonts w:hint="eastAsia"/>
              </w:rPr>
              <w:t>知道骨质疏松症的定义和诊断标准，骨质疏松症的康复治疗方法。</w:t>
            </w:r>
          </w:p>
          <w:p>
            <w:pPr>
              <w:widowControl/>
            </w:pPr>
            <w:r>
              <w:rPr>
                <w:rFonts w:hint="eastAsia" w:ascii="宋体" w:hAnsi="宋体"/>
                <w:color w:val="000000"/>
                <w:sz w:val="20"/>
                <w:szCs w:val="20"/>
              </w:rPr>
              <w:t>3.知道</w:t>
            </w:r>
            <w:r>
              <w:rPr>
                <w:rFonts w:hint="eastAsia"/>
              </w:rPr>
              <w:t>疼痛</w:t>
            </w:r>
            <w:r>
              <w:t>的定义和临床分型，疼痛评定的目的，常用的疼痛评定方法，疼痛的</w:t>
            </w:r>
            <w:r>
              <w:rPr>
                <w:rFonts w:hint="eastAsia"/>
              </w:rPr>
              <w:t>康复</w:t>
            </w:r>
            <w:r>
              <w:t>治疗方法</w:t>
            </w:r>
          </w:p>
          <w:p>
            <w:pPr>
              <w:snapToGrid w:val="0"/>
              <w:spacing w:line="360" w:lineRule="auto"/>
              <w:jc w:val="left"/>
            </w:pPr>
            <w:r>
              <w:rPr>
                <w:rFonts w:hint="eastAsia"/>
              </w:rPr>
              <w:t>4.痉挛的临床分型与表现，痉挛严重程度评定的改良As</w:t>
            </w:r>
            <w:r>
              <w:t>hworth评定量表内容与分级标准</w:t>
            </w:r>
            <w:r>
              <w:rPr>
                <w:rFonts w:hint="eastAsia"/>
              </w:rPr>
              <w:t>，</w:t>
            </w:r>
            <w:r>
              <w:t>痉挛的康复治疗原则与方法</w:t>
            </w:r>
          </w:p>
          <w:p>
            <w:pPr>
              <w:snapToGrid w:val="0"/>
              <w:spacing w:line="360" w:lineRule="auto"/>
              <w:jc w:val="left"/>
            </w:pPr>
            <w:r>
              <w:rPr>
                <w:rFonts w:hint="eastAsia"/>
              </w:rPr>
              <w:t>5.神经源性膀胱及神经源性肠道功能障碍的定义，神经源性膀胱及神经源性肠道功能障碍的治疗方法</w:t>
            </w:r>
          </w:p>
          <w:p>
            <w:pPr>
              <w:widowControl/>
              <w:rPr>
                <w:rFonts w:ascii="宋体" w:hAnsi="宋体" w:cs="Arial"/>
                <w:kern w:val="0"/>
                <w:szCs w:val="21"/>
              </w:rPr>
            </w:pPr>
          </w:p>
          <w:p>
            <w:pPr>
              <w:widowControl/>
              <w:rPr>
                <w:rFonts w:ascii="宋体" w:hAnsi="宋体"/>
                <w:color w:val="000000"/>
                <w:sz w:val="20"/>
                <w:szCs w:val="20"/>
              </w:rPr>
            </w:pPr>
          </w:p>
        </w:tc>
        <w:tc>
          <w:tcPr>
            <w:tcW w:w="1415" w:type="dxa"/>
          </w:tcPr>
          <w:p>
            <w:pPr>
              <w:snapToGrid w:val="0"/>
              <w:spacing w:line="360" w:lineRule="auto"/>
              <w:jc w:val="left"/>
            </w:pPr>
            <w:r>
              <w:rPr>
                <w:rFonts w:hint="eastAsia"/>
              </w:rPr>
              <w:t>使学生具有临床多学科协作的理念，培养团队合作精神。</w:t>
            </w:r>
          </w:p>
          <w:p>
            <w:pPr>
              <w:snapToGrid w:val="0"/>
              <w:spacing w:line="360" w:lineRule="auto"/>
              <w:jc w:val="left"/>
            </w:pPr>
            <w:r>
              <w:t>培养学生运用理论知识解决临床实际问题的能力</w:t>
            </w:r>
            <w:r>
              <w:rPr>
                <w:rFonts w:hint="eastAsia"/>
              </w:rPr>
              <w:t>。</w:t>
            </w:r>
          </w:p>
          <w:p>
            <w:pPr>
              <w:widowControl/>
              <w:rPr>
                <w:rFonts w:ascii="宋体" w:hAnsi="宋体"/>
                <w:color w:val="000000"/>
                <w:sz w:val="20"/>
                <w:szCs w:val="20"/>
              </w:rPr>
            </w:pPr>
          </w:p>
        </w:tc>
        <w:tc>
          <w:tcPr>
            <w:tcW w:w="1813" w:type="dxa"/>
          </w:tcPr>
          <w:p>
            <w:pPr>
              <w:snapToGrid w:val="0"/>
              <w:spacing w:line="360" w:lineRule="auto"/>
              <w:jc w:val="left"/>
              <w:rPr>
                <w:rFonts w:ascii="宋体" w:hAnsi="宋体" w:cs="宋体"/>
                <w:kern w:val="0"/>
                <w:szCs w:val="21"/>
              </w:rPr>
            </w:pPr>
            <w:r>
              <w:rPr>
                <w:rFonts w:hint="eastAsia"/>
              </w:rPr>
              <w:t>重点：重症患者常见并发症；重症康复治疗方法。</w:t>
            </w:r>
            <w:r>
              <w:rPr>
                <w:rFonts w:hint="eastAsia"/>
                <w:szCs w:val="21"/>
              </w:rPr>
              <w:t>手术快速康复的概念及主要内容；</w:t>
            </w:r>
            <w:r>
              <w:rPr>
                <w:rFonts w:hint="eastAsia" w:ascii="宋体" w:hAnsi="宋体" w:cs="宋体"/>
                <w:kern w:val="0"/>
                <w:szCs w:val="21"/>
              </w:rPr>
              <w:t>围术期康复的主要措施。</w:t>
            </w:r>
            <w:r>
              <w:rPr>
                <w:rFonts w:hint="eastAsia"/>
              </w:rPr>
              <w:t>骨质疏松症诊断</w:t>
            </w:r>
            <w:r>
              <w:t>的</w:t>
            </w:r>
            <w:r>
              <w:rPr>
                <w:rFonts w:hint="eastAsia"/>
              </w:rPr>
              <w:t>骨矿密度</w:t>
            </w:r>
            <w:r>
              <w:t>标准。</w:t>
            </w:r>
            <w:r>
              <w:rPr>
                <w:rFonts w:hint="eastAsia"/>
              </w:rPr>
              <w:t>疼痛的主要</w:t>
            </w:r>
            <w:r>
              <w:t>评定方法</w:t>
            </w:r>
            <w:r>
              <w:rPr>
                <w:rFonts w:hint="eastAsia"/>
              </w:rPr>
              <w:t>；疼痛</w:t>
            </w:r>
            <w:r>
              <w:t>的物理治疗方法。</w:t>
            </w:r>
            <w:r>
              <w:rPr>
                <w:rFonts w:hint="eastAsia"/>
              </w:rPr>
              <w:t>痉挛严重程度评定的改良Ashworth量表内容与标准；痉挛的康复治疗措施。间歇性导尿的定义与操作方法。</w:t>
            </w:r>
          </w:p>
          <w:p>
            <w:pPr>
              <w:snapToGrid w:val="0"/>
              <w:spacing w:line="360" w:lineRule="auto"/>
              <w:jc w:val="left"/>
            </w:pPr>
            <w:r>
              <w:rPr>
                <w:rFonts w:hint="eastAsia"/>
                <w:szCs w:val="21"/>
              </w:rPr>
              <w:t>难点：</w:t>
            </w:r>
            <w:r>
              <w:rPr>
                <w:rFonts w:hint="eastAsia" w:ascii="宋体" w:hAnsi="宋体" w:cs="宋体"/>
                <w:kern w:val="0"/>
                <w:szCs w:val="21"/>
              </w:rPr>
              <w:t>常见外科手术围术期呼吸系统管理的康复措施。</w:t>
            </w:r>
            <w:r>
              <w:rPr>
                <w:rFonts w:hint="eastAsia"/>
              </w:rPr>
              <w:t>重症患者早期康复的时机选择和指征把握。骨质疏松症的</w:t>
            </w:r>
            <w:r>
              <w:t>风险评估及预测。</w:t>
            </w:r>
            <w:r>
              <w:rPr>
                <w:rFonts w:hint="eastAsia"/>
              </w:rPr>
              <w:t>冷疗和</w:t>
            </w:r>
            <w:r>
              <w:t>热疗的镇痛机制。</w:t>
            </w:r>
            <w:r>
              <w:rPr>
                <w:rFonts w:hint="eastAsia"/>
              </w:rPr>
              <w:t>痉挛的运动治疗与物理因子治疗方法。</w:t>
            </w:r>
            <w:r>
              <w:t>神经源性肠道功能障碍的分类</w:t>
            </w:r>
            <w:r>
              <w:rPr>
                <w:rFonts w:hint="eastAsia"/>
              </w:rPr>
              <w:t>。</w:t>
            </w:r>
          </w:p>
          <w:p>
            <w:pPr>
              <w:snapToGrid w:val="0"/>
              <w:spacing w:line="360" w:lineRule="auto"/>
              <w:jc w:val="left"/>
            </w:pPr>
          </w:p>
          <w:p>
            <w:pPr>
              <w:widowControl/>
              <w:rPr>
                <w:rFonts w:ascii="宋体" w:hAnsi="宋体"/>
                <w:color w:val="000000"/>
                <w:sz w:val="20"/>
                <w:szCs w:val="20"/>
              </w:rPr>
            </w:pPr>
          </w:p>
        </w:tc>
        <w:tc>
          <w:tcPr>
            <w:tcW w:w="528" w:type="dxa"/>
          </w:tcPr>
          <w:p>
            <w:pPr>
              <w:widowControl/>
              <w:rPr>
                <w:rFonts w:ascii="宋体" w:hAnsi="宋体"/>
                <w:color w:val="000000"/>
                <w:sz w:val="20"/>
                <w:szCs w:val="20"/>
              </w:rPr>
            </w:pPr>
          </w:p>
          <w:p>
            <w:pPr>
              <w:widowControl/>
              <w:rPr>
                <w:rFonts w:ascii="宋体" w:hAnsi="宋体"/>
                <w:color w:val="000000"/>
                <w:sz w:val="20"/>
                <w:szCs w:val="20"/>
              </w:rPr>
            </w:pPr>
            <w:r>
              <w:rPr>
                <w:rFonts w:hint="eastAsia" w:ascii="宋体" w:hAnsi="宋体"/>
                <w:color w:val="000000"/>
                <w:sz w:val="20"/>
                <w:szCs w:val="20"/>
              </w:rPr>
              <w:t>3</w:t>
            </w:r>
          </w:p>
          <w:p>
            <w:pPr>
              <w:widowControl/>
              <w:rPr>
                <w:rFonts w:ascii="宋体" w:hAnsi="宋体"/>
                <w:color w:val="000000"/>
                <w:sz w:val="20"/>
                <w:szCs w:val="20"/>
              </w:rPr>
            </w:pPr>
          </w:p>
          <w:p>
            <w:pPr>
              <w:widowControl/>
              <w:rPr>
                <w:rFonts w:ascii="宋体" w:hAnsi="宋体"/>
                <w:color w:val="000000"/>
                <w:sz w:val="20"/>
                <w:szCs w:val="20"/>
              </w:rPr>
            </w:pPr>
          </w:p>
          <w:p>
            <w:pPr>
              <w:widowControl/>
              <w:ind w:firstLine="200" w:firstLineChars="100"/>
              <w:rPr>
                <w:rFonts w:ascii="宋体" w:hAnsi="宋体"/>
                <w:color w:val="000000"/>
                <w:sz w:val="20"/>
                <w:szCs w:val="20"/>
              </w:rPr>
            </w:pPr>
          </w:p>
        </w:tc>
        <w:tc>
          <w:tcPr>
            <w:tcW w:w="446" w:type="dxa"/>
          </w:tcPr>
          <w:p>
            <w:pPr>
              <w:widowControl/>
              <w:rPr>
                <w:rFonts w:ascii="宋体" w:hAnsi="宋体"/>
                <w:color w:val="000000"/>
                <w:sz w:val="20"/>
                <w:szCs w:val="20"/>
              </w:rPr>
            </w:pPr>
          </w:p>
          <w:p>
            <w:pPr>
              <w:widowControl/>
              <w:ind w:firstLine="200" w:firstLineChars="100"/>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p>
          <w:p>
            <w:pPr>
              <w:rPr>
                <w:rFonts w:ascii="宋体" w:hAnsi="宋体"/>
                <w:color w:val="000000"/>
                <w:sz w:val="20"/>
                <w:szCs w:val="20"/>
              </w:rPr>
            </w:pPr>
            <w:r>
              <w:rPr>
                <w:rFonts w:hint="eastAsia" w:ascii="宋体" w:hAnsi="宋体"/>
                <w:color w:val="00000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8" w:hRule="atLeast"/>
          <w:jc w:val="center"/>
        </w:trPr>
        <w:tc>
          <w:tcPr>
            <w:tcW w:w="922" w:type="dxa"/>
            <w:gridSpan w:val="2"/>
            <w:vAlign w:val="center"/>
          </w:tcPr>
          <w:p>
            <w:pPr>
              <w:widowControl/>
              <w:rPr>
                <w:rFonts w:ascii="宋体" w:hAnsi="宋体"/>
                <w:color w:val="000000"/>
                <w:sz w:val="20"/>
                <w:szCs w:val="20"/>
              </w:rPr>
            </w:pPr>
            <w:r>
              <w:rPr>
                <w:rFonts w:hint="eastAsia" w:ascii="宋体" w:hAnsi="宋体"/>
                <w:color w:val="000000"/>
                <w:sz w:val="20"/>
                <w:szCs w:val="20"/>
              </w:rPr>
              <w:t>12实训</w:t>
            </w:r>
          </w:p>
        </w:tc>
        <w:tc>
          <w:tcPr>
            <w:tcW w:w="2643" w:type="dxa"/>
            <w:vAlign w:val="center"/>
          </w:tcPr>
          <w:p>
            <w:pPr>
              <w:widowControl/>
              <w:rPr>
                <w:rFonts w:ascii="宋体" w:hAnsi="宋体" w:cs="宋体"/>
                <w:szCs w:val="21"/>
              </w:rPr>
            </w:pPr>
            <w:r>
              <w:rPr>
                <w:rFonts w:hint="eastAsia" w:ascii="宋体" w:hAnsi="宋体" w:cs="宋体"/>
                <w:szCs w:val="21"/>
              </w:rPr>
              <w:t>项目一 徒手肌力评定</w:t>
            </w:r>
          </w:p>
          <w:p>
            <w:pPr>
              <w:widowControl/>
              <w:rPr>
                <w:rFonts w:ascii="宋体" w:hAnsi="宋体" w:cs="宋体"/>
                <w:szCs w:val="21"/>
              </w:rPr>
            </w:pPr>
            <w:r>
              <w:rPr>
                <w:rFonts w:hint="eastAsia" w:ascii="宋体" w:hAnsi="宋体" w:cs="宋体"/>
                <w:szCs w:val="21"/>
              </w:rPr>
              <w:t>项目二 肌张力评定</w:t>
            </w:r>
          </w:p>
          <w:p>
            <w:pPr>
              <w:pStyle w:val="9"/>
              <w:snapToGrid w:val="0"/>
              <w:spacing w:line="360" w:lineRule="auto"/>
              <w:ind w:firstLine="0" w:firstLineChars="0"/>
              <w:jc w:val="left"/>
              <w:rPr>
                <w:rFonts w:ascii="宋体" w:hAnsi="宋体" w:cs="宋体"/>
                <w:szCs w:val="21"/>
              </w:rPr>
            </w:pPr>
            <w:r>
              <w:rPr>
                <w:rFonts w:hint="eastAsia" w:ascii="宋体" w:hAnsi="宋体" w:cs="宋体"/>
                <w:szCs w:val="21"/>
              </w:rPr>
              <w:t>项目三  关节活动范围测定</w:t>
            </w:r>
          </w:p>
          <w:p>
            <w:pPr>
              <w:pStyle w:val="9"/>
              <w:snapToGrid w:val="0"/>
              <w:spacing w:line="360" w:lineRule="auto"/>
              <w:ind w:firstLine="0" w:firstLineChars="0"/>
              <w:jc w:val="left"/>
              <w:rPr>
                <w:rFonts w:ascii="微软雅黑" w:hAnsi="微软雅黑" w:eastAsia="微软雅黑" w:cs="微软雅黑"/>
                <w:sz w:val="24"/>
                <w:szCs w:val="24"/>
              </w:rPr>
            </w:pPr>
            <w:r>
              <w:rPr>
                <w:rFonts w:hint="eastAsia" w:ascii="宋体" w:hAnsi="宋体" w:cs="宋体"/>
                <w:szCs w:val="21"/>
              </w:rPr>
              <w:t>项目四  物理因子治疗</w:t>
            </w:r>
          </w:p>
          <w:p>
            <w:pPr>
              <w:pStyle w:val="9"/>
              <w:snapToGrid w:val="0"/>
              <w:spacing w:line="360" w:lineRule="auto"/>
              <w:ind w:firstLine="0" w:firstLineChars="0"/>
              <w:jc w:val="left"/>
              <w:rPr>
                <w:rFonts w:ascii="宋体" w:hAnsi="宋体" w:cs="宋体"/>
                <w:szCs w:val="21"/>
              </w:rPr>
            </w:pPr>
            <w:r>
              <w:rPr>
                <w:rFonts w:hint="eastAsia" w:ascii="宋体" w:hAnsi="宋体" w:cs="宋体"/>
                <w:szCs w:val="21"/>
              </w:rPr>
              <w:t>项目五  脑卒中后康复</w:t>
            </w:r>
          </w:p>
          <w:p>
            <w:pPr>
              <w:pStyle w:val="9"/>
              <w:snapToGrid w:val="0"/>
              <w:spacing w:line="360" w:lineRule="auto"/>
              <w:ind w:firstLine="0" w:firstLineChars="0"/>
              <w:jc w:val="left"/>
              <w:rPr>
                <w:rFonts w:ascii="微软雅黑" w:hAnsi="微软雅黑" w:eastAsia="微软雅黑" w:cs="微软雅黑"/>
                <w:sz w:val="24"/>
                <w:szCs w:val="24"/>
              </w:rPr>
            </w:pPr>
            <w:r>
              <w:rPr>
                <w:rFonts w:hint="eastAsia" w:ascii="宋体" w:hAnsi="宋体" w:cs="宋体"/>
                <w:szCs w:val="21"/>
              </w:rPr>
              <w:t>项目六  骨折后康复</w:t>
            </w:r>
          </w:p>
          <w:p>
            <w:pPr>
              <w:widowControl/>
              <w:rPr>
                <w:rFonts w:ascii="宋体" w:hAnsi="宋体" w:cs="宋体"/>
                <w:szCs w:val="21"/>
              </w:rPr>
            </w:pPr>
            <w:r>
              <w:rPr>
                <w:rFonts w:hint="eastAsia" w:ascii="宋体" w:hAnsi="宋体" w:cs="宋体"/>
                <w:szCs w:val="21"/>
              </w:rPr>
              <w:t>项目七  脊髓损伤后康复</w:t>
            </w:r>
          </w:p>
          <w:p>
            <w:pPr>
              <w:widowControl/>
              <w:rPr>
                <w:rFonts w:ascii="微软雅黑" w:hAnsi="微软雅黑" w:eastAsia="微软雅黑" w:cs="微软雅黑"/>
                <w:sz w:val="24"/>
                <w:szCs w:val="24"/>
              </w:rPr>
            </w:pPr>
            <w:r>
              <w:rPr>
                <w:rFonts w:hint="eastAsia" w:ascii="宋体" w:hAnsi="宋体" w:cs="宋体"/>
                <w:szCs w:val="21"/>
              </w:rPr>
              <w:t>项目八  常用康复辅具</w:t>
            </w:r>
          </w:p>
        </w:tc>
        <w:tc>
          <w:tcPr>
            <w:tcW w:w="1415" w:type="dxa"/>
          </w:tcPr>
          <w:p>
            <w:pPr>
              <w:widowControl/>
              <w:rPr>
                <w:rFonts w:ascii="宋体" w:hAnsi="宋体"/>
                <w:color w:val="000000"/>
                <w:sz w:val="20"/>
                <w:szCs w:val="20"/>
              </w:rPr>
            </w:pPr>
            <w:r>
              <w:rPr>
                <w:rFonts w:hint="eastAsia" w:ascii="宋体" w:hAnsi="宋体"/>
                <w:color w:val="000000"/>
                <w:sz w:val="20"/>
                <w:szCs w:val="20"/>
              </w:rPr>
              <w:t>运用所学知识完成实训报告</w:t>
            </w:r>
          </w:p>
        </w:tc>
        <w:tc>
          <w:tcPr>
            <w:tcW w:w="1813" w:type="dxa"/>
          </w:tcPr>
          <w:p>
            <w:pPr>
              <w:widowControl/>
            </w:pPr>
            <w:r>
              <w:rPr>
                <w:rFonts w:hint="eastAsia"/>
              </w:rPr>
              <w:t>重点：实践操作</w:t>
            </w:r>
          </w:p>
          <w:p>
            <w:pPr>
              <w:widowControl/>
            </w:pPr>
            <w:r>
              <w:rPr>
                <w:rFonts w:hint="eastAsia"/>
              </w:rPr>
              <w:t>难点：实践操作</w:t>
            </w:r>
          </w:p>
        </w:tc>
        <w:tc>
          <w:tcPr>
            <w:tcW w:w="528" w:type="dxa"/>
          </w:tcPr>
          <w:p>
            <w:pPr>
              <w:widowControl/>
              <w:ind w:firstLine="200" w:firstLineChars="100"/>
              <w:rPr>
                <w:rFonts w:ascii="宋体" w:hAnsi="宋体"/>
                <w:color w:val="000000"/>
                <w:sz w:val="20"/>
                <w:szCs w:val="20"/>
              </w:rPr>
            </w:pPr>
            <w:r>
              <w:rPr>
                <w:rFonts w:hint="eastAsia" w:ascii="宋体" w:hAnsi="宋体"/>
                <w:color w:val="000000"/>
                <w:sz w:val="20"/>
                <w:szCs w:val="20"/>
              </w:rPr>
              <w:t>0</w:t>
            </w:r>
          </w:p>
        </w:tc>
        <w:tc>
          <w:tcPr>
            <w:tcW w:w="446" w:type="dxa"/>
          </w:tcPr>
          <w:p>
            <w:pPr>
              <w:widowControl/>
              <w:ind w:firstLine="200" w:firstLineChars="100"/>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527" w:type="dxa"/>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922" w:type="dxa"/>
            <w:gridSpan w:val="2"/>
            <w:vAlign w:val="center"/>
          </w:tcPr>
          <w:p>
            <w:pPr>
              <w:snapToGrid w:val="0"/>
              <w:spacing w:line="288" w:lineRule="auto"/>
              <w:jc w:val="left"/>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lang w:val="en-US" w:eastAsia="zh-CN"/>
              </w:rPr>
              <w:t>合计</w:t>
            </w:r>
          </w:p>
        </w:tc>
        <w:tc>
          <w:tcPr>
            <w:tcW w:w="2643" w:type="dxa"/>
            <w:vAlign w:val="top"/>
          </w:tcPr>
          <w:p>
            <w:pPr>
              <w:snapToGrid w:val="0"/>
              <w:spacing w:line="288" w:lineRule="auto"/>
              <w:jc w:val="left"/>
              <w:rPr>
                <w:rFonts w:hint="eastAsia" w:asciiTheme="minorEastAsia" w:hAnsiTheme="minorEastAsia" w:eastAsiaTheme="minorEastAsia" w:cstheme="minorEastAsia"/>
                <w:kern w:val="2"/>
                <w:sz w:val="20"/>
                <w:szCs w:val="20"/>
                <w:highlight w:val="none"/>
                <w:lang w:val="en-US" w:eastAsia="zh-CN" w:bidi="ar-SA"/>
              </w:rPr>
            </w:pPr>
          </w:p>
        </w:tc>
        <w:tc>
          <w:tcPr>
            <w:tcW w:w="1415" w:type="dxa"/>
            <w:vAlign w:val="top"/>
          </w:tcPr>
          <w:p>
            <w:pPr>
              <w:snapToGrid w:val="0"/>
              <w:spacing w:line="288" w:lineRule="auto"/>
              <w:jc w:val="left"/>
              <w:rPr>
                <w:rFonts w:hint="eastAsia" w:asciiTheme="minorEastAsia" w:hAnsiTheme="minorEastAsia" w:eastAsiaTheme="minorEastAsia" w:cstheme="minorEastAsia"/>
                <w:kern w:val="2"/>
                <w:sz w:val="20"/>
                <w:szCs w:val="20"/>
                <w:highlight w:val="none"/>
                <w:lang w:val="en-US" w:eastAsia="zh-CN" w:bidi="ar-SA"/>
              </w:rPr>
            </w:pPr>
          </w:p>
        </w:tc>
        <w:tc>
          <w:tcPr>
            <w:tcW w:w="1813" w:type="dxa"/>
            <w:vAlign w:val="top"/>
          </w:tcPr>
          <w:p>
            <w:pPr>
              <w:snapToGrid w:val="0"/>
              <w:spacing w:line="288" w:lineRule="auto"/>
              <w:jc w:val="left"/>
              <w:rPr>
                <w:rFonts w:hint="eastAsia" w:asciiTheme="minorEastAsia" w:hAnsiTheme="minorEastAsia" w:eastAsiaTheme="minorEastAsia" w:cstheme="minorEastAsia"/>
                <w:kern w:val="2"/>
                <w:sz w:val="20"/>
                <w:szCs w:val="20"/>
                <w:highlight w:val="none"/>
                <w:lang w:val="en-US" w:eastAsia="zh-CN" w:bidi="ar-SA"/>
              </w:rPr>
            </w:pPr>
          </w:p>
        </w:tc>
        <w:tc>
          <w:tcPr>
            <w:tcW w:w="528" w:type="dxa"/>
            <w:vAlign w:val="top"/>
          </w:tcPr>
          <w:p>
            <w:pPr>
              <w:snapToGrid w:val="0"/>
              <w:spacing w:line="288" w:lineRule="auto"/>
              <w:jc w:val="left"/>
              <w:rPr>
                <w:rFonts w:hint="default"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24</w:t>
            </w:r>
          </w:p>
        </w:tc>
        <w:tc>
          <w:tcPr>
            <w:tcW w:w="446" w:type="dxa"/>
            <w:vAlign w:val="top"/>
          </w:tcPr>
          <w:p>
            <w:pPr>
              <w:snapToGrid w:val="0"/>
              <w:spacing w:line="288" w:lineRule="auto"/>
              <w:jc w:val="left"/>
              <w:rPr>
                <w:rFonts w:hint="default"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8</w:t>
            </w:r>
            <w:bookmarkStart w:id="1" w:name="_GoBack"/>
            <w:bookmarkEnd w:id="1"/>
          </w:p>
        </w:tc>
        <w:tc>
          <w:tcPr>
            <w:tcW w:w="527" w:type="dxa"/>
            <w:vAlign w:val="top"/>
          </w:tcPr>
          <w:p>
            <w:pPr>
              <w:snapToGrid w:val="0"/>
              <w:spacing w:line="288" w:lineRule="auto"/>
              <w:jc w:val="left"/>
              <w:rPr>
                <w:rFonts w:hint="default"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32</w:t>
            </w:r>
          </w:p>
        </w:tc>
      </w:tr>
    </w:tbl>
    <w:p>
      <w:pPr>
        <w:snapToGrid w:val="0"/>
        <w:spacing w:line="288" w:lineRule="auto"/>
        <w:ind w:firstLine="402" w:firstLineChars="200"/>
        <w:rPr>
          <w:rFonts w:ascii="宋体" w:hAnsi="宋体"/>
          <w:b/>
          <w:bCs/>
          <w:sz w:val="20"/>
          <w:szCs w:val="20"/>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七、课内实验名称及基本要求</w:t>
      </w:r>
    </w:p>
    <w:p>
      <w:pPr>
        <w:snapToGrid w:val="0"/>
        <w:spacing w:line="360" w:lineRule="auto"/>
        <w:ind w:firstLine="420" w:firstLineChars="200"/>
        <w:jc w:val="left"/>
      </w:pPr>
    </w:p>
    <w:p>
      <w:pPr>
        <w:jc w:val="left"/>
        <w:rPr>
          <w:b/>
        </w:rPr>
      </w:pPr>
    </w:p>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lang w:eastAsia="zh-CN"/>
        </w:rPr>
        <w:t>七</w:t>
      </w:r>
      <w:r>
        <w:rPr>
          <w:rFonts w:hint="eastAsia" w:ascii="黑体" w:hAnsi="宋体" w:eastAsia="黑体"/>
          <w:sz w:val="24"/>
        </w:rPr>
        <w:t>、评价方式与成绩</w:t>
      </w:r>
    </w:p>
    <w:tbl>
      <w:tblPr>
        <w:tblStyle w:val="4"/>
        <w:tblpPr w:leftFromText="180" w:rightFromText="180" w:vertAnchor="text" w:horzAnchor="page" w:tblpX="1802" w:tblpY="9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X1</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highlight w:val="none"/>
                <w:lang w:val="en-US" w:eastAsia="zh-CN"/>
              </w:rPr>
            </w:pPr>
            <w:r>
              <w:rPr>
                <w:rFonts w:hint="eastAsia" w:ascii="宋体" w:hAnsi="宋体"/>
                <w:bCs/>
                <w:color w:val="000000"/>
                <w:szCs w:val="20"/>
                <w:highlight w:val="none"/>
                <w:lang w:val="en-US" w:eastAsia="zh-CN"/>
              </w:rPr>
              <w:t>随堂测试</w:t>
            </w:r>
          </w:p>
        </w:tc>
        <w:tc>
          <w:tcPr>
            <w:tcW w:w="1843" w:type="dxa"/>
            <w:shd w:val="clear" w:color="auto" w:fill="auto"/>
          </w:tcPr>
          <w:p>
            <w:pPr>
              <w:snapToGrid w:val="0"/>
              <w:spacing w:before="156" w:beforeLines="50" w:after="156" w:afterLines="50"/>
              <w:jc w:val="center"/>
              <w:rPr>
                <w:rFonts w:ascii="宋体" w:hAnsi="宋体"/>
                <w:bCs/>
                <w:color w:val="000000"/>
                <w:szCs w:val="20"/>
                <w:highlight w:val="none"/>
              </w:rPr>
            </w:pPr>
            <w:r>
              <w:rPr>
                <w:rFonts w:hint="eastAsia" w:ascii="宋体"/>
                <w:szCs w:val="24"/>
                <w:highlight w:val="none"/>
                <w:lang w:val="en-US" w:eastAsia="zh-CN"/>
              </w:rPr>
              <w:t>4</w:t>
            </w:r>
            <w:r>
              <w:rPr>
                <w:rFonts w:hint="eastAsia" w:ascii="宋体"/>
                <w:szCs w:val="24"/>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2</w:t>
            </w:r>
          </w:p>
        </w:tc>
        <w:tc>
          <w:tcPr>
            <w:tcW w:w="5103" w:type="dxa"/>
            <w:shd w:val="clear" w:color="auto" w:fill="auto"/>
          </w:tcPr>
          <w:p>
            <w:pPr>
              <w:snapToGrid w:val="0"/>
              <w:spacing w:before="156" w:beforeLines="50" w:after="156"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平时表现1（小组汇报）</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3</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Cs w:val="20"/>
                <w:lang w:eastAsia="zh-CN"/>
              </w:rPr>
            </w:pPr>
            <w:r>
              <w:rPr>
                <w:rFonts w:hint="eastAsia" w:ascii="宋体" w:hAnsi="宋体"/>
                <w:bCs/>
                <w:color w:val="000000"/>
                <w:szCs w:val="20"/>
                <w:lang w:eastAsia="zh-CN"/>
              </w:rPr>
              <w:t>平时表现</w:t>
            </w:r>
            <w:r>
              <w:rPr>
                <w:rFonts w:hint="eastAsia" w:ascii="宋体" w:hAnsi="宋体"/>
                <w:bCs/>
                <w:color w:val="000000"/>
                <w:szCs w:val="20"/>
                <w:lang w:val="en-US" w:eastAsia="zh-CN"/>
              </w:rPr>
              <w:t>2（</w:t>
            </w:r>
            <w:r>
              <w:rPr>
                <w:rFonts w:hint="eastAsia" w:ascii="宋体" w:hAnsi="宋体"/>
                <w:bCs/>
                <w:color w:val="000000"/>
                <w:szCs w:val="20"/>
              </w:rPr>
              <w:t>实训报告</w:t>
            </w:r>
            <w:r>
              <w:rPr>
                <w:rFonts w:hint="eastAsia" w:ascii="宋体" w:hAnsi="宋体"/>
                <w:bCs/>
                <w:color w:val="000000"/>
                <w:szCs w:val="20"/>
                <w:lang w:eastAsia="zh-CN"/>
              </w:rPr>
              <w:t>）</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20</w:t>
            </w:r>
            <w:r>
              <w:rPr>
                <w:rFonts w:hint="eastAsia" w:ascii="宋体" w:hAnsi="宋体"/>
                <w:bCs/>
                <w:color w:val="00000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hint="eastAsia" w:ascii="宋体" w:hAnsi="宋体" w:eastAsia="宋体"/>
                <w:bCs/>
                <w:color w:val="000000"/>
                <w:szCs w:val="20"/>
                <w:lang w:val="en-US" w:eastAsia="zh-CN"/>
              </w:rPr>
            </w:pPr>
            <w:r>
              <w:rPr>
                <w:rFonts w:hint="eastAsia" w:ascii="宋体" w:hAnsi="宋体"/>
                <w:bCs/>
                <w:color w:val="000000"/>
                <w:szCs w:val="20"/>
              </w:rPr>
              <w:t>X</w:t>
            </w:r>
            <w:r>
              <w:rPr>
                <w:rFonts w:hint="eastAsia" w:ascii="宋体" w:hAnsi="宋体"/>
                <w:bCs/>
                <w:color w:val="000000"/>
                <w:szCs w:val="20"/>
                <w:lang w:val="en-US" w:eastAsia="zh-CN"/>
              </w:rPr>
              <w:t>4</w:t>
            </w:r>
          </w:p>
        </w:tc>
        <w:tc>
          <w:tcPr>
            <w:tcW w:w="5103" w:type="dxa"/>
            <w:shd w:val="clear" w:color="auto" w:fill="auto"/>
          </w:tcPr>
          <w:p>
            <w:pPr>
              <w:snapToGrid w:val="0"/>
              <w:spacing w:before="156" w:beforeLines="50" w:after="156" w:afterLines="50"/>
              <w:jc w:val="center"/>
              <w:rPr>
                <w:rFonts w:hint="eastAsia" w:ascii="宋体" w:hAnsi="宋体" w:eastAsia="仿宋"/>
                <w:bCs/>
                <w:color w:val="000000"/>
                <w:szCs w:val="20"/>
                <w:lang w:eastAsia="zh-CN"/>
              </w:rPr>
            </w:pPr>
            <w:r>
              <w:rPr>
                <w:rFonts w:hint="eastAsia" w:ascii="宋体" w:hAnsi="宋体"/>
                <w:bCs/>
                <w:color w:val="000000"/>
                <w:szCs w:val="20"/>
                <w:lang w:eastAsia="zh-CN"/>
              </w:rPr>
              <w:t>平时表现</w:t>
            </w:r>
            <w:r>
              <w:rPr>
                <w:rFonts w:hint="eastAsia" w:ascii="宋体" w:hAnsi="宋体"/>
                <w:bCs/>
                <w:color w:val="000000"/>
                <w:szCs w:val="20"/>
                <w:lang w:val="en-US" w:eastAsia="zh-CN"/>
              </w:rPr>
              <w:t>3（</w:t>
            </w:r>
            <w:r>
              <w:rPr>
                <w:rFonts w:hint="eastAsia" w:ascii="宋体" w:hAnsi="宋体"/>
                <w:bCs/>
                <w:color w:val="000000"/>
                <w:szCs w:val="20"/>
                <w:lang w:eastAsia="zh-CN"/>
              </w:rPr>
              <w:t>出勤率、课堂表现）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lang w:val="en-US" w:eastAsia="zh-CN"/>
              </w:rPr>
              <w:t>20</w:t>
            </w:r>
            <w:r>
              <w:rPr>
                <w:rFonts w:hint="eastAsia" w:ascii="宋体" w:hAnsi="宋体"/>
                <w:bCs/>
                <w:color w:val="000000"/>
                <w:szCs w:val="20"/>
              </w:rPr>
              <w:t>%</w:t>
            </w:r>
          </w:p>
        </w:tc>
      </w:tr>
    </w:tbl>
    <w:p>
      <w:pPr>
        <w:snapToGrid w:val="0"/>
        <w:spacing w:before="120" w:after="120" w:line="288" w:lineRule="auto"/>
        <w:rPr>
          <w:rFonts w:ascii="宋体" w:hAnsi="宋体"/>
          <w:sz w:val="20"/>
          <w:szCs w:val="20"/>
          <w:highlight w:val="yellow"/>
        </w:rPr>
      </w:pPr>
    </w:p>
    <w:p>
      <w:pPr>
        <w:snapToGrid w:val="0"/>
        <w:spacing w:line="288" w:lineRule="auto"/>
        <w:ind w:firstLine="840" w:firstLineChars="300"/>
        <w:rPr>
          <w:sz w:val="28"/>
          <w:szCs w:val="28"/>
        </w:rPr>
      </w:pPr>
      <w:r>
        <w:rPr>
          <w:rFonts w:hint="eastAsia"/>
          <w:sz w:val="28"/>
          <w:szCs w:val="28"/>
        </w:rPr>
        <w:t xml:space="preserve">撰写人： </w:t>
      </w:r>
      <w:r>
        <w:rPr>
          <w:rFonts w:hint="eastAsia"/>
          <w:sz w:val="28"/>
          <w:szCs w:val="28"/>
        </w:rPr>
        <w:drawing>
          <wp:inline distT="0" distB="0" distL="114300" distR="114300">
            <wp:extent cx="464185" cy="366395"/>
            <wp:effectExtent l="0" t="0" r="12065" b="14605"/>
            <wp:docPr id="3" name="图片 3" descr="e65afbc7747dde6a1f0f07bf1cd6e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65afbc7747dde6a1f0f07bf1cd6e3c"/>
                    <pic:cNvPicPr>
                      <a:picLocks noChangeAspect="1"/>
                    </pic:cNvPicPr>
                  </pic:nvPicPr>
                  <pic:blipFill>
                    <a:blip r:embed="rId4"/>
                    <a:stretch>
                      <a:fillRect/>
                    </a:stretch>
                  </pic:blipFill>
                  <pic:spPr>
                    <a:xfrm>
                      <a:off x="0" y="0"/>
                      <a:ext cx="464185" cy="366395"/>
                    </a:xfrm>
                    <a:prstGeom prst="rect">
                      <a:avLst/>
                    </a:prstGeom>
                  </pic:spPr>
                </pic:pic>
              </a:graphicData>
            </a:graphic>
          </wp:inline>
        </w:drawing>
      </w:r>
      <w:r>
        <w:rPr>
          <w:rFonts w:hint="eastAsia"/>
          <w:sz w:val="28"/>
          <w:szCs w:val="28"/>
        </w:rPr>
        <w:t xml:space="preserve">           系主任审核签名：</w:t>
      </w:r>
      <w:r>
        <w:drawing>
          <wp:inline distT="0" distB="0" distL="114300" distR="114300">
            <wp:extent cx="1066800" cy="632460"/>
            <wp:effectExtent l="0" t="0" r="0" b="762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066800" cy="632460"/>
                    </a:xfrm>
                    <a:prstGeom prst="rect">
                      <a:avLst/>
                    </a:prstGeom>
                    <a:noFill/>
                    <a:ln>
                      <a:noFill/>
                    </a:ln>
                  </pic:spPr>
                </pic:pic>
              </a:graphicData>
            </a:graphic>
          </wp:inline>
        </w:drawing>
      </w:r>
    </w:p>
    <w:p>
      <w:pPr>
        <w:snapToGrid w:val="0"/>
        <w:spacing w:line="288" w:lineRule="auto"/>
        <w:ind w:firstLine="840" w:firstLineChars="300"/>
      </w:pPr>
      <w:r>
        <w:rPr>
          <w:rFonts w:hint="eastAsia"/>
          <w:sz w:val="28"/>
          <w:szCs w:val="28"/>
        </w:rPr>
        <w:t>审核时间： 202</w:t>
      </w:r>
      <w:r>
        <w:rPr>
          <w:rFonts w:hint="eastAsia"/>
          <w:sz w:val="28"/>
          <w:szCs w:val="28"/>
          <w:lang w:val="en-US" w:eastAsia="zh-CN"/>
        </w:rPr>
        <w:t>3</w:t>
      </w:r>
      <w:r>
        <w:rPr>
          <w:rFonts w:hint="eastAsia"/>
          <w:sz w:val="28"/>
          <w:szCs w:val="28"/>
        </w:rPr>
        <w:t>-</w:t>
      </w:r>
      <w:r>
        <w:rPr>
          <w:rFonts w:hint="eastAsia"/>
          <w:sz w:val="28"/>
          <w:szCs w:val="28"/>
          <w:lang w:val="en-US" w:eastAsia="zh-CN"/>
        </w:rPr>
        <w:t>8</w:t>
      </w:r>
      <w:r>
        <w:rPr>
          <w:rFonts w:hint="eastAsia"/>
          <w:sz w:val="28"/>
          <w:szCs w:val="28"/>
        </w:rPr>
        <w:t>-25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8F32E"/>
    <w:multiLevelType w:val="singleLevel"/>
    <w:tmpl w:val="D9D8F32E"/>
    <w:lvl w:ilvl="0" w:tentative="0">
      <w:start w:val="1"/>
      <w:numFmt w:val="decimal"/>
      <w:lvlText w:val="%1."/>
      <w:lvlJc w:val="left"/>
      <w:pPr>
        <w:tabs>
          <w:tab w:val="left" w:pos="312"/>
        </w:tabs>
      </w:pPr>
    </w:lvl>
  </w:abstractNum>
  <w:abstractNum w:abstractNumId="1">
    <w:nsid w:val="E941C3B6"/>
    <w:multiLevelType w:val="singleLevel"/>
    <w:tmpl w:val="E941C3B6"/>
    <w:lvl w:ilvl="0" w:tentative="0">
      <w:start w:val="1"/>
      <w:numFmt w:val="decimal"/>
      <w:lvlText w:val="%1."/>
      <w:lvlJc w:val="left"/>
      <w:pPr>
        <w:tabs>
          <w:tab w:val="left" w:pos="312"/>
        </w:tabs>
      </w:pPr>
    </w:lvl>
  </w:abstractNum>
  <w:abstractNum w:abstractNumId="2">
    <w:nsid w:val="09C8064D"/>
    <w:multiLevelType w:val="singleLevel"/>
    <w:tmpl w:val="09C8064D"/>
    <w:lvl w:ilvl="0" w:tentative="0">
      <w:start w:val="1"/>
      <w:numFmt w:val="decimal"/>
      <w:lvlText w:val="%1."/>
      <w:lvlJc w:val="left"/>
      <w:pPr>
        <w:tabs>
          <w:tab w:val="left" w:pos="312"/>
        </w:tabs>
      </w:pPr>
    </w:lvl>
  </w:abstractNum>
  <w:abstractNum w:abstractNumId="3">
    <w:nsid w:val="48B35152"/>
    <w:multiLevelType w:val="singleLevel"/>
    <w:tmpl w:val="48B35152"/>
    <w:lvl w:ilvl="0" w:tentative="0">
      <w:start w:val="1"/>
      <w:numFmt w:val="decimal"/>
      <w:lvlText w:val="%1."/>
      <w:lvlJc w:val="left"/>
      <w:pPr>
        <w:tabs>
          <w:tab w:val="left" w:pos="312"/>
        </w:tabs>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0YzViN2U5MTAxMmUxZGRmZTJmYjBlZmM4ZjM3MDkifQ=="/>
  </w:docVars>
  <w:rsids>
    <w:rsidRoot w:val="00B7651F"/>
    <w:rsid w:val="001072BC"/>
    <w:rsid w:val="00256B39"/>
    <w:rsid w:val="0026033C"/>
    <w:rsid w:val="00270BE1"/>
    <w:rsid w:val="002E3721"/>
    <w:rsid w:val="00313BBA"/>
    <w:rsid w:val="0032602E"/>
    <w:rsid w:val="003367AE"/>
    <w:rsid w:val="003B1258"/>
    <w:rsid w:val="004100B0"/>
    <w:rsid w:val="005467DC"/>
    <w:rsid w:val="00553D03"/>
    <w:rsid w:val="005B2B6D"/>
    <w:rsid w:val="005B4B4E"/>
    <w:rsid w:val="005E33E1"/>
    <w:rsid w:val="005E7F51"/>
    <w:rsid w:val="00622E31"/>
    <w:rsid w:val="00624FE1"/>
    <w:rsid w:val="007208D6"/>
    <w:rsid w:val="008B397C"/>
    <w:rsid w:val="008B47F4"/>
    <w:rsid w:val="00900019"/>
    <w:rsid w:val="0099063E"/>
    <w:rsid w:val="009E4B9E"/>
    <w:rsid w:val="00A769B1"/>
    <w:rsid w:val="00A837D5"/>
    <w:rsid w:val="00AC4C45"/>
    <w:rsid w:val="00B46F21"/>
    <w:rsid w:val="00B511A5"/>
    <w:rsid w:val="00B736A7"/>
    <w:rsid w:val="00B7651F"/>
    <w:rsid w:val="00C56E09"/>
    <w:rsid w:val="00CF096B"/>
    <w:rsid w:val="00E16D30"/>
    <w:rsid w:val="00E33169"/>
    <w:rsid w:val="00E67D93"/>
    <w:rsid w:val="00E70904"/>
    <w:rsid w:val="00EB1C0E"/>
    <w:rsid w:val="00EF44B1"/>
    <w:rsid w:val="00F35AA0"/>
    <w:rsid w:val="010A29DC"/>
    <w:rsid w:val="013637D1"/>
    <w:rsid w:val="0159126E"/>
    <w:rsid w:val="016E63C2"/>
    <w:rsid w:val="01E00E72"/>
    <w:rsid w:val="020E02AA"/>
    <w:rsid w:val="024B0C39"/>
    <w:rsid w:val="04675A50"/>
    <w:rsid w:val="065B15E4"/>
    <w:rsid w:val="068D0783"/>
    <w:rsid w:val="073D6A05"/>
    <w:rsid w:val="078900A5"/>
    <w:rsid w:val="07A33243"/>
    <w:rsid w:val="07D72EEC"/>
    <w:rsid w:val="0808032A"/>
    <w:rsid w:val="08F655F4"/>
    <w:rsid w:val="09011381"/>
    <w:rsid w:val="09150170"/>
    <w:rsid w:val="09436267"/>
    <w:rsid w:val="098C5B5E"/>
    <w:rsid w:val="09B63504"/>
    <w:rsid w:val="0A2A5AD4"/>
    <w:rsid w:val="0A8128A6"/>
    <w:rsid w:val="0A9A658D"/>
    <w:rsid w:val="0ADA341F"/>
    <w:rsid w:val="0BB73761"/>
    <w:rsid w:val="0BF32A1B"/>
    <w:rsid w:val="0C6D3E1F"/>
    <w:rsid w:val="0CB90E13"/>
    <w:rsid w:val="0E963B01"/>
    <w:rsid w:val="0EBE77F3"/>
    <w:rsid w:val="0F5B2655"/>
    <w:rsid w:val="10201E03"/>
    <w:rsid w:val="10BD2C22"/>
    <w:rsid w:val="10D5541E"/>
    <w:rsid w:val="114E421F"/>
    <w:rsid w:val="118539B9"/>
    <w:rsid w:val="125C6DEB"/>
    <w:rsid w:val="126161D4"/>
    <w:rsid w:val="131C20FB"/>
    <w:rsid w:val="131E2317"/>
    <w:rsid w:val="13661681"/>
    <w:rsid w:val="145204CA"/>
    <w:rsid w:val="158F3A58"/>
    <w:rsid w:val="15B12FCF"/>
    <w:rsid w:val="16BA2357"/>
    <w:rsid w:val="16C06D56"/>
    <w:rsid w:val="175760D1"/>
    <w:rsid w:val="17FF2717"/>
    <w:rsid w:val="1804388A"/>
    <w:rsid w:val="19D674A8"/>
    <w:rsid w:val="1A4D1254"/>
    <w:rsid w:val="1ABC669E"/>
    <w:rsid w:val="1AFD2812"/>
    <w:rsid w:val="1B574618"/>
    <w:rsid w:val="1B5854C4"/>
    <w:rsid w:val="1C2D22DF"/>
    <w:rsid w:val="1E010BD1"/>
    <w:rsid w:val="1E154179"/>
    <w:rsid w:val="1E7D6C4A"/>
    <w:rsid w:val="1EB1403F"/>
    <w:rsid w:val="1F2533E4"/>
    <w:rsid w:val="206A6613"/>
    <w:rsid w:val="209155CF"/>
    <w:rsid w:val="20E57FD0"/>
    <w:rsid w:val="21BF0821"/>
    <w:rsid w:val="21F72FC3"/>
    <w:rsid w:val="22685D3D"/>
    <w:rsid w:val="22987C80"/>
    <w:rsid w:val="23435AD2"/>
    <w:rsid w:val="23605881"/>
    <w:rsid w:val="237819DA"/>
    <w:rsid w:val="23854DDD"/>
    <w:rsid w:val="23892362"/>
    <w:rsid w:val="24192CCC"/>
    <w:rsid w:val="248142C9"/>
    <w:rsid w:val="2632412A"/>
    <w:rsid w:val="27402806"/>
    <w:rsid w:val="27767BD4"/>
    <w:rsid w:val="2791653E"/>
    <w:rsid w:val="27F76F67"/>
    <w:rsid w:val="281806F1"/>
    <w:rsid w:val="28447CD2"/>
    <w:rsid w:val="289F3AC2"/>
    <w:rsid w:val="29995DFC"/>
    <w:rsid w:val="29CE019B"/>
    <w:rsid w:val="2A4346E5"/>
    <w:rsid w:val="2B681F2A"/>
    <w:rsid w:val="2B6A19B5"/>
    <w:rsid w:val="2D067DAF"/>
    <w:rsid w:val="2D1C2FCC"/>
    <w:rsid w:val="2D4542D1"/>
    <w:rsid w:val="2E026666"/>
    <w:rsid w:val="2E441CAE"/>
    <w:rsid w:val="2E474078"/>
    <w:rsid w:val="2E6609A2"/>
    <w:rsid w:val="2E786928"/>
    <w:rsid w:val="2E935510"/>
    <w:rsid w:val="2ECB6A58"/>
    <w:rsid w:val="2F195A15"/>
    <w:rsid w:val="3103126C"/>
    <w:rsid w:val="31520047"/>
    <w:rsid w:val="31FD1D6E"/>
    <w:rsid w:val="321C21F4"/>
    <w:rsid w:val="327333A9"/>
    <w:rsid w:val="32D55264"/>
    <w:rsid w:val="32EB3B6C"/>
    <w:rsid w:val="33354DE7"/>
    <w:rsid w:val="33A06240"/>
    <w:rsid w:val="34204307"/>
    <w:rsid w:val="34796ADA"/>
    <w:rsid w:val="34A73A14"/>
    <w:rsid w:val="34C77CC1"/>
    <w:rsid w:val="357C4F4F"/>
    <w:rsid w:val="35C45463"/>
    <w:rsid w:val="374675C3"/>
    <w:rsid w:val="37736701"/>
    <w:rsid w:val="37F94635"/>
    <w:rsid w:val="384A7B4B"/>
    <w:rsid w:val="387E4B3B"/>
    <w:rsid w:val="38D21F4F"/>
    <w:rsid w:val="39292CF8"/>
    <w:rsid w:val="39945424"/>
    <w:rsid w:val="39A66CD4"/>
    <w:rsid w:val="3A753A17"/>
    <w:rsid w:val="3A7A7584"/>
    <w:rsid w:val="3B234763"/>
    <w:rsid w:val="3B255B43"/>
    <w:rsid w:val="3C0F78A5"/>
    <w:rsid w:val="3C4026CF"/>
    <w:rsid w:val="3C4D13F4"/>
    <w:rsid w:val="3CD52CE1"/>
    <w:rsid w:val="3D0F48FB"/>
    <w:rsid w:val="3D5B5606"/>
    <w:rsid w:val="3DC6320C"/>
    <w:rsid w:val="3DCE20C0"/>
    <w:rsid w:val="3E143E34"/>
    <w:rsid w:val="3EAE5A4E"/>
    <w:rsid w:val="3F204B9E"/>
    <w:rsid w:val="3F4C14EF"/>
    <w:rsid w:val="401C5365"/>
    <w:rsid w:val="40A11D0E"/>
    <w:rsid w:val="410F2E6A"/>
    <w:rsid w:val="413A03B6"/>
    <w:rsid w:val="416F7716"/>
    <w:rsid w:val="418F7DB9"/>
    <w:rsid w:val="41F8770C"/>
    <w:rsid w:val="4250579A"/>
    <w:rsid w:val="4292190E"/>
    <w:rsid w:val="434C09B6"/>
    <w:rsid w:val="43574906"/>
    <w:rsid w:val="43A538C3"/>
    <w:rsid w:val="43F959BD"/>
    <w:rsid w:val="4430136C"/>
    <w:rsid w:val="44BA15F0"/>
    <w:rsid w:val="45173EE8"/>
    <w:rsid w:val="45D85A64"/>
    <w:rsid w:val="461C03D1"/>
    <w:rsid w:val="46803631"/>
    <w:rsid w:val="469D0882"/>
    <w:rsid w:val="46B03E5E"/>
    <w:rsid w:val="47C22C96"/>
    <w:rsid w:val="47D26C51"/>
    <w:rsid w:val="48713F24"/>
    <w:rsid w:val="48D146DA"/>
    <w:rsid w:val="48D34A2F"/>
    <w:rsid w:val="48E57088"/>
    <w:rsid w:val="49DB003F"/>
    <w:rsid w:val="49FB50D7"/>
    <w:rsid w:val="4A254F2B"/>
    <w:rsid w:val="4AB0382B"/>
    <w:rsid w:val="4AF84C20"/>
    <w:rsid w:val="4B520BF6"/>
    <w:rsid w:val="4CB46314"/>
    <w:rsid w:val="4D6E2F78"/>
    <w:rsid w:val="4DCA28A4"/>
    <w:rsid w:val="4E0F745E"/>
    <w:rsid w:val="4E3F66C2"/>
    <w:rsid w:val="4E947959"/>
    <w:rsid w:val="4EC82C28"/>
    <w:rsid w:val="4FE87012"/>
    <w:rsid w:val="4FF46174"/>
    <w:rsid w:val="501E02B3"/>
    <w:rsid w:val="5052092F"/>
    <w:rsid w:val="50CF6A6C"/>
    <w:rsid w:val="50E147EB"/>
    <w:rsid w:val="50EF43D0"/>
    <w:rsid w:val="51181B78"/>
    <w:rsid w:val="5184731E"/>
    <w:rsid w:val="51F708E7"/>
    <w:rsid w:val="5358271B"/>
    <w:rsid w:val="53C5526E"/>
    <w:rsid w:val="53F561A1"/>
    <w:rsid w:val="544C0F5F"/>
    <w:rsid w:val="54770964"/>
    <w:rsid w:val="55251135"/>
    <w:rsid w:val="553B37B9"/>
    <w:rsid w:val="55615A1D"/>
    <w:rsid w:val="55794BB0"/>
    <w:rsid w:val="5579695E"/>
    <w:rsid w:val="55816C76"/>
    <w:rsid w:val="559A1713"/>
    <w:rsid w:val="55B03890"/>
    <w:rsid w:val="563B14A2"/>
    <w:rsid w:val="569868B5"/>
    <w:rsid w:val="577E3858"/>
    <w:rsid w:val="582E57DE"/>
    <w:rsid w:val="58D926BB"/>
    <w:rsid w:val="58F270BE"/>
    <w:rsid w:val="597564CE"/>
    <w:rsid w:val="59822285"/>
    <w:rsid w:val="598E694A"/>
    <w:rsid w:val="59941FB8"/>
    <w:rsid w:val="59A26483"/>
    <w:rsid w:val="5A607219"/>
    <w:rsid w:val="5B331AD4"/>
    <w:rsid w:val="5B5163B3"/>
    <w:rsid w:val="5B6A7475"/>
    <w:rsid w:val="5B7618C6"/>
    <w:rsid w:val="5CCC1A69"/>
    <w:rsid w:val="5CEC3207"/>
    <w:rsid w:val="5D064F7B"/>
    <w:rsid w:val="5D07069B"/>
    <w:rsid w:val="5D877667"/>
    <w:rsid w:val="5D8F4F70"/>
    <w:rsid w:val="5E0A04AB"/>
    <w:rsid w:val="5E374C9D"/>
    <w:rsid w:val="5E395BA4"/>
    <w:rsid w:val="5ECF6CDE"/>
    <w:rsid w:val="5F3C4C84"/>
    <w:rsid w:val="5FAB23CD"/>
    <w:rsid w:val="6011491D"/>
    <w:rsid w:val="6017124D"/>
    <w:rsid w:val="60357070"/>
    <w:rsid w:val="605D39A5"/>
    <w:rsid w:val="60A77E83"/>
    <w:rsid w:val="60F15F42"/>
    <w:rsid w:val="611F6817"/>
    <w:rsid w:val="61630BEE"/>
    <w:rsid w:val="62157A0E"/>
    <w:rsid w:val="626F711E"/>
    <w:rsid w:val="62BC0916"/>
    <w:rsid w:val="63776102"/>
    <w:rsid w:val="63D27965"/>
    <w:rsid w:val="64370110"/>
    <w:rsid w:val="64664551"/>
    <w:rsid w:val="649625F2"/>
    <w:rsid w:val="650A0DE0"/>
    <w:rsid w:val="65420B1A"/>
    <w:rsid w:val="65622F6B"/>
    <w:rsid w:val="656B46CF"/>
    <w:rsid w:val="65FA63AD"/>
    <w:rsid w:val="66B02580"/>
    <w:rsid w:val="66C51A03"/>
    <w:rsid w:val="66CA1754"/>
    <w:rsid w:val="672229B1"/>
    <w:rsid w:val="673F17B5"/>
    <w:rsid w:val="6796514D"/>
    <w:rsid w:val="682D3543"/>
    <w:rsid w:val="683A63DE"/>
    <w:rsid w:val="685B748F"/>
    <w:rsid w:val="68686AEA"/>
    <w:rsid w:val="688356D2"/>
    <w:rsid w:val="689F6284"/>
    <w:rsid w:val="6A33139A"/>
    <w:rsid w:val="6AFE1A3D"/>
    <w:rsid w:val="6B8A19BE"/>
    <w:rsid w:val="6C042FCD"/>
    <w:rsid w:val="6D543B83"/>
    <w:rsid w:val="6D5E7DF4"/>
    <w:rsid w:val="6DF2131A"/>
    <w:rsid w:val="6F1E65D4"/>
    <w:rsid w:val="6F266C86"/>
    <w:rsid w:val="6F5042C2"/>
    <w:rsid w:val="6F60676D"/>
    <w:rsid w:val="6F826EDD"/>
    <w:rsid w:val="70531E2E"/>
    <w:rsid w:val="70893AA1"/>
    <w:rsid w:val="70E26B0C"/>
    <w:rsid w:val="70EB74F7"/>
    <w:rsid w:val="71495BDD"/>
    <w:rsid w:val="716B4A53"/>
    <w:rsid w:val="72245C39"/>
    <w:rsid w:val="7242215A"/>
    <w:rsid w:val="72EB0A43"/>
    <w:rsid w:val="74316312"/>
    <w:rsid w:val="74396DFD"/>
    <w:rsid w:val="74AF5257"/>
    <w:rsid w:val="74CF13CE"/>
    <w:rsid w:val="754B3A1B"/>
    <w:rsid w:val="757C3BD5"/>
    <w:rsid w:val="75B72E5F"/>
    <w:rsid w:val="7678652D"/>
    <w:rsid w:val="76BF073C"/>
    <w:rsid w:val="76F5793F"/>
    <w:rsid w:val="778A4005"/>
    <w:rsid w:val="780F13C8"/>
    <w:rsid w:val="787212BF"/>
    <w:rsid w:val="787E5EB6"/>
    <w:rsid w:val="78967802"/>
    <w:rsid w:val="78CF226D"/>
    <w:rsid w:val="793B3DA7"/>
    <w:rsid w:val="794762A8"/>
    <w:rsid w:val="7C385448"/>
    <w:rsid w:val="7CB3663D"/>
    <w:rsid w:val="7CDE6F23"/>
    <w:rsid w:val="7D964EFE"/>
    <w:rsid w:val="7E062BD5"/>
    <w:rsid w:val="7E885398"/>
    <w:rsid w:val="7EBB3F31"/>
    <w:rsid w:val="7ED24865"/>
    <w:rsid w:val="7F8244D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4751</Words>
  <Characters>5034</Characters>
  <Lines>37</Lines>
  <Paragraphs>10</Paragraphs>
  <TotalTime>7</TotalTime>
  <ScaleCrop>false</ScaleCrop>
  <LinksUpToDate>false</LinksUpToDate>
  <CharactersWithSpaces>5088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你谁呢2</cp:lastModifiedBy>
  <dcterms:modified xsi:type="dcterms:W3CDTF">2023-09-13T03:19:33Z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618868DCA68C4B4E8DB001DB1E4356B0_13</vt:lpwstr>
  </property>
</Properties>
</file>