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方正小标宋简体" w:hAnsi="宋体"/>
          <w:bCs/>
          <w:kern w:val="0"/>
          <w:szCs w:val="21"/>
        </w:rPr>
      </w:pPr>
      <w:r>
        <w:rPr>
          <w:rFonts w:ascii="宋体" w:hAnsi="宋体"/>
          <w:bCs/>
          <w:kern w:val="0"/>
          <w:sz w:val="40"/>
          <w:szCs w:val="40"/>
        </w:rP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宋体" w:hAnsi="宋体"/>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rFonts w:ascii="宋体" w:hAnsi="宋体"/>
          <w:b/>
          <w:sz w:val="28"/>
          <w:szCs w:val="28"/>
        </w:rPr>
      </w:pPr>
      <w:r>
        <w:rPr>
          <w:rFonts w:hint="eastAsia" w:ascii="宋体" w:hAnsi="宋体"/>
          <w:b/>
          <w:sz w:val="28"/>
          <w:szCs w:val="28"/>
        </w:rPr>
        <w:t>【医学伦理学】</w:t>
      </w:r>
    </w:p>
    <w:p>
      <w:pPr>
        <w:shd w:val="clear" w:color="auto" w:fill="F5F5F5"/>
        <w:jc w:val="center"/>
        <w:textAlignment w:val="top"/>
        <w:rPr>
          <w:rFonts w:ascii="宋体" w:hAnsi="宋体" w:cs="Arial"/>
          <w:b/>
          <w:kern w:val="0"/>
          <w:sz w:val="28"/>
          <w:szCs w:val="28"/>
        </w:rPr>
      </w:pPr>
      <w:r>
        <w:rPr>
          <w:rFonts w:hint="eastAsia" w:ascii="宋体" w:hAnsi="宋体"/>
          <w:b/>
          <w:sz w:val="28"/>
          <w:szCs w:val="28"/>
        </w:rPr>
        <w:t>【</w:t>
      </w:r>
      <w:r>
        <w:rPr>
          <w:rFonts w:ascii="宋体" w:hAnsi="宋体"/>
          <w:b/>
          <w:sz w:val="28"/>
          <w:szCs w:val="28"/>
        </w:rPr>
        <w:t xml:space="preserve">Medical </w:t>
      </w:r>
      <w:r>
        <w:rPr>
          <w:rFonts w:hint="eastAsia" w:ascii="宋体" w:hAnsi="宋体"/>
          <w:b/>
          <w:sz w:val="28"/>
          <w:szCs w:val="28"/>
        </w:rPr>
        <w:t>E</w:t>
      </w:r>
      <w:r>
        <w:rPr>
          <w:rFonts w:ascii="宋体" w:hAnsi="宋体"/>
          <w:b/>
          <w:sz w:val="28"/>
          <w:szCs w:val="28"/>
        </w:rPr>
        <w:t>thics</w:t>
      </w:r>
      <w:r>
        <w:rPr>
          <w:rFonts w:hint="eastAsia" w:ascii="宋体" w:hAnsi="宋体"/>
          <w:b/>
          <w:sz w:val="28"/>
          <w:szCs w:val="28"/>
        </w:rPr>
        <w:t>】</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312" w:lineRule="auto"/>
        <w:ind w:firstLine="402" w:firstLineChars="200"/>
        <w:rPr>
          <w:rFonts w:ascii="宋体" w:hAnsi="宋体"/>
          <w:sz w:val="20"/>
          <w:szCs w:val="20"/>
        </w:rPr>
      </w:pPr>
      <w:r>
        <w:rPr>
          <w:rFonts w:ascii="宋体" w:hAnsi="宋体"/>
          <w:b/>
          <w:bCs/>
          <w:sz w:val="20"/>
          <w:szCs w:val="20"/>
        </w:rPr>
        <w:t>课程代码：</w:t>
      </w:r>
      <w:r>
        <w:rPr>
          <w:rFonts w:hint="eastAsia" w:ascii="宋体" w:hAnsi="宋体"/>
          <w:bCs/>
          <w:sz w:val="20"/>
          <w:szCs w:val="20"/>
        </w:rPr>
        <w:t>【2170013】</w:t>
      </w:r>
    </w:p>
    <w:p>
      <w:pPr>
        <w:spacing w:line="312" w:lineRule="auto"/>
        <w:ind w:firstLine="402" w:firstLineChars="200"/>
        <w:rPr>
          <w:rFonts w:ascii="宋体" w:hAnsi="宋体"/>
          <w:sz w:val="20"/>
          <w:szCs w:val="20"/>
        </w:rPr>
      </w:pPr>
      <w:r>
        <w:rPr>
          <w:rFonts w:ascii="宋体" w:hAnsi="宋体"/>
          <w:b/>
          <w:bCs/>
          <w:sz w:val="20"/>
          <w:szCs w:val="20"/>
        </w:rPr>
        <w:t>课程学分：</w:t>
      </w:r>
      <w:r>
        <w:rPr>
          <w:rFonts w:hint="eastAsia" w:ascii="宋体" w:hAnsi="宋体"/>
          <w:sz w:val="20"/>
          <w:szCs w:val="20"/>
        </w:rPr>
        <w:t>【 2</w:t>
      </w:r>
      <w:r>
        <w:rPr>
          <w:rFonts w:ascii="宋体" w:hAnsi="宋体"/>
          <w:sz w:val="20"/>
          <w:szCs w:val="20"/>
        </w:rPr>
        <w:t xml:space="preserve"> </w:t>
      </w:r>
      <w:r>
        <w:rPr>
          <w:rFonts w:hint="eastAsia"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面向专业：</w:t>
      </w:r>
      <w:r>
        <w:rPr>
          <w:rFonts w:hint="eastAsia" w:ascii="宋体" w:hAnsi="宋体"/>
          <w:b/>
          <w:bCs/>
          <w:sz w:val="20"/>
          <w:szCs w:val="20"/>
        </w:rPr>
        <w:t>【</w:t>
      </w:r>
      <w:r>
        <w:rPr>
          <w:rFonts w:hint="eastAsia" w:ascii="宋体" w:hAnsi="宋体"/>
          <w:sz w:val="20"/>
          <w:szCs w:val="20"/>
          <w:lang w:val="en-US" w:eastAsia="zh-CN"/>
        </w:rPr>
        <w:t>健康</w:t>
      </w:r>
      <w:r>
        <w:rPr>
          <w:rFonts w:hint="eastAsia" w:ascii="宋体" w:hAnsi="宋体"/>
          <w:sz w:val="20"/>
          <w:szCs w:val="20"/>
        </w:rPr>
        <w:t>服务</w:t>
      </w:r>
      <w:r>
        <w:rPr>
          <w:rFonts w:hint="eastAsia" w:ascii="宋体" w:hAnsi="宋体"/>
          <w:sz w:val="20"/>
          <w:szCs w:val="20"/>
          <w:lang w:val="en-US" w:eastAsia="zh-CN"/>
        </w:rPr>
        <w:t>与</w:t>
      </w:r>
      <w:r>
        <w:rPr>
          <w:rFonts w:hint="eastAsia" w:ascii="宋体" w:hAnsi="宋体"/>
          <w:sz w:val="20"/>
          <w:szCs w:val="20"/>
        </w:rPr>
        <w:t>管理】</w:t>
      </w:r>
    </w:p>
    <w:p>
      <w:pPr>
        <w:spacing w:line="312" w:lineRule="auto"/>
        <w:ind w:firstLine="402" w:firstLineChars="200"/>
        <w:rPr>
          <w:rFonts w:ascii="宋体" w:hAnsi="宋体"/>
          <w:sz w:val="20"/>
          <w:szCs w:val="20"/>
        </w:rPr>
      </w:pPr>
      <w:r>
        <w:rPr>
          <w:rFonts w:ascii="宋体" w:hAnsi="宋体"/>
          <w:b/>
          <w:bCs/>
          <w:sz w:val="20"/>
          <w:szCs w:val="20"/>
        </w:rPr>
        <w:t>课程性质：</w:t>
      </w:r>
      <w:r>
        <w:rPr>
          <w:rFonts w:hint="eastAsia" w:ascii="宋体" w:hAnsi="宋体"/>
          <w:b/>
          <w:bCs/>
          <w:sz w:val="20"/>
          <w:szCs w:val="20"/>
        </w:rPr>
        <w:t>【</w:t>
      </w:r>
      <w:r>
        <w:rPr>
          <w:rFonts w:hint="eastAsia" w:ascii="宋体" w:hAnsi="宋体"/>
          <w:sz w:val="20"/>
          <w:szCs w:val="20"/>
        </w:rPr>
        <w:t>院级选修课程】</w:t>
      </w:r>
    </w:p>
    <w:p>
      <w:pPr>
        <w:spacing w:line="312" w:lineRule="auto"/>
        <w:ind w:firstLine="402" w:firstLineChars="200"/>
        <w:rPr>
          <w:rFonts w:ascii="宋体" w:hAnsi="宋体"/>
          <w:sz w:val="20"/>
          <w:szCs w:val="20"/>
        </w:rPr>
      </w:pPr>
      <w:r>
        <w:rPr>
          <w:rFonts w:ascii="宋体" w:hAnsi="宋体"/>
          <w:b/>
          <w:bCs/>
          <w:sz w:val="20"/>
          <w:szCs w:val="20"/>
        </w:rPr>
        <w:t>开课院系：</w:t>
      </w:r>
      <w:r>
        <w:rPr>
          <w:rFonts w:hint="eastAsia" w:ascii="宋体" w:hAnsi="宋体"/>
          <w:b/>
          <w:bCs/>
          <w:sz w:val="20"/>
          <w:szCs w:val="20"/>
        </w:rPr>
        <w:t>【</w:t>
      </w:r>
      <w:r>
        <w:rPr>
          <w:rFonts w:hint="eastAsia" w:ascii="宋体" w:hAnsi="宋体"/>
          <w:sz w:val="20"/>
          <w:szCs w:val="20"/>
        </w:rPr>
        <w:t>健康管理学院</w:t>
      </w:r>
      <w:r>
        <w:rPr>
          <w:rFonts w:hint="eastAsia" w:ascii="宋体" w:hAnsi="宋体"/>
          <w:sz w:val="20"/>
          <w:szCs w:val="20"/>
          <w:lang w:val="en-US" w:eastAsia="zh-CN"/>
        </w:rPr>
        <w:t>健康</w:t>
      </w:r>
      <w:r>
        <w:rPr>
          <w:rFonts w:hint="eastAsia" w:ascii="宋体" w:hAnsi="宋体"/>
          <w:sz w:val="20"/>
          <w:szCs w:val="20"/>
        </w:rPr>
        <w:t>服务</w:t>
      </w:r>
      <w:r>
        <w:rPr>
          <w:rFonts w:hint="eastAsia" w:ascii="宋体" w:hAnsi="宋体"/>
          <w:sz w:val="20"/>
          <w:szCs w:val="20"/>
          <w:lang w:val="en-US" w:eastAsia="zh-CN"/>
        </w:rPr>
        <w:t>与</w:t>
      </w:r>
      <w:r>
        <w:rPr>
          <w:rFonts w:hint="eastAsia" w:ascii="宋体" w:hAnsi="宋体"/>
          <w:sz w:val="20"/>
          <w:szCs w:val="20"/>
        </w:rPr>
        <w:t>管理系】</w:t>
      </w:r>
    </w:p>
    <w:p>
      <w:pPr>
        <w:spacing w:line="312" w:lineRule="auto"/>
        <w:ind w:firstLine="402" w:firstLineChars="200"/>
        <w:rPr>
          <w:rFonts w:ascii="宋体" w:hAnsi="宋体"/>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医学伦理学》，刘俊荣、严金海，华中科技大学出版社，2019第1版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sz w:val="20"/>
          <w:szCs w:val="20"/>
        </w:rPr>
        <w:t>【</w:t>
      </w:r>
      <w:r>
        <w:rPr>
          <w:rFonts w:hint="eastAsia" w:ascii="宋体" w:hAnsi="宋体"/>
          <w:sz w:val="20"/>
          <w:szCs w:val="20"/>
        </w:rPr>
        <w:t>1.《医学伦理学》，陈明华，人民卫生出版社，2020月第1版；2.《医学伦理学》，王明旭、赵明杰，人民卫生出版社，2018第5版；3.《医学伦理学实训及学习指导》，夏曼、王柳行，人民卫生出版社，2019第1版】</w:t>
      </w:r>
    </w:p>
    <w:p>
      <w:pPr>
        <w:spacing w:line="312" w:lineRule="auto"/>
        <w:ind w:firstLine="402" w:firstLineChars="200"/>
        <w:rPr>
          <w:rFonts w:hint="eastAsia" w:ascii="宋体" w:hAnsi="宋体"/>
          <w:sz w:val="20"/>
          <w:szCs w:val="20"/>
        </w:rPr>
      </w:pPr>
      <w:r>
        <w:rPr>
          <w:rFonts w:hint="eastAsia" w:ascii="宋体" w:hAnsi="宋体"/>
          <w:b/>
          <w:bCs/>
          <w:sz w:val="20"/>
          <w:szCs w:val="20"/>
        </w:rPr>
        <w:t>课程网站网址：</w:t>
      </w:r>
      <w:r>
        <w:rPr>
          <w:rFonts w:hint="eastAsia" w:ascii="宋体" w:hAnsi="宋体"/>
          <w:sz w:val="20"/>
          <w:szCs w:val="20"/>
        </w:rPr>
        <w:fldChar w:fldCharType="begin"/>
      </w:r>
      <w:r>
        <w:rPr>
          <w:rFonts w:hint="eastAsia" w:ascii="宋体" w:hAnsi="宋体"/>
          <w:sz w:val="20"/>
          <w:szCs w:val="20"/>
        </w:rPr>
        <w:instrText xml:space="preserve"> HYPERLINK "https://mooc1-1.chaoxing.com/mycourse/teachercourse" </w:instrText>
      </w:r>
      <w:r>
        <w:rPr>
          <w:rFonts w:hint="eastAsia" w:ascii="宋体" w:hAnsi="宋体"/>
          <w:sz w:val="20"/>
          <w:szCs w:val="20"/>
        </w:rPr>
        <w:fldChar w:fldCharType="separate"/>
      </w:r>
      <w:r>
        <w:rPr>
          <w:rStyle w:val="8"/>
          <w:rFonts w:hint="eastAsia" w:ascii="宋体" w:hAnsi="宋体"/>
          <w:sz w:val="20"/>
          <w:szCs w:val="20"/>
        </w:rPr>
        <w:t>https://mooc1-1.chaoxing.com</w:t>
      </w:r>
      <w:r>
        <w:rPr>
          <w:rFonts w:hint="eastAsia" w:ascii="宋体" w:hAnsi="宋体"/>
          <w:sz w:val="20"/>
          <w:szCs w:val="20"/>
        </w:rPr>
        <w:fldChar w:fldCharType="end"/>
      </w:r>
    </w:p>
    <w:p>
      <w:pPr>
        <w:spacing w:line="312" w:lineRule="auto"/>
        <w:ind w:firstLine="402" w:firstLineChars="200"/>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lang w:val="en-US" w:eastAsia="zh-CN"/>
        </w:rPr>
        <w:t>无</w:t>
      </w:r>
      <w:r>
        <w:rPr>
          <w:rFonts w:hint="eastAsia" w:ascii="宋体" w:hAnsi="宋体"/>
          <w:sz w:val="20"/>
          <w:szCs w:val="20"/>
        </w:rPr>
        <w:t>】</w:t>
      </w:r>
    </w:p>
    <w:p>
      <w:pPr>
        <w:spacing w:before="156" w:beforeLines="50" w:after="156" w:afterLines="50" w:line="288" w:lineRule="auto"/>
        <w:ind w:firstLine="360" w:firstLineChars="150"/>
        <w:rPr>
          <w:b/>
          <w:sz w:val="24"/>
          <w:szCs w:val="24"/>
        </w:rPr>
      </w:pPr>
      <w:r>
        <w:rPr>
          <w:rFonts w:ascii="黑体" w:hAnsi="宋体" w:eastAsia="黑体"/>
          <w:sz w:val="24"/>
          <w:szCs w:val="24"/>
        </w:rPr>
        <w:t>二</w:t>
      </w:r>
      <w:r>
        <w:rPr>
          <w:rFonts w:hint="eastAsia" w:ascii="黑体" w:hAnsi="宋体" w:eastAsia="黑体"/>
          <w:sz w:val="24"/>
          <w:szCs w:val="24"/>
        </w:rPr>
        <w:t>、</w:t>
      </w:r>
      <w:r>
        <w:rPr>
          <w:rFonts w:ascii="黑体" w:hAnsi="宋体" w:eastAsia="黑体"/>
          <w:sz w:val="24"/>
          <w:szCs w:val="24"/>
        </w:rPr>
        <w:t>课程简介</w:t>
      </w:r>
    </w:p>
    <w:p>
      <w:pPr>
        <w:spacing w:line="312" w:lineRule="auto"/>
        <w:ind w:firstLine="400" w:firstLineChars="200"/>
        <w:rPr>
          <w:rFonts w:hint="eastAsia" w:ascii="宋体" w:hAnsi="宋体" w:eastAsia="宋体"/>
          <w:sz w:val="20"/>
          <w:szCs w:val="20"/>
          <w:lang w:eastAsia="zh-CN"/>
        </w:rPr>
      </w:pPr>
      <w:r>
        <w:rPr>
          <w:rFonts w:hint="eastAsia" w:ascii="宋体" w:hAnsi="宋体"/>
          <w:sz w:val="20"/>
          <w:szCs w:val="20"/>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通过本课程学习，旨在为学生提供正确的价值导向，帮助学生树立正确的生命观、健康观、死亡观和医学人道观，提高学生的综合素质，培养学生正确识别现实中的道德问题，并能够做出理性、公正决策，以在今后的健康服务与管理工作中能够正确的认识和处理相关伦理学问题，保证服务对象的最大权益</w:t>
      </w:r>
      <w:r>
        <w:rPr>
          <w:rFonts w:hint="eastAsia" w:ascii="宋体" w:hAnsi="宋体"/>
          <w:sz w:val="20"/>
          <w:szCs w:val="20"/>
          <w:lang w:eastAsia="zh-CN"/>
        </w:rPr>
        <w:t>。</w:t>
      </w:r>
    </w:p>
    <w:p>
      <w:pPr>
        <w:spacing w:line="312" w:lineRule="auto"/>
        <w:ind w:firstLine="400" w:firstLineChars="200"/>
        <w:rPr>
          <w:rFonts w:ascii="宋体" w:hAnsi="宋体"/>
          <w:sz w:val="20"/>
          <w:szCs w:val="20"/>
        </w:rPr>
      </w:pPr>
      <w:r>
        <w:rPr>
          <w:rFonts w:hint="eastAsia" w:ascii="宋体" w:hAnsi="宋体"/>
          <w:sz w:val="20"/>
          <w:szCs w:val="20"/>
        </w:rPr>
        <w:t>本课程教学总时数32学时，其中理论教学24学时，实践教学8学时。</w:t>
      </w:r>
    </w:p>
    <w:p>
      <w:pPr>
        <w:spacing w:before="156" w:beforeLines="50" w:after="156" w:afterLines="50" w:line="312"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rFonts w:ascii="宋体" w:hAnsi="宋体"/>
          <w:sz w:val="20"/>
          <w:szCs w:val="20"/>
        </w:rPr>
      </w:pPr>
      <w:r>
        <w:rPr>
          <w:rFonts w:hint="eastAsia" w:ascii="宋体" w:hAnsi="宋体"/>
          <w:sz w:val="20"/>
          <w:szCs w:val="20"/>
        </w:rPr>
        <w:t>本课程建议安排在</w:t>
      </w:r>
      <w:r>
        <w:rPr>
          <w:rFonts w:hint="eastAsia" w:ascii="宋体" w:hAnsi="宋体"/>
          <w:sz w:val="20"/>
          <w:szCs w:val="20"/>
          <w:lang w:val="en-US" w:eastAsia="zh-CN"/>
        </w:rPr>
        <w:t>健康</w:t>
      </w:r>
      <w:r>
        <w:rPr>
          <w:rFonts w:hint="eastAsia" w:ascii="宋体" w:hAnsi="宋体"/>
          <w:sz w:val="20"/>
          <w:szCs w:val="20"/>
        </w:rPr>
        <w:t>服务</w:t>
      </w:r>
      <w:r>
        <w:rPr>
          <w:rFonts w:hint="eastAsia" w:ascii="宋体" w:hAnsi="宋体"/>
          <w:sz w:val="20"/>
          <w:szCs w:val="20"/>
          <w:lang w:val="en-US" w:eastAsia="zh-CN"/>
        </w:rPr>
        <w:t>与</w:t>
      </w:r>
      <w:r>
        <w:rPr>
          <w:rFonts w:hint="eastAsia" w:ascii="宋体" w:hAnsi="宋体"/>
          <w:sz w:val="20"/>
          <w:szCs w:val="20"/>
        </w:rPr>
        <w:t>管理专业第一学年</w:t>
      </w:r>
      <w:bookmarkStart w:id="1" w:name="_GoBack"/>
      <w:bookmarkEnd w:id="1"/>
      <w:r>
        <w:rPr>
          <w:rFonts w:hint="eastAsia" w:ascii="宋体" w:hAnsi="宋体"/>
          <w:sz w:val="20"/>
          <w:szCs w:val="20"/>
        </w:rPr>
        <w:t>第</w:t>
      </w:r>
      <w:r>
        <w:rPr>
          <w:rFonts w:hint="eastAsia" w:ascii="宋体" w:hAnsi="宋体"/>
          <w:sz w:val="20"/>
          <w:szCs w:val="20"/>
          <w:lang w:val="en-US" w:eastAsia="zh-CN"/>
        </w:rPr>
        <w:t>一</w:t>
      </w:r>
      <w:r>
        <w:rPr>
          <w:rFonts w:hint="eastAsia" w:ascii="宋体" w:hAnsi="宋体"/>
          <w:sz w:val="20"/>
          <w:szCs w:val="20"/>
        </w:rPr>
        <w:t>学期开设。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爱岗敬业，热爱所学专业，勤学多练，锤炼技能。熟悉本专业相关的法律法规，在实习实践中自觉遵守职业规范，具备职业道德操守。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firstLine="420" w:firstLineChars="200"/>
        <w:jc w:val="left"/>
        <w:rPr>
          <w:rFonts w:ascii="黑体" w:hAnsi="宋体" w:eastAsia="黑体"/>
          <w:sz w:val="24"/>
        </w:rPr>
      </w:pPr>
      <w:r>
        <w:rPr>
          <w:rFonts w:hint="eastAsia"/>
        </w:rPr>
        <w:t>备注：LO=</w:t>
      </w:r>
      <w:r>
        <w:t>learning outcomes</w:t>
      </w:r>
      <w:r>
        <w:rPr>
          <w:rFonts w:hint="eastAsia"/>
        </w:rPr>
        <w:t>（学习成果）</w:t>
      </w:r>
    </w:p>
    <w:p>
      <w:pPr>
        <w:widowControl/>
        <w:numPr>
          <w:ilvl w:val="0"/>
          <w:numId w:val="1"/>
        </w:numPr>
        <w:spacing w:before="156" w:beforeLines="50" w:after="156" w:afterLines="50" w:line="288" w:lineRule="auto"/>
        <w:ind w:firstLine="360" w:firstLineChars="150"/>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1"/>
        <w:gridCol w:w="4022"/>
        <w:gridCol w:w="159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3" w:type="dxa"/>
            <w:vAlign w:val="center"/>
          </w:tcPr>
          <w:p>
            <w:pPr>
              <w:snapToGrid w:val="0"/>
              <w:spacing w:line="288" w:lineRule="auto"/>
              <w:jc w:val="center"/>
              <w:rPr>
                <w:rFonts w:ascii="宋体"/>
                <w:b/>
                <w:sz w:val="20"/>
                <w:szCs w:val="20"/>
              </w:rPr>
            </w:pPr>
            <w:r>
              <w:rPr>
                <w:rFonts w:hint="eastAsia" w:ascii="宋体" w:hAnsi="宋体"/>
                <w:b/>
                <w:sz w:val="20"/>
                <w:szCs w:val="20"/>
              </w:rPr>
              <w:t>序号</w:t>
            </w:r>
          </w:p>
        </w:tc>
        <w:tc>
          <w:tcPr>
            <w:tcW w:w="1161" w:type="dxa"/>
            <w:vAlign w:val="center"/>
          </w:tcPr>
          <w:p>
            <w:pPr>
              <w:snapToGrid w:val="0"/>
              <w:spacing w:line="288" w:lineRule="auto"/>
              <w:jc w:val="center"/>
              <w:rPr>
                <w:rFonts w:ascii="宋体"/>
                <w:b/>
                <w:sz w:val="20"/>
                <w:szCs w:val="20"/>
              </w:rPr>
            </w:pPr>
            <w:r>
              <w:rPr>
                <w:rFonts w:hint="eastAsia" w:ascii="宋体" w:hAnsi="宋体"/>
                <w:b/>
                <w:sz w:val="20"/>
                <w:szCs w:val="20"/>
              </w:rPr>
              <w:t>课程预期</w:t>
            </w:r>
          </w:p>
          <w:p>
            <w:pPr>
              <w:snapToGrid w:val="0"/>
              <w:spacing w:line="288" w:lineRule="auto"/>
              <w:jc w:val="center"/>
              <w:rPr>
                <w:rFonts w:ascii="宋体"/>
                <w:b/>
                <w:sz w:val="20"/>
                <w:szCs w:val="20"/>
              </w:rPr>
            </w:pPr>
            <w:r>
              <w:rPr>
                <w:rFonts w:hint="eastAsia" w:ascii="宋体" w:hAnsi="宋体"/>
                <w:b/>
                <w:sz w:val="20"/>
                <w:szCs w:val="20"/>
              </w:rPr>
              <w:t>学习成果</w:t>
            </w:r>
          </w:p>
        </w:tc>
        <w:tc>
          <w:tcPr>
            <w:tcW w:w="4022" w:type="dxa"/>
            <w:vAlign w:val="center"/>
          </w:tcPr>
          <w:p>
            <w:pPr>
              <w:snapToGrid w:val="0"/>
              <w:spacing w:line="288" w:lineRule="auto"/>
              <w:jc w:val="center"/>
              <w:rPr>
                <w:rFonts w:ascii="宋体"/>
                <w:b/>
                <w:sz w:val="20"/>
                <w:szCs w:val="20"/>
              </w:rPr>
            </w:pPr>
            <w:r>
              <w:rPr>
                <w:rFonts w:hint="eastAsia" w:ascii="宋体" w:hAnsi="宋体"/>
                <w:b/>
                <w:sz w:val="20"/>
                <w:szCs w:val="20"/>
              </w:rPr>
              <w:t>课程目标</w:t>
            </w:r>
          </w:p>
        </w:tc>
        <w:tc>
          <w:tcPr>
            <w:tcW w:w="1591" w:type="dxa"/>
            <w:vAlign w:val="center"/>
          </w:tcPr>
          <w:p>
            <w:pPr>
              <w:snapToGrid w:val="0"/>
              <w:spacing w:line="288" w:lineRule="auto"/>
              <w:jc w:val="center"/>
              <w:rPr>
                <w:rFonts w:ascii="宋体"/>
                <w:b/>
                <w:sz w:val="20"/>
                <w:szCs w:val="20"/>
              </w:rPr>
            </w:pPr>
            <w:r>
              <w:rPr>
                <w:rFonts w:hint="eastAsia" w:ascii="宋体" w:hAnsi="宋体"/>
                <w:b/>
                <w:sz w:val="20"/>
                <w:szCs w:val="20"/>
              </w:rPr>
              <w:t>教与学方式</w:t>
            </w:r>
          </w:p>
        </w:tc>
        <w:tc>
          <w:tcPr>
            <w:tcW w:w="1243" w:type="dxa"/>
            <w:vAlign w:val="center"/>
          </w:tcPr>
          <w:p>
            <w:pPr>
              <w:snapToGrid w:val="0"/>
              <w:spacing w:line="288" w:lineRule="auto"/>
              <w:jc w:val="center"/>
              <w:rPr>
                <w:rFonts w:ascii="宋体"/>
                <w:b/>
                <w:sz w:val="20"/>
                <w:szCs w:val="20"/>
              </w:rPr>
            </w:pPr>
            <w:r>
              <w:rPr>
                <w:rFonts w:hint="eastAsia" w:ascii="宋体" w:hAnsi="宋体"/>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543" w:type="dxa"/>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1</w:t>
            </w:r>
          </w:p>
        </w:tc>
        <w:tc>
          <w:tcPr>
            <w:tcW w:w="1161" w:type="dxa"/>
            <w:vAlign w:val="center"/>
          </w:tcPr>
          <w:p>
            <w:pPr>
              <w:widowControl/>
              <w:jc w:val="center"/>
              <w:rPr>
                <w:rFonts w:hint="eastAsia" w:asciiTheme="minorEastAsia" w:hAnsiTheme="minorEastAsia" w:eastAsiaTheme="minorEastAsia" w:cstheme="minorEastAsia"/>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p>
        </w:tc>
        <w:tc>
          <w:tcPr>
            <w:tcW w:w="4022" w:type="dxa"/>
            <w:vAlign w:val="center"/>
          </w:tcPr>
          <w:p>
            <w:pPr>
              <w:widowControl/>
              <w:rPr>
                <w:rFonts w:hint="eastAsia" w:asciiTheme="minorEastAsia" w:hAnsiTheme="minorEastAsia" w:eastAsiaTheme="minorEastAsia" w:cstheme="minorEastAsia"/>
                <w:kern w:val="0"/>
                <w:sz w:val="20"/>
                <w:szCs w:val="20"/>
              </w:rPr>
            </w:pP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1591" w:type="dxa"/>
            <w:vAlign w:val="center"/>
          </w:tcPr>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典型案例分享</w:t>
            </w:r>
          </w:p>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小组讨论</w:t>
            </w:r>
          </w:p>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rPr>
              <w:t>课外拓展阅读</w:t>
            </w:r>
          </w:p>
        </w:tc>
        <w:tc>
          <w:tcPr>
            <w:tcW w:w="1243" w:type="dxa"/>
            <w:vAlign w:val="center"/>
          </w:tcPr>
          <w:p>
            <w:pPr>
              <w:widowControl/>
              <w:rPr>
                <w:rFonts w:hint="eastAsia" w:asciiTheme="minorEastAsia" w:hAnsiTheme="minorEastAsia" w:eastAsiaTheme="minorEastAsia"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43"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1161" w:type="dxa"/>
            <w:vAlign w:val="center"/>
          </w:tcPr>
          <w:p>
            <w:pPr>
              <w:widowControl/>
              <w:jc w:val="center"/>
              <w:rPr>
                <w:rFonts w:hint="eastAsia" w:asciiTheme="minorEastAsia" w:hAnsiTheme="minorEastAsia" w:eastAsiaTheme="minorEastAsia" w:cstheme="minorEastAsia"/>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p>
        </w:tc>
        <w:tc>
          <w:tcPr>
            <w:tcW w:w="4022" w:type="dxa"/>
            <w:vAlign w:val="center"/>
          </w:tcPr>
          <w:p>
            <w:pPr>
              <w:widowControl/>
              <w:rPr>
                <w:rFonts w:hint="eastAsia" w:asciiTheme="minorEastAsia" w:hAnsiTheme="minorEastAsia" w:eastAsiaTheme="minorEastAsia" w:cstheme="minorEastAsia"/>
                <w:kern w:val="0"/>
                <w:sz w:val="20"/>
                <w:szCs w:val="20"/>
              </w:rPr>
            </w:pPr>
            <w:r>
              <w:rPr>
                <w:rFonts w:hint="eastAsia" w:cs="宋体" w:asciiTheme="minorEastAsia" w:hAnsiTheme="minorEastAsia" w:eastAsiaTheme="minorEastAsia"/>
                <w:color w:val="000000"/>
                <w:kern w:val="0"/>
                <w:sz w:val="20"/>
                <w:szCs w:val="20"/>
              </w:rPr>
              <w:t>倾听他人意见、尊重他人观点、分析他人需求。</w:t>
            </w:r>
          </w:p>
        </w:tc>
        <w:tc>
          <w:tcPr>
            <w:tcW w:w="1591"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布置学习任务</w:t>
            </w:r>
          </w:p>
          <w:p>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小组讨论</w:t>
            </w:r>
          </w:p>
          <w:p>
            <w:pPr>
              <w:widowControl/>
              <w:jc w:val="center"/>
              <w:rPr>
                <w:rFonts w:hint="default"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案例分析</w:t>
            </w:r>
          </w:p>
        </w:tc>
        <w:tc>
          <w:tcPr>
            <w:tcW w:w="124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43"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1161" w:type="dxa"/>
            <w:vAlign w:val="center"/>
          </w:tcPr>
          <w:p>
            <w:pPr>
              <w:widowControl/>
              <w:jc w:val="center"/>
              <w:rPr>
                <w:rFonts w:hint="eastAsia" w:asciiTheme="minorEastAsia" w:hAnsiTheme="minorEastAsia" w:eastAsiaTheme="minorEastAsia" w:cstheme="minorEastAsia"/>
                <w:kern w:val="0"/>
                <w:sz w:val="20"/>
                <w:szCs w:val="20"/>
                <w:lang w:eastAsia="zh-CN"/>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p>
        </w:tc>
        <w:tc>
          <w:tcPr>
            <w:tcW w:w="4022" w:type="dxa"/>
            <w:vAlign w:val="center"/>
          </w:tcPr>
          <w:p>
            <w:pPr>
              <w:widowControl/>
              <w:rPr>
                <w:rFonts w:hint="eastAsia" w:asciiTheme="minorEastAsia" w:hAnsiTheme="minorEastAsia" w:eastAsiaTheme="minorEastAsia" w:cstheme="minorEastAsia"/>
                <w:kern w:val="0"/>
                <w:sz w:val="20"/>
                <w:szCs w:val="20"/>
              </w:rPr>
            </w:pP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1591" w:type="dxa"/>
            <w:vAlign w:val="center"/>
          </w:tcPr>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p>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小组讨论</w:t>
            </w:r>
          </w:p>
        </w:tc>
        <w:tc>
          <w:tcPr>
            <w:tcW w:w="124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w:t>
            </w:r>
          </w:p>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小论文</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pPr w:leftFromText="180" w:rightFromText="180" w:vertAnchor="text" w:horzAnchor="page" w:tblpXSpec="center" w:tblpY="388"/>
        <w:tblOverlap w:val="never"/>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79"/>
        <w:gridCol w:w="2460"/>
        <w:gridCol w:w="1490"/>
        <w:gridCol w:w="1344"/>
        <w:gridCol w:w="1345"/>
        <w:gridCol w:w="437"/>
        <w:gridCol w:w="437"/>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522"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79"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460" w:type="dxa"/>
            <w:vAlign w:val="center"/>
          </w:tcPr>
          <w:p>
            <w:pPr>
              <w:snapToGrid w:val="0"/>
              <w:spacing w:line="288" w:lineRule="auto"/>
              <w:jc w:val="center"/>
              <w:rPr>
                <w:rFonts w:ascii="宋体" w:hAnsi="宋体"/>
                <w:b/>
                <w:sz w:val="20"/>
                <w:szCs w:val="20"/>
              </w:rPr>
            </w:pPr>
            <w:r>
              <w:rPr>
                <w:rFonts w:hint="eastAsia" w:ascii="宋体" w:hAnsi="宋体"/>
                <w:b/>
                <w:sz w:val="20"/>
                <w:szCs w:val="20"/>
              </w:rPr>
              <w:t>知识目标</w:t>
            </w:r>
          </w:p>
        </w:tc>
        <w:tc>
          <w:tcPr>
            <w:tcW w:w="1490"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344" w:type="dxa"/>
            <w:vAlign w:val="center"/>
          </w:tcPr>
          <w:p>
            <w:pPr>
              <w:snapToGrid w:val="0"/>
              <w:spacing w:line="288" w:lineRule="auto"/>
              <w:jc w:val="center"/>
              <w:rPr>
                <w:rFonts w:hint="eastAsia" w:ascii="宋体" w:hAnsi="宋体"/>
                <w:b/>
                <w:sz w:val="20"/>
                <w:szCs w:val="20"/>
              </w:rPr>
            </w:pPr>
            <w:r>
              <w:rPr>
                <w:rFonts w:hint="eastAsia" w:ascii="宋体" w:hAnsi="宋体"/>
                <w:b/>
                <w:sz w:val="20"/>
                <w:szCs w:val="20"/>
              </w:rPr>
              <w:t>情感目标</w:t>
            </w:r>
          </w:p>
        </w:tc>
        <w:tc>
          <w:tcPr>
            <w:tcW w:w="1345"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1</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伦理学与医学伦理学</w:t>
            </w:r>
          </w:p>
        </w:tc>
        <w:tc>
          <w:tcPr>
            <w:tcW w:w="2460" w:type="dxa"/>
          </w:tcPr>
          <w:p>
            <w:pPr>
              <w:spacing w:line="300" w:lineRule="exact"/>
              <w:rPr>
                <w:rFonts w:ascii="宋体" w:hAnsi="宋体"/>
                <w:kern w:val="0"/>
                <w:sz w:val="20"/>
                <w:szCs w:val="20"/>
              </w:rPr>
            </w:pPr>
            <w:r>
              <w:rPr>
                <w:rFonts w:hint="eastAsia" w:ascii="宋体" w:hAnsi="宋体"/>
                <w:kern w:val="0"/>
                <w:sz w:val="20"/>
                <w:szCs w:val="20"/>
              </w:rPr>
              <w:t>1.知道道德、伦理学、医学伦理的内涵；医学伦理学的研究对象与内容。</w:t>
            </w:r>
          </w:p>
          <w:p>
            <w:pPr>
              <w:spacing w:line="300" w:lineRule="exact"/>
              <w:rPr>
                <w:rFonts w:ascii="宋体" w:hAnsi="宋体"/>
                <w:kern w:val="0"/>
                <w:sz w:val="20"/>
                <w:szCs w:val="20"/>
              </w:rPr>
            </w:pPr>
            <w:r>
              <w:rPr>
                <w:rFonts w:hint="eastAsia" w:ascii="宋体" w:hAnsi="宋体"/>
                <w:kern w:val="0"/>
                <w:sz w:val="20"/>
                <w:szCs w:val="20"/>
              </w:rPr>
              <w:t>2.理解道德的特征和功能；医学伦理学的基本观点、基本理论、学科属性。</w:t>
            </w:r>
          </w:p>
        </w:tc>
        <w:tc>
          <w:tcPr>
            <w:tcW w:w="1490" w:type="dxa"/>
          </w:tcPr>
          <w:p>
            <w:pPr>
              <w:spacing w:line="300" w:lineRule="exact"/>
              <w:rPr>
                <w:rFonts w:ascii="宋体" w:hAnsi="宋体"/>
                <w:sz w:val="20"/>
                <w:szCs w:val="20"/>
              </w:rPr>
            </w:pPr>
            <w:r>
              <w:rPr>
                <w:rFonts w:hint="eastAsia" w:ascii="宋体" w:hAnsi="宋体"/>
                <w:kern w:val="0"/>
                <w:sz w:val="20"/>
                <w:szCs w:val="20"/>
              </w:rPr>
              <w:t>能将理论联系实际、案例分析等方法运用到医学伦理学的学习过程中。</w:t>
            </w:r>
          </w:p>
        </w:tc>
        <w:tc>
          <w:tcPr>
            <w:tcW w:w="1344" w:type="dxa"/>
          </w:tcPr>
          <w:p>
            <w:pPr>
              <w:spacing w:line="300" w:lineRule="exact"/>
              <w:ind w:right="-134" w:rightChars="-64"/>
              <w:jc w:val="left"/>
              <w:rPr>
                <w:rFonts w:hint="eastAsia" w:ascii="宋体" w:hAnsi="宋体" w:eastAsia="宋体"/>
                <w:kern w:val="0"/>
                <w:sz w:val="20"/>
                <w:szCs w:val="20"/>
                <w:lang w:eastAsia="zh-CN"/>
              </w:rPr>
            </w:pPr>
            <w:r>
              <w:rPr>
                <w:rFonts w:hint="eastAsia" w:ascii="宋体" w:hAnsi="宋体"/>
                <w:kern w:val="0"/>
                <w:sz w:val="20"/>
                <w:szCs w:val="20"/>
              </w:rPr>
              <w:t>1.弘扬真诚、信仰、忠诚、自律的美德</w:t>
            </w:r>
            <w:r>
              <w:rPr>
                <w:rFonts w:hint="eastAsia" w:ascii="宋体" w:hAnsi="宋体"/>
                <w:kern w:val="0"/>
                <w:sz w:val="20"/>
                <w:szCs w:val="20"/>
                <w:lang w:eastAsia="zh-CN"/>
              </w:rPr>
              <w:t>。</w:t>
            </w:r>
          </w:p>
          <w:p>
            <w:pPr>
              <w:spacing w:line="300" w:lineRule="exact"/>
              <w:ind w:right="-134" w:rightChars="-64"/>
              <w:jc w:val="left"/>
              <w:rPr>
                <w:rFonts w:hint="eastAsia" w:ascii="宋体" w:hAnsi="宋体" w:eastAsia="宋体"/>
                <w:kern w:val="0"/>
                <w:sz w:val="20"/>
                <w:szCs w:val="20"/>
                <w:lang w:eastAsia="zh-CN"/>
              </w:rPr>
            </w:pPr>
            <w:r>
              <w:rPr>
                <w:rFonts w:hint="eastAsia" w:ascii="宋体" w:hAnsi="宋体"/>
                <w:kern w:val="0"/>
                <w:sz w:val="20"/>
                <w:szCs w:val="20"/>
              </w:rPr>
              <w:t>2.</w:t>
            </w:r>
            <w:r>
              <w:rPr>
                <w:rFonts w:hint="eastAsia" w:ascii="宋体" w:hAnsi="宋体"/>
                <w:kern w:val="0"/>
                <w:sz w:val="20"/>
                <w:szCs w:val="20"/>
                <w:lang w:val="en-US" w:eastAsia="zh-CN"/>
              </w:rPr>
              <w:t>培养</w:t>
            </w:r>
            <w:r>
              <w:rPr>
                <w:rFonts w:hint="eastAsia" w:ascii="宋体" w:hAnsi="宋体"/>
                <w:kern w:val="0"/>
                <w:sz w:val="20"/>
                <w:szCs w:val="20"/>
              </w:rPr>
              <w:t>平等、善良、奉献、尊重的职业</w:t>
            </w:r>
            <w:r>
              <w:rPr>
                <w:rFonts w:hint="eastAsia" w:ascii="宋体" w:hAnsi="宋体"/>
                <w:kern w:val="0"/>
                <w:sz w:val="20"/>
                <w:szCs w:val="20"/>
                <w:lang w:val="en-US" w:eastAsia="zh-CN"/>
              </w:rPr>
              <w:t>精神。</w:t>
            </w:r>
          </w:p>
        </w:tc>
        <w:tc>
          <w:tcPr>
            <w:tcW w:w="1345" w:type="dxa"/>
          </w:tcPr>
          <w:p>
            <w:pPr>
              <w:spacing w:line="300" w:lineRule="exact"/>
              <w:ind w:right="-134" w:rightChars="-64"/>
              <w:jc w:val="left"/>
              <w:rPr>
                <w:rFonts w:ascii="宋体" w:hAnsi="宋体"/>
                <w:kern w:val="0"/>
                <w:sz w:val="20"/>
                <w:szCs w:val="20"/>
              </w:rPr>
            </w:pPr>
            <w:r>
              <w:rPr>
                <w:rFonts w:hint="eastAsia" w:ascii="宋体" w:hAnsi="宋体"/>
                <w:kern w:val="0"/>
                <w:sz w:val="20"/>
                <w:szCs w:val="20"/>
              </w:rPr>
              <w:t>1.道德、伦理学、医学伦理的内涵；</w:t>
            </w:r>
          </w:p>
          <w:p>
            <w:pPr>
              <w:spacing w:line="300" w:lineRule="exact"/>
              <w:ind w:right="-134" w:rightChars="-64"/>
              <w:jc w:val="left"/>
              <w:rPr>
                <w:rFonts w:ascii="宋体" w:hAnsi="宋体"/>
                <w:sz w:val="20"/>
                <w:szCs w:val="20"/>
              </w:rPr>
            </w:pPr>
            <w:r>
              <w:rPr>
                <w:rFonts w:hint="eastAsia" w:ascii="宋体" w:hAnsi="宋体"/>
                <w:kern w:val="0"/>
                <w:sz w:val="20"/>
                <w:szCs w:val="20"/>
              </w:rPr>
              <w:t>2.医学伦理学的研究对象与内容。</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0</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2</w:t>
            </w:r>
          </w:p>
        </w:tc>
        <w:tc>
          <w:tcPr>
            <w:tcW w:w="679" w:type="dxa"/>
            <w:vAlign w:val="center"/>
          </w:tcPr>
          <w:p>
            <w:pPr>
              <w:spacing w:line="300" w:lineRule="exact"/>
              <w:jc w:val="left"/>
              <w:rPr>
                <w:rFonts w:ascii="宋体" w:hAnsi="宋体"/>
                <w:sz w:val="20"/>
                <w:szCs w:val="20"/>
              </w:rPr>
            </w:pPr>
            <w:r>
              <w:rPr>
                <w:rFonts w:hint="eastAsia" w:ascii="宋体" w:hAnsi="宋体"/>
                <w:sz w:val="20"/>
                <w:szCs w:val="20"/>
              </w:rPr>
              <w:t>医学伦理学规范体系</w:t>
            </w:r>
          </w:p>
        </w:tc>
        <w:tc>
          <w:tcPr>
            <w:tcW w:w="2460" w:type="dxa"/>
          </w:tcPr>
          <w:p>
            <w:pPr>
              <w:spacing w:line="300" w:lineRule="exact"/>
              <w:rPr>
                <w:rFonts w:ascii="宋体" w:hAnsi="宋体"/>
                <w:sz w:val="20"/>
                <w:szCs w:val="20"/>
              </w:rPr>
            </w:pPr>
            <w:r>
              <w:rPr>
                <w:rFonts w:hint="eastAsia" w:ascii="宋体" w:hAnsi="宋体"/>
                <w:sz w:val="20"/>
                <w:szCs w:val="20"/>
              </w:rPr>
              <w:t>1.知道医学伦理学规范体系的三个组成部分及其具体内容。</w:t>
            </w:r>
          </w:p>
          <w:p>
            <w:pPr>
              <w:spacing w:line="300" w:lineRule="exact"/>
              <w:rPr>
                <w:rFonts w:ascii="宋体" w:hAnsi="宋体"/>
                <w:sz w:val="20"/>
                <w:szCs w:val="20"/>
              </w:rPr>
            </w:pPr>
            <w:r>
              <w:rPr>
                <w:rFonts w:hint="eastAsia" w:ascii="宋体" w:hAnsi="宋体"/>
                <w:sz w:val="20"/>
                <w:szCs w:val="20"/>
              </w:rPr>
              <w:t>2.医学伦理学基本原则、规范和范畴对医务人员的伦理要求。</w:t>
            </w:r>
          </w:p>
        </w:tc>
        <w:tc>
          <w:tcPr>
            <w:tcW w:w="1490" w:type="dxa"/>
          </w:tcPr>
          <w:p>
            <w:pPr>
              <w:spacing w:line="300" w:lineRule="exact"/>
              <w:rPr>
                <w:rFonts w:ascii="宋体" w:hAnsi="宋体"/>
                <w:sz w:val="20"/>
                <w:szCs w:val="20"/>
              </w:rPr>
            </w:pPr>
            <w:r>
              <w:rPr>
                <w:rFonts w:hint="eastAsia" w:ascii="宋体" w:hAnsi="宋体"/>
                <w:sz w:val="20"/>
                <w:szCs w:val="20"/>
              </w:rPr>
              <w:t>能运用医学伦理学基本原则和规范指导和评价医疗活动。</w:t>
            </w:r>
          </w:p>
        </w:tc>
        <w:tc>
          <w:tcPr>
            <w:tcW w:w="1344" w:type="dxa"/>
          </w:tcPr>
          <w:p>
            <w:pPr>
              <w:spacing w:line="300" w:lineRule="exact"/>
              <w:ind w:right="-134" w:rightChars="-64"/>
              <w:jc w:val="left"/>
              <w:rPr>
                <w:rFonts w:hint="eastAsia" w:ascii="宋体" w:hAnsi="宋体"/>
                <w:sz w:val="20"/>
                <w:szCs w:val="20"/>
              </w:rPr>
            </w:pPr>
            <w:r>
              <w:rPr>
                <w:rFonts w:hint="eastAsia" w:ascii="宋体" w:hAnsi="宋体"/>
                <w:sz w:val="20"/>
                <w:szCs w:val="20"/>
              </w:rPr>
              <w:t>坚定理想信念,培育</w:t>
            </w:r>
            <w:r>
              <w:rPr>
                <w:rFonts w:hint="eastAsia" w:ascii="宋体" w:hAnsi="宋体"/>
                <w:sz w:val="20"/>
                <w:szCs w:val="20"/>
                <w:lang w:val="en-US" w:eastAsia="zh-CN"/>
              </w:rPr>
              <w:t>并</w:t>
            </w:r>
            <w:r>
              <w:rPr>
                <w:rFonts w:hint="eastAsia" w:ascii="宋体" w:hAnsi="宋体"/>
                <w:sz w:val="20"/>
                <w:szCs w:val="20"/>
              </w:rPr>
              <w:t>践行社会主义核心价值观</w:t>
            </w:r>
          </w:p>
          <w:p>
            <w:pPr>
              <w:spacing w:line="300" w:lineRule="exact"/>
              <w:ind w:right="-134" w:rightChars="-64"/>
              <w:jc w:val="left"/>
              <w:rPr>
                <w:rFonts w:hint="eastAsia" w:ascii="宋体" w:hAnsi="宋体"/>
                <w:sz w:val="20"/>
                <w:szCs w:val="20"/>
              </w:rPr>
            </w:pPr>
          </w:p>
        </w:tc>
        <w:tc>
          <w:tcPr>
            <w:tcW w:w="1345" w:type="dxa"/>
          </w:tcPr>
          <w:p>
            <w:pPr>
              <w:spacing w:line="300" w:lineRule="exact"/>
              <w:ind w:right="-134" w:rightChars="-64"/>
              <w:jc w:val="left"/>
              <w:rPr>
                <w:rFonts w:ascii="宋体" w:hAnsi="宋体"/>
                <w:sz w:val="20"/>
                <w:szCs w:val="20"/>
              </w:rPr>
            </w:pPr>
            <w:r>
              <w:rPr>
                <w:rFonts w:hint="eastAsia" w:ascii="宋体" w:hAnsi="宋体"/>
                <w:sz w:val="20"/>
                <w:szCs w:val="20"/>
              </w:rPr>
              <w:t>1.医学伦理学规范体系的三个组成部分及其具体内容。</w:t>
            </w:r>
          </w:p>
          <w:p>
            <w:pPr>
              <w:spacing w:line="300" w:lineRule="exact"/>
              <w:ind w:right="-134" w:rightChars="-64"/>
              <w:jc w:val="left"/>
              <w:rPr>
                <w:rFonts w:ascii="宋体" w:hAnsi="宋体"/>
                <w:sz w:val="20"/>
                <w:szCs w:val="20"/>
              </w:rPr>
            </w:pPr>
            <w:r>
              <w:rPr>
                <w:rFonts w:hint="eastAsia" w:ascii="宋体" w:hAnsi="宋体"/>
                <w:sz w:val="20"/>
                <w:szCs w:val="20"/>
              </w:rPr>
              <w:t>2.医学伦理学基本原则。</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0</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3</w:t>
            </w:r>
          </w:p>
        </w:tc>
        <w:tc>
          <w:tcPr>
            <w:tcW w:w="679" w:type="dxa"/>
            <w:vAlign w:val="center"/>
          </w:tcPr>
          <w:p>
            <w:pPr>
              <w:pStyle w:val="4"/>
              <w:spacing w:before="0" w:beforeAutospacing="0" w:after="0" w:afterAutospacing="0" w:line="300" w:lineRule="exact"/>
              <w:rPr>
                <w:color w:val="auto"/>
                <w:kern w:val="2"/>
                <w:sz w:val="20"/>
                <w:szCs w:val="20"/>
              </w:rPr>
            </w:pPr>
            <w:r>
              <w:rPr>
                <w:rFonts w:hint="eastAsia"/>
                <w:color w:val="auto"/>
                <w:kern w:val="2"/>
                <w:sz w:val="20"/>
                <w:szCs w:val="20"/>
              </w:rPr>
              <w:t>健康伦理</w:t>
            </w:r>
          </w:p>
        </w:tc>
        <w:tc>
          <w:tcPr>
            <w:tcW w:w="2460" w:type="dxa"/>
          </w:tcPr>
          <w:p>
            <w:pPr>
              <w:spacing w:line="300" w:lineRule="exact"/>
              <w:rPr>
                <w:rFonts w:ascii="宋体" w:hAnsi="宋体"/>
                <w:sz w:val="20"/>
                <w:szCs w:val="20"/>
              </w:rPr>
            </w:pPr>
            <w:r>
              <w:rPr>
                <w:rFonts w:hint="eastAsia" w:ascii="宋体" w:hAnsi="宋体"/>
                <w:sz w:val="20"/>
                <w:szCs w:val="20"/>
              </w:rPr>
              <w:t>1.知道健康伦理的概念与内涵。</w:t>
            </w:r>
          </w:p>
          <w:p>
            <w:pPr>
              <w:spacing w:line="300" w:lineRule="exact"/>
              <w:rPr>
                <w:rFonts w:ascii="宋体" w:hAnsi="宋体"/>
                <w:sz w:val="20"/>
                <w:szCs w:val="20"/>
              </w:rPr>
            </w:pPr>
            <w:r>
              <w:rPr>
                <w:rFonts w:hint="eastAsia" w:ascii="宋体" w:hAnsi="宋体"/>
                <w:sz w:val="20"/>
                <w:szCs w:val="20"/>
              </w:rPr>
              <w:t>2.理解健康伦理的价值与意义；健康的权利与义务</w:t>
            </w:r>
          </w:p>
        </w:tc>
        <w:tc>
          <w:tcPr>
            <w:tcW w:w="1490" w:type="dxa"/>
          </w:tcPr>
          <w:p>
            <w:pPr>
              <w:spacing w:line="300" w:lineRule="exact"/>
              <w:rPr>
                <w:rFonts w:ascii="宋体" w:hAnsi="宋体"/>
                <w:sz w:val="20"/>
                <w:szCs w:val="20"/>
              </w:rPr>
            </w:pPr>
            <w:r>
              <w:rPr>
                <w:rFonts w:hint="eastAsia" w:ascii="宋体" w:hAnsi="宋体"/>
                <w:sz w:val="20"/>
                <w:szCs w:val="20"/>
              </w:rPr>
              <w:t>能贯彻健康中国战略，开展健康教育，促进健康行为养成。</w:t>
            </w:r>
          </w:p>
        </w:tc>
        <w:tc>
          <w:tcPr>
            <w:tcW w:w="1344" w:type="dxa"/>
          </w:tcPr>
          <w:p>
            <w:pPr>
              <w:spacing w:line="300" w:lineRule="exact"/>
              <w:ind w:right="-134" w:rightChars="-64"/>
              <w:jc w:val="left"/>
              <w:rPr>
                <w:rFonts w:hint="eastAsia" w:ascii="宋体" w:hAnsi="宋体"/>
                <w:sz w:val="20"/>
                <w:szCs w:val="20"/>
              </w:rPr>
            </w:pPr>
            <w:r>
              <w:rPr>
                <w:rFonts w:hint="eastAsia" w:ascii="宋体" w:hAnsi="宋体"/>
                <w:sz w:val="20"/>
                <w:szCs w:val="20"/>
              </w:rPr>
              <w:t>树立正确的健康观</w:t>
            </w:r>
            <w:r>
              <w:rPr>
                <w:rFonts w:hint="eastAsia" w:ascii="宋体" w:hAnsi="宋体"/>
                <w:sz w:val="20"/>
                <w:szCs w:val="20"/>
                <w:lang w:eastAsia="zh-CN"/>
              </w:rPr>
              <w:t>，</w:t>
            </w:r>
            <w:r>
              <w:rPr>
                <w:rFonts w:hint="eastAsia" w:ascii="宋体" w:hAnsi="宋体"/>
                <w:sz w:val="20"/>
                <w:szCs w:val="20"/>
                <w:lang w:val="en-US" w:eastAsia="zh-CN"/>
              </w:rPr>
              <w:t>自觉维护、履行</w:t>
            </w:r>
            <w:r>
              <w:rPr>
                <w:rFonts w:hint="eastAsia" w:ascii="宋体" w:hAnsi="宋体"/>
                <w:sz w:val="20"/>
                <w:szCs w:val="20"/>
              </w:rPr>
              <w:t>健康的权利与义务</w:t>
            </w:r>
          </w:p>
        </w:tc>
        <w:tc>
          <w:tcPr>
            <w:tcW w:w="1345" w:type="dxa"/>
          </w:tcPr>
          <w:p>
            <w:pPr>
              <w:spacing w:line="300" w:lineRule="exact"/>
              <w:ind w:right="-134" w:rightChars="-64"/>
              <w:jc w:val="left"/>
              <w:rPr>
                <w:rFonts w:ascii="宋体" w:hAnsi="宋体"/>
                <w:sz w:val="20"/>
                <w:szCs w:val="20"/>
              </w:rPr>
            </w:pPr>
            <w:r>
              <w:rPr>
                <w:rFonts w:hint="eastAsia" w:ascii="宋体" w:hAnsi="宋体"/>
                <w:sz w:val="20"/>
                <w:szCs w:val="20"/>
              </w:rPr>
              <w:t>1.健康伦理的概念与内涵。</w:t>
            </w:r>
          </w:p>
          <w:p>
            <w:pPr>
              <w:spacing w:line="300" w:lineRule="exact"/>
              <w:ind w:right="-134" w:rightChars="-64"/>
              <w:jc w:val="left"/>
              <w:rPr>
                <w:rFonts w:ascii="宋体" w:hAnsi="宋体"/>
                <w:sz w:val="20"/>
                <w:szCs w:val="20"/>
              </w:rPr>
            </w:pPr>
            <w:r>
              <w:rPr>
                <w:rFonts w:hint="eastAsia" w:ascii="宋体" w:hAnsi="宋体"/>
                <w:sz w:val="20"/>
                <w:szCs w:val="20"/>
              </w:rPr>
              <w:t>2.健康的权利与义务。</w:t>
            </w:r>
          </w:p>
        </w:tc>
        <w:tc>
          <w:tcPr>
            <w:tcW w:w="437" w:type="dxa"/>
            <w:vAlign w:val="center"/>
          </w:tcPr>
          <w:p>
            <w:pPr>
              <w:spacing w:line="300" w:lineRule="exact"/>
              <w:rPr>
                <w:rFonts w:ascii="宋体" w:hAnsi="宋体"/>
                <w:sz w:val="20"/>
                <w:szCs w:val="20"/>
              </w:rPr>
            </w:pPr>
            <w:r>
              <w:rPr>
                <w:rFonts w:hint="eastAsia" w:ascii="宋体" w:hAnsi="宋体"/>
                <w:sz w:val="20"/>
                <w:szCs w:val="20"/>
              </w:rPr>
              <w:t>4</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4"/>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679" w:type="dxa"/>
            <w:vAlign w:val="center"/>
          </w:tcPr>
          <w:p>
            <w:pPr>
              <w:pStyle w:val="4"/>
              <w:spacing w:before="0" w:beforeAutospacing="0" w:after="0" w:afterAutospacing="0" w:line="300" w:lineRule="exact"/>
              <w:rPr>
                <w:color w:val="auto"/>
                <w:kern w:val="2"/>
                <w:sz w:val="20"/>
                <w:szCs w:val="20"/>
              </w:rPr>
            </w:pPr>
            <w:r>
              <w:rPr>
                <w:rFonts w:hint="eastAsia"/>
                <w:color w:val="auto"/>
                <w:kern w:val="2"/>
                <w:sz w:val="20"/>
                <w:szCs w:val="20"/>
              </w:rPr>
              <w:t>公共卫生伦理</w:t>
            </w:r>
          </w:p>
        </w:tc>
        <w:tc>
          <w:tcPr>
            <w:tcW w:w="2460" w:type="dxa"/>
          </w:tcPr>
          <w:p>
            <w:pPr>
              <w:spacing w:line="300" w:lineRule="exact"/>
              <w:rPr>
                <w:rFonts w:ascii="宋体" w:hAnsi="宋体"/>
                <w:sz w:val="20"/>
                <w:szCs w:val="20"/>
              </w:rPr>
            </w:pPr>
            <w:r>
              <w:rPr>
                <w:rFonts w:hint="eastAsia" w:ascii="宋体" w:hAnsi="宋体"/>
                <w:sz w:val="20"/>
                <w:szCs w:val="20"/>
              </w:rPr>
              <w:t>1.知道公共卫生的基本概念、特点和伦理原则。</w:t>
            </w:r>
          </w:p>
          <w:p>
            <w:pPr>
              <w:spacing w:line="300" w:lineRule="exact"/>
              <w:rPr>
                <w:rFonts w:ascii="宋体" w:hAnsi="宋体"/>
                <w:sz w:val="20"/>
                <w:szCs w:val="20"/>
              </w:rPr>
            </w:pPr>
            <w:r>
              <w:rPr>
                <w:rFonts w:hint="eastAsia" w:ascii="宋体" w:hAnsi="宋体"/>
                <w:sz w:val="20"/>
                <w:szCs w:val="20"/>
              </w:rPr>
              <w:t>2.理解疾病预防和控制、食品卫生工作中的道德规范和要求。</w:t>
            </w:r>
          </w:p>
        </w:tc>
        <w:tc>
          <w:tcPr>
            <w:tcW w:w="1490" w:type="dxa"/>
          </w:tcPr>
          <w:p>
            <w:pPr>
              <w:spacing w:line="300" w:lineRule="exact"/>
              <w:rPr>
                <w:rFonts w:ascii="宋体" w:hAnsi="宋体"/>
                <w:sz w:val="20"/>
                <w:szCs w:val="20"/>
              </w:rPr>
            </w:pPr>
            <w:r>
              <w:rPr>
                <w:rFonts w:hint="eastAsia" w:ascii="宋体" w:hAnsi="宋体"/>
                <w:sz w:val="20"/>
                <w:szCs w:val="20"/>
              </w:rPr>
              <w:t>能运用公共卫生突发事件处置的 伦理原则。</w:t>
            </w:r>
          </w:p>
        </w:tc>
        <w:tc>
          <w:tcPr>
            <w:tcW w:w="1344" w:type="dxa"/>
          </w:tcPr>
          <w:p>
            <w:pPr>
              <w:spacing w:line="300" w:lineRule="exact"/>
              <w:ind w:right="-134" w:rightChars="-64"/>
              <w:jc w:val="left"/>
              <w:rPr>
                <w:rFonts w:hint="eastAsia" w:ascii="宋体" w:hAnsi="宋体"/>
                <w:sz w:val="20"/>
                <w:szCs w:val="20"/>
              </w:rPr>
            </w:pPr>
            <w:r>
              <w:rPr>
                <w:rFonts w:hint="eastAsia" w:ascii="宋体" w:hAnsi="宋体"/>
                <w:sz w:val="20"/>
                <w:szCs w:val="20"/>
                <w:lang w:val="en-US" w:eastAsia="zh-CN"/>
              </w:rPr>
              <w:t>培育“</w:t>
            </w:r>
            <w:r>
              <w:rPr>
                <w:rFonts w:hint="eastAsia" w:ascii="宋体" w:hAnsi="宋体"/>
                <w:sz w:val="20"/>
                <w:szCs w:val="20"/>
              </w:rPr>
              <w:t>个人利益服从社会利益、局部利益服从全局利益、眼前利益服从长远利益</w:t>
            </w:r>
            <w:r>
              <w:rPr>
                <w:rFonts w:hint="eastAsia" w:ascii="宋体" w:hAnsi="宋体"/>
                <w:sz w:val="20"/>
                <w:szCs w:val="20"/>
                <w:lang w:eastAsia="zh-CN"/>
              </w:rPr>
              <w:t>”</w:t>
            </w:r>
            <w:r>
              <w:rPr>
                <w:rFonts w:hint="eastAsia" w:ascii="宋体" w:hAnsi="宋体"/>
                <w:sz w:val="20"/>
                <w:szCs w:val="20"/>
              </w:rPr>
              <w:t>的道德素养。</w:t>
            </w:r>
          </w:p>
        </w:tc>
        <w:tc>
          <w:tcPr>
            <w:tcW w:w="1345" w:type="dxa"/>
          </w:tcPr>
          <w:p>
            <w:pPr>
              <w:spacing w:line="300" w:lineRule="exact"/>
              <w:ind w:right="-134" w:rightChars="-64"/>
              <w:jc w:val="left"/>
              <w:rPr>
                <w:rFonts w:ascii="宋体" w:hAnsi="宋体"/>
                <w:sz w:val="20"/>
                <w:szCs w:val="20"/>
              </w:rPr>
            </w:pPr>
            <w:r>
              <w:rPr>
                <w:rFonts w:hint="eastAsia" w:ascii="宋体" w:hAnsi="宋体"/>
                <w:sz w:val="20"/>
                <w:szCs w:val="20"/>
              </w:rPr>
              <w:t>1.公共卫生的基本概念、特点和伦理原则。</w:t>
            </w:r>
          </w:p>
          <w:p>
            <w:pPr>
              <w:spacing w:line="300" w:lineRule="exact"/>
              <w:ind w:right="-134" w:rightChars="-64"/>
              <w:jc w:val="left"/>
              <w:rPr>
                <w:rFonts w:ascii="宋体" w:hAnsi="宋体"/>
                <w:sz w:val="20"/>
                <w:szCs w:val="20"/>
              </w:rPr>
            </w:pPr>
            <w:r>
              <w:rPr>
                <w:rFonts w:hint="eastAsia" w:ascii="宋体" w:hAnsi="宋体"/>
                <w:sz w:val="20"/>
                <w:szCs w:val="20"/>
              </w:rPr>
              <w:t>2.公共卫生突发事件处置的 伦理原则。</w:t>
            </w:r>
          </w:p>
        </w:tc>
        <w:tc>
          <w:tcPr>
            <w:tcW w:w="437" w:type="dxa"/>
            <w:vAlign w:val="center"/>
          </w:tcPr>
          <w:p>
            <w:pPr>
              <w:spacing w:line="300" w:lineRule="exact"/>
              <w:rPr>
                <w:rFonts w:ascii="宋体" w:hAnsi="宋体"/>
                <w:sz w:val="20"/>
                <w:szCs w:val="20"/>
              </w:rPr>
            </w:pPr>
            <w:r>
              <w:rPr>
                <w:rFonts w:hint="eastAsia" w:ascii="宋体" w:hAnsi="宋体"/>
                <w:sz w:val="20"/>
                <w:szCs w:val="20"/>
              </w:rPr>
              <w:t>4</w:t>
            </w:r>
          </w:p>
        </w:tc>
        <w:tc>
          <w:tcPr>
            <w:tcW w:w="437" w:type="dxa"/>
            <w:vAlign w:val="center"/>
          </w:tcPr>
          <w:p>
            <w:pPr>
              <w:spacing w:line="300" w:lineRule="exact"/>
              <w:rPr>
                <w:rFonts w:ascii="宋体" w:hAnsi="宋体"/>
                <w:sz w:val="20"/>
                <w:szCs w:val="20"/>
              </w:rPr>
            </w:pPr>
            <w:r>
              <w:rPr>
                <w:rFonts w:hint="eastAsia" w:ascii="宋体" w:hAnsi="宋体"/>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jc w:val="center"/>
        </w:trPr>
        <w:tc>
          <w:tcPr>
            <w:tcW w:w="522" w:type="dxa"/>
            <w:vAlign w:val="center"/>
          </w:tcPr>
          <w:p>
            <w:pPr>
              <w:pStyle w:val="4"/>
              <w:spacing w:before="0" w:beforeAutospacing="0" w:after="0" w:afterAutospacing="0" w:line="300" w:lineRule="exact"/>
              <w:jc w:val="center"/>
              <w:rPr>
                <w:color w:val="auto"/>
                <w:kern w:val="2"/>
                <w:sz w:val="20"/>
                <w:szCs w:val="20"/>
              </w:rPr>
            </w:pPr>
            <w:r>
              <w:rPr>
                <w:rFonts w:hint="eastAsia"/>
                <w:color w:val="auto"/>
                <w:kern w:val="2"/>
                <w:sz w:val="20"/>
                <w:szCs w:val="20"/>
              </w:rPr>
              <w:t>5</w:t>
            </w:r>
          </w:p>
        </w:tc>
        <w:tc>
          <w:tcPr>
            <w:tcW w:w="679"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医疗人际关系伦理</w:t>
            </w:r>
          </w:p>
        </w:tc>
        <w:tc>
          <w:tcPr>
            <w:tcW w:w="2460" w:type="dxa"/>
          </w:tcPr>
          <w:p>
            <w:pPr>
              <w:spacing w:line="300" w:lineRule="exact"/>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知道医患关系的含义、特点 、性质及模式， 调试医患关系的道德要求。协调好医患关系的意义。 理解医际关系和患际关系的含义及特点。</w:t>
            </w:r>
          </w:p>
          <w:p>
            <w:pPr>
              <w:spacing w:line="300" w:lineRule="exact"/>
              <w:rPr>
                <w:color w:val="auto"/>
                <w:kern w:val="2"/>
                <w:sz w:val="20"/>
                <w:szCs w:val="20"/>
              </w:rPr>
            </w:pPr>
            <w:r>
              <w:rPr>
                <w:rFonts w:hint="eastAsia" w:ascii="宋体" w:hAnsi="宋体"/>
                <w:kern w:val="0"/>
                <w:sz w:val="20"/>
                <w:szCs w:val="20"/>
                <w:lang w:val="en-US" w:eastAsia="zh-CN"/>
              </w:rPr>
              <w:t>2.</w:t>
            </w:r>
            <w:r>
              <w:rPr>
                <w:rFonts w:hint="eastAsia" w:ascii="宋体" w:hAnsi="宋体"/>
                <w:kern w:val="0"/>
                <w:sz w:val="20"/>
                <w:szCs w:val="20"/>
              </w:rPr>
              <w:t>了解协调医际关系和患际关系的道德要求。</w:t>
            </w:r>
          </w:p>
        </w:tc>
        <w:tc>
          <w:tcPr>
            <w:tcW w:w="1490" w:type="dxa"/>
          </w:tcPr>
          <w:p>
            <w:pPr>
              <w:pStyle w:val="4"/>
              <w:spacing w:line="300" w:lineRule="exact"/>
              <w:rPr>
                <w:color w:val="auto"/>
                <w:kern w:val="2"/>
                <w:sz w:val="20"/>
                <w:szCs w:val="20"/>
              </w:rPr>
            </w:pPr>
            <w:r>
              <w:rPr>
                <w:rFonts w:hint="eastAsia"/>
                <w:color w:val="auto"/>
                <w:kern w:val="2"/>
                <w:sz w:val="20"/>
                <w:szCs w:val="20"/>
              </w:rPr>
              <w:t>能正确处理医患和医际关系。</w:t>
            </w:r>
          </w:p>
        </w:tc>
        <w:tc>
          <w:tcPr>
            <w:tcW w:w="1344" w:type="dxa"/>
          </w:tcPr>
          <w:p>
            <w:pPr>
              <w:pStyle w:val="4"/>
              <w:spacing w:line="300" w:lineRule="exact"/>
              <w:ind w:right="-134" w:rightChars="-64"/>
              <w:rPr>
                <w:rFonts w:hint="eastAsia"/>
                <w:color w:val="auto"/>
                <w:kern w:val="2"/>
                <w:sz w:val="20"/>
                <w:szCs w:val="20"/>
              </w:rPr>
            </w:pPr>
            <w:r>
              <w:rPr>
                <w:rFonts w:hint="eastAsia"/>
                <w:color w:val="auto"/>
                <w:kern w:val="2"/>
                <w:sz w:val="20"/>
                <w:szCs w:val="20"/>
              </w:rPr>
              <w:t>以诚信为基础</w:t>
            </w:r>
            <w:r>
              <w:rPr>
                <w:rFonts w:hint="eastAsia"/>
                <w:color w:val="auto"/>
                <w:kern w:val="2"/>
                <w:sz w:val="20"/>
                <w:szCs w:val="20"/>
                <w:lang w:eastAsia="zh-CN"/>
              </w:rPr>
              <w:t>，尊重理解</w:t>
            </w:r>
            <w:r>
              <w:rPr>
                <w:rFonts w:hint="eastAsia"/>
                <w:color w:val="auto"/>
                <w:kern w:val="2"/>
                <w:sz w:val="20"/>
                <w:szCs w:val="20"/>
                <w:lang w:val="en-US" w:eastAsia="zh-CN"/>
              </w:rPr>
              <w:t>为前提，正确处理医疗人际关系。</w:t>
            </w:r>
          </w:p>
        </w:tc>
        <w:tc>
          <w:tcPr>
            <w:tcW w:w="1345" w:type="dxa"/>
          </w:tcPr>
          <w:p>
            <w:pPr>
              <w:pStyle w:val="4"/>
              <w:spacing w:line="300" w:lineRule="exact"/>
              <w:ind w:right="-134" w:rightChars="-64"/>
              <w:rPr>
                <w:color w:val="auto"/>
                <w:kern w:val="2"/>
                <w:sz w:val="20"/>
                <w:szCs w:val="20"/>
              </w:rPr>
            </w:pPr>
            <w:r>
              <w:rPr>
                <w:rFonts w:hint="eastAsia"/>
                <w:color w:val="auto"/>
                <w:kern w:val="2"/>
                <w:sz w:val="20"/>
                <w:szCs w:val="20"/>
              </w:rPr>
              <w:t xml:space="preserve">1.医患关系的含义、特点 、性质及模式， 调试医患关系的道德要求。 </w:t>
            </w:r>
            <w:r>
              <w:rPr>
                <w:color w:val="auto"/>
                <w:kern w:val="2"/>
                <w:sz w:val="20"/>
                <w:szCs w:val="20"/>
              </w:rPr>
              <w:t xml:space="preserve"> </w:t>
            </w:r>
            <w:r>
              <w:rPr>
                <w:rFonts w:hint="eastAsia"/>
                <w:color w:val="auto"/>
                <w:kern w:val="2"/>
                <w:sz w:val="20"/>
                <w:szCs w:val="20"/>
              </w:rPr>
              <w:t>2.协调好医际关系的意义。</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spacing w:line="300" w:lineRule="exact"/>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6</w:t>
            </w:r>
          </w:p>
        </w:tc>
        <w:tc>
          <w:tcPr>
            <w:tcW w:w="679" w:type="dxa"/>
            <w:vAlign w:val="center"/>
          </w:tcPr>
          <w:p>
            <w:pPr>
              <w:snapToGrid w:val="0"/>
              <w:spacing w:line="300" w:lineRule="exact"/>
              <w:jc w:val="center"/>
              <w:rPr>
                <w:rFonts w:ascii="宋体" w:hAnsi="宋体"/>
                <w:sz w:val="20"/>
                <w:szCs w:val="20"/>
              </w:rPr>
            </w:pPr>
            <w:r>
              <w:rPr>
                <w:rFonts w:hint="eastAsia" w:ascii="宋体" w:hAnsi="宋体"/>
                <w:sz w:val="20"/>
                <w:szCs w:val="20"/>
              </w:rPr>
              <w:t>临床诊疗伦理</w:t>
            </w:r>
          </w:p>
        </w:tc>
        <w:tc>
          <w:tcPr>
            <w:tcW w:w="2460" w:type="dxa"/>
          </w:tcPr>
          <w:p>
            <w:pPr>
              <w:spacing w:line="300" w:lineRule="exact"/>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知道临床诊疗伦理的具体原则，包括患者至上、最优化、知情同意、保密守信原则）。</w:t>
            </w:r>
          </w:p>
          <w:p>
            <w:pPr>
              <w:spacing w:line="300" w:lineRule="exact"/>
              <w:rPr>
                <w:rFonts w:hint="eastAsia" w:ascii="宋体" w:hAnsi="宋体"/>
                <w:kern w:val="0"/>
                <w:sz w:val="20"/>
                <w:szCs w:val="20"/>
              </w:rPr>
            </w:pPr>
            <w:r>
              <w:rPr>
                <w:rFonts w:hint="eastAsia" w:ascii="宋体" w:hAnsi="宋体"/>
                <w:kern w:val="0"/>
                <w:sz w:val="20"/>
                <w:szCs w:val="20"/>
              </w:rPr>
              <w:t xml:space="preserve">2.理解药物治疗、手术治疗、心理 治疗、康复治疗、饮食营养 治疗的伦理要求。     </w:t>
            </w:r>
          </w:p>
          <w:p>
            <w:pPr>
              <w:spacing w:line="300" w:lineRule="exact"/>
              <w:rPr>
                <w:rFonts w:hint="eastAsia" w:ascii="宋体" w:hAnsi="宋体"/>
                <w:kern w:val="0"/>
                <w:sz w:val="20"/>
                <w:szCs w:val="20"/>
              </w:rPr>
            </w:pPr>
            <w:r>
              <w:rPr>
                <w:rFonts w:hint="eastAsia" w:ascii="宋体" w:hAnsi="宋体"/>
                <w:kern w:val="0"/>
                <w:sz w:val="20"/>
                <w:szCs w:val="20"/>
              </w:rPr>
              <w:t>3.了解询问病史、体格检查和辅助 检查的伦理要求；急救工作、儿科治疗、精神科治疗、 传染科治疗的伦理要求。</w:t>
            </w:r>
          </w:p>
        </w:tc>
        <w:tc>
          <w:tcPr>
            <w:tcW w:w="1490" w:type="dxa"/>
          </w:tcPr>
          <w:p>
            <w:pPr>
              <w:pStyle w:val="4"/>
              <w:spacing w:line="300" w:lineRule="exact"/>
              <w:rPr>
                <w:color w:val="auto"/>
                <w:kern w:val="2"/>
                <w:sz w:val="20"/>
                <w:szCs w:val="20"/>
              </w:rPr>
            </w:pPr>
            <w:r>
              <w:rPr>
                <w:rFonts w:hint="eastAsia"/>
                <w:color w:val="auto"/>
                <w:kern w:val="2"/>
                <w:sz w:val="20"/>
                <w:szCs w:val="20"/>
              </w:rPr>
              <w:t>1.能将临床诊疗伦理的具体原则用于工作实践中。</w:t>
            </w:r>
          </w:p>
        </w:tc>
        <w:tc>
          <w:tcPr>
            <w:tcW w:w="1344" w:type="dxa"/>
          </w:tcPr>
          <w:p>
            <w:pPr>
              <w:pStyle w:val="4"/>
              <w:spacing w:line="300" w:lineRule="exact"/>
              <w:ind w:right="-134" w:rightChars="-64"/>
              <w:rPr>
                <w:rFonts w:hint="eastAsia" w:eastAsia="宋体"/>
                <w:color w:val="auto"/>
                <w:kern w:val="2"/>
                <w:sz w:val="20"/>
                <w:szCs w:val="20"/>
                <w:lang w:eastAsia="zh-CN"/>
              </w:rPr>
            </w:pPr>
            <w:r>
              <w:rPr>
                <w:rFonts w:hint="eastAsia"/>
                <w:color w:val="auto"/>
                <w:kern w:val="2"/>
                <w:sz w:val="20"/>
                <w:szCs w:val="20"/>
                <w:lang w:val="en-US" w:eastAsia="zh-CN"/>
              </w:rPr>
              <w:t>确立</w:t>
            </w:r>
            <w:r>
              <w:rPr>
                <w:rFonts w:hint="eastAsia"/>
                <w:color w:val="auto"/>
                <w:kern w:val="2"/>
                <w:sz w:val="20"/>
                <w:szCs w:val="20"/>
              </w:rPr>
              <w:t>患者至上</w:t>
            </w:r>
            <w:r>
              <w:rPr>
                <w:rFonts w:hint="eastAsia"/>
                <w:color w:val="auto"/>
                <w:kern w:val="2"/>
                <w:sz w:val="20"/>
                <w:szCs w:val="20"/>
                <w:lang w:val="en-US" w:eastAsia="zh-CN"/>
              </w:rPr>
              <w:t>的服务理念，坚持</w:t>
            </w:r>
            <w:r>
              <w:rPr>
                <w:rFonts w:hint="eastAsia"/>
                <w:color w:val="auto"/>
                <w:kern w:val="2"/>
                <w:sz w:val="20"/>
                <w:szCs w:val="20"/>
              </w:rPr>
              <w:t>最优化、知情同意</w:t>
            </w:r>
            <w:r>
              <w:rPr>
                <w:rFonts w:hint="eastAsia"/>
                <w:color w:val="auto"/>
                <w:kern w:val="2"/>
                <w:sz w:val="20"/>
                <w:szCs w:val="20"/>
                <w:lang w:val="en-US" w:eastAsia="zh-CN"/>
              </w:rPr>
              <w:t>和</w:t>
            </w:r>
            <w:r>
              <w:rPr>
                <w:rFonts w:hint="eastAsia"/>
                <w:color w:val="auto"/>
                <w:kern w:val="2"/>
                <w:sz w:val="20"/>
                <w:szCs w:val="20"/>
              </w:rPr>
              <w:t>保密守信原则</w:t>
            </w:r>
            <w:r>
              <w:rPr>
                <w:rFonts w:hint="eastAsia"/>
                <w:color w:val="auto"/>
                <w:kern w:val="2"/>
                <w:sz w:val="20"/>
                <w:szCs w:val="20"/>
                <w:lang w:eastAsia="zh-CN"/>
              </w:rPr>
              <w:t>。</w:t>
            </w:r>
          </w:p>
        </w:tc>
        <w:tc>
          <w:tcPr>
            <w:tcW w:w="1345" w:type="dxa"/>
          </w:tcPr>
          <w:p>
            <w:pPr>
              <w:pStyle w:val="4"/>
              <w:spacing w:line="300" w:lineRule="exact"/>
              <w:ind w:right="-134" w:rightChars="-64"/>
              <w:rPr>
                <w:color w:val="auto"/>
                <w:kern w:val="2"/>
                <w:sz w:val="20"/>
                <w:szCs w:val="20"/>
              </w:rPr>
            </w:pPr>
            <w:r>
              <w:rPr>
                <w:rFonts w:hint="eastAsia"/>
                <w:color w:val="auto"/>
                <w:kern w:val="2"/>
                <w:sz w:val="20"/>
                <w:szCs w:val="20"/>
              </w:rPr>
              <w:t>1.临床诊疗伦理的具体原则，包括患者至上、最优化、知情同意、保密守信原则）。</w:t>
            </w:r>
          </w:p>
          <w:p>
            <w:pPr>
              <w:pStyle w:val="4"/>
              <w:spacing w:line="300" w:lineRule="exact"/>
              <w:ind w:right="-134" w:rightChars="-64"/>
              <w:rPr>
                <w:color w:val="auto"/>
                <w:kern w:val="2"/>
                <w:sz w:val="20"/>
                <w:szCs w:val="20"/>
              </w:rPr>
            </w:pP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7</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临终关怀与死亡伦理</w:t>
            </w:r>
          </w:p>
        </w:tc>
        <w:tc>
          <w:tcPr>
            <w:tcW w:w="2460" w:type="dxa"/>
          </w:tcPr>
          <w:p>
            <w:pPr>
              <w:spacing w:line="300" w:lineRule="exact"/>
              <w:rPr>
                <w:rFonts w:hint="eastAsia" w:ascii="宋体" w:hAnsi="宋体"/>
                <w:kern w:val="0"/>
                <w:sz w:val="20"/>
                <w:szCs w:val="20"/>
              </w:rPr>
            </w:pPr>
            <w:r>
              <w:rPr>
                <w:rFonts w:hint="eastAsia" w:ascii="宋体" w:hAnsi="宋体"/>
                <w:kern w:val="0"/>
                <w:sz w:val="20"/>
                <w:szCs w:val="20"/>
                <w:lang w:val="en-US" w:eastAsia="zh-CN"/>
              </w:rPr>
              <w:t>1.</w:t>
            </w:r>
            <w:r>
              <w:rPr>
                <w:rFonts w:hint="eastAsia" w:ascii="宋体" w:hAnsi="宋体"/>
                <w:kern w:val="0"/>
                <w:sz w:val="20"/>
                <w:szCs w:val="20"/>
              </w:rPr>
              <w:t xml:space="preserve">知道临终关怀的道德要求。安乐死的伦理争论与期待。死亡标准的具体内容。理解临终关怀的意义。               </w:t>
            </w:r>
            <w:r>
              <w:rPr>
                <w:rFonts w:hint="eastAsia" w:ascii="宋体" w:hAnsi="宋体"/>
                <w:kern w:val="0"/>
                <w:sz w:val="20"/>
                <w:szCs w:val="20"/>
                <w:lang w:val="en-US" w:eastAsia="zh-CN"/>
              </w:rPr>
              <w:t>2</w:t>
            </w:r>
            <w:r>
              <w:rPr>
                <w:rFonts w:hint="eastAsia" w:ascii="宋体" w:hAnsi="宋体"/>
                <w:kern w:val="0"/>
                <w:sz w:val="20"/>
                <w:szCs w:val="20"/>
              </w:rPr>
              <w:t>.了解临终关怀的概念与历史 安乐死的定义与发展。</w:t>
            </w:r>
          </w:p>
        </w:tc>
        <w:tc>
          <w:tcPr>
            <w:tcW w:w="1490" w:type="dxa"/>
          </w:tcPr>
          <w:p>
            <w:pPr>
              <w:pStyle w:val="4"/>
              <w:spacing w:line="300" w:lineRule="exact"/>
              <w:rPr>
                <w:color w:val="auto"/>
                <w:kern w:val="2"/>
                <w:sz w:val="20"/>
                <w:szCs w:val="20"/>
              </w:rPr>
            </w:pPr>
            <w:r>
              <w:rPr>
                <w:rFonts w:hint="eastAsia"/>
                <w:color w:val="auto"/>
                <w:kern w:val="2"/>
                <w:sz w:val="20"/>
                <w:szCs w:val="20"/>
              </w:rPr>
              <w:t>1.能正确指导并实施临终关怀</w:t>
            </w:r>
          </w:p>
        </w:tc>
        <w:tc>
          <w:tcPr>
            <w:tcW w:w="1344" w:type="dxa"/>
          </w:tcPr>
          <w:p>
            <w:pPr>
              <w:pStyle w:val="4"/>
              <w:spacing w:line="300" w:lineRule="exact"/>
              <w:ind w:right="-134" w:rightChars="-64"/>
              <w:rPr>
                <w:rFonts w:hint="eastAsia"/>
                <w:color w:val="auto"/>
                <w:kern w:val="2"/>
                <w:sz w:val="20"/>
                <w:szCs w:val="20"/>
              </w:rPr>
            </w:pPr>
            <w:r>
              <w:rPr>
                <w:rFonts w:hint="eastAsia"/>
                <w:color w:val="auto"/>
                <w:kern w:val="2"/>
                <w:sz w:val="20"/>
                <w:szCs w:val="20"/>
                <w:lang w:val="en-US" w:eastAsia="zh-CN"/>
              </w:rPr>
              <w:t>具有</w:t>
            </w:r>
            <w:r>
              <w:rPr>
                <w:rFonts w:hint="eastAsia"/>
                <w:color w:val="auto"/>
                <w:kern w:val="2"/>
                <w:sz w:val="20"/>
                <w:szCs w:val="20"/>
              </w:rPr>
              <w:t>关爱尊敬临终者，爱岗敬业、无私奉献的职业观</w:t>
            </w:r>
          </w:p>
        </w:tc>
        <w:tc>
          <w:tcPr>
            <w:tcW w:w="1345" w:type="dxa"/>
          </w:tcPr>
          <w:p>
            <w:pPr>
              <w:spacing w:line="300" w:lineRule="exact"/>
              <w:rPr>
                <w:rFonts w:hint="eastAsia" w:ascii="宋体" w:hAnsi="宋体"/>
                <w:kern w:val="0"/>
                <w:sz w:val="20"/>
                <w:szCs w:val="20"/>
                <w:lang w:val="en-US" w:eastAsia="zh-CN"/>
              </w:rPr>
            </w:pPr>
            <w:r>
              <w:rPr>
                <w:rFonts w:hint="eastAsia" w:ascii="宋体" w:hAnsi="宋体"/>
                <w:kern w:val="0"/>
                <w:sz w:val="20"/>
                <w:szCs w:val="20"/>
                <w:lang w:val="en-US" w:eastAsia="zh-CN"/>
              </w:rPr>
              <w:t>1.临终关怀的道德要求。   2.安乐死的伦理争论与期待。</w:t>
            </w:r>
          </w:p>
          <w:p>
            <w:pPr>
              <w:spacing w:line="300" w:lineRule="exact"/>
              <w:rPr>
                <w:color w:val="auto"/>
                <w:kern w:val="2"/>
                <w:sz w:val="20"/>
                <w:szCs w:val="20"/>
              </w:rPr>
            </w:pPr>
            <w:r>
              <w:rPr>
                <w:rFonts w:hint="eastAsia" w:ascii="宋体" w:hAnsi="宋体"/>
                <w:kern w:val="0"/>
                <w:sz w:val="20"/>
                <w:szCs w:val="20"/>
                <w:lang w:val="en-US" w:eastAsia="zh-CN"/>
              </w:rPr>
              <w:t>3.死亡标准的具体内容。</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8</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医学科研伦理</w:t>
            </w:r>
          </w:p>
        </w:tc>
        <w:tc>
          <w:tcPr>
            <w:tcW w:w="2460" w:type="dxa"/>
          </w:tcPr>
          <w:p>
            <w:pPr>
              <w:pStyle w:val="4"/>
              <w:spacing w:line="300" w:lineRule="exact"/>
              <w:rPr>
                <w:color w:val="auto"/>
                <w:kern w:val="2"/>
                <w:sz w:val="20"/>
                <w:szCs w:val="20"/>
              </w:rPr>
            </w:pPr>
            <w:r>
              <w:rPr>
                <w:rFonts w:hint="eastAsia"/>
                <w:color w:val="auto"/>
                <w:kern w:val="2"/>
                <w:sz w:val="20"/>
                <w:szCs w:val="20"/>
              </w:rPr>
              <w:t xml:space="preserve">1.知道医学科研伦理的要求；涉及人的生物医学研究的伦理原则；动物实验的伦理原则和特点；医学伦理审查的原则。 </w:t>
            </w:r>
            <w:r>
              <w:rPr>
                <w:color w:val="auto"/>
                <w:kern w:val="2"/>
                <w:sz w:val="20"/>
                <w:szCs w:val="20"/>
              </w:rPr>
              <w:t xml:space="preserve">          </w:t>
            </w:r>
            <w:r>
              <w:rPr>
                <w:rFonts w:hint="eastAsia"/>
                <w:color w:val="auto"/>
                <w:kern w:val="2"/>
                <w:sz w:val="20"/>
                <w:szCs w:val="20"/>
              </w:rPr>
              <w:t>2.理解医学科研的含义；涉及人的生物医学研究的含义及类型；动物实验的 概念；医学伦理审查的机构和内容。</w:t>
            </w:r>
          </w:p>
        </w:tc>
        <w:tc>
          <w:tcPr>
            <w:tcW w:w="1490" w:type="dxa"/>
          </w:tcPr>
          <w:p>
            <w:pPr>
              <w:pStyle w:val="4"/>
              <w:spacing w:line="300" w:lineRule="exact"/>
              <w:rPr>
                <w:color w:val="auto"/>
                <w:kern w:val="2"/>
                <w:sz w:val="20"/>
                <w:szCs w:val="20"/>
              </w:rPr>
            </w:pPr>
            <w:r>
              <w:rPr>
                <w:rFonts w:hint="eastAsia"/>
                <w:color w:val="auto"/>
                <w:kern w:val="2"/>
                <w:sz w:val="20"/>
                <w:szCs w:val="20"/>
              </w:rPr>
              <w:t xml:space="preserve">1.能够在涉及人及动物的科学试验中先进行伦理审查。 </w:t>
            </w:r>
            <w:r>
              <w:rPr>
                <w:color w:val="auto"/>
                <w:kern w:val="2"/>
                <w:sz w:val="20"/>
                <w:szCs w:val="20"/>
              </w:rPr>
              <w:t xml:space="preserve">     </w:t>
            </w:r>
            <w:r>
              <w:rPr>
                <w:rFonts w:hint="eastAsia"/>
                <w:color w:val="auto"/>
                <w:kern w:val="2"/>
                <w:sz w:val="20"/>
                <w:szCs w:val="20"/>
              </w:rPr>
              <w:t xml:space="preserve">2.能够在科学实验中遵循知情同意、保护受试者的原则。 </w:t>
            </w:r>
            <w:r>
              <w:rPr>
                <w:color w:val="auto"/>
                <w:kern w:val="2"/>
                <w:sz w:val="20"/>
                <w:szCs w:val="20"/>
              </w:rPr>
              <w:t xml:space="preserve">   </w:t>
            </w:r>
            <w:r>
              <w:rPr>
                <w:rFonts w:hint="eastAsia"/>
                <w:color w:val="auto"/>
                <w:kern w:val="2"/>
                <w:sz w:val="20"/>
                <w:szCs w:val="20"/>
              </w:rPr>
              <w:t>3.能够在写科研论文实事求是，不做假。</w:t>
            </w:r>
          </w:p>
        </w:tc>
        <w:tc>
          <w:tcPr>
            <w:tcW w:w="1344" w:type="dxa"/>
          </w:tcPr>
          <w:p>
            <w:pPr>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1.弘扬学术道德，恪守规范</w:t>
            </w:r>
          </w:p>
          <w:p>
            <w:pPr>
              <w:snapToGrid w:val="0"/>
              <w:spacing w:line="288" w:lineRule="auto"/>
              <w:jc w:val="left"/>
              <w:rPr>
                <w:rFonts w:hint="eastAsia" w:ascii="宋体" w:hAnsi="宋体" w:eastAsia="宋体" w:cs="Times New Roman"/>
                <w:color w:val="auto"/>
                <w:kern w:val="2"/>
                <w:sz w:val="20"/>
                <w:szCs w:val="20"/>
                <w:lang w:val="en-US" w:eastAsia="zh-CN" w:bidi="ar-SA"/>
              </w:rPr>
            </w:pPr>
            <w:r>
              <w:rPr>
                <w:rFonts w:hint="eastAsia" w:ascii="宋体" w:hAnsi="宋体" w:eastAsia="宋体" w:cs="Times New Roman"/>
                <w:color w:val="auto"/>
                <w:kern w:val="2"/>
                <w:sz w:val="20"/>
                <w:szCs w:val="20"/>
                <w:lang w:val="en-US" w:eastAsia="zh-CN" w:bidi="ar-SA"/>
              </w:rPr>
              <w:t>2.尊重科学、尊重事实、坚持真理</w:t>
            </w:r>
          </w:p>
          <w:p>
            <w:pPr>
              <w:snapToGrid w:val="0"/>
              <w:spacing w:line="288" w:lineRule="auto"/>
              <w:jc w:val="left"/>
              <w:rPr>
                <w:rFonts w:hint="eastAsia"/>
                <w:color w:val="auto"/>
                <w:kern w:val="2"/>
                <w:sz w:val="20"/>
                <w:szCs w:val="20"/>
              </w:rPr>
            </w:pPr>
            <w:r>
              <w:rPr>
                <w:rFonts w:hint="eastAsia" w:ascii="宋体" w:hAnsi="宋体" w:eastAsia="宋体" w:cs="Times New Roman"/>
                <w:color w:val="auto"/>
                <w:kern w:val="2"/>
                <w:sz w:val="20"/>
                <w:szCs w:val="20"/>
                <w:lang w:val="en-US" w:eastAsia="zh-CN" w:bidi="ar-SA"/>
              </w:rPr>
              <w:t>3.培养创新思维和科研兴趣</w:t>
            </w:r>
          </w:p>
        </w:tc>
        <w:tc>
          <w:tcPr>
            <w:tcW w:w="1345" w:type="dxa"/>
          </w:tcPr>
          <w:p>
            <w:pPr>
              <w:spacing w:line="300" w:lineRule="exact"/>
              <w:rPr>
                <w:rFonts w:hint="eastAsia" w:ascii="宋体" w:hAnsi="宋体"/>
                <w:kern w:val="0"/>
                <w:sz w:val="20"/>
                <w:szCs w:val="20"/>
              </w:rPr>
            </w:pPr>
            <w:r>
              <w:rPr>
                <w:rFonts w:hint="eastAsia" w:ascii="宋体" w:hAnsi="宋体"/>
                <w:kern w:val="0"/>
                <w:sz w:val="20"/>
                <w:szCs w:val="20"/>
              </w:rPr>
              <w:t>1.医学科研伦理的要求；   2.涉及人的生物医学研究的伦理原则；</w:t>
            </w:r>
          </w:p>
          <w:p>
            <w:pPr>
              <w:spacing w:line="300" w:lineRule="exact"/>
              <w:jc w:val="left"/>
              <w:rPr>
                <w:color w:val="auto"/>
                <w:kern w:val="2"/>
                <w:sz w:val="20"/>
                <w:szCs w:val="20"/>
              </w:rPr>
            </w:pPr>
            <w:r>
              <w:rPr>
                <w:rFonts w:hint="eastAsia" w:ascii="宋体" w:hAnsi="宋体"/>
                <w:kern w:val="0"/>
                <w:sz w:val="20"/>
                <w:szCs w:val="20"/>
                <w:lang w:val="en-US" w:eastAsia="zh-CN"/>
              </w:rPr>
              <w:t>3.</w:t>
            </w:r>
            <w:r>
              <w:rPr>
                <w:rFonts w:hint="eastAsia" w:ascii="宋体" w:hAnsi="宋体"/>
                <w:kern w:val="0"/>
                <w:sz w:val="20"/>
                <w:szCs w:val="20"/>
              </w:rPr>
              <w:t>动物实验的伦理原则和特点；     4.医学伦理审查的原则。</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9</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卫生管理伦理</w:t>
            </w:r>
          </w:p>
        </w:tc>
        <w:tc>
          <w:tcPr>
            <w:tcW w:w="2460" w:type="dxa"/>
          </w:tcPr>
          <w:p>
            <w:pPr>
              <w:spacing w:line="300" w:lineRule="exact"/>
              <w:jc w:val="left"/>
              <w:rPr>
                <w:rFonts w:hint="eastAsia" w:ascii="宋体" w:hAnsi="宋体"/>
                <w:kern w:val="0"/>
                <w:sz w:val="20"/>
                <w:szCs w:val="20"/>
                <w:lang w:val="en-US" w:eastAsia="zh-CN"/>
              </w:rPr>
            </w:pPr>
            <w:r>
              <w:rPr>
                <w:rFonts w:hint="eastAsia" w:ascii="宋体" w:hAnsi="宋体"/>
                <w:kern w:val="0"/>
                <w:sz w:val="20"/>
                <w:szCs w:val="20"/>
                <w:lang w:val="en-US" w:eastAsia="zh-CN"/>
              </w:rPr>
              <w:t>1.知道卫生管理伦理的含义、作用及实质。</w:t>
            </w:r>
          </w:p>
          <w:p>
            <w:pPr>
              <w:spacing w:line="300" w:lineRule="exact"/>
              <w:jc w:val="left"/>
              <w:rPr>
                <w:color w:val="auto"/>
                <w:kern w:val="2"/>
                <w:sz w:val="20"/>
                <w:szCs w:val="20"/>
              </w:rPr>
            </w:pPr>
            <w:r>
              <w:rPr>
                <w:rFonts w:hint="eastAsia" w:ascii="宋体" w:hAnsi="宋体"/>
                <w:kern w:val="0"/>
                <w:sz w:val="20"/>
                <w:szCs w:val="20"/>
                <w:lang w:val="en-US" w:eastAsia="zh-CN"/>
              </w:rPr>
              <w:t>2.理解卫生管理伦理的特殊性与具体原则。               3.了解卫生管理中的有关伦理难题。</w:t>
            </w:r>
          </w:p>
        </w:tc>
        <w:tc>
          <w:tcPr>
            <w:tcW w:w="1490" w:type="dxa"/>
          </w:tcPr>
          <w:p>
            <w:pPr>
              <w:pStyle w:val="4"/>
              <w:spacing w:line="300" w:lineRule="exact"/>
              <w:rPr>
                <w:color w:val="auto"/>
                <w:kern w:val="2"/>
                <w:sz w:val="20"/>
                <w:szCs w:val="20"/>
              </w:rPr>
            </w:pPr>
            <w:r>
              <w:rPr>
                <w:rFonts w:hint="eastAsia"/>
                <w:color w:val="auto"/>
                <w:kern w:val="2"/>
                <w:sz w:val="20"/>
                <w:szCs w:val="20"/>
              </w:rPr>
              <w:t>1．能将卫生管理伦理要求运用于实际工作中。</w:t>
            </w:r>
          </w:p>
        </w:tc>
        <w:tc>
          <w:tcPr>
            <w:tcW w:w="1344" w:type="dxa"/>
          </w:tcPr>
          <w:p>
            <w:pPr>
              <w:snapToGrid w:val="0"/>
              <w:spacing w:line="288" w:lineRule="auto"/>
              <w:jc w:val="left"/>
              <w:rPr>
                <w:rFonts w:hint="eastAsia"/>
                <w:color w:val="auto"/>
                <w:kern w:val="2"/>
                <w:sz w:val="20"/>
                <w:szCs w:val="20"/>
              </w:rPr>
            </w:pPr>
            <w:r>
              <w:rPr>
                <w:rFonts w:hint="eastAsia" w:ascii="宋体" w:hAnsi="宋体"/>
                <w:color w:val="000000"/>
                <w:sz w:val="20"/>
                <w:szCs w:val="20"/>
                <w:lang w:val="en-US" w:eastAsia="zh-CN"/>
              </w:rPr>
              <w:t>树立“责任、义务、奉献、担当”的精神信念</w:t>
            </w:r>
          </w:p>
        </w:tc>
        <w:tc>
          <w:tcPr>
            <w:tcW w:w="1345" w:type="dxa"/>
          </w:tcPr>
          <w:p>
            <w:pPr>
              <w:pStyle w:val="4"/>
              <w:spacing w:line="300" w:lineRule="exact"/>
              <w:ind w:right="-134" w:rightChars="-64"/>
              <w:rPr>
                <w:color w:val="auto"/>
                <w:kern w:val="2"/>
                <w:sz w:val="20"/>
                <w:szCs w:val="20"/>
              </w:rPr>
            </w:pPr>
            <w:r>
              <w:rPr>
                <w:rFonts w:hint="eastAsia"/>
                <w:color w:val="auto"/>
                <w:kern w:val="2"/>
                <w:sz w:val="20"/>
                <w:szCs w:val="20"/>
              </w:rPr>
              <w:t>1.卫生管理伦理的含义、作用及实质。</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522" w:type="dxa"/>
            <w:vAlign w:val="center"/>
          </w:tcPr>
          <w:p>
            <w:pPr>
              <w:snapToGrid w:val="0"/>
              <w:spacing w:line="300" w:lineRule="exact"/>
              <w:jc w:val="center"/>
              <w:rPr>
                <w:rFonts w:ascii="宋体" w:hAnsi="宋体"/>
                <w:sz w:val="20"/>
                <w:szCs w:val="20"/>
              </w:rPr>
            </w:pPr>
            <w:r>
              <w:rPr>
                <w:rFonts w:hint="eastAsia" w:ascii="宋体" w:hAnsi="宋体"/>
                <w:sz w:val="20"/>
                <w:szCs w:val="20"/>
              </w:rPr>
              <w:t>10</w:t>
            </w:r>
          </w:p>
        </w:tc>
        <w:tc>
          <w:tcPr>
            <w:tcW w:w="679" w:type="dxa"/>
            <w:vAlign w:val="center"/>
          </w:tcPr>
          <w:p>
            <w:pPr>
              <w:snapToGrid w:val="0"/>
              <w:spacing w:line="300" w:lineRule="exact"/>
              <w:jc w:val="left"/>
              <w:rPr>
                <w:rFonts w:ascii="宋体" w:hAnsi="宋体"/>
                <w:sz w:val="20"/>
                <w:szCs w:val="20"/>
              </w:rPr>
            </w:pPr>
            <w:r>
              <w:rPr>
                <w:rFonts w:hint="eastAsia" w:ascii="宋体" w:hAnsi="宋体"/>
                <w:sz w:val="20"/>
                <w:szCs w:val="20"/>
              </w:rPr>
              <w:t>医学伦理教育、修养与评价</w:t>
            </w:r>
          </w:p>
        </w:tc>
        <w:tc>
          <w:tcPr>
            <w:tcW w:w="2460" w:type="dxa"/>
          </w:tcPr>
          <w:p>
            <w:pPr>
              <w:pStyle w:val="4"/>
              <w:tabs>
                <w:tab w:val="left" w:pos="312"/>
              </w:tabs>
              <w:spacing w:line="300" w:lineRule="exact"/>
              <w:rPr>
                <w:color w:val="auto"/>
                <w:kern w:val="2"/>
                <w:sz w:val="20"/>
                <w:szCs w:val="20"/>
              </w:rPr>
            </w:pPr>
            <w:r>
              <w:rPr>
                <w:rFonts w:hint="eastAsia"/>
                <w:color w:val="auto"/>
                <w:kern w:val="2"/>
                <w:sz w:val="20"/>
                <w:szCs w:val="20"/>
              </w:rPr>
              <w:t xml:space="preserve">1.知道医学伦理修养的途径与境界；医学伦理评价的标准、依据和方式。 </w:t>
            </w:r>
            <w:r>
              <w:rPr>
                <w:color w:val="auto"/>
                <w:kern w:val="2"/>
                <w:sz w:val="20"/>
                <w:szCs w:val="20"/>
              </w:rPr>
              <w:t xml:space="preserve">            </w:t>
            </w:r>
            <w:r>
              <w:rPr>
                <w:rFonts w:hint="eastAsia"/>
                <w:color w:val="auto"/>
                <w:kern w:val="2"/>
                <w:sz w:val="20"/>
                <w:szCs w:val="20"/>
              </w:rPr>
              <w:t xml:space="preserve">2.理解医学伦理教育、修养和 评价的概念和内涵。 </w:t>
            </w:r>
            <w:r>
              <w:rPr>
                <w:color w:val="auto"/>
                <w:kern w:val="2"/>
                <w:sz w:val="20"/>
                <w:szCs w:val="20"/>
              </w:rPr>
              <w:t xml:space="preserve">            </w:t>
            </w:r>
            <w:r>
              <w:rPr>
                <w:rFonts w:hint="eastAsia"/>
                <w:color w:val="auto"/>
                <w:kern w:val="2"/>
                <w:sz w:val="20"/>
                <w:szCs w:val="20"/>
              </w:rPr>
              <w:t>3.了解医学伦理教育、修养和评价的过程及意义。</w:t>
            </w:r>
          </w:p>
        </w:tc>
        <w:tc>
          <w:tcPr>
            <w:tcW w:w="1490" w:type="dxa"/>
          </w:tcPr>
          <w:p>
            <w:pPr>
              <w:pStyle w:val="4"/>
              <w:spacing w:line="300" w:lineRule="exact"/>
              <w:rPr>
                <w:color w:val="auto"/>
                <w:kern w:val="2"/>
                <w:sz w:val="20"/>
                <w:szCs w:val="20"/>
              </w:rPr>
            </w:pPr>
            <w:r>
              <w:rPr>
                <w:rFonts w:hint="eastAsia"/>
                <w:color w:val="auto"/>
                <w:kern w:val="2"/>
                <w:sz w:val="20"/>
                <w:szCs w:val="20"/>
              </w:rPr>
              <w:t>1.能不断加强自身医学伦理修养，成为具有服务企业、服务社会意愿和行为能力的合格人才。</w:t>
            </w:r>
          </w:p>
        </w:tc>
        <w:tc>
          <w:tcPr>
            <w:tcW w:w="1344" w:type="dxa"/>
          </w:tcPr>
          <w:p>
            <w:pPr>
              <w:pStyle w:val="4"/>
              <w:spacing w:line="300" w:lineRule="exact"/>
              <w:ind w:right="-134" w:rightChars="-64"/>
              <w:rPr>
                <w:rFonts w:hint="default" w:eastAsiaTheme="minorEastAsia"/>
                <w:color w:val="auto"/>
                <w:kern w:val="2"/>
                <w:sz w:val="20"/>
                <w:szCs w:val="20"/>
                <w:lang w:val="en-US" w:eastAsia="zh-CN"/>
              </w:rPr>
            </w:pPr>
            <w:r>
              <w:rPr>
                <w:rFonts w:hint="eastAsia"/>
                <w:color w:val="auto"/>
                <w:kern w:val="2"/>
                <w:sz w:val="20"/>
                <w:szCs w:val="20"/>
                <w:lang w:val="en-US" w:eastAsia="zh-CN"/>
              </w:rPr>
              <w:t>能从“</w:t>
            </w:r>
            <w:r>
              <w:rPr>
                <w:rFonts w:hint="eastAsia"/>
                <w:color w:val="auto"/>
                <w:kern w:val="2"/>
                <w:sz w:val="20"/>
                <w:szCs w:val="20"/>
              </w:rPr>
              <w:t>理论、意识、情感、行为、智</w:t>
            </w:r>
            <w:r>
              <w:rPr>
                <w:rFonts w:hint="eastAsia" w:asciiTheme="minorEastAsia" w:hAnsiTheme="minorEastAsia" w:eastAsiaTheme="minorEastAsia" w:cstheme="minorEastAsia"/>
                <w:sz w:val="20"/>
                <w:szCs w:val="20"/>
              </w:rPr>
              <w:t>慧</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五个方面，不断提高自身伦理修养。</w:t>
            </w:r>
          </w:p>
        </w:tc>
        <w:tc>
          <w:tcPr>
            <w:tcW w:w="1345" w:type="dxa"/>
          </w:tcPr>
          <w:p>
            <w:pPr>
              <w:pStyle w:val="4"/>
              <w:tabs>
                <w:tab w:val="left" w:pos="312"/>
              </w:tabs>
              <w:spacing w:line="300" w:lineRule="exact"/>
              <w:rPr>
                <w:color w:val="auto"/>
                <w:kern w:val="2"/>
                <w:sz w:val="20"/>
                <w:szCs w:val="20"/>
              </w:rPr>
            </w:pPr>
            <w:r>
              <w:rPr>
                <w:rFonts w:hint="eastAsia"/>
                <w:color w:val="auto"/>
                <w:kern w:val="2"/>
                <w:sz w:val="20"/>
                <w:szCs w:val="20"/>
                <w:lang w:val="en-US" w:eastAsia="zh-CN"/>
              </w:rPr>
              <w:t>1.</w:t>
            </w:r>
            <w:r>
              <w:rPr>
                <w:rFonts w:hint="eastAsia"/>
                <w:color w:val="auto"/>
                <w:kern w:val="2"/>
                <w:sz w:val="20"/>
                <w:szCs w:val="20"/>
              </w:rPr>
              <w:t xml:space="preserve">医学伦理修养的途径与境界。      </w:t>
            </w:r>
            <w:r>
              <w:rPr>
                <w:rFonts w:hint="eastAsia"/>
                <w:color w:val="auto"/>
                <w:kern w:val="2"/>
                <w:sz w:val="20"/>
                <w:szCs w:val="20"/>
                <w:lang w:val="en-US" w:eastAsia="zh-CN"/>
              </w:rPr>
              <w:t>2.</w:t>
            </w:r>
            <w:r>
              <w:rPr>
                <w:rFonts w:hint="eastAsia"/>
                <w:color w:val="auto"/>
                <w:kern w:val="2"/>
                <w:sz w:val="20"/>
                <w:szCs w:val="20"/>
              </w:rPr>
              <w:t>医学伦理评价的标准、依据和方式。</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2" w:type="dxa"/>
            <w:vAlign w:val="center"/>
          </w:tcPr>
          <w:p>
            <w:pPr>
              <w:snapToGrid w:val="0"/>
              <w:spacing w:line="300" w:lineRule="exact"/>
              <w:jc w:val="center"/>
              <w:rPr>
                <w:rFonts w:ascii="宋体" w:hAnsi="宋体"/>
                <w:sz w:val="20"/>
                <w:szCs w:val="20"/>
              </w:rPr>
            </w:pPr>
          </w:p>
        </w:tc>
        <w:tc>
          <w:tcPr>
            <w:tcW w:w="679" w:type="dxa"/>
            <w:vAlign w:val="center"/>
          </w:tcPr>
          <w:p>
            <w:pPr>
              <w:snapToGrid w:val="0"/>
              <w:spacing w:line="300" w:lineRule="exact"/>
              <w:rPr>
                <w:rFonts w:ascii="宋体" w:hAnsi="宋体"/>
                <w:sz w:val="20"/>
                <w:szCs w:val="20"/>
              </w:rPr>
            </w:pPr>
            <w:r>
              <w:rPr>
                <w:rFonts w:hint="eastAsia" w:ascii="宋体" w:hAnsi="宋体"/>
                <w:sz w:val="20"/>
                <w:szCs w:val="20"/>
              </w:rPr>
              <w:t>合计</w:t>
            </w:r>
          </w:p>
        </w:tc>
        <w:tc>
          <w:tcPr>
            <w:tcW w:w="2460" w:type="dxa"/>
          </w:tcPr>
          <w:p>
            <w:pPr>
              <w:pStyle w:val="4"/>
              <w:tabs>
                <w:tab w:val="left" w:pos="312"/>
              </w:tabs>
              <w:spacing w:line="300" w:lineRule="exact"/>
              <w:rPr>
                <w:color w:val="auto"/>
                <w:kern w:val="2"/>
                <w:sz w:val="20"/>
                <w:szCs w:val="20"/>
              </w:rPr>
            </w:pPr>
          </w:p>
        </w:tc>
        <w:tc>
          <w:tcPr>
            <w:tcW w:w="1490" w:type="dxa"/>
          </w:tcPr>
          <w:p>
            <w:pPr>
              <w:pStyle w:val="4"/>
              <w:spacing w:line="300" w:lineRule="exact"/>
              <w:rPr>
                <w:color w:val="auto"/>
                <w:kern w:val="2"/>
                <w:sz w:val="20"/>
                <w:szCs w:val="20"/>
              </w:rPr>
            </w:pPr>
          </w:p>
        </w:tc>
        <w:tc>
          <w:tcPr>
            <w:tcW w:w="1344" w:type="dxa"/>
          </w:tcPr>
          <w:p>
            <w:pPr>
              <w:pStyle w:val="4"/>
              <w:spacing w:line="300" w:lineRule="exact"/>
              <w:rPr>
                <w:color w:val="auto"/>
                <w:kern w:val="2"/>
                <w:sz w:val="20"/>
                <w:szCs w:val="20"/>
              </w:rPr>
            </w:pPr>
          </w:p>
        </w:tc>
        <w:tc>
          <w:tcPr>
            <w:tcW w:w="1345" w:type="dxa"/>
          </w:tcPr>
          <w:p>
            <w:pPr>
              <w:pStyle w:val="4"/>
              <w:spacing w:line="300" w:lineRule="exact"/>
              <w:rPr>
                <w:color w:val="auto"/>
                <w:kern w:val="2"/>
                <w:sz w:val="20"/>
                <w:szCs w:val="20"/>
              </w:rPr>
            </w:pP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24</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8</w:t>
            </w:r>
          </w:p>
        </w:tc>
        <w:tc>
          <w:tcPr>
            <w:tcW w:w="437" w:type="dxa"/>
            <w:vAlign w:val="center"/>
          </w:tcPr>
          <w:p>
            <w:pPr>
              <w:pStyle w:val="4"/>
              <w:spacing w:before="0" w:beforeAutospacing="0" w:after="0" w:afterAutospacing="0" w:line="300" w:lineRule="exact"/>
              <w:jc w:val="both"/>
              <w:rPr>
                <w:color w:val="auto"/>
                <w:kern w:val="2"/>
                <w:sz w:val="20"/>
                <w:szCs w:val="20"/>
              </w:rPr>
            </w:pPr>
            <w:r>
              <w:rPr>
                <w:rFonts w:hint="eastAsia"/>
                <w:color w:val="auto"/>
                <w:kern w:val="2"/>
                <w:sz w:val="20"/>
                <w:szCs w:val="20"/>
              </w:rPr>
              <w:t>32</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545"/>
        <w:gridCol w:w="3317"/>
        <w:gridCol w:w="902"/>
        <w:gridCol w:w="105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20"/>
                <w:szCs w:val="20"/>
              </w:rPr>
            </w:pPr>
            <w:r>
              <w:rPr>
                <w:rFonts w:hint="eastAsia" w:ascii="宋体" w:hAnsi="宋体"/>
                <w:kern w:val="10"/>
                <w:sz w:val="20"/>
                <w:szCs w:val="20"/>
              </w:rPr>
              <w:t>健康教育活动策划</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结合案例，</w:t>
            </w:r>
            <w:r>
              <w:rPr>
                <w:rFonts w:hint="eastAsia" w:ascii="宋体" w:hAnsi="宋体"/>
                <w:kern w:val="10"/>
                <w:sz w:val="20"/>
                <w:szCs w:val="20"/>
              </w:rPr>
              <w:t>组织策划一次以“控烟”为主题的校园健康教育活动</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 w:val="20"/>
                <w:szCs w:val="20"/>
              </w:rPr>
            </w:pPr>
            <w:r>
              <w:rPr>
                <w:rFonts w:hint="eastAsia" w:ascii="宋体" w:hAnsi="宋体"/>
                <w:sz w:val="20"/>
                <w:szCs w:val="20"/>
              </w:rPr>
              <w:t>案例分析：公共卫生突发事件处置的伦理原则</w:t>
            </w:r>
          </w:p>
        </w:tc>
        <w:tc>
          <w:tcPr>
            <w:tcW w:w="331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eastAsia="zh-CN"/>
              </w:rPr>
            </w:pPr>
            <w:r>
              <w:rPr>
                <w:rFonts w:hint="eastAsia" w:ascii="宋体" w:hAnsi="宋体"/>
                <w:sz w:val="20"/>
                <w:szCs w:val="20"/>
              </w:rPr>
              <w:t>结合案例，明确如何做到“预防第一、防治结合”</w:t>
            </w:r>
            <w:r>
              <w:rPr>
                <w:rFonts w:hint="eastAsia" w:ascii="宋体" w:hAnsi="宋体"/>
                <w:sz w:val="20"/>
                <w:szCs w:val="20"/>
                <w:lang w:eastAsia="zh-CN"/>
              </w:rPr>
              <w:t>？</w:t>
            </w:r>
            <w:r>
              <w:rPr>
                <w:rFonts w:hint="eastAsia" w:ascii="宋体" w:hAnsi="宋体"/>
                <w:sz w:val="20"/>
                <w:szCs w:val="20"/>
              </w:rPr>
              <w:t>在处置突发性公共卫生事件中，如何遵循政府责任和个人责任相结合；患者利益第一、医患利益兼顾；集体利益第一、个人和集体利益兼顾的原则</w:t>
            </w:r>
            <w:r>
              <w:rPr>
                <w:rFonts w:hint="eastAsia" w:ascii="宋体" w:hAnsi="宋体"/>
                <w:sz w:val="20"/>
                <w:szCs w:val="20"/>
                <w:lang w:eastAsia="zh-CN"/>
              </w:rPr>
              <w:t>。</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545" w:type="dxa"/>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情景剧：医患沟通</w:t>
            </w:r>
          </w:p>
        </w:tc>
        <w:tc>
          <w:tcPr>
            <w:tcW w:w="3317" w:type="dxa"/>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结合案例，情景剧的形式演绎医患间如何进行有效沟通。</w:t>
            </w:r>
          </w:p>
          <w:p>
            <w:pPr>
              <w:snapToGrid w:val="0"/>
              <w:spacing w:before="156" w:beforeLines="50" w:after="156" w:afterLines="50" w:line="288" w:lineRule="auto"/>
              <w:jc w:val="left"/>
              <w:rPr>
                <w:rFonts w:ascii="宋体" w:hAnsi="宋体"/>
                <w:sz w:val="20"/>
                <w:szCs w:val="20"/>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545" w:type="dxa"/>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课堂讨论：医学伦理教育、修养与评价</w:t>
            </w:r>
          </w:p>
        </w:tc>
        <w:tc>
          <w:tcPr>
            <w:tcW w:w="3317" w:type="dxa"/>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结合先进事例，课堂讨论：明确如何加强自身健康伦理修养，成为具有服务企业、服务社会意愿和行为能力的合格人才。</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3" w:type="dxa"/>
            <w:gridSpan w:val="3"/>
            <w:tcBorders>
              <w:top w:val="single" w:color="auto" w:sz="4" w:space="0"/>
              <w:left w:val="single" w:color="auto" w:sz="4" w:space="0"/>
              <w:bottom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8</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vAlign w:val="center"/>
          </w:tcPr>
          <w:p>
            <w:pPr>
              <w:snapToGrid w:val="0"/>
              <w:spacing w:before="156" w:beforeLines="50" w:after="156" w:afterLines="50"/>
              <w:jc w:val="center"/>
              <w:rPr>
                <w:rFonts w:ascii="宋体" w:hAnsi="宋体"/>
                <w:szCs w:val="21"/>
              </w:rPr>
            </w:pPr>
            <w:r>
              <w:rPr>
                <w:rFonts w:hint="eastAsia" w:ascii="宋体" w:hAnsi="宋体"/>
                <w:szCs w:val="21"/>
              </w:rPr>
              <w:t>总评构成（</w:t>
            </w:r>
            <w:r>
              <w:rPr>
                <w:rFonts w:ascii="宋体" w:hAnsi="宋体"/>
                <w:szCs w:val="21"/>
              </w:rPr>
              <w:t>X</w:t>
            </w:r>
            <w:r>
              <w:rPr>
                <w:rFonts w:hint="eastAsia" w:ascii="宋体" w:hAnsi="宋体"/>
                <w:szCs w:val="21"/>
              </w:rPr>
              <w:t>）</w:t>
            </w:r>
          </w:p>
        </w:tc>
        <w:tc>
          <w:tcPr>
            <w:tcW w:w="5120" w:type="dxa"/>
            <w:vAlign w:val="center"/>
          </w:tcPr>
          <w:p>
            <w:pPr>
              <w:snapToGrid w:val="0"/>
              <w:spacing w:before="156" w:beforeLines="50" w:after="156" w:afterLines="50"/>
              <w:jc w:val="center"/>
              <w:rPr>
                <w:rFonts w:ascii="宋体" w:hAnsi="宋体"/>
                <w:szCs w:val="21"/>
              </w:rPr>
            </w:pPr>
            <w:r>
              <w:rPr>
                <w:rFonts w:hint="eastAsia" w:ascii="宋体" w:hAnsi="宋体"/>
                <w:szCs w:val="21"/>
              </w:rPr>
              <w:t>评价方式</w:t>
            </w:r>
          </w:p>
        </w:tc>
        <w:tc>
          <w:tcPr>
            <w:tcW w:w="1920" w:type="dxa"/>
            <w:vAlign w:val="center"/>
          </w:tcPr>
          <w:p>
            <w:pPr>
              <w:snapToGrid w:val="0"/>
              <w:spacing w:before="156" w:beforeLines="50" w:after="156" w:afterLines="50"/>
              <w:jc w:val="center"/>
              <w:rPr>
                <w:rFonts w:ascii="宋体" w:hAnsi="宋体"/>
                <w:szCs w:val="21"/>
              </w:rPr>
            </w:pPr>
            <w:r>
              <w:rPr>
                <w:rFonts w:hint="eastAsia" w:ascii="宋体" w:hAnsi="宋体"/>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szCs w:val="21"/>
              </w:rPr>
            </w:pPr>
            <w:r>
              <w:rPr>
                <w:rFonts w:hint="eastAsia" w:ascii="宋体" w:hAnsi="宋体" w:cs="Arial"/>
                <w:kern w:val="0"/>
                <w:szCs w:val="21"/>
              </w:rPr>
              <w:t>X1</w:t>
            </w:r>
          </w:p>
        </w:tc>
        <w:tc>
          <w:tcPr>
            <w:tcW w:w="5120" w:type="dxa"/>
            <w:vAlign w:val="center"/>
          </w:tcPr>
          <w:p>
            <w:pPr>
              <w:widowControl/>
              <w:spacing w:line="360" w:lineRule="auto"/>
              <w:jc w:val="center"/>
              <w:rPr>
                <w:rFonts w:ascii="宋体" w:hAnsi="宋体"/>
                <w:szCs w:val="21"/>
              </w:rPr>
            </w:pPr>
            <w:r>
              <w:rPr>
                <w:rFonts w:hint="eastAsia" w:ascii="宋体" w:hAnsi="宋体" w:cs="Arial"/>
                <w:kern w:val="0"/>
                <w:szCs w:val="21"/>
              </w:rPr>
              <w:t>期末</w:t>
            </w:r>
            <w:r>
              <w:rPr>
                <w:rFonts w:hint="eastAsia" w:ascii="宋体" w:hAnsi="宋体" w:cs="Arial"/>
                <w:kern w:val="0"/>
                <w:szCs w:val="21"/>
                <w:lang w:val="en-US" w:eastAsia="zh-CN"/>
              </w:rPr>
              <w:t>随堂测</w:t>
            </w:r>
            <w:r>
              <w:rPr>
                <w:rFonts w:hint="eastAsia" w:ascii="宋体" w:hAnsi="宋体" w:cs="Arial"/>
                <w:kern w:val="0"/>
                <w:szCs w:val="21"/>
              </w:rPr>
              <w:t>试</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lang w:val="en-US" w:eastAsia="zh-CN"/>
              </w:rPr>
              <w:t>4</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szCs w:val="21"/>
              </w:rPr>
            </w:pPr>
            <w:r>
              <w:rPr>
                <w:rFonts w:hint="eastAsia" w:ascii="宋体" w:hAnsi="宋体" w:cs="Arial"/>
                <w:kern w:val="0"/>
                <w:szCs w:val="21"/>
              </w:rPr>
              <w:t>X2</w:t>
            </w:r>
          </w:p>
        </w:tc>
        <w:tc>
          <w:tcPr>
            <w:tcW w:w="5120" w:type="dxa"/>
            <w:vAlign w:val="center"/>
          </w:tcPr>
          <w:p>
            <w:pPr>
              <w:widowControl/>
              <w:spacing w:line="360" w:lineRule="auto"/>
              <w:jc w:val="center"/>
              <w:rPr>
                <w:rFonts w:ascii="宋体" w:hAnsi="宋体"/>
                <w:szCs w:val="21"/>
              </w:rPr>
            </w:pPr>
            <w:r>
              <w:rPr>
                <w:rFonts w:hint="eastAsia" w:ascii="宋体" w:hAnsi="宋体"/>
                <w:szCs w:val="21"/>
              </w:rPr>
              <w:t>小论文</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cs="Arial"/>
                <w:kern w:val="0"/>
                <w:szCs w:val="21"/>
              </w:rPr>
            </w:pPr>
            <w:r>
              <w:rPr>
                <w:rFonts w:hint="eastAsia" w:ascii="宋体" w:hAnsi="宋体"/>
                <w:kern w:val="0"/>
                <w:szCs w:val="21"/>
              </w:rPr>
              <w:t>X3</w:t>
            </w:r>
          </w:p>
        </w:tc>
        <w:tc>
          <w:tcPr>
            <w:tcW w:w="5120" w:type="dxa"/>
            <w:vAlign w:val="center"/>
          </w:tcPr>
          <w:p>
            <w:pPr>
              <w:snapToGrid w:val="0"/>
              <w:spacing w:line="288" w:lineRule="auto"/>
              <w:jc w:val="center"/>
              <w:rPr>
                <w:rFonts w:ascii="宋体" w:hAnsi="宋体"/>
                <w:szCs w:val="21"/>
              </w:rPr>
            </w:pPr>
            <w:r>
              <w:rPr>
                <w:rFonts w:hint="eastAsia" w:ascii="宋体" w:hAnsi="宋体" w:cs="宋体"/>
                <w:kern w:val="0"/>
                <w:szCs w:val="21"/>
              </w:rPr>
              <w:t>实训报告</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lang w:val="en-US" w:eastAsia="zh-CN"/>
              </w:rPr>
              <w:t>20</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00" w:type="dxa"/>
            <w:vAlign w:val="center"/>
          </w:tcPr>
          <w:p>
            <w:pPr>
              <w:widowControl/>
              <w:spacing w:line="360" w:lineRule="auto"/>
              <w:jc w:val="center"/>
              <w:rPr>
                <w:rFonts w:hint="eastAsia" w:ascii="宋体" w:hAnsi="宋体" w:eastAsia="宋体"/>
                <w:szCs w:val="21"/>
                <w:lang w:eastAsia="zh-CN"/>
              </w:rPr>
            </w:pPr>
            <w:r>
              <w:rPr>
                <w:rFonts w:hint="eastAsia" w:ascii="宋体" w:hAnsi="宋体" w:cs="Arial"/>
                <w:kern w:val="0"/>
                <w:szCs w:val="21"/>
              </w:rPr>
              <w:t>X</w:t>
            </w:r>
            <w:r>
              <w:rPr>
                <w:rFonts w:hint="eastAsia" w:ascii="宋体" w:hAnsi="宋体" w:cs="Arial"/>
                <w:kern w:val="0"/>
                <w:szCs w:val="21"/>
                <w:lang w:val="en-US" w:eastAsia="zh-CN"/>
              </w:rPr>
              <w:t>4</w:t>
            </w:r>
          </w:p>
        </w:tc>
        <w:tc>
          <w:tcPr>
            <w:tcW w:w="5120" w:type="dxa"/>
            <w:vAlign w:val="center"/>
          </w:tcPr>
          <w:p>
            <w:pPr>
              <w:widowControl/>
              <w:spacing w:line="360" w:lineRule="auto"/>
              <w:jc w:val="center"/>
              <w:rPr>
                <w:rFonts w:hint="default" w:ascii="宋体" w:hAnsi="宋体"/>
                <w:szCs w:val="21"/>
                <w:lang w:val="en-US"/>
              </w:rPr>
            </w:pPr>
            <w:r>
              <w:rPr>
                <w:rFonts w:hint="eastAsia" w:ascii="宋体" w:hAnsi="宋体" w:cs="Arial"/>
                <w:kern w:val="0"/>
                <w:szCs w:val="21"/>
                <w:lang w:val="en-US" w:eastAsia="zh-CN"/>
              </w:rPr>
              <w:t>课堂提问</w:t>
            </w:r>
          </w:p>
        </w:tc>
        <w:tc>
          <w:tcPr>
            <w:tcW w:w="1920" w:type="dxa"/>
            <w:vAlign w:val="center"/>
          </w:tcPr>
          <w:p>
            <w:pPr>
              <w:widowControl/>
              <w:spacing w:line="360" w:lineRule="auto"/>
              <w:jc w:val="center"/>
              <w:rPr>
                <w:rFonts w:ascii="宋体" w:hAnsi="宋体"/>
                <w:szCs w:val="21"/>
              </w:rPr>
            </w:pPr>
            <w:r>
              <w:rPr>
                <w:rFonts w:hint="eastAsia" w:ascii="宋体" w:hAnsi="宋体" w:cs="Arial"/>
                <w:kern w:val="0"/>
                <w:szCs w:val="21"/>
                <w:lang w:val="en-US" w:eastAsia="zh-CN"/>
              </w:rPr>
              <w:t>20</w:t>
            </w:r>
            <w:r>
              <w:rPr>
                <w:rFonts w:hint="eastAsia" w:ascii="宋体" w:hAnsi="宋体" w:cs="Arial"/>
                <w:kern w:val="0"/>
                <w:szCs w:val="21"/>
              </w:rPr>
              <w:t>%</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20" w:firstLineChars="200"/>
        <w:rPr>
          <w:rFonts w:ascii="宋体" w:hAnsi="宋体"/>
          <w:sz w:val="20"/>
          <w:szCs w:val="20"/>
          <w:highlight w:val="yellow"/>
        </w:rPr>
      </w:pPr>
      <w:r>
        <w:drawing>
          <wp:anchor distT="0" distB="0" distL="114300" distR="114300" simplePos="0" relativeHeight="251659264" behindDoc="0" locked="0" layoutInCell="1" allowOverlap="1">
            <wp:simplePos x="0" y="0"/>
            <wp:positionH relativeFrom="column">
              <wp:posOffset>1043940</wp:posOffset>
            </wp:positionH>
            <wp:positionV relativeFrom="paragraph">
              <wp:posOffset>102870</wp:posOffset>
            </wp:positionV>
            <wp:extent cx="841375" cy="4959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41375" cy="495935"/>
                    </a:xfrm>
                    <a:prstGeom prst="rect">
                      <a:avLst/>
                    </a:prstGeom>
                    <a:noFill/>
                    <a:ln>
                      <a:noFill/>
                    </a:ln>
                  </pic:spPr>
                </pic:pic>
              </a:graphicData>
            </a:graphic>
          </wp:anchor>
        </w:drawing>
      </w:r>
    </w:p>
    <w:p>
      <w:pPr>
        <w:snapToGrid w:val="0"/>
        <w:spacing w:line="288" w:lineRule="auto"/>
        <w:ind w:firstLine="560" w:firstLineChars="200"/>
        <w:rPr>
          <w:rFonts w:ascii="宋体" w:hAnsi="宋体"/>
          <w:sz w:val="28"/>
          <w:szCs w:val="28"/>
        </w:rPr>
      </w:pPr>
      <w:r>
        <w:rPr>
          <w:rFonts w:hint="eastAsia" w:ascii="宋体" w:hAnsi="宋体"/>
          <w:sz w:val="28"/>
          <w:szCs w:val="28"/>
        </w:rPr>
        <w:t xml:space="preserve">撰写人：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系主任审核签名：</w:t>
      </w:r>
    </w:p>
    <w:p>
      <w:pPr>
        <w:snapToGrid w:val="0"/>
        <w:spacing w:line="288" w:lineRule="auto"/>
        <w:ind w:firstLine="560" w:firstLineChars="200"/>
        <w:rPr>
          <w:rFonts w:ascii="宋体" w:hAnsi="宋体"/>
          <w:sz w:val="28"/>
          <w:szCs w:val="28"/>
        </w:rPr>
      </w:pPr>
      <w:r>
        <w:rPr>
          <w:rFonts w:hint="eastAsia" w:ascii="宋体" w:hAnsi="宋体"/>
          <w:sz w:val="28"/>
          <w:szCs w:val="28"/>
        </w:rPr>
        <w:t>审核时间：202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月1</w:t>
      </w:r>
      <w:r>
        <w:rPr>
          <w:rFonts w:hint="eastAsia" w:ascii="宋体" w:hAnsi="宋体"/>
          <w:sz w:val="28"/>
          <w:szCs w:val="28"/>
          <w:lang w:val="en-US" w:eastAsia="zh-CN"/>
        </w:rPr>
        <w:t>8</w:t>
      </w:r>
      <w:r>
        <w:rPr>
          <w:rFonts w:hint="eastAsia" w:ascii="宋体" w:hAnsi="宋体"/>
          <w:sz w:val="28"/>
          <w:szCs w:val="28"/>
        </w:rPr>
        <w:t>日</w:t>
      </w:r>
    </w:p>
    <w:p>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F7E7C"/>
    <w:multiLevelType w:val="singleLevel"/>
    <w:tmpl w:val="289F7E7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xMDQxYmI5NzVkOTJkMTlkZTc0YWY1NDg2MWIzZDUifQ=="/>
    <w:docVar w:name="KSO_WPS_MARK_KEY" w:val="eb025f3c-21e2-4cf5-bd26-5de121068750"/>
  </w:docVars>
  <w:rsids>
    <w:rsidRoot w:val="00B7651F"/>
    <w:rsid w:val="00002E77"/>
    <w:rsid w:val="0001111E"/>
    <w:rsid w:val="000118D8"/>
    <w:rsid w:val="00020F68"/>
    <w:rsid w:val="00045286"/>
    <w:rsid w:val="00046267"/>
    <w:rsid w:val="00056C45"/>
    <w:rsid w:val="00062DA4"/>
    <w:rsid w:val="0009428E"/>
    <w:rsid w:val="000B7482"/>
    <w:rsid w:val="000C5F3B"/>
    <w:rsid w:val="000E5E3C"/>
    <w:rsid w:val="00101BC7"/>
    <w:rsid w:val="00103668"/>
    <w:rsid w:val="001072BC"/>
    <w:rsid w:val="001529DE"/>
    <w:rsid w:val="00164560"/>
    <w:rsid w:val="001A009F"/>
    <w:rsid w:val="001B0B56"/>
    <w:rsid w:val="001B4FE3"/>
    <w:rsid w:val="001C4ACB"/>
    <w:rsid w:val="00204115"/>
    <w:rsid w:val="0021010A"/>
    <w:rsid w:val="00211223"/>
    <w:rsid w:val="002223C5"/>
    <w:rsid w:val="002263FC"/>
    <w:rsid w:val="00256B39"/>
    <w:rsid w:val="0026033C"/>
    <w:rsid w:val="002E3721"/>
    <w:rsid w:val="003078C9"/>
    <w:rsid w:val="00313BBA"/>
    <w:rsid w:val="00323314"/>
    <w:rsid w:val="0032602E"/>
    <w:rsid w:val="003367AE"/>
    <w:rsid w:val="003932F6"/>
    <w:rsid w:val="0039575D"/>
    <w:rsid w:val="003A0AC1"/>
    <w:rsid w:val="003B1258"/>
    <w:rsid w:val="003B4A67"/>
    <w:rsid w:val="003C4D2F"/>
    <w:rsid w:val="003E3D9F"/>
    <w:rsid w:val="003F2780"/>
    <w:rsid w:val="004100B0"/>
    <w:rsid w:val="00414208"/>
    <w:rsid w:val="00422BE5"/>
    <w:rsid w:val="004466C8"/>
    <w:rsid w:val="004503E4"/>
    <w:rsid w:val="004824C0"/>
    <w:rsid w:val="004C4DA4"/>
    <w:rsid w:val="004D6E3C"/>
    <w:rsid w:val="00500796"/>
    <w:rsid w:val="00516277"/>
    <w:rsid w:val="00516483"/>
    <w:rsid w:val="005467DC"/>
    <w:rsid w:val="00553D03"/>
    <w:rsid w:val="005875FF"/>
    <w:rsid w:val="00592833"/>
    <w:rsid w:val="005A4B2F"/>
    <w:rsid w:val="005B2B6D"/>
    <w:rsid w:val="005B4B4E"/>
    <w:rsid w:val="005B57A2"/>
    <w:rsid w:val="005D48EB"/>
    <w:rsid w:val="00610C74"/>
    <w:rsid w:val="006163C9"/>
    <w:rsid w:val="00624FE1"/>
    <w:rsid w:val="00637B75"/>
    <w:rsid w:val="00645195"/>
    <w:rsid w:val="0067292F"/>
    <w:rsid w:val="0067531C"/>
    <w:rsid w:val="00691868"/>
    <w:rsid w:val="0069289A"/>
    <w:rsid w:val="006972CB"/>
    <w:rsid w:val="006A14E2"/>
    <w:rsid w:val="006A416D"/>
    <w:rsid w:val="00704983"/>
    <w:rsid w:val="0070755D"/>
    <w:rsid w:val="0071011C"/>
    <w:rsid w:val="007208D6"/>
    <w:rsid w:val="00722B8C"/>
    <w:rsid w:val="00724FD8"/>
    <w:rsid w:val="0077299A"/>
    <w:rsid w:val="00775DC1"/>
    <w:rsid w:val="007A547D"/>
    <w:rsid w:val="007D20EE"/>
    <w:rsid w:val="007F1C2B"/>
    <w:rsid w:val="00804065"/>
    <w:rsid w:val="008243DD"/>
    <w:rsid w:val="008551C8"/>
    <w:rsid w:val="008979CD"/>
    <w:rsid w:val="008B397C"/>
    <w:rsid w:val="008B47F4"/>
    <w:rsid w:val="008B7496"/>
    <w:rsid w:val="008C0EE9"/>
    <w:rsid w:val="00900019"/>
    <w:rsid w:val="0094237F"/>
    <w:rsid w:val="00943096"/>
    <w:rsid w:val="00944FB7"/>
    <w:rsid w:val="00963DA6"/>
    <w:rsid w:val="00986CCC"/>
    <w:rsid w:val="0099063E"/>
    <w:rsid w:val="009C6A54"/>
    <w:rsid w:val="009D2ED6"/>
    <w:rsid w:val="009D547F"/>
    <w:rsid w:val="009E63D9"/>
    <w:rsid w:val="009E6BE1"/>
    <w:rsid w:val="009F03A8"/>
    <w:rsid w:val="00A6306C"/>
    <w:rsid w:val="00A769B1"/>
    <w:rsid w:val="00A837D5"/>
    <w:rsid w:val="00A83833"/>
    <w:rsid w:val="00A87771"/>
    <w:rsid w:val="00AA73A7"/>
    <w:rsid w:val="00AC4C45"/>
    <w:rsid w:val="00AD0214"/>
    <w:rsid w:val="00B24A5C"/>
    <w:rsid w:val="00B37329"/>
    <w:rsid w:val="00B46F21"/>
    <w:rsid w:val="00B47486"/>
    <w:rsid w:val="00B511A5"/>
    <w:rsid w:val="00B736A7"/>
    <w:rsid w:val="00B7651F"/>
    <w:rsid w:val="00BA4434"/>
    <w:rsid w:val="00BA6ADF"/>
    <w:rsid w:val="00BB131C"/>
    <w:rsid w:val="00BC2928"/>
    <w:rsid w:val="00BC646C"/>
    <w:rsid w:val="00BE64A9"/>
    <w:rsid w:val="00C07921"/>
    <w:rsid w:val="00C30DB9"/>
    <w:rsid w:val="00C51EC1"/>
    <w:rsid w:val="00C56E09"/>
    <w:rsid w:val="00C61BA7"/>
    <w:rsid w:val="00C65889"/>
    <w:rsid w:val="00CD398D"/>
    <w:rsid w:val="00CD4403"/>
    <w:rsid w:val="00CF096B"/>
    <w:rsid w:val="00D01B87"/>
    <w:rsid w:val="00D34BC7"/>
    <w:rsid w:val="00D537BB"/>
    <w:rsid w:val="00D55E61"/>
    <w:rsid w:val="00D627F7"/>
    <w:rsid w:val="00D67625"/>
    <w:rsid w:val="00D744A3"/>
    <w:rsid w:val="00D76476"/>
    <w:rsid w:val="00D83ECF"/>
    <w:rsid w:val="00DB19DD"/>
    <w:rsid w:val="00DC102D"/>
    <w:rsid w:val="00DC72FC"/>
    <w:rsid w:val="00DD5C4E"/>
    <w:rsid w:val="00DE61BC"/>
    <w:rsid w:val="00DE75FE"/>
    <w:rsid w:val="00DF7267"/>
    <w:rsid w:val="00E16D30"/>
    <w:rsid w:val="00E33169"/>
    <w:rsid w:val="00E376BB"/>
    <w:rsid w:val="00E6406F"/>
    <w:rsid w:val="00E70904"/>
    <w:rsid w:val="00EB0763"/>
    <w:rsid w:val="00ED5356"/>
    <w:rsid w:val="00EF1C6D"/>
    <w:rsid w:val="00EF44B1"/>
    <w:rsid w:val="00F00F38"/>
    <w:rsid w:val="00F05047"/>
    <w:rsid w:val="00F06FA9"/>
    <w:rsid w:val="00F1181B"/>
    <w:rsid w:val="00F12DB1"/>
    <w:rsid w:val="00F21AE5"/>
    <w:rsid w:val="00F26830"/>
    <w:rsid w:val="00F35AA0"/>
    <w:rsid w:val="00F804CC"/>
    <w:rsid w:val="00F90793"/>
    <w:rsid w:val="00FA6CA9"/>
    <w:rsid w:val="00FC5455"/>
    <w:rsid w:val="00FD192F"/>
    <w:rsid w:val="00FF1E89"/>
    <w:rsid w:val="016E63C2"/>
    <w:rsid w:val="024B0C39"/>
    <w:rsid w:val="06F1517B"/>
    <w:rsid w:val="0A8128A6"/>
    <w:rsid w:val="0BF32A1B"/>
    <w:rsid w:val="1087116E"/>
    <w:rsid w:val="10BD2C22"/>
    <w:rsid w:val="1A970BDC"/>
    <w:rsid w:val="21F53B0C"/>
    <w:rsid w:val="22987C80"/>
    <w:rsid w:val="24192CCC"/>
    <w:rsid w:val="2AFD6BD7"/>
    <w:rsid w:val="2F2B0BEC"/>
    <w:rsid w:val="357710DD"/>
    <w:rsid w:val="370E2FCD"/>
    <w:rsid w:val="384F5BC3"/>
    <w:rsid w:val="39A66CD4"/>
    <w:rsid w:val="3BF00633"/>
    <w:rsid w:val="3CD52CE1"/>
    <w:rsid w:val="3F08223D"/>
    <w:rsid w:val="3FB14F66"/>
    <w:rsid w:val="410F2E6A"/>
    <w:rsid w:val="4430136C"/>
    <w:rsid w:val="4AB0382B"/>
    <w:rsid w:val="4CBB51C6"/>
    <w:rsid w:val="4F5F7369"/>
    <w:rsid w:val="4F6E2C4E"/>
    <w:rsid w:val="569868B5"/>
    <w:rsid w:val="586C61D3"/>
    <w:rsid w:val="5F4173A0"/>
    <w:rsid w:val="611F6817"/>
    <w:rsid w:val="61856A94"/>
    <w:rsid w:val="66CA1754"/>
    <w:rsid w:val="67543B23"/>
    <w:rsid w:val="6F1E65D4"/>
    <w:rsid w:val="6F266C86"/>
    <w:rsid w:val="6F5042C2"/>
    <w:rsid w:val="72121847"/>
    <w:rsid w:val="722634BE"/>
    <w:rsid w:val="726B4714"/>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6</Pages>
  <Words>3913</Words>
  <Characters>4139</Characters>
  <Lines>5</Lines>
  <Paragraphs>8</Paragraphs>
  <TotalTime>1</TotalTime>
  <ScaleCrop>false</ScaleCrop>
  <LinksUpToDate>false</LinksUpToDate>
  <CharactersWithSpaces>4279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ymf</cp:lastModifiedBy>
  <cp:lastPrinted>2022-02-23T09:46:00Z</cp:lastPrinted>
  <dcterms:modified xsi:type="dcterms:W3CDTF">2023-09-20T06:51:48Z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0E97FAAF5F644F51B478471438660E11</vt:lpwstr>
  </property>
</Properties>
</file>