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8A21C">
      <w:pPr>
        <w:jc w:val="center"/>
        <w:rPr>
          <w:rFonts w:ascii="黑体" w:hAnsi="黑体" w:eastAsia="黑体"/>
          <w:bCs/>
          <w:sz w:val="32"/>
          <w:szCs w:val="32"/>
        </w:rPr>
      </w:pPr>
      <w:r>
        <w:rPr>
          <w:rFonts w:hint="eastAsia" w:ascii="黑体" w:hAnsi="黑体" w:eastAsia="黑体"/>
          <w:bCs/>
          <w:sz w:val="32"/>
          <w:szCs w:val="32"/>
        </w:rPr>
        <w:t>本科课程教学大纲（理论课）</w:t>
      </w:r>
    </w:p>
    <w:p w14:paraId="6D59B73A">
      <w:pPr>
        <w:pStyle w:val="16"/>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66A8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017057A">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93307E5">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（中文）老龄化与全球健康</w:t>
            </w:r>
          </w:p>
        </w:tc>
      </w:tr>
      <w:tr w14:paraId="7C082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20CFE859">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B49B7E4">
            <w:pPr>
              <w:widowControl w:val="0"/>
              <w:jc w:val="left"/>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w:t>
            </w:r>
            <w:r>
              <w:rPr>
                <w:rFonts w:ascii="Times New Roman" w:hAnsi="Times New Roman" w:cs="Times New Roman"/>
                <w:color w:val="000000" w:themeColor="text1"/>
                <w:sz w:val="21"/>
                <w:szCs w:val="21"/>
                <w14:textFill>
                  <w14:solidFill>
                    <w14:schemeClr w14:val="tx1"/>
                  </w14:solidFill>
                </w14:textFill>
              </w:rPr>
              <w:t>Aging and Global Health</w:t>
            </w:r>
          </w:p>
        </w:tc>
      </w:tr>
      <w:tr w14:paraId="5B80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455B6B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DFB3E0C">
            <w:pPr>
              <w:widowControl w:val="0"/>
              <w:jc w:val="left"/>
              <w:rPr>
                <w:rFonts w:ascii="黑体" w:hAnsi="黑体" w:eastAsia="黑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2070008</w:t>
            </w:r>
          </w:p>
        </w:tc>
        <w:tc>
          <w:tcPr>
            <w:tcW w:w="2126" w:type="dxa"/>
            <w:gridSpan w:val="2"/>
            <w:vAlign w:val="center"/>
          </w:tcPr>
          <w:p w14:paraId="22F91AE5">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85F8275">
            <w:pPr>
              <w:widowControl w:val="0"/>
              <w:jc w:val="center"/>
              <w:rPr>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p>
        </w:tc>
      </w:tr>
      <w:tr w14:paraId="498A0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FAE36AA">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582717C9">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32</w:t>
            </w:r>
          </w:p>
        </w:tc>
        <w:tc>
          <w:tcPr>
            <w:tcW w:w="1272" w:type="dxa"/>
            <w:vAlign w:val="center"/>
          </w:tcPr>
          <w:p w14:paraId="4D0611FE">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2B4F641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413" w:type="dxa"/>
            <w:gridSpan w:val="2"/>
            <w:vAlign w:val="center"/>
          </w:tcPr>
          <w:p w14:paraId="433BB19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46D7D5E6">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6500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3315BE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DC620B6">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26" w:type="dxa"/>
            <w:gridSpan w:val="2"/>
            <w:vAlign w:val="center"/>
          </w:tcPr>
          <w:p w14:paraId="1219E90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3FA5A39">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护理学二年级</w:t>
            </w:r>
          </w:p>
        </w:tc>
      </w:tr>
      <w:tr w14:paraId="5B630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CB5F4C8">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4DCBE68">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p>
        </w:tc>
        <w:tc>
          <w:tcPr>
            <w:tcW w:w="2126" w:type="dxa"/>
            <w:gridSpan w:val="2"/>
            <w:vAlign w:val="center"/>
          </w:tcPr>
          <w:p w14:paraId="35171D4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3EBDAC3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1A10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CD8AA11">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7ED1E72">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sz w:val="21"/>
                <w:szCs w:val="21"/>
              </w:rPr>
              <w:t>《老龄化与全球健康》 冯友梅、吴蓓 ISBN9787117257381 人民卫生出版社 第1版</w:t>
            </w:r>
          </w:p>
        </w:tc>
        <w:tc>
          <w:tcPr>
            <w:tcW w:w="1413" w:type="dxa"/>
            <w:gridSpan w:val="2"/>
            <w:vAlign w:val="center"/>
          </w:tcPr>
          <w:p w14:paraId="1598EB3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787987BC">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67F6A83E">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A9A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8B649F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61180736">
            <w:pPr>
              <w:pStyle w:val="14"/>
              <w:widowControl w:val="0"/>
              <w:jc w:val="left"/>
            </w:pPr>
            <w:r>
              <w:rPr>
                <w:rFonts w:hint="eastAsia"/>
              </w:rPr>
              <w:t>健康评估2070017（4）</w:t>
            </w:r>
          </w:p>
          <w:p w14:paraId="382D21A0">
            <w:pPr>
              <w:pStyle w:val="14"/>
              <w:widowControl w:val="0"/>
              <w:jc w:val="both"/>
            </w:pPr>
            <w:r>
              <w:rPr>
                <w:rFonts w:hint="eastAsia"/>
              </w:rPr>
              <w:t>护理学导论2070015（1）</w:t>
            </w:r>
          </w:p>
        </w:tc>
      </w:tr>
      <w:tr w14:paraId="789E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0A841536">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8CEE92C">
            <w:pPr>
              <w:pStyle w:val="14"/>
              <w:widowControl w:val="0"/>
              <w:ind w:firstLine="420" w:firstLineChars="200"/>
              <w:jc w:val="both"/>
            </w:pPr>
            <w:r>
              <w:rPr>
                <w:rFonts w:hint="eastAsia"/>
              </w:rPr>
              <w:t>人口老龄化已成为全球关注的焦点，快速老龄化引起了我国党和政府及社会各界的高度重视，要促进老年健康，学习老龄化与全球健康课程的必要性不言而喻。本课程第一章主要概述全球人口老龄化与全球健康问题；第二至六章系统介绍老年疾病与健康相关的基本理论、基本知识与基本技能；第七至十一章集中讲述老龄化背景下的全球健康治理策略、措施与行动；第十二至十四章则分别从全球老年人群主要慢性非传染性疾病、传染性疾病、认知障碍与失能3个方面，阐述其流行病学分布、疾病负担、影响因素与预防措施。学生不仅能够理解人口老龄化问题而且能够自觉关注老年人及其健康，并意识到要去影响老年个体和群体、家庭、社区和社会等整个体系的共同参与以及获得老年人相关政策的支持以促进健康老龄化。</w:t>
            </w:r>
          </w:p>
        </w:tc>
      </w:tr>
      <w:tr w14:paraId="01EF2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25" w:hRule="atLeast"/>
        </w:trPr>
        <w:tc>
          <w:tcPr>
            <w:tcW w:w="1691" w:type="dxa"/>
            <w:tcBorders>
              <w:left w:val="single" w:color="auto" w:sz="12" w:space="0"/>
              <w:bottom w:val="double" w:color="auto" w:sz="4" w:space="0"/>
            </w:tcBorders>
            <w:shd w:val="clear" w:color="auto" w:fill="auto"/>
            <w:vAlign w:val="center"/>
          </w:tcPr>
          <w:p w14:paraId="0260903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3F555A89">
            <w:pPr>
              <w:pStyle w:val="14"/>
              <w:widowControl w:val="0"/>
              <w:jc w:val="both"/>
            </w:pPr>
            <w:r>
              <w:t>该课程适合</w:t>
            </w:r>
            <w:r>
              <w:rPr>
                <w:rFonts w:hint="eastAsia"/>
              </w:rPr>
              <w:t>于护理学本科二</w:t>
            </w:r>
            <w:r>
              <w:t>年级</w:t>
            </w:r>
            <w:r>
              <w:rPr>
                <w:rFonts w:hint="eastAsia"/>
              </w:rPr>
              <w:t>下学期开设，需要具备一定的基础护理学知识。</w:t>
            </w:r>
          </w:p>
        </w:tc>
      </w:tr>
      <w:tr w14:paraId="227A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DDDDEE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D5B86DD">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552450" cy="21463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8233" cy="23256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1D6F015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3A4CDF97">
            <w:pPr>
              <w:widowControl w:val="0"/>
              <w:jc w:val="center"/>
              <w:rPr>
                <w:rFonts w:hint="default" w:ascii="Times New Roman" w:hAnsi="Times New Roman" w:eastAsia="宋体"/>
                <w:color w:val="000000"/>
                <w:sz w:val="21"/>
                <w:szCs w:val="21"/>
                <w:lang w:val="en-US" w:eastAsia="zh-CN"/>
              </w:rPr>
            </w:pPr>
            <w:r>
              <w:rPr>
                <w:rFonts w:ascii="Times New Roman" w:hAnsi="Times New Roman"/>
                <w:color w:val="000000"/>
                <w:sz w:val="21"/>
                <w:szCs w:val="21"/>
              </w:rPr>
              <w:t>2025</w:t>
            </w:r>
            <w:r>
              <w:rPr>
                <w:rFonts w:hint="eastAsia" w:ascii="Times New Roman" w:hAnsi="Times New Roman"/>
                <w:color w:val="000000"/>
                <w:sz w:val="21"/>
                <w:szCs w:val="21"/>
                <w:lang w:val="en-US" w:eastAsia="zh-CN"/>
              </w:rPr>
              <w:t>.</w:t>
            </w:r>
            <w:r>
              <w:rPr>
                <w:rFonts w:ascii="Times New Roman" w:hAnsi="Times New Roman"/>
                <w:color w:val="000000"/>
                <w:sz w:val="21"/>
                <w:szCs w:val="21"/>
              </w:rPr>
              <w:t>2</w:t>
            </w:r>
            <w:r>
              <w:rPr>
                <w:rFonts w:hint="eastAsia" w:ascii="Times New Roman" w:hAnsi="Times New Roman"/>
                <w:color w:val="000000"/>
                <w:sz w:val="21"/>
                <w:szCs w:val="21"/>
                <w:lang w:val="en-US" w:eastAsia="zh-CN"/>
              </w:rPr>
              <w:t>.17</w:t>
            </w:r>
          </w:p>
        </w:tc>
      </w:tr>
      <w:tr w14:paraId="63AE4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436D463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4EE1F578">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466725" cy="269875"/>
                  <wp:effectExtent l="0" t="0" r="9525" b="0"/>
                  <wp:docPr id="1855276398" name="图片 1"/>
                  <wp:cNvGraphicFramePr/>
                  <a:graphic xmlns:a="http://schemas.openxmlformats.org/drawingml/2006/main">
                    <a:graphicData uri="http://schemas.openxmlformats.org/drawingml/2006/picture">
                      <pic:pic xmlns:pic="http://schemas.openxmlformats.org/drawingml/2006/picture">
                        <pic:nvPicPr>
                          <pic:cNvPr id="1855276398" name="图片 1"/>
                          <pic:cNvPicPr/>
                        </pic:nvPicPr>
                        <pic:blipFill>
                          <a:blip r:embed="rId6">
                            <a:extLst>
                              <a:ext uri="{28A0092B-C50C-407E-A947-70E740481C1C}">
                                <a14:useLocalDpi xmlns:a14="http://schemas.microsoft.com/office/drawing/2010/main" val="0"/>
                              </a:ext>
                            </a:extLst>
                          </a:blip>
                          <a:srcRect/>
                          <a:stretch>
                            <a:fillRect/>
                          </a:stretch>
                        </pic:blipFill>
                        <pic:spPr>
                          <a:xfrm>
                            <a:off x="0" y="0"/>
                            <a:ext cx="466725" cy="269875"/>
                          </a:xfrm>
                          <a:prstGeom prst="rect">
                            <a:avLst/>
                          </a:prstGeom>
                          <a:noFill/>
                        </pic:spPr>
                      </pic:pic>
                    </a:graphicData>
                  </a:graphic>
                </wp:inline>
              </w:drawing>
            </w:r>
            <w:r>
              <w:rPr>
                <w:rFonts w:hint="eastAsia"/>
                <w:sz w:val="21"/>
                <w:szCs w:val="21"/>
              </w:rPr>
              <w:t>（签名）</w:t>
            </w:r>
          </w:p>
        </w:tc>
        <w:tc>
          <w:tcPr>
            <w:tcW w:w="1425" w:type="dxa"/>
            <w:gridSpan w:val="2"/>
            <w:vAlign w:val="center"/>
          </w:tcPr>
          <w:p w14:paraId="62A57B08">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536B781A">
            <w:pPr>
              <w:widowControl w:val="0"/>
              <w:jc w:val="center"/>
              <w:rPr>
                <w:rFonts w:hint="default" w:ascii="Times New Roman" w:hAnsi="Times New Roman"/>
                <w:color w:val="000000"/>
                <w:sz w:val="21"/>
                <w:szCs w:val="21"/>
                <w:lang w:val="en-US"/>
              </w:rPr>
            </w:pPr>
            <w:r>
              <w:rPr>
                <w:rFonts w:ascii="Times New Roman" w:hAnsi="Times New Roman"/>
                <w:color w:val="000000"/>
                <w:sz w:val="21"/>
                <w:szCs w:val="21"/>
              </w:rPr>
              <w:t>2025</w:t>
            </w:r>
            <w:r>
              <w:rPr>
                <w:rFonts w:hint="eastAsia" w:ascii="Times New Roman" w:hAnsi="Times New Roman"/>
                <w:color w:val="000000"/>
                <w:sz w:val="21"/>
                <w:szCs w:val="21"/>
                <w:lang w:val="en-US" w:eastAsia="zh-CN"/>
              </w:rPr>
              <w:t>.2.25</w:t>
            </w:r>
          </w:p>
        </w:tc>
      </w:tr>
      <w:tr w14:paraId="1E989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AFB89B9">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2CC8E3C">
            <w:pPr>
              <w:widowControl w:val="0"/>
              <w:jc w:val="right"/>
              <w:rPr>
                <w:rFonts w:ascii="黑体" w:hAnsi="黑体" w:eastAsia="黑体"/>
                <w:color w:val="000000" w:themeColor="text1"/>
                <w:sz w:val="21"/>
                <w:szCs w:val="21"/>
                <w14:textFill>
                  <w14:solidFill>
                    <w14:schemeClr w14:val="tx1"/>
                  </w14:solidFill>
                </w14:textFill>
              </w:rPr>
            </w:pPr>
            <w:r>
              <w:drawing>
                <wp:inline distT="0" distB="0" distL="0" distR="0">
                  <wp:extent cx="428625" cy="240030"/>
                  <wp:effectExtent l="0" t="0" r="952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rcRect t="17878" r="8749" b="15298"/>
                          <a:stretch>
                            <a:fillRect/>
                          </a:stretch>
                        </pic:blipFill>
                        <pic:spPr>
                          <a:xfrm>
                            <a:off x="0" y="0"/>
                            <a:ext cx="428704" cy="240074"/>
                          </a:xfrm>
                          <a:prstGeom prst="rect">
                            <a:avLst/>
                          </a:prstGeom>
                          <a:ln>
                            <a:noFill/>
                          </a:ln>
                        </pic:spPr>
                      </pic:pic>
                    </a:graphicData>
                  </a:graphic>
                </wp:inline>
              </w:drawing>
            </w:r>
            <w:r>
              <w:rPr>
                <w:rFonts w:hint="eastAsia"/>
                <w:sz w:val="21"/>
                <w:szCs w:val="21"/>
              </w:rPr>
              <w:t>（签名）</w:t>
            </w:r>
          </w:p>
        </w:tc>
        <w:tc>
          <w:tcPr>
            <w:tcW w:w="1425" w:type="dxa"/>
            <w:gridSpan w:val="2"/>
            <w:tcBorders>
              <w:bottom w:val="single" w:color="auto" w:sz="12" w:space="0"/>
            </w:tcBorders>
            <w:vAlign w:val="center"/>
          </w:tcPr>
          <w:p w14:paraId="0CA7A8B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39009845">
            <w:pPr>
              <w:widowControl w:val="0"/>
              <w:jc w:val="center"/>
              <w:rPr>
                <w:rFonts w:hint="default" w:ascii="Times New Roman" w:hAnsi="Times New Roman" w:eastAsia="宋体"/>
                <w:color w:val="000000"/>
                <w:sz w:val="21"/>
                <w:szCs w:val="21"/>
                <w:lang w:val="en-US" w:eastAsia="zh-CN"/>
              </w:rPr>
            </w:pPr>
            <w:r>
              <w:rPr>
                <w:rFonts w:ascii="Times New Roman" w:hAnsi="Times New Roman"/>
                <w:color w:val="000000"/>
                <w:sz w:val="21"/>
                <w:szCs w:val="21"/>
              </w:rPr>
              <w:t>2025</w:t>
            </w:r>
            <w:r>
              <w:rPr>
                <w:rFonts w:hint="eastAsia" w:ascii="Times New Roman" w:hAnsi="Times New Roman"/>
                <w:color w:val="000000"/>
                <w:sz w:val="21"/>
                <w:szCs w:val="21"/>
                <w:lang w:val="en-US" w:eastAsia="zh-CN"/>
              </w:rPr>
              <w:t>.2</w:t>
            </w:r>
            <w:bookmarkStart w:id="4" w:name="_GoBack"/>
            <w:bookmarkEnd w:id="4"/>
            <w:r>
              <w:rPr>
                <w:rFonts w:hint="eastAsia" w:ascii="Times New Roman" w:hAnsi="Times New Roman"/>
                <w:color w:val="000000"/>
                <w:sz w:val="21"/>
                <w:szCs w:val="21"/>
                <w:lang w:val="en-US" w:eastAsia="zh-CN"/>
              </w:rPr>
              <w:t>.28</w:t>
            </w:r>
          </w:p>
        </w:tc>
      </w:tr>
    </w:tbl>
    <w:p w14:paraId="4CBCC112">
      <w:pPr>
        <w:spacing w:line="100" w:lineRule="exact"/>
        <w:rPr>
          <w:rFonts w:ascii="Arial" w:hAnsi="Arial" w:eastAsia="黑体"/>
        </w:rPr>
      </w:pPr>
      <w:r>
        <w:br w:type="page"/>
      </w:r>
    </w:p>
    <w:p w14:paraId="22DC4B0B">
      <w:pPr>
        <w:pStyle w:val="16"/>
        <w:spacing w:before="326" w:beforeLines="100" w:line="360" w:lineRule="auto"/>
        <w:rPr>
          <w:rFonts w:ascii="黑体" w:hAnsi="宋体"/>
        </w:rPr>
      </w:pPr>
      <w:r>
        <w:rPr>
          <w:rFonts w:hint="eastAsia" w:ascii="黑体" w:hAnsi="宋体"/>
        </w:rPr>
        <w:t>二、课程目标与毕业要求</w:t>
      </w:r>
    </w:p>
    <w:p w14:paraId="2D74790D">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63AFDA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12EF2DC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90982A0">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B969424">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61E4F7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005765F9">
            <w:pPr>
              <w:snapToGrid w:val="0"/>
              <w:jc w:val="center"/>
            </w:pPr>
            <w:r>
              <w:rPr>
                <w:rFonts w:hint="eastAsia" w:ascii="黑体" w:hAnsi="黑体" w:eastAsia="黑体"/>
                <w:bCs/>
                <w:color w:val="000000"/>
                <w:sz w:val="21"/>
                <w:szCs w:val="18"/>
              </w:rPr>
              <w:t>知识目标</w:t>
            </w:r>
          </w:p>
        </w:tc>
        <w:tc>
          <w:tcPr>
            <w:tcW w:w="764" w:type="dxa"/>
            <w:shd w:val="clear" w:color="auto" w:fill="auto"/>
            <w:vAlign w:val="center"/>
          </w:tcPr>
          <w:p w14:paraId="047D415B">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26974935">
            <w:pPr>
              <w:pStyle w:val="14"/>
              <w:jc w:val="left"/>
              <w:rPr>
                <w:rFonts w:ascii="宋体" w:hAnsi="宋体"/>
                <w:bCs/>
              </w:rPr>
            </w:pPr>
            <w:r>
              <w:rPr>
                <w:rFonts w:hint="eastAsia" w:ascii="宋体" w:hAnsi="宋体"/>
              </w:rPr>
              <w:t>阐述全球人口老龄化的相关概念、特征、趋势及挑战。</w:t>
            </w:r>
          </w:p>
        </w:tc>
      </w:tr>
      <w:tr w14:paraId="105DBE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25DE69E5">
            <w:pPr>
              <w:pStyle w:val="14"/>
              <w:rPr>
                <w:bCs/>
              </w:rPr>
            </w:pPr>
          </w:p>
        </w:tc>
        <w:tc>
          <w:tcPr>
            <w:tcW w:w="764" w:type="dxa"/>
            <w:shd w:val="clear" w:color="auto" w:fill="auto"/>
            <w:vAlign w:val="center"/>
          </w:tcPr>
          <w:p w14:paraId="582246F5">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78A17826">
            <w:pPr>
              <w:pStyle w:val="14"/>
              <w:jc w:val="left"/>
              <w:rPr>
                <w:rFonts w:ascii="宋体" w:hAnsi="宋体"/>
                <w:bCs/>
              </w:rPr>
            </w:pPr>
            <w:r>
              <w:rPr>
                <w:rFonts w:hint="eastAsia" w:ascii="宋体" w:hAnsi="宋体"/>
                <w:bCs/>
              </w:rPr>
              <w:t>理解各国的老年健康公共政策体系的内容。</w:t>
            </w:r>
          </w:p>
        </w:tc>
      </w:tr>
      <w:tr w14:paraId="1A2EEC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481597C">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7DC4B6CC">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37055FF5">
            <w:pPr>
              <w:pStyle w:val="14"/>
              <w:jc w:val="left"/>
              <w:rPr>
                <w:rFonts w:ascii="宋体" w:hAnsi="宋体"/>
                <w:bCs/>
              </w:rPr>
            </w:pPr>
            <w:r>
              <w:rPr>
                <w:rFonts w:hint="eastAsia" w:ascii="宋体" w:hAnsi="宋体"/>
                <w:bCs/>
              </w:rPr>
              <w:t>运用与老年人有效沟通的能力。</w:t>
            </w:r>
          </w:p>
        </w:tc>
      </w:tr>
      <w:tr w14:paraId="5B476D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370A5D21">
            <w:pPr>
              <w:pStyle w:val="14"/>
              <w:rPr>
                <w:rFonts w:ascii="宋体" w:hAnsi="宋体"/>
              </w:rPr>
            </w:pPr>
          </w:p>
        </w:tc>
        <w:tc>
          <w:tcPr>
            <w:tcW w:w="764" w:type="dxa"/>
            <w:shd w:val="clear" w:color="auto" w:fill="auto"/>
            <w:vAlign w:val="center"/>
          </w:tcPr>
          <w:p w14:paraId="7DDF8433">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E3193FC">
            <w:pPr>
              <w:pStyle w:val="14"/>
              <w:jc w:val="left"/>
              <w:rPr>
                <w:rFonts w:ascii="宋体" w:hAnsi="宋体"/>
                <w:bCs/>
              </w:rPr>
            </w:pPr>
            <w:r>
              <w:rPr>
                <w:rFonts w:hint="eastAsia" w:ascii="宋体" w:hAnsi="宋体"/>
                <w:bCs/>
              </w:rPr>
              <w:t>养成初步的评判性思维和解决问题的能力。</w:t>
            </w:r>
          </w:p>
        </w:tc>
      </w:tr>
      <w:tr w14:paraId="203A7A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4FC26501">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77CC668">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779A670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501CBF3B">
            <w:pPr>
              <w:pStyle w:val="14"/>
              <w:jc w:val="left"/>
              <w:rPr>
                <w:rFonts w:ascii="宋体" w:hAnsi="宋体"/>
                <w:bCs/>
              </w:rPr>
            </w:pPr>
            <w:r>
              <w:rPr>
                <w:rFonts w:hint="eastAsia" w:ascii="宋体" w:hAnsi="宋体"/>
                <w:bCs/>
              </w:rPr>
              <w:t>尊重老年人，培养自觉关注老年人及其健康的意识和行为。</w:t>
            </w:r>
          </w:p>
        </w:tc>
      </w:tr>
      <w:tr w14:paraId="7DD50D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9075312">
            <w:pPr>
              <w:pStyle w:val="14"/>
              <w:rPr>
                <w:rFonts w:ascii="宋体" w:hAnsi="宋体"/>
              </w:rPr>
            </w:pPr>
          </w:p>
        </w:tc>
        <w:tc>
          <w:tcPr>
            <w:tcW w:w="764" w:type="dxa"/>
            <w:shd w:val="clear" w:color="auto" w:fill="auto"/>
            <w:vAlign w:val="center"/>
          </w:tcPr>
          <w:p w14:paraId="5635E66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2BC4298F">
            <w:pPr>
              <w:pStyle w:val="14"/>
              <w:jc w:val="left"/>
              <w:rPr>
                <w:rFonts w:ascii="宋体" w:hAnsi="宋体"/>
                <w:bCs/>
              </w:rPr>
            </w:pPr>
            <w:r>
              <w:rPr>
                <w:rFonts w:hint="eastAsia" w:ascii="宋体" w:hAnsi="宋体"/>
                <w:bCs/>
              </w:rPr>
              <w:t>注意去影响老年个体和群体、家庭、社区和社会等整个体系的共同参与以及获得老年人相关政策的支持以促进健康老龄化。</w:t>
            </w:r>
          </w:p>
        </w:tc>
      </w:tr>
    </w:tbl>
    <w:p w14:paraId="0247320E">
      <w:pPr>
        <w:pStyle w:val="17"/>
        <w:spacing w:before="163" w:beforeLines="50" w:after="163"/>
        <w:rPr>
          <w:rFonts w:hint="eastAsia"/>
        </w:rPr>
      </w:pPr>
      <w:r>
        <w:rPr>
          <w:rFonts w:hint="eastAsia"/>
        </w:rPr>
        <w:t>（二）课程支撑的毕业要求</w:t>
      </w:r>
    </w:p>
    <w:tbl>
      <w:tblPr>
        <w:tblStyle w:val="8"/>
        <w:tblpPr w:leftFromText="180" w:rightFromText="180" w:vertAnchor="text" w:horzAnchor="page" w:tblpX="1952" w:tblpY="633"/>
        <w:tblW w:w="8276"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5A55306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76" w:type="dxa"/>
          </w:tcPr>
          <w:p w14:paraId="7E9F0632">
            <w:pPr>
              <w:pStyle w:val="14"/>
              <w:widowControl w:val="0"/>
              <w:jc w:val="left"/>
              <w:rPr>
                <w:rFonts w:cs="Times New Roman"/>
                <w:bCs/>
              </w:rPr>
            </w:pPr>
            <w:r>
              <w:rPr>
                <w:rFonts w:cs="Times New Roman"/>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54DA2685">
            <w:pPr>
              <w:pStyle w:val="14"/>
              <w:widowControl w:val="0"/>
              <w:jc w:val="left"/>
              <w:rPr>
                <w:rFonts w:cs="Times New Roman"/>
                <w:bCs/>
              </w:rPr>
            </w:pPr>
            <w:r>
              <w:rPr>
                <w:rFonts w:cs="Times New Roman"/>
                <w:bCs/>
              </w:rPr>
              <w:t>③奉献社会，富有爱心，懂得感恩，自觉传承和弘扬雷锋精神，具有服务社会的意愿和行动，积极参加志愿者服务。</w:t>
            </w:r>
          </w:p>
        </w:tc>
      </w:tr>
      <w:tr w14:paraId="782427B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3FB6BECF">
            <w:pPr>
              <w:pStyle w:val="14"/>
              <w:widowControl w:val="0"/>
              <w:jc w:val="left"/>
              <w:rPr>
                <w:rFonts w:cs="Times New Roman"/>
                <w:bCs/>
              </w:rPr>
            </w:pPr>
            <w:r>
              <w:rPr>
                <w:rFonts w:cs="Times New Roman"/>
                <w:bCs/>
              </w:rPr>
              <w:t>LO4自主学习：能根据环境需要确定自己的学习目标，并主动地通过搜集信息、分析信息、讨论、实践、质疑、创造等方法来实现学习目标。</w:t>
            </w:r>
          </w:p>
          <w:p w14:paraId="21A53637">
            <w:pPr>
              <w:pStyle w:val="14"/>
              <w:widowControl w:val="0"/>
              <w:jc w:val="left"/>
              <w:rPr>
                <w:rFonts w:cs="Times New Roman"/>
                <w:bCs/>
              </w:rPr>
            </w:pPr>
            <w:r>
              <w:rPr>
                <w:rFonts w:cs="Times New Roman"/>
                <w:bCs/>
              </w:rPr>
              <w:t>①能根据需要确定学习目标，并设计学习计划。</w:t>
            </w:r>
          </w:p>
          <w:p w14:paraId="0358FB9F">
            <w:pPr>
              <w:pStyle w:val="14"/>
              <w:widowControl w:val="0"/>
              <w:jc w:val="left"/>
              <w:rPr>
                <w:rFonts w:cs="Times New Roman"/>
                <w:bCs/>
              </w:rPr>
            </w:pPr>
            <w:r>
              <w:rPr>
                <w:rFonts w:cs="Times New Roman"/>
                <w:bCs/>
              </w:rPr>
              <w:t>②能搜集、获取达到目标所需要的学习资源，实施学习计划、反思学习计划、持续改进，达到学习目标。</w:t>
            </w:r>
          </w:p>
        </w:tc>
      </w:tr>
      <w:tr w14:paraId="78CFE957">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B88BAEE">
            <w:pPr>
              <w:pStyle w:val="14"/>
              <w:widowControl w:val="0"/>
              <w:jc w:val="left"/>
              <w:rPr>
                <w:rFonts w:cs="Times New Roman"/>
                <w:bCs/>
              </w:rPr>
            </w:pPr>
            <w:r>
              <w:rPr>
                <w:rFonts w:cs="Times New Roman"/>
                <w:bCs/>
              </w:rPr>
              <w:t>LO6协同创新：同群体保持良好的合作关系，做集体中的积极成员，善于自我管理和团队管理；善于从多个维度思考问题，利用自己的知识与实践来提出新设想。</w:t>
            </w:r>
          </w:p>
          <w:p w14:paraId="14E20C4E">
            <w:pPr>
              <w:pStyle w:val="14"/>
              <w:widowControl w:val="0"/>
              <w:jc w:val="left"/>
              <w:rPr>
                <w:rFonts w:cs="Times New Roman"/>
                <w:bCs/>
              </w:rPr>
            </w:pPr>
            <w:r>
              <w:rPr>
                <w:rFonts w:cs="Times New Roman"/>
                <w:bCs/>
              </w:rPr>
              <w:t>②有质疑精神，能有逻辑的分析与批判。</w:t>
            </w:r>
          </w:p>
        </w:tc>
      </w:tr>
      <w:tr w14:paraId="136F4F7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79B582F">
            <w:pPr>
              <w:pStyle w:val="14"/>
              <w:widowControl w:val="0"/>
              <w:jc w:val="left"/>
              <w:rPr>
                <w:rFonts w:cs="Times New Roman"/>
                <w:bCs/>
              </w:rPr>
            </w:pPr>
            <w:r>
              <w:rPr>
                <w:rFonts w:cs="Times New Roman"/>
                <w:bCs/>
              </w:rPr>
              <w:t>LO8国际视野：具有基本的外语表达沟通能力与跨文化理解能力，有国际竞争与合作的意识。</w:t>
            </w:r>
          </w:p>
          <w:p w14:paraId="0115013D">
            <w:pPr>
              <w:pStyle w:val="14"/>
              <w:widowControl w:val="0"/>
              <w:jc w:val="left"/>
              <w:rPr>
                <w:rFonts w:cs="Times New Roman"/>
                <w:bCs/>
              </w:rPr>
            </w:pPr>
            <w:r>
              <w:rPr>
                <w:rFonts w:cs="Times New Roman"/>
                <w:bCs/>
              </w:rPr>
              <w:t>②理解其他国家历史文化，有跨文化交流能力。</w:t>
            </w:r>
          </w:p>
          <w:p w14:paraId="75D069A3">
            <w:pPr>
              <w:pStyle w:val="14"/>
              <w:widowControl w:val="0"/>
              <w:jc w:val="left"/>
              <w:rPr>
                <w:rFonts w:cs="Times New Roman"/>
                <w:bCs/>
              </w:rPr>
            </w:pPr>
            <w:r>
              <w:rPr>
                <w:rFonts w:cs="Times New Roman"/>
                <w:bCs/>
              </w:rPr>
              <w:t>③有国际竞争与合作意识。</w:t>
            </w:r>
          </w:p>
        </w:tc>
      </w:tr>
    </w:tbl>
    <w:p w14:paraId="37AF1ADF">
      <w:pPr>
        <w:pStyle w:val="17"/>
        <w:spacing w:before="163" w:beforeLines="50" w:after="163"/>
        <w:rPr>
          <w:rFonts w:hint="eastAsia"/>
        </w:rPr>
      </w:pPr>
    </w:p>
    <w:p w14:paraId="16814518">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36465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5529DA2">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48BAA261">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086FC81A">
            <w:pPr>
              <w:pStyle w:val="13"/>
              <w:rPr>
                <w:szCs w:val="16"/>
              </w:rPr>
            </w:pPr>
            <w:r>
              <w:rPr>
                <w:rFonts w:hint="eastAsia"/>
                <w:szCs w:val="16"/>
              </w:rPr>
              <w:t>支撑度</w:t>
            </w:r>
          </w:p>
        </w:tc>
        <w:tc>
          <w:tcPr>
            <w:tcW w:w="4651" w:type="dxa"/>
            <w:tcBorders>
              <w:top w:val="single" w:color="auto" w:sz="12" w:space="0"/>
            </w:tcBorders>
            <w:vAlign w:val="center"/>
          </w:tcPr>
          <w:p w14:paraId="35E9E4F1">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5D8A53D">
            <w:pPr>
              <w:pStyle w:val="13"/>
              <w:rPr>
                <w:szCs w:val="16"/>
              </w:rPr>
            </w:pPr>
            <w:r>
              <w:rPr>
                <w:rFonts w:hint="eastAsia"/>
                <w:szCs w:val="16"/>
              </w:rPr>
              <w:t>对指标点的贡献度</w:t>
            </w:r>
          </w:p>
        </w:tc>
      </w:tr>
      <w:tr w14:paraId="65F03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AD0C6D6">
            <w:pPr>
              <w:pStyle w:val="14"/>
            </w:pPr>
            <w:r>
              <w:rPr>
                <w:rFonts w:cs="Times New Roman"/>
                <w:bCs/>
              </w:rPr>
              <w:t>LO1</w:t>
            </w:r>
          </w:p>
        </w:tc>
        <w:tc>
          <w:tcPr>
            <w:tcW w:w="775" w:type="dxa"/>
            <w:vMerge w:val="restart"/>
            <w:tcBorders>
              <w:left w:val="single" w:color="auto" w:sz="4" w:space="0"/>
            </w:tcBorders>
            <w:vAlign w:val="center"/>
          </w:tcPr>
          <w:p w14:paraId="57D9BAAB">
            <w:pPr>
              <w:pStyle w:val="14"/>
              <w:rPr>
                <w:rFonts w:cs="Times New Roman"/>
                <w:bCs/>
              </w:rPr>
            </w:pPr>
            <w:r>
              <w:rPr>
                <w:rFonts w:hint="eastAsia" w:cs="Times New Roman"/>
                <w:bCs/>
              </w:rPr>
              <w:t>③</w:t>
            </w:r>
          </w:p>
        </w:tc>
        <w:tc>
          <w:tcPr>
            <w:tcW w:w="775" w:type="dxa"/>
            <w:vMerge w:val="restart"/>
            <w:tcBorders>
              <w:right w:val="double" w:color="auto" w:sz="4" w:space="0"/>
            </w:tcBorders>
            <w:shd w:val="clear" w:color="auto" w:fill="auto"/>
            <w:vAlign w:val="center"/>
          </w:tcPr>
          <w:p w14:paraId="622AE101">
            <w:pPr>
              <w:pStyle w:val="14"/>
              <w:rPr>
                <w:rFonts w:ascii="宋体" w:hAnsi="宋体"/>
              </w:rPr>
            </w:pPr>
            <w:r>
              <w:rPr>
                <w:rFonts w:hint="eastAsia" w:ascii="宋体" w:hAnsi="宋体"/>
              </w:rPr>
              <w:t>H</w:t>
            </w:r>
          </w:p>
        </w:tc>
        <w:tc>
          <w:tcPr>
            <w:tcW w:w="4651" w:type="dxa"/>
            <w:vAlign w:val="center"/>
          </w:tcPr>
          <w:p w14:paraId="18D708D3">
            <w:pPr>
              <w:pStyle w:val="14"/>
              <w:jc w:val="left"/>
              <w:rPr>
                <w:rFonts w:ascii="宋体" w:hAnsi="宋体"/>
                <w:bCs/>
              </w:rPr>
            </w:pPr>
            <w:r>
              <w:rPr>
                <w:rFonts w:hint="eastAsia" w:ascii="宋体" w:hAnsi="宋体"/>
                <w:bCs/>
              </w:rPr>
              <w:t>5尊重老年人，培养自觉关注老年人及其健康的意识和行为。</w:t>
            </w:r>
          </w:p>
        </w:tc>
        <w:tc>
          <w:tcPr>
            <w:tcW w:w="1316" w:type="dxa"/>
            <w:tcBorders>
              <w:right w:val="single" w:color="auto" w:sz="12" w:space="0"/>
            </w:tcBorders>
            <w:vAlign w:val="center"/>
          </w:tcPr>
          <w:p w14:paraId="3E24C50B">
            <w:pPr>
              <w:pStyle w:val="14"/>
              <w:rPr>
                <w:rFonts w:ascii="宋体" w:hAnsi="宋体"/>
                <w:bCs/>
              </w:rPr>
            </w:pPr>
            <w:r>
              <w:rPr>
                <w:rFonts w:hint="eastAsia" w:ascii="宋体" w:hAnsi="宋体"/>
                <w:bCs/>
              </w:rPr>
              <w:t>50%</w:t>
            </w:r>
          </w:p>
        </w:tc>
      </w:tr>
      <w:tr w14:paraId="331DA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5BC2439F">
            <w:pPr>
              <w:pStyle w:val="14"/>
              <w:rPr>
                <w:b/>
              </w:rPr>
            </w:pPr>
          </w:p>
        </w:tc>
        <w:tc>
          <w:tcPr>
            <w:tcW w:w="775" w:type="dxa"/>
            <w:vMerge w:val="continue"/>
            <w:tcBorders>
              <w:left w:val="single" w:color="auto" w:sz="4" w:space="0"/>
            </w:tcBorders>
            <w:vAlign w:val="center"/>
          </w:tcPr>
          <w:p w14:paraId="07A9EC94">
            <w:pPr>
              <w:pStyle w:val="14"/>
              <w:rPr>
                <w:bCs/>
              </w:rPr>
            </w:pPr>
          </w:p>
        </w:tc>
        <w:tc>
          <w:tcPr>
            <w:tcW w:w="775" w:type="dxa"/>
            <w:vMerge w:val="continue"/>
            <w:tcBorders>
              <w:right w:val="double" w:color="auto" w:sz="4" w:space="0"/>
            </w:tcBorders>
            <w:shd w:val="clear" w:color="auto" w:fill="auto"/>
            <w:vAlign w:val="center"/>
          </w:tcPr>
          <w:p w14:paraId="03289E54">
            <w:pPr>
              <w:pStyle w:val="14"/>
              <w:rPr>
                <w:rFonts w:ascii="宋体" w:hAnsi="宋体"/>
              </w:rPr>
            </w:pPr>
          </w:p>
        </w:tc>
        <w:tc>
          <w:tcPr>
            <w:tcW w:w="4651" w:type="dxa"/>
            <w:vAlign w:val="center"/>
          </w:tcPr>
          <w:p w14:paraId="1A3EDC32">
            <w:pPr>
              <w:pStyle w:val="14"/>
              <w:jc w:val="both"/>
              <w:rPr>
                <w:rFonts w:ascii="宋体" w:hAnsi="宋体"/>
                <w:bCs/>
              </w:rPr>
            </w:pPr>
            <w:r>
              <w:rPr>
                <w:rFonts w:hint="eastAsia" w:ascii="宋体" w:hAnsi="宋体"/>
                <w:bCs/>
              </w:rPr>
              <w:t>6注意去影响老年个体和群体、家庭、社区和社会等整个体系的共同参与以及获得老年人相关政策的支持以促进健康老龄化。</w:t>
            </w:r>
          </w:p>
        </w:tc>
        <w:tc>
          <w:tcPr>
            <w:tcW w:w="1316" w:type="dxa"/>
            <w:tcBorders>
              <w:right w:val="single" w:color="auto" w:sz="12" w:space="0"/>
            </w:tcBorders>
            <w:vAlign w:val="center"/>
          </w:tcPr>
          <w:p w14:paraId="292A8B74">
            <w:pPr>
              <w:pStyle w:val="14"/>
              <w:rPr>
                <w:rFonts w:ascii="宋体" w:hAnsi="宋体"/>
                <w:bCs/>
              </w:rPr>
            </w:pPr>
            <w:r>
              <w:rPr>
                <w:rFonts w:hint="eastAsia" w:ascii="宋体" w:hAnsi="宋体"/>
                <w:bCs/>
              </w:rPr>
              <w:t>50%</w:t>
            </w:r>
          </w:p>
        </w:tc>
      </w:tr>
      <w:tr w14:paraId="10287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tcPr>
          <w:p w14:paraId="712D1E01">
            <w:pPr>
              <w:pStyle w:val="14"/>
            </w:pPr>
            <w:r>
              <w:rPr>
                <w:rFonts w:cs="Times New Roman"/>
                <w:bCs/>
              </w:rPr>
              <w:t>LO</w:t>
            </w:r>
            <w:r>
              <w:rPr>
                <w:rFonts w:hint="eastAsia" w:cs="Times New Roman"/>
                <w:bCs/>
              </w:rPr>
              <w:t>4</w:t>
            </w:r>
          </w:p>
        </w:tc>
        <w:tc>
          <w:tcPr>
            <w:tcW w:w="775" w:type="dxa"/>
            <w:vMerge w:val="restart"/>
            <w:tcBorders>
              <w:left w:val="single" w:color="auto" w:sz="4" w:space="0"/>
            </w:tcBorders>
            <w:vAlign w:val="center"/>
          </w:tcPr>
          <w:p w14:paraId="4208EC23">
            <w:pPr>
              <w:pStyle w:val="14"/>
              <w:rPr>
                <w:rFonts w:cs="Times New Roman"/>
                <w:bCs/>
              </w:rPr>
            </w:pPr>
            <w:r>
              <w:rPr>
                <w:rFonts w:hint="eastAsia" w:cs="Times New Roman"/>
                <w:bCs/>
              </w:rPr>
              <w:t>①</w:t>
            </w:r>
          </w:p>
        </w:tc>
        <w:tc>
          <w:tcPr>
            <w:tcW w:w="775" w:type="dxa"/>
            <w:vMerge w:val="restart"/>
            <w:tcBorders>
              <w:right w:val="double" w:color="auto" w:sz="4" w:space="0"/>
            </w:tcBorders>
            <w:shd w:val="clear" w:color="auto" w:fill="auto"/>
            <w:vAlign w:val="center"/>
          </w:tcPr>
          <w:p w14:paraId="6F0EBAF1">
            <w:pPr>
              <w:pStyle w:val="14"/>
              <w:rPr>
                <w:rFonts w:ascii="宋体" w:hAnsi="宋体"/>
              </w:rPr>
            </w:pPr>
            <w:r>
              <w:rPr>
                <w:rFonts w:hint="eastAsia" w:ascii="宋体" w:hAnsi="宋体"/>
              </w:rPr>
              <w:t>H</w:t>
            </w:r>
          </w:p>
        </w:tc>
        <w:tc>
          <w:tcPr>
            <w:tcW w:w="4651" w:type="dxa"/>
            <w:vAlign w:val="center"/>
          </w:tcPr>
          <w:p w14:paraId="43B7642E">
            <w:pPr>
              <w:pStyle w:val="14"/>
              <w:jc w:val="left"/>
              <w:rPr>
                <w:rFonts w:ascii="宋体" w:hAnsi="宋体"/>
                <w:bCs/>
              </w:rPr>
            </w:pPr>
            <w:r>
              <w:rPr>
                <w:rFonts w:hint="eastAsia" w:ascii="宋体" w:hAnsi="宋体"/>
                <w:bCs/>
              </w:rPr>
              <w:t>1</w:t>
            </w:r>
            <w:r>
              <w:rPr>
                <w:rFonts w:hint="eastAsia" w:ascii="宋体" w:hAnsi="宋体"/>
                <w:sz w:val="20"/>
                <w:szCs w:val="20"/>
              </w:rPr>
              <w:t>阐述全球人口老龄化的相关概念、特征、趋势及挑战。</w:t>
            </w:r>
          </w:p>
        </w:tc>
        <w:tc>
          <w:tcPr>
            <w:tcW w:w="1316" w:type="dxa"/>
            <w:tcBorders>
              <w:right w:val="single" w:color="auto" w:sz="12" w:space="0"/>
            </w:tcBorders>
            <w:vAlign w:val="center"/>
          </w:tcPr>
          <w:p w14:paraId="66828B7D">
            <w:pPr>
              <w:pStyle w:val="14"/>
              <w:rPr>
                <w:rFonts w:ascii="宋体" w:hAnsi="宋体"/>
                <w:bCs/>
              </w:rPr>
            </w:pPr>
          </w:p>
        </w:tc>
      </w:tr>
      <w:tr w14:paraId="5FB2D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tcPr>
          <w:p w14:paraId="3ACB9C83">
            <w:pPr>
              <w:pStyle w:val="14"/>
            </w:pPr>
          </w:p>
        </w:tc>
        <w:tc>
          <w:tcPr>
            <w:tcW w:w="775" w:type="dxa"/>
            <w:vMerge w:val="continue"/>
            <w:tcBorders>
              <w:left w:val="single" w:color="auto" w:sz="4" w:space="0"/>
            </w:tcBorders>
            <w:vAlign w:val="center"/>
          </w:tcPr>
          <w:p w14:paraId="528FA380">
            <w:pPr>
              <w:pStyle w:val="14"/>
              <w:rPr>
                <w:rFonts w:cs="Times New Roman"/>
                <w:bCs/>
              </w:rPr>
            </w:pPr>
          </w:p>
        </w:tc>
        <w:tc>
          <w:tcPr>
            <w:tcW w:w="775" w:type="dxa"/>
            <w:vMerge w:val="continue"/>
            <w:tcBorders>
              <w:right w:val="double" w:color="auto" w:sz="4" w:space="0"/>
            </w:tcBorders>
            <w:shd w:val="clear" w:color="auto" w:fill="auto"/>
            <w:vAlign w:val="center"/>
          </w:tcPr>
          <w:p w14:paraId="57A46FB3">
            <w:pPr>
              <w:pStyle w:val="14"/>
              <w:rPr>
                <w:rFonts w:ascii="宋体" w:hAnsi="宋体"/>
              </w:rPr>
            </w:pPr>
          </w:p>
        </w:tc>
        <w:tc>
          <w:tcPr>
            <w:tcW w:w="4651" w:type="dxa"/>
            <w:vAlign w:val="center"/>
          </w:tcPr>
          <w:p w14:paraId="47CE90DC">
            <w:pPr>
              <w:pStyle w:val="14"/>
              <w:jc w:val="left"/>
              <w:rPr>
                <w:rFonts w:ascii="宋体" w:hAnsi="宋体"/>
                <w:bCs/>
              </w:rPr>
            </w:pPr>
            <w:r>
              <w:rPr>
                <w:rFonts w:hint="eastAsia" w:ascii="宋体" w:hAnsi="宋体"/>
                <w:bCs/>
              </w:rPr>
              <w:t>2理解各国的老年健康公共政策体系的内容。</w:t>
            </w:r>
          </w:p>
        </w:tc>
        <w:tc>
          <w:tcPr>
            <w:tcW w:w="1316" w:type="dxa"/>
            <w:tcBorders>
              <w:right w:val="single" w:color="auto" w:sz="12" w:space="0"/>
            </w:tcBorders>
            <w:vAlign w:val="center"/>
          </w:tcPr>
          <w:p w14:paraId="38D60EA7">
            <w:pPr>
              <w:pStyle w:val="14"/>
              <w:rPr>
                <w:rFonts w:ascii="宋体" w:hAnsi="宋体"/>
                <w:bCs/>
              </w:rPr>
            </w:pPr>
          </w:p>
        </w:tc>
      </w:tr>
      <w:tr w14:paraId="43793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tcPr>
          <w:p w14:paraId="7E3B90A4">
            <w:pPr>
              <w:pStyle w:val="14"/>
            </w:pPr>
          </w:p>
        </w:tc>
        <w:tc>
          <w:tcPr>
            <w:tcW w:w="775" w:type="dxa"/>
            <w:tcBorders>
              <w:left w:val="single" w:color="auto" w:sz="4" w:space="0"/>
            </w:tcBorders>
            <w:vAlign w:val="center"/>
          </w:tcPr>
          <w:p w14:paraId="352316FB">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16484F40">
            <w:pPr>
              <w:pStyle w:val="14"/>
              <w:rPr>
                <w:rFonts w:ascii="宋体" w:hAnsi="宋体"/>
              </w:rPr>
            </w:pPr>
            <w:r>
              <w:rPr>
                <w:rFonts w:hint="eastAsia" w:ascii="宋体" w:hAnsi="宋体"/>
              </w:rPr>
              <w:t>M</w:t>
            </w:r>
          </w:p>
        </w:tc>
        <w:tc>
          <w:tcPr>
            <w:tcW w:w="4651" w:type="dxa"/>
            <w:vAlign w:val="center"/>
          </w:tcPr>
          <w:p w14:paraId="4E9C2258">
            <w:pPr>
              <w:pStyle w:val="14"/>
              <w:jc w:val="left"/>
              <w:rPr>
                <w:rFonts w:ascii="宋体" w:hAnsi="宋体"/>
                <w:bCs/>
              </w:rPr>
            </w:pPr>
            <w:r>
              <w:rPr>
                <w:rFonts w:hint="eastAsia" w:ascii="宋体" w:hAnsi="宋体"/>
                <w:bCs/>
              </w:rPr>
              <w:t>4养成初步的评判性思维和解决问题的能力。</w:t>
            </w:r>
          </w:p>
        </w:tc>
        <w:tc>
          <w:tcPr>
            <w:tcW w:w="1316" w:type="dxa"/>
            <w:tcBorders>
              <w:right w:val="single" w:color="auto" w:sz="12" w:space="0"/>
            </w:tcBorders>
            <w:vAlign w:val="center"/>
          </w:tcPr>
          <w:p w14:paraId="5537E4A6">
            <w:pPr>
              <w:pStyle w:val="14"/>
              <w:rPr>
                <w:rFonts w:ascii="宋体" w:hAnsi="宋体"/>
                <w:bCs/>
              </w:rPr>
            </w:pPr>
          </w:p>
        </w:tc>
      </w:tr>
      <w:tr w14:paraId="68C38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tcPr>
          <w:p w14:paraId="7A562067">
            <w:pPr>
              <w:pStyle w:val="14"/>
            </w:pPr>
            <w:r>
              <w:rPr>
                <w:rFonts w:cs="Times New Roman"/>
                <w:bCs/>
              </w:rPr>
              <w:t>LO</w:t>
            </w:r>
            <w:r>
              <w:rPr>
                <w:rFonts w:hint="eastAsia" w:cs="Times New Roman"/>
                <w:bCs/>
              </w:rPr>
              <w:t>6</w:t>
            </w:r>
          </w:p>
        </w:tc>
        <w:tc>
          <w:tcPr>
            <w:tcW w:w="775" w:type="dxa"/>
            <w:tcBorders>
              <w:left w:val="single" w:color="auto" w:sz="4" w:space="0"/>
            </w:tcBorders>
            <w:vAlign w:val="center"/>
          </w:tcPr>
          <w:p w14:paraId="347163D3">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16F5906C">
            <w:pPr>
              <w:pStyle w:val="14"/>
              <w:rPr>
                <w:rFonts w:ascii="宋体" w:hAnsi="宋体"/>
              </w:rPr>
            </w:pPr>
            <w:r>
              <w:rPr>
                <w:rFonts w:hint="eastAsia" w:ascii="宋体" w:hAnsi="宋体"/>
              </w:rPr>
              <w:t>H</w:t>
            </w:r>
          </w:p>
        </w:tc>
        <w:tc>
          <w:tcPr>
            <w:tcW w:w="4651" w:type="dxa"/>
            <w:vAlign w:val="center"/>
          </w:tcPr>
          <w:p w14:paraId="16A1D713">
            <w:pPr>
              <w:pStyle w:val="14"/>
              <w:jc w:val="left"/>
              <w:rPr>
                <w:rFonts w:ascii="宋体" w:hAnsi="宋体"/>
                <w:bCs/>
              </w:rPr>
            </w:pPr>
            <w:r>
              <w:rPr>
                <w:rFonts w:hint="eastAsia" w:ascii="宋体" w:hAnsi="宋体"/>
                <w:bCs/>
              </w:rPr>
              <w:t>4养成初步的评判性思维和解决问题的能力。</w:t>
            </w:r>
          </w:p>
        </w:tc>
        <w:tc>
          <w:tcPr>
            <w:tcW w:w="1316" w:type="dxa"/>
            <w:tcBorders>
              <w:right w:val="single" w:color="auto" w:sz="12" w:space="0"/>
            </w:tcBorders>
            <w:vAlign w:val="center"/>
          </w:tcPr>
          <w:p w14:paraId="719D0F1E">
            <w:pPr>
              <w:pStyle w:val="14"/>
              <w:rPr>
                <w:rFonts w:ascii="宋体" w:hAnsi="宋体"/>
                <w:bCs/>
              </w:rPr>
            </w:pPr>
          </w:p>
        </w:tc>
      </w:tr>
      <w:tr w14:paraId="6633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tcPr>
          <w:p w14:paraId="6FF9383C">
            <w:pPr>
              <w:pStyle w:val="14"/>
            </w:pPr>
            <w:r>
              <w:rPr>
                <w:rFonts w:cs="Times New Roman"/>
                <w:bCs/>
              </w:rPr>
              <w:t>LO</w:t>
            </w:r>
            <w:r>
              <w:rPr>
                <w:rFonts w:hint="eastAsia" w:cs="Times New Roman"/>
                <w:bCs/>
              </w:rPr>
              <w:t>8</w:t>
            </w:r>
          </w:p>
        </w:tc>
        <w:tc>
          <w:tcPr>
            <w:tcW w:w="775" w:type="dxa"/>
            <w:vMerge w:val="restart"/>
            <w:tcBorders>
              <w:left w:val="single" w:color="auto" w:sz="4" w:space="0"/>
            </w:tcBorders>
            <w:vAlign w:val="center"/>
          </w:tcPr>
          <w:p w14:paraId="0DF0D425">
            <w:pPr>
              <w:pStyle w:val="14"/>
              <w:rPr>
                <w:rFonts w:cs="Times New Roman"/>
                <w:bCs/>
              </w:rPr>
            </w:pPr>
            <w:r>
              <w:rPr>
                <w:rFonts w:hint="eastAsia" w:cs="Times New Roman"/>
                <w:bCs/>
              </w:rPr>
              <w:t>②</w:t>
            </w:r>
          </w:p>
        </w:tc>
        <w:tc>
          <w:tcPr>
            <w:tcW w:w="775" w:type="dxa"/>
            <w:vMerge w:val="restart"/>
            <w:tcBorders>
              <w:right w:val="double" w:color="auto" w:sz="4" w:space="0"/>
            </w:tcBorders>
            <w:shd w:val="clear" w:color="auto" w:fill="auto"/>
            <w:vAlign w:val="center"/>
          </w:tcPr>
          <w:p w14:paraId="0AED0DB7">
            <w:pPr>
              <w:pStyle w:val="14"/>
              <w:rPr>
                <w:rFonts w:ascii="宋体" w:hAnsi="宋体"/>
              </w:rPr>
            </w:pPr>
            <w:r>
              <w:rPr>
                <w:rFonts w:hint="eastAsia" w:ascii="宋体" w:hAnsi="宋体"/>
              </w:rPr>
              <w:t>H</w:t>
            </w:r>
          </w:p>
        </w:tc>
        <w:tc>
          <w:tcPr>
            <w:tcW w:w="4651" w:type="dxa"/>
            <w:tcBorders>
              <w:bottom w:val="single" w:color="auto" w:sz="12" w:space="0"/>
            </w:tcBorders>
            <w:vAlign w:val="center"/>
          </w:tcPr>
          <w:p w14:paraId="2D936992">
            <w:pPr>
              <w:pStyle w:val="14"/>
              <w:jc w:val="left"/>
              <w:rPr>
                <w:rFonts w:ascii="宋体" w:hAnsi="宋体"/>
                <w:bCs/>
              </w:rPr>
            </w:pPr>
            <w:r>
              <w:rPr>
                <w:rFonts w:hint="eastAsia" w:ascii="宋体" w:hAnsi="宋体"/>
                <w:bCs/>
              </w:rPr>
              <w:t>2理解各国的老年健康公共政策体系的内容。</w:t>
            </w:r>
          </w:p>
        </w:tc>
        <w:tc>
          <w:tcPr>
            <w:tcW w:w="1316" w:type="dxa"/>
            <w:tcBorders>
              <w:bottom w:val="single" w:color="auto" w:sz="12" w:space="0"/>
              <w:right w:val="single" w:color="auto" w:sz="12" w:space="0"/>
            </w:tcBorders>
            <w:vAlign w:val="center"/>
          </w:tcPr>
          <w:p w14:paraId="767D1ED3">
            <w:pPr>
              <w:pStyle w:val="14"/>
              <w:rPr>
                <w:rFonts w:ascii="宋体" w:hAnsi="宋体"/>
                <w:bCs/>
              </w:rPr>
            </w:pPr>
          </w:p>
        </w:tc>
      </w:tr>
      <w:tr w14:paraId="28A0C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tcPr>
          <w:p w14:paraId="3275D0D0">
            <w:pPr>
              <w:pStyle w:val="14"/>
            </w:pPr>
          </w:p>
        </w:tc>
        <w:tc>
          <w:tcPr>
            <w:tcW w:w="775" w:type="dxa"/>
            <w:vMerge w:val="continue"/>
            <w:tcBorders>
              <w:left w:val="single" w:color="auto" w:sz="4" w:space="0"/>
              <w:bottom w:val="single" w:color="auto" w:sz="12" w:space="0"/>
            </w:tcBorders>
            <w:vAlign w:val="center"/>
          </w:tcPr>
          <w:p w14:paraId="4E1AF364">
            <w:pPr>
              <w:pStyle w:val="14"/>
              <w:rPr>
                <w:rFonts w:cs="Times New Roman"/>
                <w:bCs/>
              </w:rPr>
            </w:pPr>
          </w:p>
        </w:tc>
        <w:tc>
          <w:tcPr>
            <w:tcW w:w="775" w:type="dxa"/>
            <w:vMerge w:val="continue"/>
            <w:tcBorders>
              <w:bottom w:val="single" w:color="auto" w:sz="12" w:space="0"/>
              <w:right w:val="double" w:color="auto" w:sz="4" w:space="0"/>
            </w:tcBorders>
            <w:shd w:val="clear" w:color="auto" w:fill="auto"/>
            <w:vAlign w:val="center"/>
          </w:tcPr>
          <w:p w14:paraId="2E1E7DB9">
            <w:pPr>
              <w:pStyle w:val="14"/>
              <w:rPr>
                <w:rFonts w:ascii="宋体" w:hAnsi="宋体"/>
              </w:rPr>
            </w:pPr>
          </w:p>
        </w:tc>
        <w:tc>
          <w:tcPr>
            <w:tcW w:w="4651" w:type="dxa"/>
            <w:tcBorders>
              <w:bottom w:val="single" w:color="auto" w:sz="12" w:space="0"/>
            </w:tcBorders>
            <w:vAlign w:val="center"/>
          </w:tcPr>
          <w:p w14:paraId="4E4D27E4">
            <w:pPr>
              <w:pStyle w:val="14"/>
              <w:jc w:val="left"/>
              <w:rPr>
                <w:rFonts w:ascii="宋体" w:hAnsi="宋体"/>
                <w:bCs/>
              </w:rPr>
            </w:pPr>
            <w:r>
              <w:rPr>
                <w:rFonts w:hint="eastAsia" w:ascii="宋体" w:hAnsi="宋体"/>
                <w:bCs/>
              </w:rPr>
              <w:t>3运用与老年人有效沟通的能力。</w:t>
            </w:r>
          </w:p>
        </w:tc>
        <w:tc>
          <w:tcPr>
            <w:tcW w:w="1316" w:type="dxa"/>
            <w:tcBorders>
              <w:bottom w:val="single" w:color="auto" w:sz="12" w:space="0"/>
              <w:right w:val="single" w:color="auto" w:sz="12" w:space="0"/>
            </w:tcBorders>
            <w:vAlign w:val="center"/>
          </w:tcPr>
          <w:p w14:paraId="353FF4F2">
            <w:pPr>
              <w:pStyle w:val="14"/>
              <w:rPr>
                <w:rFonts w:ascii="宋体" w:hAnsi="宋体"/>
                <w:bCs/>
              </w:rPr>
            </w:pPr>
          </w:p>
        </w:tc>
      </w:tr>
      <w:tr w14:paraId="74EEB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bottom w:val="single" w:color="auto" w:sz="12" w:space="0"/>
              <w:right w:val="single" w:color="auto" w:sz="4" w:space="0"/>
            </w:tcBorders>
            <w:shd w:val="clear" w:color="auto" w:fill="auto"/>
          </w:tcPr>
          <w:p w14:paraId="761BD2A8">
            <w:pPr>
              <w:pStyle w:val="14"/>
            </w:pPr>
          </w:p>
        </w:tc>
        <w:tc>
          <w:tcPr>
            <w:tcW w:w="775" w:type="dxa"/>
            <w:tcBorders>
              <w:left w:val="single" w:color="auto" w:sz="4" w:space="0"/>
              <w:bottom w:val="single" w:color="auto" w:sz="12" w:space="0"/>
            </w:tcBorders>
            <w:vAlign w:val="center"/>
          </w:tcPr>
          <w:p w14:paraId="167A018B">
            <w:pPr>
              <w:pStyle w:val="14"/>
              <w:rPr>
                <w:rFonts w:cs="Times New Roman"/>
                <w:bCs/>
              </w:rPr>
            </w:pPr>
            <w:r>
              <w:rPr>
                <w:rFonts w:hint="eastAsia" w:cs="Times New Roman"/>
                <w:bCs/>
              </w:rPr>
              <w:t>③</w:t>
            </w:r>
          </w:p>
        </w:tc>
        <w:tc>
          <w:tcPr>
            <w:tcW w:w="775" w:type="dxa"/>
            <w:tcBorders>
              <w:bottom w:val="single" w:color="auto" w:sz="12" w:space="0"/>
              <w:right w:val="double" w:color="auto" w:sz="4" w:space="0"/>
            </w:tcBorders>
            <w:shd w:val="clear" w:color="auto" w:fill="auto"/>
            <w:vAlign w:val="center"/>
          </w:tcPr>
          <w:p w14:paraId="3F7A120E">
            <w:pPr>
              <w:pStyle w:val="14"/>
              <w:rPr>
                <w:rFonts w:ascii="宋体" w:hAnsi="宋体"/>
              </w:rPr>
            </w:pPr>
            <w:r>
              <w:rPr>
                <w:rFonts w:hint="eastAsia" w:ascii="宋体" w:hAnsi="宋体"/>
              </w:rPr>
              <w:t>M</w:t>
            </w:r>
          </w:p>
        </w:tc>
        <w:tc>
          <w:tcPr>
            <w:tcW w:w="4651" w:type="dxa"/>
            <w:tcBorders>
              <w:bottom w:val="single" w:color="auto" w:sz="12" w:space="0"/>
            </w:tcBorders>
            <w:vAlign w:val="center"/>
          </w:tcPr>
          <w:p w14:paraId="615FE860">
            <w:pPr>
              <w:pStyle w:val="14"/>
              <w:jc w:val="left"/>
              <w:rPr>
                <w:rFonts w:ascii="宋体" w:hAnsi="宋体"/>
                <w:bCs/>
              </w:rPr>
            </w:pPr>
            <w:r>
              <w:rPr>
                <w:rFonts w:hint="eastAsia" w:ascii="宋体" w:hAnsi="宋体"/>
                <w:bCs/>
              </w:rPr>
              <w:t>2理解各国的老年健康公共政策体系的内容。</w:t>
            </w:r>
          </w:p>
        </w:tc>
        <w:tc>
          <w:tcPr>
            <w:tcW w:w="1316" w:type="dxa"/>
            <w:tcBorders>
              <w:bottom w:val="single" w:color="auto" w:sz="12" w:space="0"/>
              <w:right w:val="single" w:color="auto" w:sz="12" w:space="0"/>
            </w:tcBorders>
            <w:vAlign w:val="center"/>
          </w:tcPr>
          <w:p w14:paraId="53DA5564">
            <w:pPr>
              <w:pStyle w:val="14"/>
              <w:rPr>
                <w:rFonts w:ascii="宋体" w:hAnsi="宋体"/>
                <w:bCs/>
              </w:rPr>
            </w:pPr>
          </w:p>
        </w:tc>
      </w:tr>
    </w:tbl>
    <w:p w14:paraId="53701FB0">
      <w:pPr>
        <w:pStyle w:val="16"/>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5C1C8E2C">
      <w:pPr>
        <w:pStyle w:val="17"/>
        <w:spacing w:before="81" w:after="163"/>
      </w:pPr>
      <w:r>
        <w:rPr>
          <w:rFonts w:hint="eastAsia"/>
        </w:rPr>
        <w:t>（一）各教学单元预期学习成果与教学内容</w:t>
      </w:r>
    </w:p>
    <w:tbl>
      <w:tblPr>
        <w:tblStyle w:val="8"/>
        <w:tblW w:w="0" w:type="auto"/>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2"/>
      </w:tblGrid>
      <w:tr w14:paraId="2F961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6" w:type="dxa"/>
          </w:tcPr>
          <w:tbl>
            <w:tblPr>
              <w:tblStyle w:val="7"/>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083"/>
              <w:gridCol w:w="1798"/>
              <w:gridCol w:w="1661"/>
              <w:gridCol w:w="1304"/>
              <w:gridCol w:w="1844"/>
            </w:tblGrid>
            <w:tr w14:paraId="1F3A7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60" w:type="dxa"/>
                  <w:vAlign w:val="center"/>
                </w:tcPr>
                <w:p w14:paraId="4D2E69CE">
                  <w:pPr>
                    <w:snapToGrid w:val="0"/>
                    <w:spacing w:line="288" w:lineRule="auto"/>
                    <w:jc w:val="center"/>
                    <w:rPr>
                      <w:rFonts w:hAnsi="Times New Roman"/>
                      <w:b/>
                      <w:color w:val="000000"/>
                      <w:sz w:val="20"/>
                      <w:szCs w:val="20"/>
                    </w:rPr>
                  </w:pPr>
                  <w:r>
                    <w:rPr>
                      <w:rFonts w:hint="eastAsia"/>
                      <w:b/>
                      <w:color w:val="000000"/>
                      <w:sz w:val="20"/>
                      <w:szCs w:val="20"/>
                    </w:rPr>
                    <w:t>序号</w:t>
                  </w:r>
                </w:p>
              </w:tc>
              <w:tc>
                <w:tcPr>
                  <w:tcW w:w="1083" w:type="dxa"/>
                  <w:vAlign w:val="center"/>
                </w:tcPr>
                <w:p w14:paraId="6DBA29A1">
                  <w:pPr>
                    <w:snapToGrid w:val="0"/>
                    <w:spacing w:line="288" w:lineRule="auto"/>
                    <w:jc w:val="center"/>
                    <w:rPr>
                      <w:rFonts w:hAnsi="Times New Roman"/>
                      <w:b/>
                      <w:color w:val="000000"/>
                      <w:sz w:val="20"/>
                      <w:szCs w:val="20"/>
                    </w:rPr>
                  </w:pPr>
                  <w:r>
                    <w:rPr>
                      <w:rFonts w:hint="eastAsia"/>
                      <w:b/>
                      <w:color w:val="000000"/>
                      <w:sz w:val="20"/>
                      <w:szCs w:val="20"/>
                    </w:rPr>
                    <w:t>单元名称</w:t>
                  </w:r>
                </w:p>
              </w:tc>
              <w:tc>
                <w:tcPr>
                  <w:tcW w:w="1798" w:type="dxa"/>
                  <w:vAlign w:val="center"/>
                </w:tcPr>
                <w:p w14:paraId="2DE1DAF0">
                  <w:pPr>
                    <w:snapToGrid w:val="0"/>
                    <w:spacing w:line="288" w:lineRule="auto"/>
                    <w:jc w:val="center"/>
                    <w:rPr>
                      <w:rFonts w:hAnsi="Times New Roman"/>
                      <w:b/>
                      <w:color w:val="000000"/>
                      <w:sz w:val="20"/>
                      <w:szCs w:val="20"/>
                    </w:rPr>
                  </w:pPr>
                  <w:r>
                    <w:rPr>
                      <w:rFonts w:hint="eastAsia"/>
                      <w:b/>
                      <w:color w:val="000000"/>
                      <w:sz w:val="20"/>
                      <w:szCs w:val="20"/>
                    </w:rPr>
                    <w:t>知识点</w:t>
                  </w:r>
                </w:p>
              </w:tc>
              <w:tc>
                <w:tcPr>
                  <w:tcW w:w="1661" w:type="dxa"/>
                  <w:vAlign w:val="center"/>
                </w:tcPr>
                <w:p w14:paraId="27AC0773">
                  <w:pPr>
                    <w:snapToGrid w:val="0"/>
                    <w:spacing w:line="288" w:lineRule="auto"/>
                    <w:jc w:val="center"/>
                    <w:rPr>
                      <w:rFonts w:hAnsi="Times New Roman"/>
                      <w:b/>
                      <w:color w:val="000000"/>
                      <w:sz w:val="20"/>
                      <w:szCs w:val="20"/>
                    </w:rPr>
                  </w:pPr>
                  <w:r>
                    <w:rPr>
                      <w:rFonts w:hint="eastAsia"/>
                      <w:b/>
                      <w:color w:val="000000"/>
                      <w:sz w:val="20"/>
                      <w:szCs w:val="20"/>
                    </w:rPr>
                    <w:t>能力要求</w:t>
                  </w:r>
                </w:p>
              </w:tc>
              <w:tc>
                <w:tcPr>
                  <w:tcW w:w="1304" w:type="dxa"/>
                  <w:vAlign w:val="center"/>
                </w:tcPr>
                <w:p w14:paraId="11700159">
                  <w:pPr>
                    <w:snapToGrid w:val="0"/>
                    <w:spacing w:line="288" w:lineRule="auto"/>
                    <w:jc w:val="center"/>
                    <w:rPr>
                      <w:b/>
                      <w:color w:val="000000"/>
                      <w:sz w:val="20"/>
                      <w:szCs w:val="20"/>
                    </w:rPr>
                  </w:pPr>
                  <w:r>
                    <w:rPr>
                      <w:rFonts w:hint="eastAsia"/>
                      <w:b/>
                      <w:color w:val="000000"/>
                      <w:sz w:val="20"/>
                      <w:szCs w:val="20"/>
                    </w:rPr>
                    <w:t>情感目标</w:t>
                  </w:r>
                </w:p>
              </w:tc>
              <w:tc>
                <w:tcPr>
                  <w:tcW w:w="1844" w:type="dxa"/>
                  <w:vAlign w:val="center"/>
                </w:tcPr>
                <w:p w14:paraId="7EED9E19">
                  <w:pPr>
                    <w:snapToGrid w:val="0"/>
                    <w:spacing w:line="288" w:lineRule="auto"/>
                    <w:jc w:val="center"/>
                    <w:rPr>
                      <w:rFonts w:hAnsi="Times New Roman"/>
                      <w:b/>
                      <w:color w:val="000000"/>
                      <w:sz w:val="20"/>
                      <w:szCs w:val="20"/>
                    </w:rPr>
                  </w:pPr>
                  <w:r>
                    <w:rPr>
                      <w:rFonts w:hint="eastAsia"/>
                      <w:b/>
                      <w:color w:val="000000"/>
                      <w:sz w:val="20"/>
                      <w:szCs w:val="20"/>
                    </w:rPr>
                    <w:t>教学难点</w:t>
                  </w:r>
                </w:p>
              </w:tc>
            </w:tr>
            <w:tr w14:paraId="0F99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1D697E7E">
                  <w:pPr>
                    <w:snapToGrid w:val="0"/>
                    <w:spacing w:line="288" w:lineRule="auto"/>
                    <w:jc w:val="center"/>
                    <w:rPr>
                      <w:color w:val="000000"/>
                      <w:sz w:val="20"/>
                      <w:szCs w:val="20"/>
                    </w:rPr>
                  </w:pPr>
                  <w:r>
                    <w:rPr>
                      <w:color w:val="000000"/>
                      <w:sz w:val="20"/>
                      <w:szCs w:val="20"/>
                    </w:rPr>
                    <w:t>1</w:t>
                  </w:r>
                </w:p>
              </w:tc>
              <w:tc>
                <w:tcPr>
                  <w:tcW w:w="1083" w:type="dxa"/>
                  <w:vAlign w:val="center"/>
                </w:tcPr>
                <w:p w14:paraId="6BC62E20">
                  <w:pPr>
                    <w:snapToGrid w:val="0"/>
                    <w:spacing w:line="288" w:lineRule="auto"/>
                    <w:jc w:val="center"/>
                    <w:rPr>
                      <w:color w:val="000000"/>
                      <w:sz w:val="21"/>
                      <w:szCs w:val="21"/>
                    </w:rPr>
                  </w:pPr>
                  <w:r>
                    <w:rPr>
                      <w:rFonts w:hint="eastAsia"/>
                      <w:color w:val="000000"/>
                      <w:sz w:val="21"/>
                      <w:szCs w:val="21"/>
                    </w:rPr>
                    <w:t>概述</w:t>
                  </w:r>
                </w:p>
              </w:tc>
              <w:tc>
                <w:tcPr>
                  <w:tcW w:w="1798" w:type="dxa"/>
                </w:tcPr>
                <w:p w14:paraId="0DBE4020">
                  <w:pPr>
                    <w:snapToGrid w:val="0"/>
                    <w:spacing w:line="288" w:lineRule="auto"/>
                    <w:rPr>
                      <w:color w:val="000000"/>
                      <w:sz w:val="21"/>
                      <w:szCs w:val="21"/>
                    </w:rPr>
                  </w:pPr>
                  <w:r>
                    <w:rPr>
                      <w:rFonts w:hint="eastAsia"/>
                      <w:color w:val="000000"/>
                      <w:sz w:val="21"/>
                      <w:szCs w:val="21"/>
                    </w:rPr>
                    <w:t>1.知道全球人口老龄化的基本概念、特征及趋势。</w:t>
                  </w:r>
                </w:p>
                <w:p w14:paraId="4826E0D9">
                  <w:pPr>
                    <w:snapToGrid w:val="0"/>
                    <w:spacing w:line="288" w:lineRule="auto"/>
                    <w:rPr>
                      <w:color w:val="000000"/>
                      <w:sz w:val="21"/>
                      <w:szCs w:val="21"/>
                    </w:rPr>
                  </w:pPr>
                  <w:r>
                    <w:rPr>
                      <w:rFonts w:hint="eastAsia"/>
                      <w:color w:val="000000"/>
                      <w:sz w:val="21"/>
                      <w:szCs w:val="21"/>
                    </w:rPr>
                    <w:t>2.知道老年人口健康特征。</w:t>
                  </w:r>
                </w:p>
                <w:p w14:paraId="754CC576">
                  <w:pPr>
                    <w:snapToGrid w:val="0"/>
                    <w:spacing w:line="288" w:lineRule="auto"/>
                    <w:rPr>
                      <w:color w:val="000000"/>
                      <w:sz w:val="21"/>
                      <w:szCs w:val="21"/>
                    </w:rPr>
                  </w:pPr>
                  <w:r>
                    <w:rPr>
                      <w:rFonts w:hint="eastAsia"/>
                      <w:color w:val="000000"/>
                      <w:sz w:val="21"/>
                      <w:szCs w:val="21"/>
                    </w:rPr>
                    <w:t>3.理解老龄化对全球健康的挑战。</w:t>
                  </w:r>
                </w:p>
              </w:tc>
              <w:tc>
                <w:tcPr>
                  <w:tcW w:w="1661" w:type="dxa"/>
                </w:tcPr>
                <w:p w14:paraId="7B3C959C">
                  <w:pPr>
                    <w:snapToGrid w:val="0"/>
                    <w:spacing w:line="288" w:lineRule="auto"/>
                    <w:rPr>
                      <w:rFonts w:hAnsi="Times New Roman"/>
                      <w:b/>
                      <w:color w:val="000000"/>
                      <w:sz w:val="21"/>
                      <w:szCs w:val="21"/>
                    </w:rPr>
                  </w:pPr>
                  <w:r>
                    <w:rPr>
                      <w:rFonts w:hint="eastAsia"/>
                      <w:color w:val="000000"/>
                      <w:sz w:val="21"/>
                      <w:szCs w:val="21"/>
                    </w:rPr>
                    <w:t>在了解国际社会关于全球健康老龄化的策略与行动措施，形成帮助老年人拥有健康、积极参与社会发展是一种社会发展需要而不是奢求的认识。</w:t>
                  </w:r>
                </w:p>
              </w:tc>
              <w:tc>
                <w:tcPr>
                  <w:tcW w:w="1304" w:type="dxa"/>
                </w:tcPr>
                <w:p w14:paraId="461C01C9">
                  <w:pPr>
                    <w:snapToGrid w:val="0"/>
                    <w:spacing w:line="288" w:lineRule="auto"/>
                    <w:rPr>
                      <w:color w:val="000000"/>
                      <w:sz w:val="21"/>
                      <w:szCs w:val="21"/>
                    </w:rPr>
                  </w:pPr>
                  <w:r>
                    <w:rPr>
                      <w:rFonts w:hint="eastAsia"/>
                      <w:color w:val="000000"/>
                      <w:sz w:val="21"/>
                      <w:szCs w:val="21"/>
                    </w:rPr>
                    <w:t>1.热爱专业，关注专业发展动态及趋势。</w:t>
                  </w:r>
                </w:p>
                <w:p w14:paraId="08EFF889">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14FB5F8F">
                  <w:pPr>
                    <w:snapToGrid w:val="0"/>
                    <w:spacing w:line="288" w:lineRule="auto"/>
                    <w:rPr>
                      <w:color w:val="000000"/>
                      <w:sz w:val="21"/>
                      <w:szCs w:val="21"/>
                    </w:rPr>
                  </w:pPr>
                  <w:r>
                    <w:rPr>
                      <w:rFonts w:hint="eastAsia"/>
                      <w:color w:val="000000"/>
                      <w:sz w:val="21"/>
                      <w:szCs w:val="21"/>
                    </w:rPr>
                    <w:t>1.健康老龄化全球策略</w:t>
                  </w:r>
                </w:p>
                <w:p w14:paraId="2BE44CC5">
                  <w:pPr>
                    <w:snapToGrid w:val="0"/>
                    <w:spacing w:line="288" w:lineRule="auto"/>
                    <w:rPr>
                      <w:color w:val="000000"/>
                      <w:sz w:val="21"/>
                      <w:szCs w:val="21"/>
                    </w:rPr>
                  </w:pPr>
                  <w:r>
                    <w:rPr>
                      <w:rFonts w:hint="eastAsia"/>
                      <w:color w:val="000000"/>
                      <w:sz w:val="21"/>
                      <w:szCs w:val="21"/>
                    </w:rPr>
                    <w:t>2.健康老龄化全球治理</w:t>
                  </w:r>
                </w:p>
              </w:tc>
            </w:tr>
            <w:tr w14:paraId="0A1B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1D2A067E">
                  <w:pPr>
                    <w:snapToGrid w:val="0"/>
                    <w:spacing w:line="288" w:lineRule="auto"/>
                    <w:jc w:val="center"/>
                    <w:rPr>
                      <w:color w:val="000000"/>
                      <w:sz w:val="20"/>
                      <w:szCs w:val="20"/>
                    </w:rPr>
                  </w:pPr>
                  <w:r>
                    <w:rPr>
                      <w:rFonts w:hint="eastAsia"/>
                      <w:color w:val="000000"/>
                      <w:sz w:val="20"/>
                      <w:szCs w:val="20"/>
                    </w:rPr>
                    <w:t>2</w:t>
                  </w:r>
                </w:p>
              </w:tc>
              <w:tc>
                <w:tcPr>
                  <w:tcW w:w="1083" w:type="dxa"/>
                  <w:vAlign w:val="center"/>
                </w:tcPr>
                <w:p w14:paraId="1FCAF4C3">
                  <w:pPr>
                    <w:snapToGrid w:val="0"/>
                    <w:spacing w:line="288" w:lineRule="auto"/>
                    <w:jc w:val="center"/>
                    <w:rPr>
                      <w:color w:val="000000"/>
                      <w:sz w:val="21"/>
                      <w:szCs w:val="21"/>
                    </w:rPr>
                  </w:pPr>
                  <w:r>
                    <w:rPr>
                      <w:rFonts w:hint="eastAsia"/>
                      <w:color w:val="000000"/>
                      <w:sz w:val="21"/>
                      <w:szCs w:val="21"/>
                    </w:rPr>
                    <w:t>老年健康特征</w:t>
                  </w:r>
                </w:p>
              </w:tc>
              <w:tc>
                <w:tcPr>
                  <w:tcW w:w="1798" w:type="dxa"/>
                </w:tcPr>
                <w:p w14:paraId="1A18F0F4">
                  <w:pPr>
                    <w:snapToGrid w:val="0"/>
                    <w:spacing w:line="288" w:lineRule="auto"/>
                    <w:rPr>
                      <w:color w:val="000000"/>
                      <w:sz w:val="21"/>
                      <w:szCs w:val="21"/>
                    </w:rPr>
                  </w:pPr>
                  <w:r>
                    <w:rPr>
                      <w:rFonts w:hint="eastAsia"/>
                      <w:color w:val="000000"/>
                      <w:sz w:val="21"/>
                      <w:szCs w:val="21"/>
                    </w:rPr>
                    <w:t>1.知道老年期的外观与生理特征。</w:t>
                  </w:r>
                </w:p>
                <w:p w14:paraId="17B033C1">
                  <w:pPr>
                    <w:snapToGrid w:val="0"/>
                    <w:spacing w:line="288" w:lineRule="auto"/>
                    <w:rPr>
                      <w:color w:val="000000"/>
                      <w:sz w:val="21"/>
                      <w:szCs w:val="21"/>
                    </w:rPr>
                  </w:pPr>
                  <w:r>
                    <w:rPr>
                      <w:rFonts w:hint="eastAsia"/>
                      <w:color w:val="000000"/>
                      <w:sz w:val="21"/>
                      <w:szCs w:val="21"/>
                    </w:rPr>
                    <w:t>2.知道老年期的心理特征。</w:t>
                  </w:r>
                </w:p>
                <w:p w14:paraId="1E0CCAA1">
                  <w:pPr>
                    <w:snapToGrid w:val="0"/>
                    <w:spacing w:line="288" w:lineRule="auto"/>
                    <w:rPr>
                      <w:color w:val="000000"/>
                      <w:sz w:val="21"/>
                      <w:szCs w:val="21"/>
                    </w:rPr>
                  </w:pPr>
                  <w:r>
                    <w:rPr>
                      <w:rFonts w:hint="eastAsia"/>
                      <w:color w:val="000000"/>
                      <w:sz w:val="21"/>
                      <w:szCs w:val="21"/>
                    </w:rPr>
                    <w:t>3.理解胚胎期、儿童期、青年期和中年期的生理心理特征及与老年健康的关系。</w:t>
                  </w:r>
                </w:p>
              </w:tc>
              <w:tc>
                <w:tcPr>
                  <w:tcW w:w="1661" w:type="dxa"/>
                </w:tcPr>
                <w:p w14:paraId="10DD5372">
                  <w:pPr>
                    <w:snapToGrid w:val="0"/>
                    <w:spacing w:line="288" w:lineRule="auto"/>
                    <w:rPr>
                      <w:color w:val="000000"/>
                      <w:sz w:val="21"/>
                      <w:szCs w:val="21"/>
                    </w:rPr>
                  </w:pPr>
                  <w:r>
                    <w:rPr>
                      <w:rFonts w:hint="eastAsia"/>
                      <w:color w:val="000000"/>
                      <w:sz w:val="21"/>
                      <w:szCs w:val="21"/>
                    </w:rPr>
                    <w:t>1.能运用本章知识，识别老年期的生理和心理特征。</w:t>
                  </w:r>
                </w:p>
                <w:p w14:paraId="23A0D24A">
                  <w:pPr>
                    <w:snapToGrid w:val="0"/>
                    <w:spacing w:line="288" w:lineRule="auto"/>
                    <w:rPr>
                      <w:color w:val="000000"/>
                      <w:sz w:val="21"/>
                      <w:szCs w:val="21"/>
                    </w:rPr>
                  </w:pPr>
                  <w:r>
                    <w:rPr>
                      <w:rFonts w:hint="eastAsia"/>
                      <w:color w:val="000000"/>
                      <w:sz w:val="21"/>
                      <w:szCs w:val="21"/>
                    </w:rPr>
                    <w:t>2.能运用本章知识，分析生命各阶段与老年期健康的关系。</w:t>
                  </w:r>
                </w:p>
              </w:tc>
              <w:tc>
                <w:tcPr>
                  <w:tcW w:w="1304" w:type="dxa"/>
                </w:tcPr>
                <w:p w14:paraId="32F400D2">
                  <w:pPr>
                    <w:snapToGrid w:val="0"/>
                    <w:spacing w:line="288" w:lineRule="auto"/>
                    <w:rPr>
                      <w:color w:val="000000"/>
                      <w:sz w:val="21"/>
                      <w:szCs w:val="21"/>
                    </w:rPr>
                  </w:pPr>
                  <w:r>
                    <w:rPr>
                      <w:rFonts w:hint="eastAsia"/>
                      <w:color w:val="000000"/>
                      <w:sz w:val="21"/>
                      <w:szCs w:val="21"/>
                    </w:rPr>
                    <w:t>1.热爱专业，关注专业发展动态及趋势。</w:t>
                  </w:r>
                </w:p>
                <w:p w14:paraId="276052A7">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5C44562D">
                  <w:pPr>
                    <w:snapToGrid w:val="0"/>
                    <w:spacing w:line="288" w:lineRule="auto"/>
                    <w:rPr>
                      <w:color w:val="000000"/>
                      <w:sz w:val="21"/>
                      <w:szCs w:val="21"/>
                    </w:rPr>
                  </w:pPr>
                  <w:r>
                    <w:rPr>
                      <w:rFonts w:hint="eastAsia"/>
                      <w:color w:val="000000"/>
                      <w:sz w:val="21"/>
                      <w:szCs w:val="21"/>
                    </w:rPr>
                    <w:t>人的生命历程与老龄化</w:t>
                  </w:r>
                </w:p>
              </w:tc>
            </w:tr>
            <w:tr w14:paraId="308C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0EDBDDE3">
                  <w:pPr>
                    <w:snapToGrid w:val="0"/>
                    <w:spacing w:line="288" w:lineRule="auto"/>
                    <w:jc w:val="center"/>
                    <w:rPr>
                      <w:color w:val="000000"/>
                      <w:sz w:val="20"/>
                      <w:szCs w:val="20"/>
                    </w:rPr>
                  </w:pPr>
                  <w:r>
                    <w:rPr>
                      <w:rFonts w:hint="eastAsia"/>
                      <w:color w:val="000000"/>
                      <w:sz w:val="20"/>
                      <w:szCs w:val="20"/>
                    </w:rPr>
                    <w:t>3</w:t>
                  </w:r>
                </w:p>
              </w:tc>
              <w:tc>
                <w:tcPr>
                  <w:tcW w:w="1083" w:type="dxa"/>
                  <w:vAlign w:val="center"/>
                </w:tcPr>
                <w:p w14:paraId="46D645E1">
                  <w:pPr>
                    <w:snapToGrid w:val="0"/>
                    <w:spacing w:line="288" w:lineRule="auto"/>
                    <w:jc w:val="center"/>
                    <w:rPr>
                      <w:color w:val="000000"/>
                      <w:sz w:val="21"/>
                      <w:szCs w:val="21"/>
                    </w:rPr>
                  </w:pPr>
                  <w:r>
                    <w:rPr>
                      <w:rFonts w:hint="eastAsia"/>
                      <w:color w:val="000000"/>
                      <w:sz w:val="21"/>
                      <w:szCs w:val="21"/>
                    </w:rPr>
                    <w:t>衰老与功能障碍</w:t>
                  </w:r>
                </w:p>
              </w:tc>
              <w:tc>
                <w:tcPr>
                  <w:tcW w:w="1798" w:type="dxa"/>
                </w:tcPr>
                <w:p w14:paraId="274CF09C">
                  <w:pPr>
                    <w:snapToGrid w:val="0"/>
                    <w:spacing w:line="288" w:lineRule="auto"/>
                    <w:rPr>
                      <w:color w:val="000000"/>
                      <w:sz w:val="21"/>
                      <w:szCs w:val="21"/>
                    </w:rPr>
                  </w:pPr>
                  <w:r>
                    <w:rPr>
                      <w:rFonts w:hint="eastAsia"/>
                      <w:color w:val="000000"/>
                      <w:sz w:val="21"/>
                      <w:szCs w:val="21"/>
                    </w:rPr>
                    <w:t>1.知道衰老和老年认知障碍的定义和分类。</w:t>
                  </w:r>
                </w:p>
                <w:p w14:paraId="591B82D7">
                  <w:pPr>
                    <w:snapToGrid w:val="0"/>
                    <w:spacing w:line="288" w:lineRule="auto"/>
                    <w:rPr>
                      <w:color w:val="000000"/>
                      <w:sz w:val="21"/>
                      <w:szCs w:val="21"/>
                    </w:rPr>
                  </w:pPr>
                  <w:r>
                    <w:rPr>
                      <w:rFonts w:hint="eastAsia"/>
                      <w:color w:val="000000"/>
                      <w:sz w:val="21"/>
                      <w:szCs w:val="21"/>
                    </w:rPr>
                    <w:t>2.理解衰老和认知障碍的发生机制和主要学说。</w:t>
                  </w:r>
                </w:p>
                <w:p w14:paraId="3D61073C">
                  <w:pPr>
                    <w:snapToGrid w:val="0"/>
                    <w:spacing w:line="288" w:lineRule="auto"/>
                    <w:rPr>
                      <w:color w:val="000000"/>
                      <w:sz w:val="21"/>
                      <w:szCs w:val="21"/>
                    </w:rPr>
                  </w:pPr>
                  <w:r>
                    <w:rPr>
                      <w:rFonts w:hint="eastAsia"/>
                      <w:color w:val="000000"/>
                      <w:sz w:val="21"/>
                      <w:szCs w:val="21"/>
                    </w:rPr>
                    <w:t>3.理解衰老的影响因素和相关生理功能障碍。</w:t>
                  </w:r>
                </w:p>
              </w:tc>
              <w:tc>
                <w:tcPr>
                  <w:tcW w:w="1661" w:type="dxa"/>
                </w:tcPr>
                <w:p w14:paraId="3800D2FF">
                  <w:pPr>
                    <w:snapToGrid w:val="0"/>
                    <w:spacing w:line="288" w:lineRule="auto"/>
                    <w:rPr>
                      <w:color w:val="000000"/>
                      <w:sz w:val="21"/>
                      <w:szCs w:val="21"/>
                    </w:rPr>
                  </w:pPr>
                  <w:r>
                    <w:rPr>
                      <w:rFonts w:hint="eastAsia"/>
                      <w:color w:val="000000"/>
                      <w:sz w:val="21"/>
                      <w:szCs w:val="21"/>
                    </w:rPr>
                    <w:t>1.能运用本章知识，采取措施减缓衰老所带来的老年生理功能障碍。</w:t>
                  </w:r>
                </w:p>
                <w:p w14:paraId="117FA770">
                  <w:pPr>
                    <w:snapToGrid w:val="0"/>
                    <w:spacing w:line="288" w:lineRule="auto"/>
                    <w:rPr>
                      <w:color w:val="000000"/>
                      <w:sz w:val="21"/>
                      <w:szCs w:val="21"/>
                    </w:rPr>
                  </w:pPr>
                  <w:r>
                    <w:rPr>
                      <w:rFonts w:hint="eastAsia"/>
                      <w:color w:val="000000"/>
                      <w:sz w:val="21"/>
                      <w:szCs w:val="21"/>
                    </w:rPr>
                    <w:t>2.能运用本章知识，鉴别正常老化与老年认知障碍。</w:t>
                  </w:r>
                </w:p>
              </w:tc>
              <w:tc>
                <w:tcPr>
                  <w:tcW w:w="1304" w:type="dxa"/>
                </w:tcPr>
                <w:p w14:paraId="56CF3634">
                  <w:pPr>
                    <w:snapToGrid w:val="0"/>
                    <w:spacing w:line="288" w:lineRule="auto"/>
                    <w:rPr>
                      <w:color w:val="000000"/>
                      <w:sz w:val="21"/>
                      <w:szCs w:val="21"/>
                    </w:rPr>
                  </w:pPr>
                  <w:r>
                    <w:rPr>
                      <w:rFonts w:hint="eastAsia"/>
                      <w:color w:val="000000"/>
                      <w:sz w:val="21"/>
                      <w:szCs w:val="21"/>
                    </w:rPr>
                    <w:t>1.热爱专业，关注专业发展动态及趋势。</w:t>
                  </w:r>
                </w:p>
                <w:p w14:paraId="35C3881E">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3C1A5B7F">
                  <w:pPr>
                    <w:snapToGrid w:val="0"/>
                    <w:spacing w:line="288" w:lineRule="auto"/>
                    <w:rPr>
                      <w:color w:val="000000"/>
                      <w:sz w:val="21"/>
                      <w:szCs w:val="21"/>
                    </w:rPr>
                  </w:pPr>
                  <w:r>
                    <w:rPr>
                      <w:rFonts w:hint="eastAsia"/>
                      <w:color w:val="000000"/>
                      <w:sz w:val="21"/>
                      <w:szCs w:val="21"/>
                    </w:rPr>
                    <w:t>1.衰老机制</w:t>
                  </w:r>
                </w:p>
                <w:p w14:paraId="50D302BE">
                  <w:pPr>
                    <w:snapToGrid w:val="0"/>
                    <w:spacing w:line="288" w:lineRule="auto"/>
                    <w:rPr>
                      <w:color w:val="000000"/>
                      <w:sz w:val="21"/>
                      <w:szCs w:val="21"/>
                    </w:rPr>
                  </w:pPr>
                  <w:r>
                    <w:rPr>
                      <w:rFonts w:hint="eastAsia"/>
                      <w:color w:val="000000"/>
                      <w:sz w:val="21"/>
                      <w:szCs w:val="21"/>
                    </w:rPr>
                    <w:t>2.老年认知障碍的形成机制</w:t>
                  </w:r>
                </w:p>
              </w:tc>
            </w:tr>
            <w:tr w14:paraId="69260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67FAEA6E">
                  <w:pPr>
                    <w:snapToGrid w:val="0"/>
                    <w:spacing w:line="288" w:lineRule="auto"/>
                    <w:jc w:val="center"/>
                    <w:rPr>
                      <w:color w:val="000000"/>
                      <w:sz w:val="20"/>
                      <w:szCs w:val="20"/>
                    </w:rPr>
                  </w:pPr>
                  <w:r>
                    <w:rPr>
                      <w:rFonts w:hint="eastAsia"/>
                      <w:color w:val="000000"/>
                      <w:sz w:val="20"/>
                      <w:szCs w:val="20"/>
                    </w:rPr>
                    <w:t>4</w:t>
                  </w:r>
                </w:p>
              </w:tc>
              <w:tc>
                <w:tcPr>
                  <w:tcW w:w="1083" w:type="dxa"/>
                  <w:vAlign w:val="center"/>
                </w:tcPr>
                <w:p w14:paraId="70A35974">
                  <w:pPr>
                    <w:snapToGrid w:val="0"/>
                    <w:spacing w:line="288" w:lineRule="auto"/>
                    <w:jc w:val="center"/>
                    <w:rPr>
                      <w:color w:val="000000"/>
                      <w:sz w:val="21"/>
                      <w:szCs w:val="21"/>
                    </w:rPr>
                  </w:pPr>
                  <w:r>
                    <w:rPr>
                      <w:rFonts w:hint="eastAsia"/>
                      <w:color w:val="000000"/>
                      <w:sz w:val="21"/>
                      <w:szCs w:val="21"/>
                    </w:rPr>
                    <w:t>老年疾病流行特征</w:t>
                  </w:r>
                </w:p>
              </w:tc>
              <w:tc>
                <w:tcPr>
                  <w:tcW w:w="1798" w:type="dxa"/>
                </w:tcPr>
                <w:p w14:paraId="177FCCB6">
                  <w:pPr>
                    <w:snapToGrid w:val="0"/>
                    <w:spacing w:line="288" w:lineRule="auto"/>
                    <w:rPr>
                      <w:color w:val="000000"/>
                      <w:sz w:val="21"/>
                      <w:szCs w:val="21"/>
                    </w:rPr>
                  </w:pPr>
                  <w:r>
                    <w:rPr>
                      <w:rFonts w:hint="eastAsia"/>
                      <w:color w:val="000000"/>
                      <w:sz w:val="21"/>
                      <w:szCs w:val="21"/>
                    </w:rPr>
                    <w:t>1.知道老年人群的疾病模式和老年疾病的流行特征。</w:t>
                  </w:r>
                </w:p>
                <w:p w14:paraId="152D0E65">
                  <w:pPr>
                    <w:snapToGrid w:val="0"/>
                    <w:spacing w:line="288" w:lineRule="auto"/>
                    <w:rPr>
                      <w:color w:val="000000"/>
                      <w:sz w:val="21"/>
                      <w:szCs w:val="21"/>
                    </w:rPr>
                  </w:pPr>
                  <w:r>
                    <w:rPr>
                      <w:rFonts w:hint="eastAsia"/>
                      <w:color w:val="000000"/>
                      <w:sz w:val="21"/>
                      <w:szCs w:val="21"/>
                    </w:rPr>
                    <w:t>2.知道老年疾病的预防策略和措施。</w:t>
                  </w:r>
                </w:p>
                <w:p w14:paraId="3E198C8E">
                  <w:pPr>
                    <w:snapToGrid w:val="0"/>
                    <w:spacing w:line="288" w:lineRule="auto"/>
                    <w:rPr>
                      <w:color w:val="000000"/>
                      <w:sz w:val="21"/>
                      <w:szCs w:val="21"/>
                    </w:rPr>
                  </w:pPr>
                  <w:r>
                    <w:rPr>
                      <w:rFonts w:hint="eastAsia"/>
                      <w:color w:val="000000"/>
                      <w:sz w:val="21"/>
                      <w:szCs w:val="21"/>
                    </w:rPr>
                    <w:t>3.理解老年疾病的特点和影响因素。</w:t>
                  </w:r>
                </w:p>
              </w:tc>
              <w:tc>
                <w:tcPr>
                  <w:tcW w:w="1661" w:type="dxa"/>
                </w:tcPr>
                <w:p w14:paraId="248F63AF">
                  <w:pPr>
                    <w:snapToGrid w:val="0"/>
                    <w:spacing w:line="288" w:lineRule="auto"/>
                    <w:rPr>
                      <w:color w:val="000000"/>
                      <w:sz w:val="21"/>
                      <w:szCs w:val="21"/>
                    </w:rPr>
                  </w:pPr>
                  <w:r>
                    <w:rPr>
                      <w:rFonts w:hint="eastAsia"/>
                      <w:color w:val="000000"/>
                      <w:sz w:val="21"/>
                      <w:szCs w:val="21"/>
                    </w:rPr>
                    <w:t>能运用本章知识，采取相应的策略和措施对老年疾病进行预防和控制。</w:t>
                  </w:r>
                </w:p>
                <w:p w14:paraId="6E39F152">
                  <w:pPr>
                    <w:snapToGrid w:val="0"/>
                    <w:spacing w:line="288" w:lineRule="auto"/>
                    <w:rPr>
                      <w:color w:val="000000"/>
                      <w:sz w:val="21"/>
                      <w:szCs w:val="21"/>
                    </w:rPr>
                  </w:pPr>
                </w:p>
              </w:tc>
              <w:tc>
                <w:tcPr>
                  <w:tcW w:w="1304" w:type="dxa"/>
                </w:tcPr>
                <w:p w14:paraId="4F15D636">
                  <w:pPr>
                    <w:snapToGrid w:val="0"/>
                    <w:spacing w:line="288" w:lineRule="auto"/>
                    <w:rPr>
                      <w:color w:val="000000"/>
                      <w:sz w:val="21"/>
                      <w:szCs w:val="21"/>
                    </w:rPr>
                  </w:pPr>
                  <w:r>
                    <w:rPr>
                      <w:rFonts w:hint="eastAsia"/>
                      <w:color w:val="000000"/>
                      <w:sz w:val="21"/>
                      <w:szCs w:val="21"/>
                    </w:rPr>
                    <w:t>1.热爱专业，关注专业发展动态及趋势。</w:t>
                  </w:r>
                </w:p>
                <w:p w14:paraId="6EACC3BF">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0C974E4C">
                  <w:pPr>
                    <w:snapToGrid w:val="0"/>
                    <w:spacing w:line="288" w:lineRule="auto"/>
                    <w:rPr>
                      <w:color w:val="000000"/>
                      <w:sz w:val="21"/>
                      <w:szCs w:val="21"/>
                    </w:rPr>
                  </w:pPr>
                  <w:r>
                    <w:rPr>
                      <w:rFonts w:hint="eastAsia"/>
                      <w:color w:val="000000"/>
                      <w:sz w:val="21"/>
                      <w:szCs w:val="21"/>
                    </w:rPr>
                    <w:t>1.老年人群疾病流行特点</w:t>
                  </w:r>
                </w:p>
                <w:p w14:paraId="4C906107">
                  <w:pPr>
                    <w:snapToGrid w:val="0"/>
                    <w:spacing w:line="288" w:lineRule="auto"/>
                    <w:rPr>
                      <w:color w:val="000000"/>
                      <w:sz w:val="21"/>
                      <w:szCs w:val="21"/>
                    </w:rPr>
                  </w:pPr>
                  <w:r>
                    <w:rPr>
                      <w:rFonts w:hint="eastAsia"/>
                      <w:color w:val="000000"/>
                      <w:sz w:val="21"/>
                      <w:szCs w:val="21"/>
                    </w:rPr>
                    <w:t>2.老年疾病预防策略</w:t>
                  </w:r>
                </w:p>
              </w:tc>
            </w:tr>
            <w:tr w14:paraId="342AA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532608F2">
                  <w:pPr>
                    <w:snapToGrid w:val="0"/>
                    <w:spacing w:line="288" w:lineRule="auto"/>
                    <w:jc w:val="center"/>
                    <w:rPr>
                      <w:color w:val="000000"/>
                      <w:sz w:val="20"/>
                      <w:szCs w:val="20"/>
                    </w:rPr>
                  </w:pPr>
                  <w:r>
                    <w:rPr>
                      <w:rFonts w:hint="eastAsia"/>
                      <w:color w:val="000000"/>
                      <w:sz w:val="20"/>
                      <w:szCs w:val="20"/>
                    </w:rPr>
                    <w:t>5</w:t>
                  </w:r>
                </w:p>
              </w:tc>
              <w:tc>
                <w:tcPr>
                  <w:tcW w:w="1083" w:type="dxa"/>
                  <w:vAlign w:val="center"/>
                </w:tcPr>
                <w:p w14:paraId="7C95D6C3">
                  <w:pPr>
                    <w:snapToGrid w:val="0"/>
                    <w:spacing w:line="288" w:lineRule="auto"/>
                    <w:jc w:val="center"/>
                    <w:rPr>
                      <w:color w:val="000000"/>
                      <w:sz w:val="21"/>
                      <w:szCs w:val="21"/>
                    </w:rPr>
                  </w:pPr>
                  <w:r>
                    <w:rPr>
                      <w:rFonts w:hint="eastAsia"/>
                      <w:color w:val="000000"/>
                      <w:sz w:val="21"/>
                      <w:szCs w:val="21"/>
                    </w:rPr>
                    <w:t>老年健康测评</w:t>
                  </w:r>
                </w:p>
              </w:tc>
              <w:tc>
                <w:tcPr>
                  <w:tcW w:w="1798" w:type="dxa"/>
                </w:tcPr>
                <w:p w14:paraId="77F9188D">
                  <w:pPr>
                    <w:snapToGrid w:val="0"/>
                    <w:spacing w:line="288" w:lineRule="auto"/>
                    <w:rPr>
                      <w:color w:val="000000"/>
                      <w:sz w:val="21"/>
                      <w:szCs w:val="21"/>
                    </w:rPr>
                  </w:pPr>
                  <w:r>
                    <w:rPr>
                      <w:rFonts w:hint="eastAsia"/>
                      <w:color w:val="000000"/>
                      <w:sz w:val="21"/>
                      <w:szCs w:val="21"/>
                    </w:rPr>
                    <w:t>1.知道老年健康测评常用指标的测量方法、优缺点、适应范围及其结果解释。</w:t>
                  </w:r>
                </w:p>
                <w:p w14:paraId="4C5C59EF">
                  <w:pPr>
                    <w:snapToGrid w:val="0"/>
                    <w:spacing w:line="288" w:lineRule="auto"/>
                    <w:rPr>
                      <w:color w:val="000000"/>
                      <w:sz w:val="21"/>
                      <w:szCs w:val="21"/>
                    </w:rPr>
                  </w:pPr>
                  <w:r>
                    <w:rPr>
                      <w:rFonts w:hint="eastAsia"/>
                      <w:color w:val="000000"/>
                      <w:sz w:val="21"/>
                      <w:szCs w:val="21"/>
                    </w:rPr>
                    <w:t>2.知道老年健康测量量表的计分方法和注意事项。</w:t>
                  </w:r>
                </w:p>
                <w:p w14:paraId="6C0EB96B">
                  <w:pPr>
                    <w:snapToGrid w:val="0"/>
                    <w:spacing w:line="288" w:lineRule="auto"/>
                    <w:rPr>
                      <w:color w:val="000000"/>
                      <w:sz w:val="21"/>
                      <w:szCs w:val="21"/>
                    </w:rPr>
                  </w:pPr>
                  <w:r>
                    <w:rPr>
                      <w:rFonts w:hint="eastAsia"/>
                      <w:color w:val="000000"/>
                      <w:sz w:val="21"/>
                      <w:szCs w:val="21"/>
                    </w:rPr>
                    <w:t>3.理解老年人综合健康评估的基本内容。</w:t>
                  </w:r>
                </w:p>
              </w:tc>
              <w:tc>
                <w:tcPr>
                  <w:tcW w:w="1661" w:type="dxa"/>
                </w:tcPr>
                <w:p w14:paraId="31F28AFE">
                  <w:pPr>
                    <w:snapToGrid w:val="0"/>
                    <w:spacing w:line="288" w:lineRule="auto"/>
                    <w:rPr>
                      <w:color w:val="000000"/>
                      <w:sz w:val="21"/>
                      <w:szCs w:val="21"/>
                    </w:rPr>
                  </w:pPr>
                  <w:r>
                    <w:rPr>
                      <w:rFonts w:hint="eastAsia"/>
                      <w:color w:val="000000"/>
                      <w:sz w:val="21"/>
                      <w:szCs w:val="21"/>
                    </w:rPr>
                    <w:t>能运用本章知识，为老年人进行健康相关研究。</w:t>
                  </w:r>
                </w:p>
                <w:p w14:paraId="15ADA8B3">
                  <w:pPr>
                    <w:snapToGrid w:val="0"/>
                    <w:spacing w:line="288" w:lineRule="auto"/>
                    <w:rPr>
                      <w:color w:val="000000"/>
                      <w:sz w:val="21"/>
                      <w:szCs w:val="21"/>
                    </w:rPr>
                  </w:pPr>
                </w:p>
              </w:tc>
              <w:tc>
                <w:tcPr>
                  <w:tcW w:w="1304" w:type="dxa"/>
                </w:tcPr>
                <w:p w14:paraId="62040B78">
                  <w:pPr>
                    <w:snapToGrid w:val="0"/>
                    <w:spacing w:line="288" w:lineRule="auto"/>
                    <w:rPr>
                      <w:color w:val="000000"/>
                      <w:sz w:val="21"/>
                      <w:szCs w:val="21"/>
                    </w:rPr>
                  </w:pPr>
                  <w:r>
                    <w:rPr>
                      <w:rFonts w:hint="eastAsia"/>
                      <w:color w:val="000000"/>
                      <w:sz w:val="21"/>
                      <w:szCs w:val="21"/>
                    </w:rPr>
                    <w:t>1.热爱专业，关注专业发展动态及趋势。</w:t>
                  </w:r>
                </w:p>
                <w:p w14:paraId="78D13FB4">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1E7E4AA6">
                  <w:pPr>
                    <w:snapToGrid w:val="0"/>
                    <w:spacing w:line="288" w:lineRule="auto"/>
                    <w:rPr>
                      <w:color w:val="000000"/>
                      <w:sz w:val="21"/>
                      <w:szCs w:val="21"/>
                    </w:rPr>
                  </w:pPr>
                  <w:r>
                    <w:rPr>
                      <w:rFonts w:hint="eastAsia"/>
                      <w:color w:val="000000"/>
                      <w:sz w:val="21"/>
                      <w:szCs w:val="21"/>
                    </w:rPr>
                    <w:t>1.老年心理状况的评价</w:t>
                  </w:r>
                </w:p>
                <w:p w14:paraId="57B78D60">
                  <w:pPr>
                    <w:snapToGrid w:val="0"/>
                    <w:spacing w:line="288" w:lineRule="auto"/>
                    <w:rPr>
                      <w:color w:val="000000"/>
                      <w:sz w:val="21"/>
                      <w:szCs w:val="21"/>
                    </w:rPr>
                  </w:pPr>
                  <w:r>
                    <w:rPr>
                      <w:rFonts w:hint="eastAsia"/>
                      <w:color w:val="000000"/>
                      <w:sz w:val="21"/>
                      <w:szCs w:val="21"/>
                    </w:rPr>
                    <w:t>2.老年健康测量的注意事项</w:t>
                  </w:r>
                </w:p>
              </w:tc>
            </w:tr>
            <w:tr w14:paraId="69B09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249B7207">
                  <w:pPr>
                    <w:snapToGrid w:val="0"/>
                    <w:spacing w:line="288" w:lineRule="auto"/>
                    <w:jc w:val="center"/>
                    <w:rPr>
                      <w:color w:val="000000"/>
                      <w:sz w:val="20"/>
                      <w:szCs w:val="20"/>
                    </w:rPr>
                  </w:pPr>
                  <w:r>
                    <w:rPr>
                      <w:rFonts w:hint="eastAsia"/>
                      <w:color w:val="000000"/>
                      <w:sz w:val="20"/>
                      <w:szCs w:val="20"/>
                    </w:rPr>
                    <w:t>6</w:t>
                  </w:r>
                </w:p>
              </w:tc>
              <w:tc>
                <w:tcPr>
                  <w:tcW w:w="1083" w:type="dxa"/>
                  <w:vAlign w:val="center"/>
                </w:tcPr>
                <w:p w14:paraId="4D7F4577">
                  <w:pPr>
                    <w:snapToGrid w:val="0"/>
                    <w:spacing w:line="288" w:lineRule="auto"/>
                    <w:jc w:val="center"/>
                    <w:rPr>
                      <w:color w:val="000000"/>
                      <w:sz w:val="21"/>
                      <w:szCs w:val="21"/>
                    </w:rPr>
                  </w:pPr>
                  <w:r>
                    <w:rPr>
                      <w:rFonts w:hint="eastAsia"/>
                      <w:color w:val="000000"/>
                      <w:sz w:val="21"/>
                      <w:szCs w:val="21"/>
                    </w:rPr>
                    <w:t>全球老年疾病负担</w:t>
                  </w:r>
                </w:p>
              </w:tc>
              <w:tc>
                <w:tcPr>
                  <w:tcW w:w="1798" w:type="dxa"/>
                </w:tcPr>
                <w:p w14:paraId="22E802E5">
                  <w:pPr>
                    <w:snapToGrid w:val="0"/>
                    <w:spacing w:line="288" w:lineRule="auto"/>
                    <w:rPr>
                      <w:color w:val="000000"/>
                      <w:sz w:val="21"/>
                      <w:szCs w:val="21"/>
                    </w:rPr>
                  </w:pPr>
                  <w:r>
                    <w:rPr>
                      <w:rFonts w:hint="eastAsia"/>
                      <w:color w:val="000000"/>
                      <w:sz w:val="21"/>
                      <w:szCs w:val="21"/>
                    </w:rPr>
                    <w:t>1.知道全球疾病负担，特别是老年疾病负担的基本情况、地区分布、特点和趋势。</w:t>
                  </w:r>
                </w:p>
                <w:p w14:paraId="665E28C9">
                  <w:pPr>
                    <w:snapToGrid w:val="0"/>
                    <w:spacing w:line="288" w:lineRule="auto"/>
                    <w:rPr>
                      <w:color w:val="000000"/>
                      <w:sz w:val="21"/>
                      <w:szCs w:val="21"/>
                    </w:rPr>
                  </w:pPr>
                  <w:r>
                    <w:rPr>
                      <w:rFonts w:hint="eastAsia"/>
                      <w:color w:val="000000"/>
                      <w:sz w:val="21"/>
                      <w:szCs w:val="21"/>
                    </w:rPr>
                    <w:t>2.知道人口老龄化和老年疾病对全球老年疾病负担的影响、老年疾病负担研究对确定全球健康优先领域的意义。</w:t>
                  </w:r>
                </w:p>
                <w:p w14:paraId="4E318E8C">
                  <w:pPr>
                    <w:snapToGrid w:val="0"/>
                    <w:spacing w:line="288" w:lineRule="auto"/>
                    <w:rPr>
                      <w:color w:val="000000"/>
                      <w:sz w:val="21"/>
                      <w:szCs w:val="21"/>
                    </w:rPr>
                  </w:pPr>
                  <w:r>
                    <w:rPr>
                      <w:rFonts w:hint="eastAsia"/>
                      <w:color w:val="000000"/>
                      <w:sz w:val="21"/>
                      <w:szCs w:val="21"/>
                    </w:rPr>
                    <w:t>3.理解全球疾病负担研究的起源和现状、全球老年疾病负担的内涵。</w:t>
                  </w:r>
                </w:p>
              </w:tc>
              <w:tc>
                <w:tcPr>
                  <w:tcW w:w="1661" w:type="dxa"/>
                </w:tcPr>
                <w:p w14:paraId="7771BD78">
                  <w:pPr>
                    <w:snapToGrid w:val="0"/>
                    <w:spacing w:line="288" w:lineRule="auto"/>
                    <w:rPr>
                      <w:color w:val="000000"/>
                      <w:sz w:val="21"/>
                      <w:szCs w:val="21"/>
                    </w:rPr>
                  </w:pPr>
                  <w:r>
                    <w:rPr>
                      <w:rFonts w:hint="eastAsia"/>
                      <w:color w:val="000000"/>
                      <w:sz w:val="21"/>
                      <w:szCs w:val="21"/>
                    </w:rPr>
                    <w:t>能运用本章知识，对不同收入的国家、区域间的差异进行比较。</w:t>
                  </w:r>
                </w:p>
              </w:tc>
              <w:tc>
                <w:tcPr>
                  <w:tcW w:w="1304" w:type="dxa"/>
                </w:tcPr>
                <w:p w14:paraId="71BBB195">
                  <w:pPr>
                    <w:snapToGrid w:val="0"/>
                    <w:spacing w:line="288" w:lineRule="auto"/>
                    <w:rPr>
                      <w:color w:val="000000"/>
                      <w:sz w:val="21"/>
                      <w:szCs w:val="21"/>
                    </w:rPr>
                  </w:pPr>
                  <w:r>
                    <w:rPr>
                      <w:rFonts w:hint="eastAsia"/>
                      <w:color w:val="000000"/>
                      <w:sz w:val="21"/>
                      <w:szCs w:val="21"/>
                    </w:rPr>
                    <w:t>1.热爱专业，关注专业发展动态及趋势。</w:t>
                  </w:r>
                </w:p>
                <w:p w14:paraId="67A5F726">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1809324D">
                  <w:pPr>
                    <w:snapToGrid w:val="0"/>
                    <w:spacing w:line="288" w:lineRule="auto"/>
                    <w:rPr>
                      <w:color w:val="000000"/>
                      <w:sz w:val="21"/>
                      <w:szCs w:val="21"/>
                    </w:rPr>
                  </w:pPr>
                  <w:r>
                    <w:rPr>
                      <w:rFonts w:hint="eastAsia"/>
                      <w:color w:val="000000"/>
                      <w:sz w:val="21"/>
                      <w:szCs w:val="21"/>
                    </w:rPr>
                    <w:t>1.全球老年疾病负担内涵</w:t>
                  </w:r>
                </w:p>
                <w:p w14:paraId="75D6CF41">
                  <w:pPr>
                    <w:snapToGrid w:val="0"/>
                    <w:spacing w:line="288" w:lineRule="auto"/>
                    <w:rPr>
                      <w:color w:val="000000"/>
                      <w:sz w:val="21"/>
                      <w:szCs w:val="21"/>
                    </w:rPr>
                  </w:pPr>
                  <w:r>
                    <w:rPr>
                      <w:rFonts w:hint="eastAsia"/>
                      <w:color w:val="000000"/>
                      <w:sz w:val="21"/>
                      <w:szCs w:val="21"/>
                    </w:rPr>
                    <w:t>2.全球老年伤残负担</w:t>
                  </w:r>
                </w:p>
              </w:tc>
            </w:tr>
            <w:tr w14:paraId="6FC4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35D29DB6">
                  <w:pPr>
                    <w:snapToGrid w:val="0"/>
                    <w:spacing w:line="288" w:lineRule="auto"/>
                    <w:jc w:val="center"/>
                    <w:rPr>
                      <w:color w:val="000000"/>
                      <w:sz w:val="20"/>
                      <w:szCs w:val="20"/>
                    </w:rPr>
                  </w:pPr>
                  <w:r>
                    <w:rPr>
                      <w:rFonts w:hint="eastAsia"/>
                      <w:color w:val="000000"/>
                      <w:sz w:val="20"/>
                      <w:szCs w:val="20"/>
                    </w:rPr>
                    <w:t>7</w:t>
                  </w:r>
                </w:p>
              </w:tc>
              <w:tc>
                <w:tcPr>
                  <w:tcW w:w="1083" w:type="dxa"/>
                  <w:vAlign w:val="center"/>
                </w:tcPr>
                <w:p w14:paraId="18602BE1">
                  <w:pPr>
                    <w:snapToGrid w:val="0"/>
                    <w:spacing w:line="288" w:lineRule="auto"/>
                    <w:jc w:val="center"/>
                    <w:rPr>
                      <w:color w:val="000000"/>
                      <w:sz w:val="21"/>
                      <w:szCs w:val="21"/>
                    </w:rPr>
                  </w:pPr>
                  <w:r>
                    <w:rPr>
                      <w:rFonts w:hint="eastAsia"/>
                      <w:color w:val="000000"/>
                      <w:sz w:val="21"/>
                      <w:szCs w:val="21"/>
                    </w:rPr>
                    <w:t>老年健康全球策略</w:t>
                  </w:r>
                </w:p>
              </w:tc>
              <w:tc>
                <w:tcPr>
                  <w:tcW w:w="1798" w:type="dxa"/>
                </w:tcPr>
                <w:p w14:paraId="26931B04">
                  <w:pPr>
                    <w:snapToGrid w:val="0"/>
                    <w:spacing w:line="288" w:lineRule="auto"/>
                    <w:rPr>
                      <w:color w:val="000000"/>
                      <w:sz w:val="21"/>
                      <w:szCs w:val="21"/>
                    </w:rPr>
                  </w:pPr>
                  <w:r>
                    <w:rPr>
                      <w:rFonts w:hint="eastAsia"/>
                      <w:color w:val="000000"/>
                      <w:sz w:val="21"/>
                      <w:szCs w:val="21"/>
                    </w:rPr>
                    <w:t>1.知道健康老龄化、积极老龄化的概念和内涵。</w:t>
                  </w:r>
                </w:p>
                <w:p w14:paraId="3A24E4DC">
                  <w:pPr>
                    <w:snapToGrid w:val="0"/>
                    <w:spacing w:line="288" w:lineRule="auto"/>
                    <w:rPr>
                      <w:color w:val="000000"/>
                      <w:sz w:val="21"/>
                      <w:szCs w:val="21"/>
                    </w:rPr>
                  </w:pPr>
                  <w:r>
                    <w:rPr>
                      <w:rFonts w:hint="eastAsia"/>
                      <w:color w:val="000000"/>
                      <w:sz w:val="21"/>
                      <w:szCs w:val="21"/>
                    </w:rPr>
                    <w:t>2.知道全球卫生策略和老年健康策略的演变。</w:t>
                  </w:r>
                </w:p>
                <w:p w14:paraId="5D12E398">
                  <w:pPr>
                    <w:snapToGrid w:val="0"/>
                    <w:spacing w:line="288" w:lineRule="auto"/>
                    <w:rPr>
                      <w:color w:val="000000"/>
                      <w:sz w:val="21"/>
                      <w:szCs w:val="21"/>
                    </w:rPr>
                  </w:pPr>
                  <w:r>
                    <w:rPr>
                      <w:rFonts w:hint="eastAsia"/>
                      <w:color w:val="000000"/>
                      <w:sz w:val="21"/>
                      <w:szCs w:val="21"/>
                    </w:rPr>
                    <w:t>3.理解老年健康事业面临的机遇和挑战以及如何消除歧视和虐待。</w:t>
                  </w:r>
                </w:p>
              </w:tc>
              <w:tc>
                <w:tcPr>
                  <w:tcW w:w="1661" w:type="dxa"/>
                </w:tcPr>
                <w:p w14:paraId="5BA8048E">
                  <w:pPr>
                    <w:snapToGrid w:val="0"/>
                    <w:spacing w:line="288" w:lineRule="auto"/>
                    <w:rPr>
                      <w:color w:val="000000"/>
                      <w:sz w:val="21"/>
                      <w:szCs w:val="21"/>
                    </w:rPr>
                  </w:pPr>
                  <w:r>
                    <w:rPr>
                      <w:rFonts w:hint="eastAsia"/>
                      <w:color w:val="000000"/>
                      <w:sz w:val="21"/>
                      <w:szCs w:val="21"/>
                    </w:rPr>
                    <w:t>能运用本章知识，比较健康老龄化和积极老龄化的联系与区别。</w:t>
                  </w:r>
                </w:p>
              </w:tc>
              <w:tc>
                <w:tcPr>
                  <w:tcW w:w="1304" w:type="dxa"/>
                </w:tcPr>
                <w:p w14:paraId="3560FE70">
                  <w:pPr>
                    <w:snapToGrid w:val="0"/>
                    <w:spacing w:line="288" w:lineRule="auto"/>
                    <w:rPr>
                      <w:color w:val="000000"/>
                      <w:sz w:val="21"/>
                      <w:szCs w:val="21"/>
                    </w:rPr>
                  </w:pPr>
                  <w:r>
                    <w:rPr>
                      <w:rFonts w:hint="eastAsia"/>
                      <w:color w:val="000000"/>
                      <w:sz w:val="21"/>
                      <w:szCs w:val="21"/>
                    </w:rPr>
                    <w:t>1.热爱专业，关注专业发展动态及趋势。</w:t>
                  </w:r>
                </w:p>
                <w:p w14:paraId="5E758988">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553224C3">
                  <w:pPr>
                    <w:snapToGrid w:val="0"/>
                    <w:spacing w:line="288" w:lineRule="auto"/>
                    <w:rPr>
                      <w:color w:val="000000"/>
                      <w:sz w:val="21"/>
                      <w:szCs w:val="21"/>
                    </w:rPr>
                  </w:pPr>
                  <w:r>
                    <w:rPr>
                      <w:rFonts w:hint="eastAsia"/>
                      <w:color w:val="000000"/>
                      <w:sz w:val="21"/>
                      <w:szCs w:val="21"/>
                    </w:rPr>
                    <w:t>重构老年人价值与认知</w:t>
                  </w:r>
                </w:p>
              </w:tc>
            </w:tr>
            <w:tr w14:paraId="0A246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53A9F0D4">
                  <w:pPr>
                    <w:snapToGrid w:val="0"/>
                    <w:spacing w:line="288" w:lineRule="auto"/>
                    <w:jc w:val="center"/>
                    <w:rPr>
                      <w:color w:val="000000"/>
                      <w:sz w:val="20"/>
                      <w:szCs w:val="20"/>
                    </w:rPr>
                  </w:pPr>
                  <w:r>
                    <w:rPr>
                      <w:rFonts w:hint="eastAsia"/>
                      <w:color w:val="000000"/>
                      <w:sz w:val="20"/>
                      <w:szCs w:val="20"/>
                    </w:rPr>
                    <w:t>8</w:t>
                  </w:r>
                </w:p>
              </w:tc>
              <w:tc>
                <w:tcPr>
                  <w:tcW w:w="1083" w:type="dxa"/>
                  <w:vAlign w:val="center"/>
                </w:tcPr>
                <w:p w14:paraId="31A796AC">
                  <w:pPr>
                    <w:snapToGrid w:val="0"/>
                    <w:spacing w:line="288" w:lineRule="auto"/>
                    <w:jc w:val="center"/>
                    <w:rPr>
                      <w:color w:val="000000"/>
                      <w:sz w:val="21"/>
                      <w:szCs w:val="21"/>
                    </w:rPr>
                  </w:pPr>
                  <w:r>
                    <w:rPr>
                      <w:rFonts w:hint="eastAsia"/>
                      <w:color w:val="000000"/>
                      <w:sz w:val="21"/>
                      <w:szCs w:val="21"/>
                    </w:rPr>
                    <w:t>老年健康公共政策体系</w:t>
                  </w:r>
                </w:p>
              </w:tc>
              <w:tc>
                <w:tcPr>
                  <w:tcW w:w="1798" w:type="dxa"/>
                </w:tcPr>
                <w:p w14:paraId="427F53C0">
                  <w:pPr>
                    <w:snapToGrid w:val="0"/>
                    <w:spacing w:line="288" w:lineRule="auto"/>
                    <w:rPr>
                      <w:color w:val="000000"/>
                      <w:sz w:val="21"/>
                      <w:szCs w:val="21"/>
                    </w:rPr>
                  </w:pPr>
                  <w:r>
                    <w:rPr>
                      <w:rFonts w:hint="eastAsia"/>
                      <w:color w:val="000000"/>
                      <w:sz w:val="21"/>
                      <w:szCs w:val="21"/>
                    </w:rPr>
                    <w:t>1.理解公共政策的内涵与分类及特征；知道老年健康公共政策体系。</w:t>
                  </w:r>
                </w:p>
                <w:p w14:paraId="7C1D391A">
                  <w:pPr>
                    <w:snapToGrid w:val="0"/>
                    <w:spacing w:line="288" w:lineRule="auto"/>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知道中国的老年健康公共政策体系。</w:t>
                  </w:r>
                </w:p>
                <w:p w14:paraId="11A8962E">
                  <w:pPr>
                    <w:snapToGrid w:val="0"/>
                    <w:spacing w:line="288" w:lineRule="auto"/>
                    <w:rPr>
                      <w:color w:val="000000"/>
                      <w:sz w:val="21"/>
                      <w:szCs w:val="21"/>
                    </w:rPr>
                  </w:pPr>
                  <w:r>
                    <w:rPr>
                      <w:rFonts w:hint="eastAsia"/>
                      <w:color w:val="000000"/>
                      <w:sz w:val="21"/>
                      <w:szCs w:val="21"/>
                    </w:rPr>
                    <w:t>3. 了解各国的老年健康公共政策体系的内容。</w:t>
                  </w:r>
                </w:p>
              </w:tc>
              <w:tc>
                <w:tcPr>
                  <w:tcW w:w="1661" w:type="dxa"/>
                </w:tcPr>
                <w:p w14:paraId="0A813F1C">
                  <w:pPr>
                    <w:snapToGrid w:val="0"/>
                    <w:spacing w:line="288" w:lineRule="auto"/>
                    <w:rPr>
                      <w:color w:val="000000"/>
                      <w:sz w:val="21"/>
                      <w:szCs w:val="21"/>
                    </w:rPr>
                  </w:pPr>
                  <w:r>
                    <w:rPr>
                      <w:rFonts w:hint="eastAsia"/>
                      <w:color w:val="000000"/>
                      <w:sz w:val="21"/>
                      <w:szCs w:val="21"/>
                    </w:rPr>
                    <w:t>能运用本章知识，帮助老年人培养良好的健康素养。</w:t>
                  </w:r>
                </w:p>
              </w:tc>
              <w:tc>
                <w:tcPr>
                  <w:tcW w:w="1304" w:type="dxa"/>
                </w:tcPr>
                <w:p w14:paraId="4301DC34">
                  <w:pPr>
                    <w:snapToGrid w:val="0"/>
                    <w:spacing w:line="288" w:lineRule="auto"/>
                    <w:rPr>
                      <w:color w:val="000000"/>
                      <w:sz w:val="21"/>
                      <w:szCs w:val="21"/>
                    </w:rPr>
                  </w:pPr>
                  <w:r>
                    <w:rPr>
                      <w:rFonts w:hint="eastAsia"/>
                      <w:color w:val="000000"/>
                      <w:sz w:val="21"/>
                      <w:szCs w:val="21"/>
                    </w:rPr>
                    <w:t>1.热爱专业，关注专业发展动态及趋势。</w:t>
                  </w:r>
                </w:p>
                <w:p w14:paraId="3FC363E3">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3D505303">
                  <w:pPr>
                    <w:snapToGrid w:val="0"/>
                    <w:spacing w:line="288" w:lineRule="auto"/>
                    <w:rPr>
                      <w:color w:val="000000"/>
                      <w:sz w:val="21"/>
                      <w:szCs w:val="21"/>
                    </w:rPr>
                  </w:pPr>
                  <w:r>
                    <w:rPr>
                      <w:rFonts w:hint="eastAsia"/>
                      <w:color w:val="000000"/>
                      <w:sz w:val="21"/>
                      <w:szCs w:val="21"/>
                    </w:rPr>
                    <w:t>各国老年健康公共政策体系</w:t>
                  </w:r>
                </w:p>
              </w:tc>
            </w:tr>
            <w:tr w14:paraId="5711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3C213AF5">
                  <w:pPr>
                    <w:snapToGrid w:val="0"/>
                    <w:spacing w:line="288" w:lineRule="auto"/>
                    <w:jc w:val="center"/>
                    <w:rPr>
                      <w:color w:val="000000"/>
                      <w:sz w:val="20"/>
                      <w:szCs w:val="20"/>
                    </w:rPr>
                  </w:pPr>
                  <w:r>
                    <w:rPr>
                      <w:rFonts w:hint="eastAsia"/>
                      <w:color w:val="000000"/>
                      <w:sz w:val="20"/>
                      <w:szCs w:val="20"/>
                    </w:rPr>
                    <w:t>9</w:t>
                  </w:r>
                </w:p>
              </w:tc>
              <w:tc>
                <w:tcPr>
                  <w:tcW w:w="1083" w:type="dxa"/>
                  <w:vAlign w:val="center"/>
                </w:tcPr>
                <w:p w14:paraId="6358B4B6">
                  <w:pPr>
                    <w:snapToGrid w:val="0"/>
                    <w:spacing w:line="288" w:lineRule="auto"/>
                    <w:jc w:val="center"/>
                    <w:rPr>
                      <w:color w:val="000000"/>
                      <w:sz w:val="21"/>
                      <w:szCs w:val="21"/>
                    </w:rPr>
                  </w:pPr>
                  <w:r>
                    <w:rPr>
                      <w:rFonts w:hint="eastAsia"/>
                      <w:color w:val="000000"/>
                      <w:sz w:val="21"/>
                      <w:szCs w:val="21"/>
                    </w:rPr>
                    <w:t>老年健康促进</w:t>
                  </w:r>
                </w:p>
              </w:tc>
              <w:tc>
                <w:tcPr>
                  <w:tcW w:w="1798" w:type="dxa"/>
                </w:tcPr>
                <w:p w14:paraId="6CA8E941">
                  <w:pPr>
                    <w:snapToGrid w:val="0"/>
                    <w:spacing w:line="288" w:lineRule="auto"/>
                    <w:rPr>
                      <w:color w:val="000000"/>
                      <w:sz w:val="21"/>
                      <w:szCs w:val="21"/>
                    </w:rPr>
                  </w:pPr>
                  <w:r>
                    <w:rPr>
                      <w:rFonts w:hint="eastAsia"/>
                      <w:color w:val="000000"/>
                      <w:sz w:val="21"/>
                      <w:szCs w:val="21"/>
                    </w:rPr>
                    <w:t>1.知道影响老年人健康素养的因素及促进策略、健康教育和健康促进的内容、形式等特征。</w:t>
                  </w:r>
                </w:p>
                <w:p w14:paraId="6C29D891">
                  <w:pPr>
                    <w:snapToGrid w:val="0"/>
                    <w:spacing w:line="288" w:lineRule="auto"/>
                    <w:rPr>
                      <w:color w:val="000000"/>
                      <w:sz w:val="21"/>
                      <w:szCs w:val="21"/>
                    </w:rPr>
                  </w:pPr>
                  <w:r>
                    <w:rPr>
                      <w:rFonts w:hint="eastAsia"/>
                      <w:color w:val="000000"/>
                      <w:sz w:val="21"/>
                      <w:szCs w:val="21"/>
                    </w:rPr>
                    <w:t>2.知道以群组为基础的老年健康促进理论。</w:t>
                  </w:r>
                </w:p>
                <w:p w14:paraId="70BFEE6D">
                  <w:pPr>
                    <w:snapToGrid w:val="0"/>
                    <w:spacing w:line="288" w:lineRule="auto"/>
                    <w:rPr>
                      <w:color w:val="000000"/>
                      <w:sz w:val="21"/>
                      <w:szCs w:val="21"/>
                    </w:rPr>
                  </w:pPr>
                  <w:r>
                    <w:rPr>
                      <w:rFonts w:hint="eastAsia"/>
                      <w:color w:val="000000"/>
                      <w:sz w:val="21"/>
                      <w:szCs w:val="21"/>
                    </w:rPr>
                    <w:t>3.理解WHO提出的“关爱老年人环境规划”的具体策略。</w:t>
                  </w:r>
                </w:p>
              </w:tc>
              <w:tc>
                <w:tcPr>
                  <w:tcW w:w="1661" w:type="dxa"/>
                </w:tcPr>
                <w:p w14:paraId="2D7418F8">
                  <w:pPr>
                    <w:snapToGrid w:val="0"/>
                    <w:spacing w:line="288" w:lineRule="auto"/>
                    <w:rPr>
                      <w:color w:val="000000"/>
                      <w:sz w:val="21"/>
                      <w:szCs w:val="21"/>
                    </w:rPr>
                  </w:pPr>
                  <w:r>
                    <w:rPr>
                      <w:rFonts w:hint="eastAsia"/>
                      <w:color w:val="000000"/>
                      <w:sz w:val="21"/>
                      <w:szCs w:val="21"/>
                    </w:rPr>
                    <w:t>能运用本章知识，帮助老年人培养良好的健康素养。</w:t>
                  </w:r>
                </w:p>
              </w:tc>
              <w:tc>
                <w:tcPr>
                  <w:tcW w:w="1304" w:type="dxa"/>
                </w:tcPr>
                <w:p w14:paraId="1DF8658E">
                  <w:pPr>
                    <w:snapToGrid w:val="0"/>
                    <w:spacing w:line="288" w:lineRule="auto"/>
                    <w:rPr>
                      <w:color w:val="000000"/>
                      <w:sz w:val="21"/>
                      <w:szCs w:val="21"/>
                    </w:rPr>
                  </w:pPr>
                  <w:r>
                    <w:rPr>
                      <w:rFonts w:hint="eastAsia"/>
                      <w:color w:val="000000"/>
                      <w:sz w:val="21"/>
                      <w:szCs w:val="21"/>
                    </w:rPr>
                    <w:t>1.热爱专业，关注专业发展动态及趋势。</w:t>
                  </w:r>
                </w:p>
                <w:p w14:paraId="64B1ACE8">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3ACDC970">
                  <w:pPr>
                    <w:snapToGrid w:val="0"/>
                    <w:spacing w:line="288" w:lineRule="auto"/>
                    <w:rPr>
                      <w:color w:val="000000"/>
                      <w:sz w:val="21"/>
                      <w:szCs w:val="21"/>
                    </w:rPr>
                  </w:pPr>
                  <w:r>
                    <w:rPr>
                      <w:rFonts w:hint="eastAsia"/>
                      <w:color w:val="000000"/>
                      <w:sz w:val="21"/>
                      <w:szCs w:val="21"/>
                    </w:rPr>
                    <w:t>1.老年人健康行为影响因素</w:t>
                  </w:r>
                </w:p>
                <w:p w14:paraId="4C35B837">
                  <w:pPr>
                    <w:snapToGrid w:val="0"/>
                    <w:spacing w:line="288" w:lineRule="auto"/>
                    <w:rPr>
                      <w:color w:val="000000"/>
                      <w:sz w:val="21"/>
                      <w:szCs w:val="21"/>
                    </w:rPr>
                  </w:pPr>
                  <w:r>
                    <w:rPr>
                      <w:rFonts w:hint="eastAsia"/>
                      <w:color w:val="000000"/>
                      <w:sz w:val="21"/>
                      <w:szCs w:val="21"/>
                    </w:rPr>
                    <w:t>2.老年群组健康促进理论</w:t>
                  </w:r>
                </w:p>
              </w:tc>
            </w:tr>
            <w:tr w14:paraId="317D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507C58B3">
                  <w:pPr>
                    <w:snapToGrid w:val="0"/>
                    <w:spacing w:line="288" w:lineRule="auto"/>
                    <w:jc w:val="center"/>
                    <w:rPr>
                      <w:color w:val="000000"/>
                      <w:sz w:val="20"/>
                      <w:szCs w:val="20"/>
                    </w:rPr>
                  </w:pPr>
                  <w:r>
                    <w:rPr>
                      <w:rFonts w:hint="eastAsia"/>
                      <w:color w:val="000000"/>
                      <w:sz w:val="20"/>
                      <w:szCs w:val="20"/>
                    </w:rPr>
                    <w:t>10</w:t>
                  </w:r>
                </w:p>
              </w:tc>
              <w:tc>
                <w:tcPr>
                  <w:tcW w:w="1083" w:type="dxa"/>
                  <w:vAlign w:val="center"/>
                </w:tcPr>
                <w:p w14:paraId="1883719B">
                  <w:pPr>
                    <w:snapToGrid w:val="0"/>
                    <w:spacing w:line="288" w:lineRule="auto"/>
                    <w:jc w:val="center"/>
                    <w:rPr>
                      <w:color w:val="000000"/>
                      <w:sz w:val="21"/>
                      <w:szCs w:val="21"/>
                    </w:rPr>
                  </w:pPr>
                  <w:r>
                    <w:rPr>
                      <w:rFonts w:hint="eastAsia"/>
                      <w:color w:val="000000"/>
                      <w:sz w:val="21"/>
                      <w:szCs w:val="21"/>
                    </w:rPr>
                    <w:t>老年长期照料</w:t>
                  </w:r>
                </w:p>
              </w:tc>
              <w:tc>
                <w:tcPr>
                  <w:tcW w:w="1798" w:type="dxa"/>
                </w:tcPr>
                <w:p w14:paraId="5A2D74EC">
                  <w:pPr>
                    <w:snapToGrid w:val="0"/>
                    <w:spacing w:line="288" w:lineRule="auto"/>
                    <w:rPr>
                      <w:color w:val="000000"/>
                      <w:sz w:val="21"/>
                      <w:szCs w:val="21"/>
                    </w:rPr>
                  </w:pPr>
                  <w:r>
                    <w:rPr>
                      <w:rFonts w:hint="eastAsia"/>
                      <w:color w:val="000000"/>
                      <w:sz w:val="21"/>
                      <w:szCs w:val="21"/>
                    </w:rPr>
                    <w:t>1.知道老年长期照料的基本概念、模式及作用。</w:t>
                  </w:r>
                </w:p>
                <w:p w14:paraId="28888D41">
                  <w:pPr>
                    <w:snapToGrid w:val="0"/>
                    <w:spacing w:line="288" w:lineRule="auto"/>
                    <w:rPr>
                      <w:color w:val="000000"/>
                      <w:sz w:val="21"/>
                      <w:szCs w:val="21"/>
                    </w:rPr>
                  </w:pPr>
                  <w:r>
                    <w:rPr>
                      <w:rFonts w:hint="eastAsia"/>
                      <w:color w:val="000000"/>
                      <w:sz w:val="21"/>
                      <w:szCs w:val="21"/>
                    </w:rPr>
                    <w:t>2.知道美国、德国、日本和中国的长期照料模式，对全球长期照料制度安排有充分的认识。</w:t>
                  </w:r>
                </w:p>
                <w:p w14:paraId="25470FA4">
                  <w:pPr>
                    <w:snapToGrid w:val="0"/>
                    <w:spacing w:line="288" w:lineRule="auto"/>
                    <w:rPr>
                      <w:color w:val="000000"/>
                      <w:sz w:val="21"/>
                      <w:szCs w:val="21"/>
                    </w:rPr>
                  </w:pPr>
                  <w:r>
                    <w:rPr>
                      <w:rFonts w:hint="eastAsia"/>
                      <w:color w:val="000000"/>
                      <w:sz w:val="21"/>
                      <w:szCs w:val="21"/>
                    </w:rPr>
                    <w:t>3.知道老龄化社会老年长期照料的问题和挑战。</w:t>
                  </w:r>
                </w:p>
                <w:p w14:paraId="31A67792">
                  <w:pPr>
                    <w:snapToGrid w:val="0"/>
                    <w:spacing w:line="288" w:lineRule="auto"/>
                    <w:rPr>
                      <w:color w:val="000000"/>
                      <w:sz w:val="21"/>
                      <w:szCs w:val="21"/>
                    </w:rPr>
                  </w:pPr>
                  <w:r>
                    <w:rPr>
                      <w:rFonts w:hint="eastAsia"/>
                      <w:color w:val="000000"/>
                      <w:sz w:val="21"/>
                      <w:szCs w:val="21"/>
                    </w:rPr>
                    <w:t>4.理解世界各国需要在长期照料人力资源、资金、服务场所、产业发展方面进行创新的必要性。</w:t>
                  </w:r>
                </w:p>
              </w:tc>
              <w:tc>
                <w:tcPr>
                  <w:tcW w:w="1661" w:type="dxa"/>
                </w:tcPr>
                <w:p w14:paraId="5488B580">
                  <w:pPr>
                    <w:snapToGrid w:val="0"/>
                    <w:spacing w:line="288" w:lineRule="auto"/>
                    <w:rPr>
                      <w:color w:val="000000"/>
                      <w:sz w:val="21"/>
                      <w:szCs w:val="21"/>
                    </w:rPr>
                  </w:pPr>
                  <w:r>
                    <w:rPr>
                      <w:rFonts w:hint="eastAsia"/>
                      <w:color w:val="000000"/>
                      <w:sz w:val="21"/>
                      <w:szCs w:val="21"/>
                    </w:rPr>
                    <w:t>能运用本章知识，分析美国、德国、日本目前长期照料政策各自的优缺点。</w:t>
                  </w:r>
                </w:p>
              </w:tc>
              <w:tc>
                <w:tcPr>
                  <w:tcW w:w="1304" w:type="dxa"/>
                </w:tcPr>
                <w:p w14:paraId="02C8C729">
                  <w:pPr>
                    <w:snapToGrid w:val="0"/>
                    <w:spacing w:line="288" w:lineRule="auto"/>
                    <w:rPr>
                      <w:color w:val="000000"/>
                      <w:sz w:val="21"/>
                      <w:szCs w:val="21"/>
                    </w:rPr>
                  </w:pPr>
                  <w:r>
                    <w:rPr>
                      <w:rFonts w:hint="eastAsia"/>
                      <w:color w:val="000000"/>
                      <w:sz w:val="21"/>
                      <w:szCs w:val="21"/>
                    </w:rPr>
                    <w:t>1.热爱专业，关注专业发展动态及趋势。</w:t>
                  </w:r>
                </w:p>
                <w:p w14:paraId="3823DE35">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0BC7DCC8">
                  <w:pPr>
                    <w:snapToGrid w:val="0"/>
                    <w:spacing w:line="288" w:lineRule="auto"/>
                    <w:rPr>
                      <w:color w:val="000000"/>
                      <w:sz w:val="21"/>
                      <w:szCs w:val="21"/>
                    </w:rPr>
                  </w:pPr>
                  <w:r>
                    <w:rPr>
                      <w:rFonts w:hint="eastAsia"/>
                      <w:color w:val="000000"/>
                      <w:sz w:val="21"/>
                      <w:szCs w:val="21"/>
                    </w:rPr>
                    <w:t>老年长期照料的问题与挑战</w:t>
                  </w:r>
                </w:p>
              </w:tc>
            </w:tr>
            <w:tr w14:paraId="00D17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538C56A6">
                  <w:pPr>
                    <w:snapToGrid w:val="0"/>
                    <w:spacing w:line="288" w:lineRule="auto"/>
                    <w:jc w:val="center"/>
                    <w:rPr>
                      <w:color w:val="000000"/>
                      <w:sz w:val="20"/>
                      <w:szCs w:val="20"/>
                    </w:rPr>
                  </w:pPr>
                  <w:r>
                    <w:rPr>
                      <w:rFonts w:hint="eastAsia"/>
                      <w:color w:val="000000"/>
                      <w:sz w:val="20"/>
                      <w:szCs w:val="20"/>
                    </w:rPr>
                    <w:t>11</w:t>
                  </w:r>
                </w:p>
              </w:tc>
              <w:tc>
                <w:tcPr>
                  <w:tcW w:w="1083" w:type="dxa"/>
                  <w:vAlign w:val="center"/>
                </w:tcPr>
                <w:p w14:paraId="2D341C55">
                  <w:pPr>
                    <w:snapToGrid w:val="0"/>
                    <w:spacing w:line="288" w:lineRule="auto"/>
                    <w:jc w:val="center"/>
                    <w:rPr>
                      <w:color w:val="000000"/>
                      <w:sz w:val="21"/>
                      <w:szCs w:val="21"/>
                    </w:rPr>
                  </w:pPr>
                  <w:r>
                    <w:rPr>
                      <w:rFonts w:hint="eastAsia"/>
                      <w:color w:val="000000"/>
                      <w:sz w:val="21"/>
                      <w:szCs w:val="21"/>
                    </w:rPr>
                    <w:t>老年健康全球治理</w:t>
                  </w:r>
                </w:p>
              </w:tc>
              <w:tc>
                <w:tcPr>
                  <w:tcW w:w="1798" w:type="dxa"/>
                </w:tcPr>
                <w:p w14:paraId="3C0C1459">
                  <w:pPr>
                    <w:snapToGrid w:val="0"/>
                    <w:spacing w:line="288" w:lineRule="auto"/>
                    <w:rPr>
                      <w:color w:val="000000"/>
                      <w:sz w:val="21"/>
                      <w:szCs w:val="21"/>
                    </w:rPr>
                  </w:pPr>
                  <w:r>
                    <w:rPr>
                      <w:rFonts w:hint="eastAsia"/>
                      <w:color w:val="000000"/>
                      <w:sz w:val="21"/>
                      <w:szCs w:val="21"/>
                    </w:rPr>
                    <w:t>1.知道全球老年健康治理的共识理念、重要内容及治理主体。</w:t>
                  </w:r>
                </w:p>
                <w:p w14:paraId="09D7DCC6">
                  <w:pPr>
                    <w:snapToGrid w:val="0"/>
                    <w:spacing w:line="288" w:lineRule="auto"/>
                    <w:rPr>
                      <w:color w:val="000000"/>
                      <w:sz w:val="21"/>
                      <w:szCs w:val="21"/>
                    </w:rPr>
                  </w:pPr>
                  <w:r>
                    <w:rPr>
                      <w:rFonts w:hint="eastAsia"/>
                      <w:color w:val="000000"/>
                      <w:sz w:val="21"/>
                      <w:szCs w:val="21"/>
                    </w:rPr>
                    <w:t>2.知道国际社会老龄化及老年健康全球治理的行动计划。</w:t>
                  </w:r>
                </w:p>
                <w:p w14:paraId="4BC261B6">
                  <w:pPr>
                    <w:snapToGrid w:val="0"/>
                    <w:spacing w:line="288" w:lineRule="auto"/>
                    <w:rPr>
                      <w:color w:val="000000"/>
                      <w:sz w:val="21"/>
                      <w:szCs w:val="21"/>
                    </w:rPr>
                  </w:pPr>
                  <w:r>
                    <w:rPr>
                      <w:rFonts w:hint="eastAsia"/>
                      <w:color w:val="000000"/>
                      <w:sz w:val="21"/>
                      <w:szCs w:val="21"/>
                    </w:rPr>
                    <w:t>3.理解国际社会和国家政府老年健康治理的行动与实践。</w:t>
                  </w:r>
                </w:p>
              </w:tc>
              <w:tc>
                <w:tcPr>
                  <w:tcW w:w="1661" w:type="dxa"/>
                </w:tcPr>
                <w:p w14:paraId="3955DF21">
                  <w:pPr>
                    <w:snapToGrid w:val="0"/>
                    <w:spacing w:line="288" w:lineRule="auto"/>
                    <w:rPr>
                      <w:color w:val="000000"/>
                      <w:sz w:val="21"/>
                      <w:szCs w:val="21"/>
                    </w:rPr>
                  </w:pPr>
                  <w:r>
                    <w:rPr>
                      <w:rFonts w:hint="eastAsia"/>
                      <w:color w:val="000000"/>
                      <w:sz w:val="21"/>
                      <w:szCs w:val="21"/>
                    </w:rPr>
                    <w:t>1.能运用本章知识，分析并评估联合国治理全球老龄化问题的思路。</w:t>
                  </w:r>
                </w:p>
                <w:p w14:paraId="01A60751">
                  <w:pPr>
                    <w:snapToGrid w:val="0"/>
                    <w:spacing w:line="288" w:lineRule="auto"/>
                    <w:rPr>
                      <w:color w:val="000000"/>
                      <w:sz w:val="21"/>
                      <w:szCs w:val="21"/>
                    </w:rPr>
                  </w:pPr>
                  <w:r>
                    <w:rPr>
                      <w:rFonts w:hint="eastAsia"/>
                      <w:color w:val="000000"/>
                      <w:sz w:val="21"/>
                      <w:szCs w:val="21"/>
                    </w:rPr>
                    <w:t>2.能运用本章知识，分析中国老龄化趋势及治理的思路。</w:t>
                  </w:r>
                </w:p>
              </w:tc>
              <w:tc>
                <w:tcPr>
                  <w:tcW w:w="1304" w:type="dxa"/>
                </w:tcPr>
                <w:p w14:paraId="046227C2">
                  <w:pPr>
                    <w:snapToGrid w:val="0"/>
                    <w:spacing w:line="288" w:lineRule="auto"/>
                    <w:rPr>
                      <w:color w:val="000000"/>
                      <w:sz w:val="21"/>
                      <w:szCs w:val="21"/>
                    </w:rPr>
                  </w:pPr>
                  <w:r>
                    <w:rPr>
                      <w:rFonts w:hint="eastAsia"/>
                      <w:color w:val="000000"/>
                      <w:sz w:val="21"/>
                      <w:szCs w:val="21"/>
                    </w:rPr>
                    <w:t>1.热爱专业，关注专业发展动态及趋势。</w:t>
                  </w:r>
                </w:p>
                <w:p w14:paraId="05CD9706">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60D4F8DF">
                  <w:pPr>
                    <w:snapToGrid w:val="0"/>
                    <w:spacing w:line="288" w:lineRule="auto"/>
                    <w:rPr>
                      <w:color w:val="000000"/>
                      <w:sz w:val="21"/>
                      <w:szCs w:val="21"/>
                    </w:rPr>
                  </w:pPr>
                  <w:r>
                    <w:rPr>
                      <w:rFonts w:hint="eastAsia"/>
                      <w:color w:val="000000"/>
                      <w:sz w:val="21"/>
                      <w:szCs w:val="21"/>
                    </w:rPr>
                    <w:t>老年健康全球治理实践</w:t>
                  </w:r>
                </w:p>
              </w:tc>
            </w:tr>
            <w:tr w14:paraId="57494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38895CCC">
                  <w:pPr>
                    <w:snapToGrid w:val="0"/>
                    <w:spacing w:line="288" w:lineRule="auto"/>
                    <w:jc w:val="center"/>
                    <w:rPr>
                      <w:color w:val="000000"/>
                      <w:sz w:val="20"/>
                      <w:szCs w:val="20"/>
                    </w:rPr>
                  </w:pPr>
                  <w:r>
                    <w:rPr>
                      <w:rFonts w:hint="eastAsia"/>
                      <w:color w:val="000000"/>
                      <w:sz w:val="20"/>
                      <w:szCs w:val="20"/>
                    </w:rPr>
                    <w:t>12</w:t>
                  </w:r>
                </w:p>
              </w:tc>
              <w:tc>
                <w:tcPr>
                  <w:tcW w:w="1083" w:type="dxa"/>
                  <w:vAlign w:val="center"/>
                </w:tcPr>
                <w:p w14:paraId="2A8D48C4">
                  <w:pPr>
                    <w:snapToGrid w:val="0"/>
                    <w:spacing w:line="288" w:lineRule="auto"/>
                    <w:jc w:val="center"/>
                    <w:rPr>
                      <w:color w:val="000000"/>
                      <w:sz w:val="21"/>
                      <w:szCs w:val="21"/>
                    </w:rPr>
                  </w:pPr>
                  <w:r>
                    <w:rPr>
                      <w:rFonts w:hint="eastAsia"/>
                      <w:color w:val="000000"/>
                      <w:sz w:val="21"/>
                      <w:szCs w:val="21"/>
                    </w:rPr>
                    <w:t>老年慢性非传染性疾病</w:t>
                  </w:r>
                </w:p>
              </w:tc>
              <w:tc>
                <w:tcPr>
                  <w:tcW w:w="1798" w:type="dxa"/>
                </w:tcPr>
                <w:p w14:paraId="78B97ADF">
                  <w:pPr>
                    <w:snapToGrid w:val="0"/>
                    <w:spacing w:line="288" w:lineRule="auto"/>
                    <w:rPr>
                      <w:color w:val="000000"/>
                      <w:sz w:val="21"/>
                      <w:szCs w:val="21"/>
                    </w:rPr>
                  </w:pPr>
                  <w:r>
                    <w:rPr>
                      <w:rFonts w:hint="eastAsia"/>
                      <w:color w:val="000000"/>
                      <w:sz w:val="21"/>
                      <w:szCs w:val="21"/>
                    </w:rPr>
                    <w:t>1.知道全球老年人群NCD流行现状、流行特征和疾病负担。</w:t>
                  </w:r>
                </w:p>
                <w:p w14:paraId="49156930">
                  <w:pPr>
                    <w:snapToGrid w:val="0"/>
                    <w:spacing w:line="288" w:lineRule="auto"/>
                    <w:rPr>
                      <w:color w:val="000000"/>
                      <w:sz w:val="21"/>
                      <w:szCs w:val="21"/>
                    </w:rPr>
                  </w:pPr>
                  <w:r>
                    <w:rPr>
                      <w:rFonts w:hint="eastAsia"/>
                      <w:color w:val="000000"/>
                      <w:sz w:val="21"/>
                      <w:szCs w:val="21"/>
                    </w:rPr>
                    <w:t>2.知道心血管疾病、糖尿病、高血压、恶性肿瘤等慢性非传染性疾病的主要危险因素、全球流行分布特征。</w:t>
                  </w:r>
                </w:p>
                <w:p w14:paraId="64DC1A25">
                  <w:pPr>
                    <w:snapToGrid w:val="0"/>
                    <w:spacing w:line="288" w:lineRule="auto"/>
                    <w:rPr>
                      <w:color w:val="000000"/>
                      <w:sz w:val="21"/>
                      <w:szCs w:val="21"/>
                    </w:rPr>
                  </w:pPr>
                  <w:r>
                    <w:rPr>
                      <w:rFonts w:hint="eastAsia"/>
                      <w:color w:val="000000"/>
                      <w:sz w:val="21"/>
                      <w:szCs w:val="21"/>
                    </w:rPr>
                    <w:t>3.理解主要老年慢性非传染性疾病预防控制策略和措施等。</w:t>
                  </w:r>
                </w:p>
              </w:tc>
              <w:tc>
                <w:tcPr>
                  <w:tcW w:w="1661" w:type="dxa"/>
                </w:tcPr>
                <w:p w14:paraId="7A4F2F6C">
                  <w:pPr>
                    <w:snapToGrid w:val="0"/>
                    <w:spacing w:line="288" w:lineRule="auto"/>
                    <w:rPr>
                      <w:color w:val="000000"/>
                      <w:sz w:val="21"/>
                      <w:szCs w:val="21"/>
                    </w:rPr>
                  </w:pPr>
                  <w:r>
                    <w:rPr>
                      <w:rFonts w:hint="eastAsia"/>
                      <w:color w:val="000000"/>
                      <w:sz w:val="21"/>
                      <w:szCs w:val="21"/>
                    </w:rPr>
                    <w:t>能运用本章知识，举例说明全球针对慢性非传染性疾病防治的重要计划或行动及其主要内容。</w:t>
                  </w:r>
                </w:p>
                <w:p w14:paraId="5C56E292">
                  <w:pPr>
                    <w:snapToGrid w:val="0"/>
                    <w:spacing w:line="288" w:lineRule="auto"/>
                    <w:rPr>
                      <w:color w:val="000000"/>
                      <w:sz w:val="21"/>
                      <w:szCs w:val="21"/>
                    </w:rPr>
                  </w:pPr>
                </w:p>
              </w:tc>
              <w:tc>
                <w:tcPr>
                  <w:tcW w:w="1304" w:type="dxa"/>
                </w:tcPr>
                <w:p w14:paraId="57A23FD7">
                  <w:pPr>
                    <w:snapToGrid w:val="0"/>
                    <w:spacing w:line="288" w:lineRule="auto"/>
                    <w:rPr>
                      <w:color w:val="000000"/>
                      <w:sz w:val="21"/>
                      <w:szCs w:val="21"/>
                    </w:rPr>
                  </w:pPr>
                  <w:r>
                    <w:rPr>
                      <w:rFonts w:hint="eastAsia"/>
                      <w:color w:val="000000"/>
                      <w:sz w:val="21"/>
                      <w:szCs w:val="21"/>
                    </w:rPr>
                    <w:t>1.热爱专业，关注专业发展动态及趋势。</w:t>
                  </w:r>
                </w:p>
                <w:p w14:paraId="4B6B35DD">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48F45DE1">
                  <w:pPr>
                    <w:snapToGrid w:val="0"/>
                    <w:spacing w:line="288" w:lineRule="auto"/>
                    <w:rPr>
                      <w:color w:val="000000"/>
                      <w:sz w:val="21"/>
                      <w:szCs w:val="21"/>
                    </w:rPr>
                  </w:pPr>
                  <w:r>
                    <w:rPr>
                      <w:rFonts w:hint="eastAsia"/>
                      <w:color w:val="000000"/>
                      <w:sz w:val="21"/>
                      <w:szCs w:val="21"/>
                    </w:rPr>
                    <w:t>老年慢性非传染性疾病的预防控制策略与措施</w:t>
                  </w:r>
                </w:p>
              </w:tc>
            </w:tr>
            <w:tr w14:paraId="61F3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4FC2CE15">
                  <w:pPr>
                    <w:snapToGrid w:val="0"/>
                    <w:spacing w:line="288" w:lineRule="auto"/>
                    <w:jc w:val="center"/>
                    <w:rPr>
                      <w:color w:val="000000"/>
                      <w:sz w:val="20"/>
                      <w:szCs w:val="20"/>
                    </w:rPr>
                  </w:pPr>
                  <w:r>
                    <w:rPr>
                      <w:rFonts w:hint="eastAsia"/>
                      <w:color w:val="000000"/>
                      <w:sz w:val="20"/>
                      <w:szCs w:val="20"/>
                    </w:rPr>
                    <w:t>13</w:t>
                  </w:r>
                </w:p>
              </w:tc>
              <w:tc>
                <w:tcPr>
                  <w:tcW w:w="1083" w:type="dxa"/>
                  <w:vAlign w:val="center"/>
                </w:tcPr>
                <w:p w14:paraId="40C3900C">
                  <w:pPr>
                    <w:snapToGrid w:val="0"/>
                    <w:spacing w:line="288" w:lineRule="auto"/>
                    <w:jc w:val="center"/>
                    <w:rPr>
                      <w:color w:val="000000"/>
                      <w:sz w:val="21"/>
                      <w:szCs w:val="21"/>
                    </w:rPr>
                  </w:pPr>
                  <w:r>
                    <w:rPr>
                      <w:rFonts w:hint="eastAsia"/>
                      <w:color w:val="000000"/>
                      <w:sz w:val="21"/>
                      <w:szCs w:val="21"/>
                    </w:rPr>
                    <w:t>全球老年主要传染性疾病</w:t>
                  </w:r>
                </w:p>
              </w:tc>
              <w:tc>
                <w:tcPr>
                  <w:tcW w:w="1798" w:type="dxa"/>
                </w:tcPr>
                <w:p w14:paraId="1DCED648">
                  <w:pPr>
                    <w:snapToGrid w:val="0"/>
                    <w:spacing w:line="288" w:lineRule="auto"/>
                    <w:rPr>
                      <w:color w:val="000000"/>
                      <w:sz w:val="21"/>
                      <w:szCs w:val="21"/>
                    </w:rPr>
                  </w:pPr>
                  <w:r>
                    <w:rPr>
                      <w:rFonts w:hint="eastAsia"/>
                      <w:color w:val="000000"/>
                      <w:sz w:val="21"/>
                      <w:szCs w:val="21"/>
                    </w:rPr>
                    <w:t>1.知道老年传染性疾病的主要特征。</w:t>
                  </w:r>
                </w:p>
                <w:p w14:paraId="5E2B5097">
                  <w:pPr>
                    <w:snapToGrid w:val="0"/>
                    <w:spacing w:line="288" w:lineRule="auto"/>
                    <w:rPr>
                      <w:color w:val="000000"/>
                      <w:sz w:val="21"/>
                      <w:szCs w:val="21"/>
                    </w:rPr>
                  </w:pPr>
                  <w:r>
                    <w:rPr>
                      <w:rFonts w:hint="eastAsia"/>
                      <w:color w:val="000000"/>
                      <w:sz w:val="21"/>
                      <w:szCs w:val="21"/>
                    </w:rPr>
                    <w:t>2.知道主要老年传染性疾病的全球发病情况及全球疾病负担。</w:t>
                  </w:r>
                </w:p>
                <w:p w14:paraId="00C5862E">
                  <w:pPr>
                    <w:snapToGrid w:val="0"/>
                    <w:spacing w:line="288" w:lineRule="auto"/>
                    <w:rPr>
                      <w:color w:val="000000"/>
                      <w:sz w:val="21"/>
                      <w:szCs w:val="21"/>
                    </w:rPr>
                  </w:pPr>
                  <w:r>
                    <w:rPr>
                      <w:rFonts w:hint="eastAsia"/>
                      <w:color w:val="000000"/>
                      <w:sz w:val="21"/>
                      <w:szCs w:val="21"/>
                    </w:rPr>
                    <w:t>3.理解老年传染性疾病控制的全球政策及地区策略。</w:t>
                  </w:r>
                </w:p>
              </w:tc>
              <w:tc>
                <w:tcPr>
                  <w:tcW w:w="1661" w:type="dxa"/>
                </w:tcPr>
                <w:p w14:paraId="4C117E2E">
                  <w:pPr>
                    <w:snapToGrid w:val="0"/>
                    <w:spacing w:line="288" w:lineRule="auto"/>
                    <w:rPr>
                      <w:color w:val="000000"/>
                      <w:sz w:val="21"/>
                      <w:szCs w:val="21"/>
                    </w:rPr>
                  </w:pPr>
                  <w:r>
                    <w:rPr>
                      <w:rFonts w:hint="eastAsia"/>
                      <w:color w:val="000000"/>
                      <w:sz w:val="21"/>
                      <w:szCs w:val="21"/>
                    </w:rPr>
                    <w:t>能运用本章知识，提出老年主要传染性疾病的预防控制策略。</w:t>
                  </w:r>
                </w:p>
                <w:p w14:paraId="2F89B287">
                  <w:pPr>
                    <w:snapToGrid w:val="0"/>
                    <w:spacing w:line="288" w:lineRule="auto"/>
                    <w:rPr>
                      <w:color w:val="000000"/>
                      <w:sz w:val="21"/>
                      <w:szCs w:val="21"/>
                    </w:rPr>
                  </w:pPr>
                </w:p>
              </w:tc>
              <w:tc>
                <w:tcPr>
                  <w:tcW w:w="1304" w:type="dxa"/>
                </w:tcPr>
                <w:p w14:paraId="03E0A70A">
                  <w:pPr>
                    <w:snapToGrid w:val="0"/>
                    <w:spacing w:line="288" w:lineRule="auto"/>
                    <w:rPr>
                      <w:color w:val="000000"/>
                      <w:sz w:val="21"/>
                      <w:szCs w:val="21"/>
                    </w:rPr>
                  </w:pPr>
                  <w:r>
                    <w:rPr>
                      <w:rFonts w:hint="eastAsia"/>
                      <w:color w:val="000000"/>
                      <w:sz w:val="21"/>
                      <w:szCs w:val="21"/>
                    </w:rPr>
                    <w:t>1.热爱专业，关注专业发展动态及趋势。</w:t>
                  </w:r>
                </w:p>
                <w:p w14:paraId="0601C863">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67014615">
                  <w:pPr>
                    <w:snapToGrid w:val="0"/>
                    <w:spacing w:line="288" w:lineRule="auto"/>
                    <w:rPr>
                      <w:color w:val="000000"/>
                      <w:sz w:val="21"/>
                      <w:szCs w:val="21"/>
                    </w:rPr>
                  </w:pPr>
                  <w:r>
                    <w:rPr>
                      <w:rFonts w:hint="eastAsia"/>
                      <w:color w:val="000000"/>
                      <w:sz w:val="21"/>
                      <w:szCs w:val="21"/>
                    </w:rPr>
                    <w:t>全球老年主要传染性疾病的预防控制策略与措施</w:t>
                  </w:r>
                </w:p>
              </w:tc>
            </w:tr>
            <w:tr w14:paraId="2C8D3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60" w:type="dxa"/>
                  <w:vAlign w:val="center"/>
                </w:tcPr>
                <w:p w14:paraId="3E11886B">
                  <w:pPr>
                    <w:snapToGrid w:val="0"/>
                    <w:spacing w:line="288" w:lineRule="auto"/>
                    <w:jc w:val="center"/>
                    <w:rPr>
                      <w:color w:val="000000"/>
                      <w:sz w:val="20"/>
                      <w:szCs w:val="20"/>
                    </w:rPr>
                  </w:pPr>
                  <w:r>
                    <w:rPr>
                      <w:rFonts w:hint="eastAsia"/>
                      <w:color w:val="000000"/>
                      <w:sz w:val="20"/>
                      <w:szCs w:val="20"/>
                    </w:rPr>
                    <w:t>14</w:t>
                  </w:r>
                </w:p>
              </w:tc>
              <w:tc>
                <w:tcPr>
                  <w:tcW w:w="1083" w:type="dxa"/>
                  <w:vAlign w:val="center"/>
                </w:tcPr>
                <w:p w14:paraId="1B83E737">
                  <w:pPr>
                    <w:snapToGrid w:val="0"/>
                    <w:spacing w:line="288" w:lineRule="auto"/>
                    <w:jc w:val="center"/>
                    <w:rPr>
                      <w:color w:val="000000"/>
                      <w:sz w:val="21"/>
                      <w:szCs w:val="21"/>
                    </w:rPr>
                  </w:pPr>
                  <w:r>
                    <w:rPr>
                      <w:rFonts w:hint="eastAsia"/>
                      <w:color w:val="000000"/>
                      <w:sz w:val="21"/>
                      <w:szCs w:val="21"/>
                    </w:rPr>
                    <w:t>老年失能</w:t>
                  </w:r>
                </w:p>
              </w:tc>
              <w:tc>
                <w:tcPr>
                  <w:tcW w:w="1798" w:type="dxa"/>
                </w:tcPr>
                <w:p w14:paraId="2640D4B0">
                  <w:pPr>
                    <w:snapToGrid w:val="0"/>
                    <w:spacing w:line="288" w:lineRule="auto"/>
                    <w:rPr>
                      <w:color w:val="000000"/>
                      <w:sz w:val="21"/>
                      <w:szCs w:val="21"/>
                    </w:rPr>
                  </w:pPr>
                  <w:r>
                    <w:rPr>
                      <w:rFonts w:hint="eastAsia"/>
                      <w:color w:val="000000"/>
                      <w:sz w:val="21"/>
                      <w:szCs w:val="21"/>
                    </w:rPr>
                    <w:t>1.知道失能和残疾的概念。</w:t>
                  </w:r>
                </w:p>
                <w:p w14:paraId="09E6A1D1">
                  <w:pPr>
                    <w:snapToGrid w:val="0"/>
                    <w:spacing w:line="288" w:lineRule="auto"/>
                    <w:rPr>
                      <w:color w:val="000000"/>
                      <w:sz w:val="21"/>
                      <w:szCs w:val="21"/>
                    </w:rPr>
                  </w:pPr>
                  <w:r>
                    <w:rPr>
                      <w:rFonts w:hint="eastAsia"/>
                      <w:color w:val="000000"/>
                      <w:sz w:val="21"/>
                      <w:szCs w:val="21"/>
                    </w:rPr>
                    <w:t>2.知道老年常见的失能，如认知障碍、视力失能、听力失能等的流行特征、危险因素。</w:t>
                  </w:r>
                </w:p>
                <w:p w14:paraId="21A20F59">
                  <w:pPr>
                    <w:snapToGrid w:val="0"/>
                    <w:spacing w:line="288" w:lineRule="auto"/>
                    <w:rPr>
                      <w:color w:val="000000"/>
                      <w:sz w:val="21"/>
                      <w:szCs w:val="21"/>
                    </w:rPr>
                  </w:pPr>
                  <w:r>
                    <w:rPr>
                      <w:rFonts w:hint="eastAsia"/>
                      <w:color w:val="000000"/>
                      <w:sz w:val="21"/>
                      <w:szCs w:val="21"/>
                    </w:rPr>
                    <w:t>3.理解老年常见失能的疾病负担等。</w:t>
                  </w:r>
                </w:p>
              </w:tc>
              <w:tc>
                <w:tcPr>
                  <w:tcW w:w="1661" w:type="dxa"/>
                </w:tcPr>
                <w:p w14:paraId="60E8C842">
                  <w:pPr>
                    <w:snapToGrid w:val="0"/>
                    <w:spacing w:line="288" w:lineRule="auto"/>
                    <w:rPr>
                      <w:color w:val="000000"/>
                      <w:sz w:val="21"/>
                      <w:szCs w:val="21"/>
                    </w:rPr>
                  </w:pPr>
                  <w:r>
                    <w:rPr>
                      <w:rFonts w:hint="eastAsia"/>
                      <w:color w:val="000000"/>
                      <w:sz w:val="21"/>
                      <w:szCs w:val="21"/>
                    </w:rPr>
                    <w:t>能运用本章知识，提出老年失能的预防控制策略。</w:t>
                  </w:r>
                </w:p>
              </w:tc>
              <w:tc>
                <w:tcPr>
                  <w:tcW w:w="1304" w:type="dxa"/>
                </w:tcPr>
                <w:p w14:paraId="5FF75987">
                  <w:pPr>
                    <w:snapToGrid w:val="0"/>
                    <w:spacing w:line="288" w:lineRule="auto"/>
                    <w:rPr>
                      <w:color w:val="000000"/>
                      <w:sz w:val="21"/>
                      <w:szCs w:val="21"/>
                    </w:rPr>
                  </w:pPr>
                  <w:r>
                    <w:rPr>
                      <w:rFonts w:hint="eastAsia"/>
                      <w:color w:val="000000"/>
                      <w:sz w:val="21"/>
                      <w:szCs w:val="21"/>
                    </w:rPr>
                    <w:t>1.热爱专业，关注专业发展动态及趋势。</w:t>
                  </w:r>
                </w:p>
                <w:p w14:paraId="3F40E994">
                  <w:pPr>
                    <w:snapToGrid w:val="0"/>
                    <w:spacing w:line="288" w:lineRule="auto"/>
                    <w:rPr>
                      <w:color w:val="000000"/>
                      <w:sz w:val="21"/>
                      <w:szCs w:val="21"/>
                    </w:rPr>
                  </w:pPr>
                  <w:r>
                    <w:rPr>
                      <w:rFonts w:hint="eastAsia"/>
                      <w:color w:val="000000"/>
                      <w:sz w:val="21"/>
                      <w:szCs w:val="21"/>
                    </w:rPr>
                    <w:t>2.形成积极参与社会健康发展的意识。</w:t>
                  </w:r>
                </w:p>
              </w:tc>
              <w:tc>
                <w:tcPr>
                  <w:tcW w:w="1844" w:type="dxa"/>
                </w:tcPr>
                <w:p w14:paraId="31BC6357">
                  <w:pPr>
                    <w:snapToGrid w:val="0"/>
                    <w:spacing w:line="288" w:lineRule="auto"/>
                    <w:rPr>
                      <w:color w:val="000000"/>
                      <w:sz w:val="21"/>
                      <w:szCs w:val="21"/>
                    </w:rPr>
                  </w:pPr>
                  <w:r>
                    <w:rPr>
                      <w:rFonts w:hint="eastAsia"/>
                      <w:color w:val="000000"/>
                      <w:sz w:val="21"/>
                      <w:szCs w:val="21"/>
                    </w:rPr>
                    <w:t>老年失能的预防控制策略与措施</w:t>
                  </w:r>
                </w:p>
              </w:tc>
            </w:tr>
          </w:tbl>
          <w:p w14:paraId="23BF99D8">
            <w:pPr>
              <w:pStyle w:val="14"/>
              <w:widowControl w:val="0"/>
              <w:jc w:val="left"/>
              <w:rPr>
                <w:rFonts w:ascii="仿宋" w:hAnsi="仿宋" w:eastAsia="仿宋" w:cs="仿宋"/>
              </w:rPr>
            </w:pPr>
          </w:p>
        </w:tc>
      </w:tr>
    </w:tbl>
    <w:p w14:paraId="036E4619">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0"/>
        <w:gridCol w:w="1101"/>
        <w:gridCol w:w="1099"/>
        <w:gridCol w:w="1101"/>
        <w:gridCol w:w="1104"/>
        <w:gridCol w:w="1100"/>
        <w:gridCol w:w="1101"/>
      </w:tblGrid>
      <w:tr w14:paraId="4FCD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26" w:type="dxa"/>
            <w:tcBorders>
              <w:top w:val="single" w:color="auto" w:sz="12" w:space="0"/>
              <w:left w:val="single" w:color="auto" w:sz="12" w:space="0"/>
              <w:tl2br w:val="single" w:color="auto" w:sz="4" w:space="0"/>
            </w:tcBorders>
          </w:tcPr>
          <w:p w14:paraId="4D4FB7D4">
            <w:pPr>
              <w:pStyle w:val="13"/>
              <w:ind w:firstLine="489"/>
              <w:jc w:val="right"/>
              <w:rPr>
                <w:szCs w:val="16"/>
              </w:rPr>
            </w:pPr>
            <w:r>
              <w:rPr>
                <w:rFonts w:hint="eastAsia"/>
                <w:szCs w:val="16"/>
              </w:rPr>
              <w:t>课程目标</w:t>
            </w:r>
          </w:p>
          <w:p w14:paraId="446C168B">
            <w:pPr>
              <w:pStyle w:val="13"/>
              <w:ind w:right="210"/>
              <w:jc w:val="left"/>
              <w:rPr>
                <w:szCs w:val="16"/>
              </w:rPr>
            </w:pPr>
          </w:p>
          <w:p w14:paraId="0C61CA98">
            <w:pPr>
              <w:pStyle w:val="13"/>
              <w:ind w:right="210"/>
              <w:jc w:val="left"/>
              <w:rPr>
                <w:szCs w:val="16"/>
              </w:rPr>
            </w:pPr>
            <w:r>
              <w:rPr>
                <w:rFonts w:hint="eastAsia"/>
                <w:szCs w:val="16"/>
              </w:rPr>
              <w:t>教学单元</w:t>
            </w:r>
          </w:p>
        </w:tc>
        <w:tc>
          <w:tcPr>
            <w:tcW w:w="1075" w:type="dxa"/>
            <w:tcBorders>
              <w:top w:val="single" w:color="auto" w:sz="12" w:space="0"/>
            </w:tcBorders>
            <w:vAlign w:val="center"/>
          </w:tcPr>
          <w:p w14:paraId="07E86D5B">
            <w:pPr>
              <w:pStyle w:val="13"/>
              <w:rPr>
                <w:szCs w:val="16"/>
              </w:rPr>
            </w:pPr>
            <w:r>
              <w:rPr>
                <w:rFonts w:hint="eastAsia"/>
                <w:szCs w:val="16"/>
              </w:rPr>
              <w:t>1</w:t>
            </w:r>
          </w:p>
        </w:tc>
        <w:tc>
          <w:tcPr>
            <w:tcW w:w="1073" w:type="dxa"/>
            <w:tcBorders>
              <w:top w:val="single" w:color="auto" w:sz="12" w:space="0"/>
            </w:tcBorders>
            <w:vAlign w:val="center"/>
          </w:tcPr>
          <w:p w14:paraId="72E7B003">
            <w:pPr>
              <w:pStyle w:val="13"/>
              <w:rPr>
                <w:szCs w:val="16"/>
              </w:rPr>
            </w:pPr>
            <w:r>
              <w:rPr>
                <w:rFonts w:hint="eastAsia"/>
                <w:szCs w:val="16"/>
              </w:rPr>
              <w:t>2</w:t>
            </w:r>
          </w:p>
        </w:tc>
        <w:tc>
          <w:tcPr>
            <w:tcW w:w="1075" w:type="dxa"/>
            <w:tcBorders>
              <w:top w:val="single" w:color="auto" w:sz="12" w:space="0"/>
            </w:tcBorders>
            <w:vAlign w:val="center"/>
          </w:tcPr>
          <w:p w14:paraId="6D95178F">
            <w:pPr>
              <w:pStyle w:val="13"/>
              <w:rPr>
                <w:szCs w:val="16"/>
              </w:rPr>
            </w:pPr>
            <w:r>
              <w:rPr>
                <w:rFonts w:hint="eastAsia"/>
                <w:szCs w:val="16"/>
              </w:rPr>
              <w:t>3</w:t>
            </w:r>
          </w:p>
        </w:tc>
        <w:tc>
          <w:tcPr>
            <w:tcW w:w="1078" w:type="dxa"/>
            <w:tcBorders>
              <w:top w:val="single" w:color="auto" w:sz="12" w:space="0"/>
            </w:tcBorders>
            <w:vAlign w:val="center"/>
          </w:tcPr>
          <w:p w14:paraId="217598F1">
            <w:pPr>
              <w:pStyle w:val="13"/>
              <w:rPr>
                <w:szCs w:val="16"/>
              </w:rPr>
            </w:pPr>
            <w:r>
              <w:rPr>
                <w:rFonts w:hint="eastAsia"/>
                <w:szCs w:val="16"/>
              </w:rPr>
              <w:t>4</w:t>
            </w:r>
          </w:p>
        </w:tc>
        <w:tc>
          <w:tcPr>
            <w:tcW w:w="1074" w:type="dxa"/>
            <w:tcBorders>
              <w:top w:val="single" w:color="auto" w:sz="12" w:space="0"/>
            </w:tcBorders>
            <w:vAlign w:val="center"/>
          </w:tcPr>
          <w:p w14:paraId="2C49A734">
            <w:pPr>
              <w:pStyle w:val="13"/>
              <w:rPr>
                <w:szCs w:val="16"/>
              </w:rPr>
            </w:pPr>
            <w:r>
              <w:rPr>
                <w:rFonts w:hint="eastAsia"/>
                <w:szCs w:val="16"/>
              </w:rPr>
              <w:t>5</w:t>
            </w:r>
          </w:p>
        </w:tc>
        <w:tc>
          <w:tcPr>
            <w:tcW w:w="1075" w:type="dxa"/>
            <w:tcBorders>
              <w:top w:val="single" w:color="auto" w:sz="12" w:space="0"/>
              <w:right w:val="single" w:color="auto" w:sz="12" w:space="0"/>
            </w:tcBorders>
            <w:vAlign w:val="center"/>
          </w:tcPr>
          <w:p w14:paraId="13F05C3A">
            <w:pPr>
              <w:pStyle w:val="13"/>
              <w:rPr>
                <w:szCs w:val="16"/>
              </w:rPr>
            </w:pPr>
            <w:r>
              <w:rPr>
                <w:rFonts w:hint="eastAsia"/>
                <w:szCs w:val="16"/>
              </w:rPr>
              <w:t>6</w:t>
            </w:r>
          </w:p>
        </w:tc>
      </w:tr>
      <w:tr w14:paraId="1BE3E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6" w:type="dxa"/>
            <w:tcBorders>
              <w:left w:val="single" w:color="auto" w:sz="12" w:space="0"/>
            </w:tcBorders>
            <w:vAlign w:val="center"/>
          </w:tcPr>
          <w:p w14:paraId="11D33475">
            <w:pPr>
              <w:snapToGrid w:val="0"/>
              <w:spacing w:line="288" w:lineRule="auto"/>
              <w:rPr>
                <w:color w:val="000000"/>
                <w:sz w:val="20"/>
                <w:szCs w:val="20"/>
              </w:rPr>
            </w:pPr>
            <w:r>
              <w:rPr>
                <w:rFonts w:hint="eastAsia"/>
                <w:color w:val="000000"/>
                <w:sz w:val="20"/>
                <w:szCs w:val="20"/>
              </w:rPr>
              <w:t>1概述</w:t>
            </w:r>
          </w:p>
        </w:tc>
        <w:tc>
          <w:tcPr>
            <w:tcW w:w="1075" w:type="dxa"/>
            <w:vAlign w:val="center"/>
          </w:tcPr>
          <w:p w14:paraId="4725D165">
            <w:pPr>
              <w:pStyle w:val="14"/>
            </w:pPr>
            <w:r>
              <w:rPr>
                <w:rFonts w:hint="eastAsia"/>
              </w:rPr>
              <w:t>√</w:t>
            </w:r>
          </w:p>
        </w:tc>
        <w:tc>
          <w:tcPr>
            <w:tcW w:w="1073" w:type="dxa"/>
            <w:vAlign w:val="center"/>
          </w:tcPr>
          <w:p w14:paraId="0966DED6">
            <w:pPr>
              <w:pStyle w:val="14"/>
            </w:pPr>
          </w:p>
        </w:tc>
        <w:tc>
          <w:tcPr>
            <w:tcW w:w="1075" w:type="dxa"/>
            <w:vAlign w:val="center"/>
          </w:tcPr>
          <w:p w14:paraId="59EE1C6F">
            <w:pPr>
              <w:pStyle w:val="14"/>
            </w:pPr>
          </w:p>
        </w:tc>
        <w:tc>
          <w:tcPr>
            <w:tcW w:w="1078" w:type="dxa"/>
            <w:vAlign w:val="center"/>
          </w:tcPr>
          <w:p w14:paraId="4C97B3C2">
            <w:pPr>
              <w:pStyle w:val="14"/>
            </w:pPr>
          </w:p>
        </w:tc>
        <w:tc>
          <w:tcPr>
            <w:tcW w:w="1074" w:type="dxa"/>
            <w:vAlign w:val="center"/>
          </w:tcPr>
          <w:p w14:paraId="48F67D96">
            <w:pPr>
              <w:pStyle w:val="14"/>
            </w:pPr>
          </w:p>
        </w:tc>
        <w:tc>
          <w:tcPr>
            <w:tcW w:w="1075" w:type="dxa"/>
            <w:tcBorders>
              <w:right w:val="single" w:color="auto" w:sz="12" w:space="0"/>
            </w:tcBorders>
            <w:vAlign w:val="center"/>
          </w:tcPr>
          <w:p w14:paraId="3D358322">
            <w:pPr>
              <w:pStyle w:val="14"/>
            </w:pPr>
          </w:p>
        </w:tc>
      </w:tr>
      <w:tr w14:paraId="0792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6" w:type="dxa"/>
            <w:tcBorders>
              <w:left w:val="single" w:color="auto" w:sz="12" w:space="0"/>
            </w:tcBorders>
            <w:vAlign w:val="center"/>
          </w:tcPr>
          <w:p w14:paraId="24CDF221">
            <w:pPr>
              <w:snapToGrid w:val="0"/>
              <w:spacing w:line="288" w:lineRule="auto"/>
              <w:rPr>
                <w:color w:val="000000"/>
                <w:sz w:val="20"/>
                <w:szCs w:val="20"/>
              </w:rPr>
            </w:pPr>
            <w:r>
              <w:rPr>
                <w:rFonts w:hint="eastAsia"/>
                <w:color w:val="000000"/>
                <w:sz w:val="20"/>
                <w:szCs w:val="20"/>
              </w:rPr>
              <w:t>2老年健康特征</w:t>
            </w:r>
          </w:p>
        </w:tc>
        <w:tc>
          <w:tcPr>
            <w:tcW w:w="1075" w:type="dxa"/>
            <w:vAlign w:val="center"/>
          </w:tcPr>
          <w:p w14:paraId="434D528A">
            <w:pPr>
              <w:pStyle w:val="14"/>
            </w:pPr>
            <w:r>
              <w:rPr>
                <w:rFonts w:hint="eastAsia"/>
              </w:rPr>
              <w:t>√</w:t>
            </w:r>
          </w:p>
        </w:tc>
        <w:tc>
          <w:tcPr>
            <w:tcW w:w="1073" w:type="dxa"/>
            <w:vAlign w:val="center"/>
          </w:tcPr>
          <w:p w14:paraId="53B2AC38">
            <w:pPr>
              <w:pStyle w:val="14"/>
            </w:pPr>
          </w:p>
        </w:tc>
        <w:tc>
          <w:tcPr>
            <w:tcW w:w="1075" w:type="dxa"/>
            <w:vAlign w:val="center"/>
          </w:tcPr>
          <w:p w14:paraId="3502C5D5">
            <w:pPr>
              <w:pStyle w:val="14"/>
            </w:pPr>
            <w:r>
              <w:rPr>
                <w:rFonts w:hint="eastAsia"/>
              </w:rPr>
              <w:t>√</w:t>
            </w:r>
          </w:p>
        </w:tc>
        <w:tc>
          <w:tcPr>
            <w:tcW w:w="1078" w:type="dxa"/>
            <w:vAlign w:val="center"/>
          </w:tcPr>
          <w:p w14:paraId="5D3584BD">
            <w:pPr>
              <w:pStyle w:val="14"/>
            </w:pPr>
            <w:r>
              <w:rPr>
                <w:rFonts w:hint="eastAsia"/>
              </w:rPr>
              <w:t>√</w:t>
            </w:r>
          </w:p>
        </w:tc>
        <w:tc>
          <w:tcPr>
            <w:tcW w:w="1074" w:type="dxa"/>
            <w:vAlign w:val="center"/>
          </w:tcPr>
          <w:p w14:paraId="004FF60A">
            <w:pPr>
              <w:pStyle w:val="14"/>
            </w:pPr>
            <w:r>
              <w:rPr>
                <w:rFonts w:hint="eastAsia"/>
              </w:rPr>
              <w:t>√</w:t>
            </w:r>
          </w:p>
        </w:tc>
        <w:tc>
          <w:tcPr>
            <w:tcW w:w="1075" w:type="dxa"/>
            <w:tcBorders>
              <w:right w:val="single" w:color="auto" w:sz="12" w:space="0"/>
            </w:tcBorders>
            <w:vAlign w:val="center"/>
          </w:tcPr>
          <w:p w14:paraId="2AF9BC8F">
            <w:pPr>
              <w:pStyle w:val="14"/>
            </w:pPr>
            <w:r>
              <w:rPr>
                <w:rFonts w:hint="eastAsia"/>
              </w:rPr>
              <w:t>√</w:t>
            </w:r>
          </w:p>
        </w:tc>
      </w:tr>
      <w:tr w14:paraId="1181D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6" w:type="dxa"/>
            <w:tcBorders>
              <w:left w:val="single" w:color="auto" w:sz="12" w:space="0"/>
            </w:tcBorders>
            <w:vAlign w:val="center"/>
          </w:tcPr>
          <w:p w14:paraId="21E823F2">
            <w:pPr>
              <w:snapToGrid w:val="0"/>
              <w:spacing w:line="288" w:lineRule="auto"/>
              <w:rPr>
                <w:color w:val="000000"/>
                <w:sz w:val="20"/>
                <w:szCs w:val="20"/>
              </w:rPr>
            </w:pPr>
            <w:r>
              <w:rPr>
                <w:rFonts w:hint="eastAsia"/>
                <w:color w:val="000000"/>
                <w:sz w:val="20"/>
                <w:szCs w:val="20"/>
              </w:rPr>
              <w:t>3衰老与功能障碍</w:t>
            </w:r>
          </w:p>
        </w:tc>
        <w:tc>
          <w:tcPr>
            <w:tcW w:w="1075" w:type="dxa"/>
            <w:vAlign w:val="center"/>
          </w:tcPr>
          <w:p w14:paraId="42BC696E">
            <w:pPr>
              <w:pStyle w:val="14"/>
            </w:pPr>
            <w:r>
              <w:rPr>
                <w:rFonts w:hint="eastAsia"/>
              </w:rPr>
              <w:t>√</w:t>
            </w:r>
          </w:p>
        </w:tc>
        <w:tc>
          <w:tcPr>
            <w:tcW w:w="1073" w:type="dxa"/>
            <w:vAlign w:val="center"/>
          </w:tcPr>
          <w:p w14:paraId="6ADE6BC9">
            <w:pPr>
              <w:pStyle w:val="14"/>
            </w:pPr>
          </w:p>
        </w:tc>
        <w:tc>
          <w:tcPr>
            <w:tcW w:w="1075" w:type="dxa"/>
            <w:vAlign w:val="center"/>
          </w:tcPr>
          <w:p w14:paraId="4CDAA07D">
            <w:pPr>
              <w:pStyle w:val="14"/>
            </w:pPr>
            <w:r>
              <w:rPr>
                <w:rFonts w:hint="eastAsia"/>
              </w:rPr>
              <w:t>√</w:t>
            </w:r>
          </w:p>
        </w:tc>
        <w:tc>
          <w:tcPr>
            <w:tcW w:w="1078" w:type="dxa"/>
            <w:vAlign w:val="center"/>
          </w:tcPr>
          <w:p w14:paraId="79B59FB5">
            <w:pPr>
              <w:pStyle w:val="14"/>
            </w:pPr>
            <w:r>
              <w:rPr>
                <w:rFonts w:hint="eastAsia"/>
              </w:rPr>
              <w:t>√</w:t>
            </w:r>
          </w:p>
        </w:tc>
        <w:tc>
          <w:tcPr>
            <w:tcW w:w="1074" w:type="dxa"/>
            <w:vAlign w:val="center"/>
          </w:tcPr>
          <w:p w14:paraId="019EC289">
            <w:pPr>
              <w:pStyle w:val="14"/>
            </w:pPr>
            <w:r>
              <w:rPr>
                <w:rFonts w:hint="eastAsia"/>
              </w:rPr>
              <w:t>√</w:t>
            </w:r>
          </w:p>
        </w:tc>
        <w:tc>
          <w:tcPr>
            <w:tcW w:w="1075" w:type="dxa"/>
            <w:tcBorders>
              <w:right w:val="single" w:color="auto" w:sz="12" w:space="0"/>
            </w:tcBorders>
            <w:vAlign w:val="center"/>
          </w:tcPr>
          <w:p w14:paraId="593E353B">
            <w:pPr>
              <w:pStyle w:val="14"/>
            </w:pPr>
            <w:r>
              <w:rPr>
                <w:rFonts w:hint="eastAsia"/>
              </w:rPr>
              <w:t>√</w:t>
            </w:r>
          </w:p>
        </w:tc>
      </w:tr>
      <w:tr w14:paraId="3B3F1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6" w:type="dxa"/>
            <w:tcBorders>
              <w:left w:val="single" w:color="auto" w:sz="12" w:space="0"/>
            </w:tcBorders>
            <w:vAlign w:val="center"/>
          </w:tcPr>
          <w:p w14:paraId="32826611">
            <w:pPr>
              <w:snapToGrid w:val="0"/>
              <w:spacing w:line="288" w:lineRule="auto"/>
              <w:rPr>
                <w:color w:val="000000"/>
                <w:sz w:val="20"/>
                <w:szCs w:val="20"/>
              </w:rPr>
            </w:pPr>
            <w:r>
              <w:rPr>
                <w:rFonts w:hint="eastAsia"/>
                <w:color w:val="000000"/>
                <w:sz w:val="20"/>
                <w:szCs w:val="20"/>
              </w:rPr>
              <w:t>4老年疾病流行特征</w:t>
            </w:r>
          </w:p>
        </w:tc>
        <w:tc>
          <w:tcPr>
            <w:tcW w:w="1075" w:type="dxa"/>
            <w:vAlign w:val="center"/>
          </w:tcPr>
          <w:p w14:paraId="4ECAC7DE">
            <w:pPr>
              <w:pStyle w:val="14"/>
            </w:pPr>
            <w:r>
              <w:rPr>
                <w:rFonts w:hint="eastAsia"/>
              </w:rPr>
              <w:t>√</w:t>
            </w:r>
          </w:p>
        </w:tc>
        <w:tc>
          <w:tcPr>
            <w:tcW w:w="1073" w:type="dxa"/>
            <w:vAlign w:val="center"/>
          </w:tcPr>
          <w:p w14:paraId="59EAA2FB">
            <w:pPr>
              <w:pStyle w:val="14"/>
            </w:pPr>
          </w:p>
        </w:tc>
        <w:tc>
          <w:tcPr>
            <w:tcW w:w="1075" w:type="dxa"/>
            <w:vAlign w:val="center"/>
          </w:tcPr>
          <w:p w14:paraId="6D83E288">
            <w:pPr>
              <w:pStyle w:val="14"/>
            </w:pPr>
            <w:r>
              <w:rPr>
                <w:rFonts w:hint="eastAsia"/>
              </w:rPr>
              <w:t>√</w:t>
            </w:r>
          </w:p>
        </w:tc>
        <w:tc>
          <w:tcPr>
            <w:tcW w:w="1078" w:type="dxa"/>
            <w:vAlign w:val="center"/>
          </w:tcPr>
          <w:p w14:paraId="6A15A522">
            <w:pPr>
              <w:pStyle w:val="14"/>
            </w:pPr>
            <w:r>
              <w:rPr>
                <w:rFonts w:hint="eastAsia"/>
              </w:rPr>
              <w:t>√</w:t>
            </w:r>
          </w:p>
        </w:tc>
        <w:tc>
          <w:tcPr>
            <w:tcW w:w="1074" w:type="dxa"/>
            <w:vAlign w:val="center"/>
          </w:tcPr>
          <w:p w14:paraId="1618491A">
            <w:pPr>
              <w:pStyle w:val="14"/>
            </w:pPr>
            <w:r>
              <w:rPr>
                <w:rFonts w:hint="eastAsia"/>
              </w:rPr>
              <w:t>√</w:t>
            </w:r>
          </w:p>
        </w:tc>
        <w:tc>
          <w:tcPr>
            <w:tcW w:w="1075" w:type="dxa"/>
            <w:tcBorders>
              <w:right w:val="single" w:color="auto" w:sz="12" w:space="0"/>
            </w:tcBorders>
            <w:vAlign w:val="center"/>
          </w:tcPr>
          <w:p w14:paraId="5D6A5154">
            <w:pPr>
              <w:pStyle w:val="14"/>
            </w:pPr>
            <w:r>
              <w:rPr>
                <w:rFonts w:hint="eastAsia"/>
              </w:rPr>
              <w:t>√</w:t>
            </w:r>
          </w:p>
        </w:tc>
      </w:tr>
      <w:tr w14:paraId="45323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6" w:type="dxa"/>
            <w:tcBorders>
              <w:left w:val="single" w:color="auto" w:sz="12" w:space="0"/>
            </w:tcBorders>
            <w:vAlign w:val="center"/>
          </w:tcPr>
          <w:p w14:paraId="783CEE90">
            <w:pPr>
              <w:snapToGrid w:val="0"/>
              <w:spacing w:line="288" w:lineRule="auto"/>
              <w:rPr>
                <w:color w:val="000000"/>
                <w:sz w:val="20"/>
                <w:szCs w:val="20"/>
              </w:rPr>
            </w:pPr>
            <w:r>
              <w:rPr>
                <w:rFonts w:hint="eastAsia"/>
                <w:color w:val="000000"/>
                <w:sz w:val="20"/>
                <w:szCs w:val="20"/>
              </w:rPr>
              <w:t>5老年健康测评</w:t>
            </w:r>
          </w:p>
        </w:tc>
        <w:tc>
          <w:tcPr>
            <w:tcW w:w="1075" w:type="dxa"/>
            <w:vAlign w:val="center"/>
          </w:tcPr>
          <w:p w14:paraId="0B4773A5">
            <w:pPr>
              <w:pStyle w:val="14"/>
            </w:pPr>
            <w:r>
              <w:rPr>
                <w:rFonts w:hint="eastAsia"/>
              </w:rPr>
              <w:t>√</w:t>
            </w:r>
          </w:p>
        </w:tc>
        <w:tc>
          <w:tcPr>
            <w:tcW w:w="1073" w:type="dxa"/>
            <w:vAlign w:val="center"/>
          </w:tcPr>
          <w:p w14:paraId="4B62896C">
            <w:pPr>
              <w:pStyle w:val="14"/>
            </w:pPr>
          </w:p>
        </w:tc>
        <w:tc>
          <w:tcPr>
            <w:tcW w:w="1075" w:type="dxa"/>
            <w:vAlign w:val="center"/>
          </w:tcPr>
          <w:p w14:paraId="4D9F2A37">
            <w:pPr>
              <w:pStyle w:val="14"/>
            </w:pPr>
            <w:r>
              <w:rPr>
                <w:rFonts w:hint="eastAsia"/>
              </w:rPr>
              <w:t>√</w:t>
            </w:r>
          </w:p>
        </w:tc>
        <w:tc>
          <w:tcPr>
            <w:tcW w:w="1078" w:type="dxa"/>
            <w:vAlign w:val="center"/>
          </w:tcPr>
          <w:p w14:paraId="3DFDAB78">
            <w:pPr>
              <w:pStyle w:val="14"/>
            </w:pPr>
            <w:r>
              <w:rPr>
                <w:rFonts w:hint="eastAsia"/>
              </w:rPr>
              <w:t>√</w:t>
            </w:r>
          </w:p>
        </w:tc>
        <w:tc>
          <w:tcPr>
            <w:tcW w:w="1074" w:type="dxa"/>
            <w:vAlign w:val="center"/>
          </w:tcPr>
          <w:p w14:paraId="5ADF5998">
            <w:pPr>
              <w:pStyle w:val="14"/>
            </w:pPr>
            <w:r>
              <w:rPr>
                <w:rFonts w:hint="eastAsia"/>
              </w:rPr>
              <w:t>√</w:t>
            </w:r>
          </w:p>
        </w:tc>
        <w:tc>
          <w:tcPr>
            <w:tcW w:w="1075" w:type="dxa"/>
            <w:tcBorders>
              <w:right w:val="single" w:color="auto" w:sz="12" w:space="0"/>
            </w:tcBorders>
            <w:vAlign w:val="center"/>
          </w:tcPr>
          <w:p w14:paraId="2D55C905">
            <w:pPr>
              <w:pStyle w:val="14"/>
            </w:pPr>
            <w:r>
              <w:rPr>
                <w:rFonts w:hint="eastAsia"/>
              </w:rPr>
              <w:t>√</w:t>
            </w:r>
          </w:p>
        </w:tc>
      </w:tr>
      <w:tr w14:paraId="1C4C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6" w:type="dxa"/>
            <w:tcBorders>
              <w:left w:val="single" w:color="auto" w:sz="12" w:space="0"/>
            </w:tcBorders>
            <w:vAlign w:val="center"/>
          </w:tcPr>
          <w:p w14:paraId="385F5E7F">
            <w:pPr>
              <w:snapToGrid w:val="0"/>
              <w:spacing w:line="288" w:lineRule="auto"/>
              <w:rPr>
                <w:color w:val="000000"/>
                <w:sz w:val="20"/>
                <w:szCs w:val="20"/>
              </w:rPr>
            </w:pPr>
            <w:r>
              <w:rPr>
                <w:rFonts w:hint="eastAsia"/>
                <w:color w:val="000000"/>
                <w:sz w:val="20"/>
                <w:szCs w:val="20"/>
              </w:rPr>
              <w:t>6全球老年疾病负担</w:t>
            </w:r>
          </w:p>
        </w:tc>
        <w:tc>
          <w:tcPr>
            <w:tcW w:w="1075" w:type="dxa"/>
            <w:vAlign w:val="center"/>
          </w:tcPr>
          <w:p w14:paraId="387EEA9F">
            <w:pPr>
              <w:pStyle w:val="14"/>
            </w:pPr>
            <w:r>
              <w:rPr>
                <w:rFonts w:hint="eastAsia"/>
              </w:rPr>
              <w:t>√</w:t>
            </w:r>
          </w:p>
        </w:tc>
        <w:tc>
          <w:tcPr>
            <w:tcW w:w="1073" w:type="dxa"/>
            <w:vAlign w:val="center"/>
          </w:tcPr>
          <w:p w14:paraId="243FFDF8">
            <w:pPr>
              <w:pStyle w:val="14"/>
            </w:pPr>
            <w:r>
              <w:rPr>
                <w:rFonts w:hint="eastAsia"/>
              </w:rPr>
              <w:t>√</w:t>
            </w:r>
          </w:p>
        </w:tc>
        <w:tc>
          <w:tcPr>
            <w:tcW w:w="1075" w:type="dxa"/>
            <w:vAlign w:val="center"/>
          </w:tcPr>
          <w:p w14:paraId="26208430">
            <w:pPr>
              <w:pStyle w:val="14"/>
            </w:pPr>
            <w:r>
              <w:rPr>
                <w:rFonts w:hint="eastAsia"/>
              </w:rPr>
              <w:t>√</w:t>
            </w:r>
          </w:p>
        </w:tc>
        <w:tc>
          <w:tcPr>
            <w:tcW w:w="1078" w:type="dxa"/>
            <w:vAlign w:val="center"/>
          </w:tcPr>
          <w:p w14:paraId="14A3BC4F">
            <w:pPr>
              <w:pStyle w:val="14"/>
            </w:pPr>
            <w:r>
              <w:rPr>
                <w:rFonts w:hint="eastAsia"/>
              </w:rPr>
              <w:t>√</w:t>
            </w:r>
          </w:p>
        </w:tc>
        <w:tc>
          <w:tcPr>
            <w:tcW w:w="1074" w:type="dxa"/>
            <w:vAlign w:val="center"/>
          </w:tcPr>
          <w:p w14:paraId="48363A67">
            <w:pPr>
              <w:pStyle w:val="14"/>
            </w:pPr>
            <w:r>
              <w:rPr>
                <w:rFonts w:hint="eastAsia"/>
              </w:rPr>
              <w:t>√</w:t>
            </w:r>
          </w:p>
        </w:tc>
        <w:tc>
          <w:tcPr>
            <w:tcW w:w="1075" w:type="dxa"/>
            <w:tcBorders>
              <w:right w:val="single" w:color="auto" w:sz="12" w:space="0"/>
            </w:tcBorders>
            <w:vAlign w:val="center"/>
          </w:tcPr>
          <w:p w14:paraId="36523CFF">
            <w:pPr>
              <w:pStyle w:val="14"/>
            </w:pPr>
            <w:r>
              <w:rPr>
                <w:rFonts w:hint="eastAsia"/>
              </w:rPr>
              <w:t>√</w:t>
            </w:r>
          </w:p>
        </w:tc>
      </w:tr>
      <w:tr w14:paraId="16CE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6" w:type="dxa"/>
            <w:tcBorders>
              <w:left w:val="single" w:color="auto" w:sz="12" w:space="0"/>
            </w:tcBorders>
            <w:vAlign w:val="center"/>
          </w:tcPr>
          <w:p w14:paraId="35880284">
            <w:pPr>
              <w:snapToGrid w:val="0"/>
              <w:spacing w:line="288" w:lineRule="auto"/>
              <w:rPr>
                <w:color w:val="000000"/>
                <w:sz w:val="20"/>
                <w:szCs w:val="20"/>
              </w:rPr>
            </w:pPr>
            <w:r>
              <w:rPr>
                <w:rFonts w:hint="eastAsia"/>
                <w:color w:val="000000"/>
                <w:sz w:val="20"/>
                <w:szCs w:val="20"/>
              </w:rPr>
              <w:t>7老年健康全球策略</w:t>
            </w:r>
          </w:p>
        </w:tc>
        <w:tc>
          <w:tcPr>
            <w:tcW w:w="1075" w:type="dxa"/>
            <w:vAlign w:val="center"/>
          </w:tcPr>
          <w:p w14:paraId="13FD35E8">
            <w:pPr>
              <w:pStyle w:val="14"/>
            </w:pPr>
            <w:r>
              <w:rPr>
                <w:rFonts w:hint="eastAsia"/>
              </w:rPr>
              <w:t>√</w:t>
            </w:r>
          </w:p>
        </w:tc>
        <w:tc>
          <w:tcPr>
            <w:tcW w:w="1073" w:type="dxa"/>
            <w:vAlign w:val="center"/>
          </w:tcPr>
          <w:p w14:paraId="378F62D3">
            <w:pPr>
              <w:pStyle w:val="14"/>
            </w:pPr>
            <w:r>
              <w:rPr>
                <w:rFonts w:hint="eastAsia"/>
              </w:rPr>
              <w:t>√</w:t>
            </w:r>
          </w:p>
        </w:tc>
        <w:tc>
          <w:tcPr>
            <w:tcW w:w="1075" w:type="dxa"/>
            <w:vAlign w:val="center"/>
          </w:tcPr>
          <w:p w14:paraId="1A34E930">
            <w:pPr>
              <w:pStyle w:val="14"/>
            </w:pPr>
            <w:r>
              <w:rPr>
                <w:rFonts w:hint="eastAsia"/>
              </w:rPr>
              <w:t>√</w:t>
            </w:r>
          </w:p>
        </w:tc>
        <w:tc>
          <w:tcPr>
            <w:tcW w:w="1078" w:type="dxa"/>
            <w:vAlign w:val="center"/>
          </w:tcPr>
          <w:p w14:paraId="2A51AE2D">
            <w:pPr>
              <w:pStyle w:val="14"/>
            </w:pPr>
            <w:r>
              <w:rPr>
                <w:rFonts w:hint="eastAsia"/>
              </w:rPr>
              <w:t>√</w:t>
            </w:r>
          </w:p>
        </w:tc>
        <w:tc>
          <w:tcPr>
            <w:tcW w:w="1074" w:type="dxa"/>
            <w:vAlign w:val="center"/>
          </w:tcPr>
          <w:p w14:paraId="5CE4A2F0">
            <w:pPr>
              <w:pStyle w:val="14"/>
            </w:pPr>
            <w:r>
              <w:rPr>
                <w:rFonts w:hint="eastAsia"/>
              </w:rPr>
              <w:t>√</w:t>
            </w:r>
          </w:p>
        </w:tc>
        <w:tc>
          <w:tcPr>
            <w:tcW w:w="1075" w:type="dxa"/>
            <w:tcBorders>
              <w:right w:val="single" w:color="auto" w:sz="12" w:space="0"/>
            </w:tcBorders>
            <w:vAlign w:val="center"/>
          </w:tcPr>
          <w:p w14:paraId="7363531D">
            <w:pPr>
              <w:pStyle w:val="14"/>
            </w:pPr>
            <w:r>
              <w:rPr>
                <w:rFonts w:hint="eastAsia"/>
              </w:rPr>
              <w:t>√</w:t>
            </w:r>
          </w:p>
        </w:tc>
      </w:tr>
      <w:tr w14:paraId="7C0E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6" w:type="dxa"/>
            <w:tcBorders>
              <w:left w:val="single" w:color="auto" w:sz="12" w:space="0"/>
            </w:tcBorders>
            <w:vAlign w:val="center"/>
          </w:tcPr>
          <w:p w14:paraId="1E98F8B3">
            <w:pPr>
              <w:snapToGrid w:val="0"/>
              <w:spacing w:line="288" w:lineRule="auto"/>
              <w:rPr>
                <w:color w:val="000000"/>
                <w:sz w:val="20"/>
                <w:szCs w:val="20"/>
              </w:rPr>
            </w:pPr>
            <w:r>
              <w:rPr>
                <w:rFonts w:hint="eastAsia"/>
                <w:color w:val="000000"/>
                <w:sz w:val="20"/>
                <w:szCs w:val="20"/>
              </w:rPr>
              <w:t>8老年健康公共政策体系</w:t>
            </w:r>
          </w:p>
        </w:tc>
        <w:tc>
          <w:tcPr>
            <w:tcW w:w="1075" w:type="dxa"/>
            <w:vAlign w:val="center"/>
          </w:tcPr>
          <w:p w14:paraId="719407FD">
            <w:pPr>
              <w:pStyle w:val="14"/>
            </w:pPr>
            <w:r>
              <w:rPr>
                <w:rFonts w:hint="eastAsia"/>
              </w:rPr>
              <w:t>√</w:t>
            </w:r>
          </w:p>
        </w:tc>
        <w:tc>
          <w:tcPr>
            <w:tcW w:w="1073" w:type="dxa"/>
            <w:vAlign w:val="center"/>
          </w:tcPr>
          <w:p w14:paraId="0631EE5F">
            <w:pPr>
              <w:pStyle w:val="14"/>
            </w:pPr>
            <w:r>
              <w:rPr>
                <w:rFonts w:hint="eastAsia"/>
              </w:rPr>
              <w:t>√</w:t>
            </w:r>
          </w:p>
        </w:tc>
        <w:tc>
          <w:tcPr>
            <w:tcW w:w="1075" w:type="dxa"/>
            <w:vAlign w:val="center"/>
          </w:tcPr>
          <w:p w14:paraId="030F0BBB">
            <w:pPr>
              <w:pStyle w:val="14"/>
            </w:pPr>
            <w:r>
              <w:rPr>
                <w:rFonts w:hint="eastAsia"/>
              </w:rPr>
              <w:t>√</w:t>
            </w:r>
          </w:p>
        </w:tc>
        <w:tc>
          <w:tcPr>
            <w:tcW w:w="1078" w:type="dxa"/>
            <w:vAlign w:val="center"/>
          </w:tcPr>
          <w:p w14:paraId="3FD60994">
            <w:pPr>
              <w:pStyle w:val="14"/>
            </w:pPr>
            <w:r>
              <w:rPr>
                <w:rFonts w:hint="eastAsia"/>
              </w:rPr>
              <w:t>√</w:t>
            </w:r>
          </w:p>
        </w:tc>
        <w:tc>
          <w:tcPr>
            <w:tcW w:w="1074" w:type="dxa"/>
            <w:vAlign w:val="center"/>
          </w:tcPr>
          <w:p w14:paraId="6592D183">
            <w:pPr>
              <w:pStyle w:val="14"/>
            </w:pPr>
            <w:r>
              <w:rPr>
                <w:rFonts w:hint="eastAsia"/>
              </w:rPr>
              <w:t>√</w:t>
            </w:r>
          </w:p>
        </w:tc>
        <w:tc>
          <w:tcPr>
            <w:tcW w:w="1075" w:type="dxa"/>
            <w:tcBorders>
              <w:right w:val="single" w:color="auto" w:sz="12" w:space="0"/>
            </w:tcBorders>
            <w:vAlign w:val="center"/>
          </w:tcPr>
          <w:p w14:paraId="5DD5C273">
            <w:pPr>
              <w:pStyle w:val="14"/>
            </w:pPr>
            <w:r>
              <w:rPr>
                <w:rFonts w:hint="eastAsia"/>
              </w:rPr>
              <w:t>√</w:t>
            </w:r>
          </w:p>
        </w:tc>
      </w:tr>
      <w:tr w14:paraId="12FD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826" w:type="dxa"/>
            <w:tcBorders>
              <w:left w:val="single" w:color="auto" w:sz="12" w:space="0"/>
            </w:tcBorders>
            <w:vAlign w:val="center"/>
          </w:tcPr>
          <w:p w14:paraId="5F711BE4">
            <w:pPr>
              <w:snapToGrid w:val="0"/>
              <w:spacing w:line="288" w:lineRule="auto"/>
              <w:rPr>
                <w:color w:val="000000"/>
                <w:sz w:val="20"/>
                <w:szCs w:val="20"/>
              </w:rPr>
            </w:pPr>
            <w:r>
              <w:rPr>
                <w:rFonts w:hint="eastAsia"/>
                <w:color w:val="000000"/>
                <w:sz w:val="20"/>
                <w:szCs w:val="20"/>
              </w:rPr>
              <w:t>9老年健康促进</w:t>
            </w:r>
          </w:p>
        </w:tc>
        <w:tc>
          <w:tcPr>
            <w:tcW w:w="1075" w:type="dxa"/>
            <w:vAlign w:val="center"/>
          </w:tcPr>
          <w:p w14:paraId="74B08995">
            <w:pPr>
              <w:pStyle w:val="14"/>
            </w:pPr>
            <w:r>
              <w:rPr>
                <w:rFonts w:hint="eastAsia"/>
              </w:rPr>
              <w:t>√</w:t>
            </w:r>
          </w:p>
        </w:tc>
        <w:tc>
          <w:tcPr>
            <w:tcW w:w="1073" w:type="dxa"/>
            <w:vAlign w:val="center"/>
          </w:tcPr>
          <w:p w14:paraId="58A00CBA">
            <w:pPr>
              <w:pStyle w:val="14"/>
            </w:pPr>
          </w:p>
        </w:tc>
        <w:tc>
          <w:tcPr>
            <w:tcW w:w="1075" w:type="dxa"/>
            <w:vAlign w:val="center"/>
          </w:tcPr>
          <w:p w14:paraId="43BBC7C1">
            <w:pPr>
              <w:pStyle w:val="14"/>
            </w:pPr>
            <w:r>
              <w:rPr>
                <w:rFonts w:hint="eastAsia"/>
              </w:rPr>
              <w:t>√</w:t>
            </w:r>
          </w:p>
        </w:tc>
        <w:tc>
          <w:tcPr>
            <w:tcW w:w="1078" w:type="dxa"/>
            <w:vAlign w:val="center"/>
          </w:tcPr>
          <w:p w14:paraId="309D1C4A">
            <w:pPr>
              <w:pStyle w:val="14"/>
            </w:pPr>
            <w:r>
              <w:rPr>
                <w:rFonts w:hint="eastAsia"/>
              </w:rPr>
              <w:t>√</w:t>
            </w:r>
          </w:p>
        </w:tc>
        <w:tc>
          <w:tcPr>
            <w:tcW w:w="1074" w:type="dxa"/>
            <w:vAlign w:val="center"/>
          </w:tcPr>
          <w:p w14:paraId="428FA27A">
            <w:pPr>
              <w:pStyle w:val="14"/>
            </w:pPr>
            <w:r>
              <w:rPr>
                <w:rFonts w:hint="eastAsia"/>
              </w:rPr>
              <w:t>√</w:t>
            </w:r>
          </w:p>
        </w:tc>
        <w:tc>
          <w:tcPr>
            <w:tcW w:w="1075" w:type="dxa"/>
            <w:tcBorders>
              <w:right w:val="single" w:color="auto" w:sz="12" w:space="0"/>
            </w:tcBorders>
            <w:vAlign w:val="center"/>
          </w:tcPr>
          <w:p w14:paraId="346FB1C1">
            <w:pPr>
              <w:pStyle w:val="14"/>
            </w:pPr>
            <w:r>
              <w:rPr>
                <w:rFonts w:hint="eastAsia"/>
              </w:rPr>
              <w:t>√</w:t>
            </w:r>
          </w:p>
        </w:tc>
      </w:tr>
      <w:tr w14:paraId="4A9C0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6" w:type="dxa"/>
            <w:tcBorders>
              <w:left w:val="single" w:color="auto" w:sz="12" w:space="0"/>
            </w:tcBorders>
            <w:vAlign w:val="center"/>
          </w:tcPr>
          <w:p w14:paraId="34629463">
            <w:pPr>
              <w:snapToGrid w:val="0"/>
              <w:spacing w:line="288" w:lineRule="auto"/>
              <w:rPr>
                <w:color w:val="000000"/>
                <w:sz w:val="20"/>
                <w:szCs w:val="20"/>
              </w:rPr>
            </w:pPr>
            <w:r>
              <w:rPr>
                <w:rFonts w:hint="eastAsia"/>
                <w:color w:val="000000"/>
                <w:sz w:val="20"/>
                <w:szCs w:val="20"/>
              </w:rPr>
              <w:t>10老年长期照料</w:t>
            </w:r>
          </w:p>
        </w:tc>
        <w:tc>
          <w:tcPr>
            <w:tcW w:w="1075" w:type="dxa"/>
            <w:vAlign w:val="center"/>
          </w:tcPr>
          <w:p w14:paraId="4A7CFC02">
            <w:pPr>
              <w:pStyle w:val="14"/>
            </w:pPr>
            <w:r>
              <w:rPr>
                <w:rFonts w:hint="eastAsia"/>
              </w:rPr>
              <w:t>√</w:t>
            </w:r>
          </w:p>
        </w:tc>
        <w:tc>
          <w:tcPr>
            <w:tcW w:w="1073" w:type="dxa"/>
            <w:vAlign w:val="center"/>
          </w:tcPr>
          <w:p w14:paraId="6757858A">
            <w:pPr>
              <w:pStyle w:val="14"/>
            </w:pPr>
          </w:p>
        </w:tc>
        <w:tc>
          <w:tcPr>
            <w:tcW w:w="1075" w:type="dxa"/>
            <w:vAlign w:val="center"/>
          </w:tcPr>
          <w:p w14:paraId="381E1BBE">
            <w:pPr>
              <w:pStyle w:val="14"/>
            </w:pPr>
            <w:r>
              <w:rPr>
                <w:rFonts w:hint="eastAsia"/>
              </w:rPr>
              <w:t>√</w:t>
            </w:r>
          </w:p>
        </w:tc>
        <w:tc>
          <w:tcPr>
            <w:tcW w:w="1078" w:type="dxa"/>
            <w:vAlign w:val="center"/>
          </w:tcPr>
          <w:p w14:paraId="4CAD99F5">
            <w:pPr>
              <w:pStyle w:val="14"/>
            </w:pPr>
            <w:r>
              <w:rPr>
                <w:rFonts w:hint="eastAsia"/>
              </w:rPr>
              <w:t>√</w:t>
            </w:r>
          </w:p>
        </w:tc>
        <w:tc>
          <w:tcPr>
            <w:tcW w:w="1074" w:type="dxa"/>
            <w:vAlign w:val="center"/>
          </w:tcPr>
          <w:p w14:paraId="104830BB">
            <w:pPr>
              <w:pStyle w:val="14"/>
            </w:pPr>
            <w:r>
              <w:rPr>
                <w:rFonts w:hint="eastAsia"/>
              </w:rPr>
              <w:t>√</w:t>
            </w:r>
          </w:p>
        </w:tc>
        <w:tc>
          <w:tcPr>
            <w:tcW w:w="1075" w:type="dxa"/>
            <w:tcBorders>
              <w:right w:val="single" w:color="auto" w:sz="12" w:space="0"/>
            </w:tcBorders>
            <w:vAlign w:val="center"/>
          </w:tcPr>
          <w:p w14:paraId="105C4A31">
            <w:pPr>
              <w:pStyle w:val="14"/>
            </w:pPr>
            <w:r>
              <w:rPr>
                <w:rFonts w:hint="eastAsia"/>
              </w:rPr>
              <w:t>√</w:t>
            </w:r>
          </w:p>
        </w:tc>
      </w:tr>
      <w:tr w14:paraId="4CF3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6" w:type="dxa"/>
            <w:tcBorders>
              <w:left w:val="single" w:color="auto" w:sz="12" w:space="0"/>
            </w:tcBorders>
            <w:vAlign w:val="center"/>
          </w:tcPr>
          <w:p w14:paraId="03E21DE6">
            <w:pPr>
              <w:snapToGrid w:val="0"/>
              <w:spacing w:line="288" w:lineRule="auto"/>
              <w:rPr>
                <w:color w:val="000000"/>
                <w:sz w:val="20"/>
                <w:szCs w:val="20"/>
              </w:rPr>
            </w:pPr>
            <w:r>
              <w:rPr>
                <w:rFonts w:hint="eastAsia"/>
                <w:color w:val="000000"/>
                <w:sz w:val="20"/>
                <w:szCs w:val="20"/>
              </w:rPr>
              <w:t>11老年健康全球治理</w:t>
            </w:r>
          </w:p>
        </w:tc>
        <w:tc>
          <w:tcPr>
            <w:tcW w:w="1075" w:type="dxa"/>
            <w:vAlign w:val="center"/>
          </w:tcPr>
          <w:p w14:paraId="2AF46B72">
            <w:pPr>
              <w:pStyle w:val="14"/>
            </w:pPr>
            <w:r>
              <w:rPr>
                <w:rFonts w:hint="eastAsia"/>
              </w:rPr>
              <w:t>√</w:t>
            </w:r>
          </w:p>
        </w:tc>
        <w:tc>
          <w:tcPr>
            <w:tcW w:w="1073" w:type="dxa"/>
            <w:vAlign w:val="center"/>
          </w:tcPr>
          <w:p w14:paraId="011D45DF">
            <w:pPr>
              <w:pStyle w:val="14"/>
            </w:pPr>
          </w:p>
        </w:tc>
        <w:tc>
          <w:tcPr>
            <w:tcW w:w="1075" w:type="dxa"/>
            <w:vAlign w:val="center"/>
          </w:tcPr>
          <w:p w14:paraId="3371DF04">
            <w:pPr>
              <w:pStyle w:val="14"/>
            </w:pPr>
            <w:r>
              <w:rPr>
                <w:rFonts w:hint="eastAsia"/>
              </w:rPr>
              <w:t>√</w:t>
            </w:r>
          </w:p>
        </w:tc>
        <w:tc>
          <w:tcPr>
            <w:tcW w:w="1078" w:type="dxa"/>
            <w:vAlign w:val="center"/>
          </w:tcPr>
          <w:p w14:paraId="394BE841">
            <w:pPr>
              <w:pStyle w:val="14"/>
            </w:pPr>
            <w:r>
              <w:rPr>
                <w:rFonts w:hint="eastAsia"/>
              </w:rPr>
              <w:t>√</w:t>
            </w:r>
          </w:p>
        </w:tc>
        <w:tc>
          <w:tcPr>
            <w:tcW w:w="1074" w:type="dxa"/>
            <w:vAlign w:val="center"/>
          </w:tcPr>
          <w:p w14:paraId="44175ADB">
            <w:pPr>
              <w:pStyle w:val="14"/>
            </w:pPr>
            <w:r>
              <w:rPr>
                <w:rFonts w:hint="eastAsia"/>
              </w:rPr>
              <w:t>√</w:t>
            </w:r>
          </w:p>
        </w:tc>
        <w:tc>
          <w:tcPr>
            <w:tcW w:w="1075" w:type="dxa"/>
            <w:tcBorders>
              <w:right w:val="single" w:color="auto" w:sz="12" w:space="0"/>
            </w:tcBorders>
            <w:vAlign w:val="center"/>
          </w:tcPr>
          <w:p w14:paraId="7FCD3787">
            <w:pPr>
              <w:pStyle w:val="14"/>
            </w:pPr>
            <w:r>
              <w:rPr>
                <w:rFonts w:hint="eastAsia"/>
              </w:rPr>
              <w:t>√</w:t>
            </w:r>
          </w:p>
        </w:tc>
      </w:tr>
      <w:tr w14:paraId="4B62A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6" w:type="dxa"/>
            <w:tcBorders>
              <w:left w:val="single" w:color="auto" w:sz="12" w:space="0"/>
            </w:tcBorders>
            <w:vAlign w:val="center"/>
          </w:tcPr>
          <w:p w14:paraId="7A2A8A3A">
            <w:pPr>
              <w:snapToGrid w:val="0"/>
              <w:spacing w:line="288" w:lineRule="auto"/>
              <w:rPr>
                <w:color w:val="000000"/>
                <w:sz w:val="20"/>
                <w:szCs w:val="20"/>
              </w:rPr>
            </w:pPr>
            <w:r>
              <w:rPr>
                <w:rFonts w:hint="eastAsia"/>
                <w:color w:val="000000"/>
                <w:sz w:val="20"/>
                <w:szCs w:val="20"/>
              </w:rPr>
              <w:t>12老年慢性非传染性疾病</w:t>
            </w:r>
          </w:p>
        </w:tc>
        <w:tc>
          <w:tcPr>
            <w:tcW w:w="1075" w:type="dxa"/>
            <w:vAlign w:val="center"/>
          </w:tcPr>
          <w:p w14:paraId="7423B2AA">
            <w:pPr>
              <w:pStyle w:val="14"/>
            </w:pPr>
            <w:r>
              <w:rPr>
                <w:rFonts w:hint="eastAsia"/>
              </w:rPr>
              <w:t>√</w:t>
            </w:r>
          </w:p>
        </w:tc>
        <w:tc>
          <w:tcPr>
            <w:tcW w:w="1073" w:type="dxa"/>
            <w:vAlign w:val="center"/>
          </w:tcPr>
          <w:p w14:paraId="45D6C9D0">
            <w:pPr>
              <w:pStyle w:val="14"/>
            </w:pPr>
          </w:p>
        </w:tc>
        <w:tc>
          <w:tcPr>
            <w:tcW w:w="1075" w:type="dxa"/>
            <w:vAlign w:val="center"/>
          </w:tcPr>
          <w:p w14:paraId="744EF33A">
            <w:pPr>
              <w:pStyle w:val="14"/>
            </w:pPr>
            <w:r>
              <w:rPr>
                <w:rFonts w:hint="eastAsia"/>
              </w:rPr>
              <w:t>√</w:t>
            </w:r>
          </w:p>
        </w:tc>
        <w:tc>
          <w:tcPr>
            <w:tcW w:w="1078" w:type="dxa"/>
            <w:vAlign w:val="center"/>
          </w:tcPr>
          <w:p w14:paraId="11A71D56">
            <w:pPr>
              <w:pStyle w:val="14"/>
            </w:pPr>
            <w:r>
              <w:rPr>
                <w:rFonts w:hint="eastAsia"/>
              </w:rPr>
              <w:t>√</w:t>
            </w:r>
          </w:p>
        </w:tc>
        <w:tc>
          <w:tcPr>
            <w:tcW w:w="1074" w:type="dxa"/>
            <w:vAlign w:val="center"/>
          </w:tcPr>
          <w:p w14:paraId="455ED423">
            <w:pPr>
              <w:pStyle w:val="14"/>
            </w:pPr>
            <w:r>
              <w:rPr>
                <w:rFonts w:hint="eastAsia"/>
              </w:rPr>
              <w:t>√</w:t>
            </w:r>
          </w:p>
        </w:tc>
        <w:tc>
          <w:tcPr>
            <w:tcW w:w="1075" w:type="dxa"/>
            <w:tcBorders>
              <w:right w:val="single" w:color="auto" w:sz="12" w:space="0"/>
            </w:tcBorders>
            <w:vAlign w:val="center"/>
          </w:tcPr>
          <w:p w14:paraId="3F967827">
            <w:pPr>
              <w:pStyle w:val="14"/>
            </w:pPr>
            <w:r>
              <w:rPr>
                <w:rFonts w:hint="eastAsia"/>
              </w:rPr>
              <w:t>√</w:t>
            </w:r>
          </w:p>
        </w:tc>
      </w:tr>
      <w:tr w14:paraId="5245D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6" w:type="dxa"/>
            <w:tcBorders>
              <w:left w:val="single" w:color="auto" w:sz="12" w:space="0"/>
            </w:tcBorders>
            <w:vAlign w:val="center"/>
          </w:tcPr>
          <w:p w14:paraId="47E5961A">
            <w:pPr>
              <w:snapToGrid w:val="0"/>
              <w:spacing w:line="288" w:lineRule="auto"/>
              <w:rPr>
                <w:color w:val="000000"/>
                <w:sz w:val="20"/>
                <w:szCs w:val="20"/>
              </w:rPr>
            </w:pPr>
            <w:r>
              <w:rPr>
                <w:rFonts w:hint="eastAsia"/>
                <w:color w:val="000000"/>
                <w:sz w:val="20"/>
                <w:szCs w:val="20"/>
              </w:rPr>
              <w:t>13全球老年主要传染性疾病</w:t>
            </w:r>
          </w:p>
        </w:tc>
        <w:tc>
          <w:tcPr>
            <w:tcW w:w="1075" w:type="dxa"/>
            <w:vAlign w:val="center"/>
          </w:tcPr>
          <w:p w14:paraId="23724CD2">
            <w:pPr>
              <w:pStyle w:val="14"/>
            </w:pPr>
            <w:r>
              <w:rPr>
                <w:rFonts w:hint="eastAsia"/>
              </w:rPr>
              <w:t>√</w:t>
            </w:r>
          </w:p>
        </w:tc>
        <w:tc>
          <w:tcPr>
            <w:tcW w:w="1073" w:type="dxa"/>
            <w:vAlign w:val="center"/>
          </w:tcPr>
          <w:p w14:paraId="6B9D4A6F">
            <w:pPr>
              <w:pStyle w:val="14"/>
            </w:pPr>
          </w:p>
        </w:tc>
        <w:tc>
          <w:tcPr>
            <w:tcW w:w="1075" w:type="dxa"/>
            <w:vAlign w:val="center"/>
          </w:tcPr>
          <w:p w14:paraId="48660C0D">
            <w:pPr>
              <w:pStyle w:val="14"/>
            </w:pPr>
            <w:r>
              <w:rPr>
                <w:rFonts w:hint="eastAsia"/>
              </w:rPr>
              <w:t>√</w:t>
            </w:r>
          </w:p>
        </w:tc>
        <w:tc>
          <w:tcPr>
            <w:tcW w:w="1078" w:type="dxa"/>
            <w:vAlign w:val="center"/>
          </w:tcPr>
          <w:p w14:paraId="663C4A51">
            <w:pPr>
              <w:pStyle w:val="14"/>
            </w:pPr>
            <w:r>
              <w:rPr>
                <w:rFonts w:hint="eastAsia"/>
              </w:rPr>
              <w:t>√</w:t>
            </w:r>
          </w:p>
        </w:tc>
        <w:tc>
          <w:tcPr>
            <w:tcW w:w="1074" w:type="dxa"/>
            <w:vAlign w:val="center"/>
          </w:tcPr>
          <w:p w14:paraId="50E4BDF3">
            <w:pPr>
              <w:pStyle w:val="14"/>
            </w:pPr>
            <w:r>
              <w:rPr>
                <w:rFonts w:hint="eastAsia"/>
              </w:rPr>
              <w:t>√</w:t>
            </w:r>
          </w:p>
        </w:tc>
        <w:tc>
          <w:tcPr>
            <w:tcW w:w="1075" w:type="dxa"/>
            <w:tcBorders>
              <w:right w:val="single" w:color="auto" w:sz="12" w:space="0"/>
            </w:tcBorders>
            <w:vAlign w:val="center"/>
          </w:tcPr>
          <w:p w14:paraId="644910C9">
            <w:pPr>
              <w:pStyle w:val="14"/>
            </w:pPr>
            <w:r>
              <w:rPr>
                <w:rFonts w:hint="eastAsia"/>
              </w:rPr>
              <w:t>√</w:t>
            </w:r>
          </w:p>
        </w:tc>
      </w:tr>
      <w:tr w14:paraId="6861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26" w:type="dxa"/>
            <w:tcBorders>
              <w:left w:val="single" w:color="auto" w:sz="12" w:space="0"/>
              <w:bottom w:val="single" w:color="auto" w:sz="12" w:space="0"/>
            </w:tcBorders>
            <w:vAlign w:val="center"/>
          </w:tcPr>
          <w:p w14:paraId="7D8914EF">
            <w:pPr>
              <w:snapToGrid w:val="0"/>
              <w:spacing w:line="288" w:lineRule="auto"/>
              <w:rPr>
                <w:color w:val="000000"/>
                <w:sz w:val="20"/>
                <w:szCs w:val="20"/>
              </w:rPr>
            </w:pPr>
            <w:r>
              <w:rPr>
                <w:rFonts w:hint="eastAsia"/>
                <w:color w:val="000000"/>
                <w:sz w:val="20"/>
                <w:szCs w:val="20"/>
              </w:rPr>
              <w:t>14老年失能</w:t>
            </w:r>
          </w:p>
        </w:tc>
        <w:tc>
          <w:tcPr>
            <w:tcW w:w="1075" w:type="dxa"/>
            <w:tcBorders>
              <w:bottom w:val="single" w:color="auto" w:sz="12" w:space="0"/>
            </w:tcBorders>
            <w:vAlign w:val="center"/>
          </w:tcPr>
          <w:p w14:paraId="3C2C264C">
            <w:pPr>
              <w:pStyle w:val="14"/>
            </w:pPr>
            <w:r>
              <w:rPr>
                <w:rFonts w:hint="eastAsia"/>
              </w:rPr>
              <w:t>√</w:t>
            </w:r>
          </w:p>
        </w:tc>
        <w:tc>
          <w:tcPr>
            <w:tcW w:w="1073" w:type="dxa"/>
            <w:tcBorders>
              <w:bottom w:val="single" w:color="auto" w:sz="12" w:space="0"/>
            </w:tcBorders>
            <w:vAlign w:val="center"/>
          </w:tcPr>
          <w:p w14:paraId="096FE472">
            <w:pPr>
              <w:pStyle w:val="14"/>
            </w:pPr>
          </w:p>
        </w:tc>
        <w:tc>
          <w:tcPr>
            <w:tcW w:w="1075" w:type="dxa"/>
            <w:tcBorders>
              <w:bottom w:val="single" w:color="auto" w:sz="12" w:space="0"/>
            </w:tcBorders>
            <w:vAlign w:val="center"/>
          </w:tcPr>
          <w:p w14:paraId="029AB22D">
            <w:pPr>
              <w:pStyle w:val="14"/>
            </w:pPr>
            <w:r>
              <w:rPr>
                <w:rFonts w:hint="eastAsia"/>
              </w:rPr>
              <w:t>√</w:t>
            </w:r>
          </w:p>
        </w:tc>
        <w:tc>
          <w:tcPr>
            <w:tcW w:w="1078" w:type="dxa"/>
            <w:tcBorders>
              <w:bottom w:val="single" w:color="auto" w:sz="12" w:space="0"/>
            </w:tcBorders>
            <w:vAlign w:val="center"/>
          </w:tcPr>
          <w:p w14:paraId="1BD84E33">
            <w:pPr>
              <w:pStyle w:val="14"/>
            </w:pPr>
            <w:r>
              <w:rPr>
                <w:rFonts w:hint="eastAsia"/>
              </w:rPr>
              <w:t>√</w:t>
            </w:r>
          </w:p>
        </w:tc>
        <w:tc>
          <w:tcPr>
            <w:tcW w:w="1074" w:type="dxa"/>
            <w:tcBorders>
              <w:bottom w:val="single" w:color="auto" w:sz="12" w:space="0"/>
            </w:tcBorders>
            <w:vAlign w:val="center"/>
          </w:tcPr>
          <w:p w14:paraId="569B1FD3">
            <w:pPr>
              <w:pStyle w:val="14"/>
            </w:pPr>
            <w:r>
              <w:rPr>
                <w:rFonts w:hint="eastAsia"/>
              </w:rPr>
              <w:t>√</w:t>
            </w:r>
          </w:p>
        </w:tc>
        <w:tc>
          <w:tcPr>
            <w:tcW w:w="1075" w:type="dxa"/>
            <w:tcBorders>
              <w:bottom w:val="single" w:color="auto" w:sz="12" w:space="0"/>
              <w:right w:val="single" w:color="auto" w:sz="12" w:space="0"/>
            </w:tcBorders>
            <w:vAlign w:val="center"/>
          </w:tcPr>
          <w:p w14:paraId="23582A8B">
            <w:pPr>
              <w:pStyle w:val="14"/>
            </w:pPr>
            <w:r>
              <w:rPr>
                <w:rFonts w:hint="eastAsia"/>
              </w:rPr>
              <w:t>√</w:t>
            </w:r>
          </w:p>
        </w:tc>
      </w:tr>
    </w:tbl>
    <w:p w14:paraId="4536C753">
      <w:pPr>
        <w:pStyle w:val="17"/>
        <w:spacing w:before="326" w:beforeLines="100" w:after="163"/>
      </w:pPr>
      <w:r>
        <w:rPr>
          <w:rFonts w:hint="eastAsia"/>
        </w:rPr>
        <w:t>（三）课程教学方法与学时分配</w:t>
      </w:r>
    </w:p>
    <w:tbl>
      <w:tblPr>
        <w:tblStyle w:val="8"/>
        <w:tblW w:w="5014"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autofit"/>
        <w:tblCellMar>
          <w:top w:w="0" w:type="dxa"/>
          <w:left w:w="108" w:type="dxa"/>
          <w:bottom w:w="0" w:type="dxa"/>
          <w:right w:w="108" w:type="dxa"/>
        </w:tblCellMar>
      </w:tblPr>
      <w:tblGrid>
        <w:gridCol w:w="1133"/>
        <w:gridCol w:w="3218"/>
        <w:gridCol w:w="2032"/>
        <w:gridCol w:w="773"/>
        <w:gridCol w:w="721"/>
        <w:gridCol w:w="669"/>
      </w:tblGrid>
      <w:tr w14:paraId="40D146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02" w:type="dxa"/>
            <w:vMerge w:val="restart"/>
          </w:tcPr>
          <w:p w14:paraId="13C504F9">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3129" w:type="dxa"/>
            <w:vMerge w:val="restart"/>
          </w:tcPr>
          <w:p w14:paraId="5086ACDA">
            <w:pPr>
              <w:pStyle w:val="13"/>
              <w:widowControl w:val="0"/>
              <w:rPr>
                <w:szCs w:val="21"/>
              </w:rPr>
            </w:pPr>
            <w:r>
              <w:rPr>
                <w:rFonts w:hint="eastAsia" w:ascii="黑体" w:hAnsi="黑体"/>
                <w:szCs w:val="21"/>
              </w:rPr>
              <w:t>教与学方式</w:t>
            </w:r>
          </w:p>
        </w:tc>
        <w:tc>
          <w:tcPr>
            <w:tcW w:w="1976" w:type="dxa"/>
            <w:vMerge w:val="restart"/>
          </w:tcPr>
          <w:p w14:paraId="5A3E9F3E">
            <w:pPr>
              <w:pStyle w:val="13"/>
              <w:widowControl w:val="0"/>
              <w:rPr>
                <w:rFonts w:ascii="黑体" w:hAnsi="黑体"/>
                <w:szCs w:val="21"/>
              </w:rPr>
            </w:pPr>
            <w:r>
              <w:rPr>
                <w:rFonts w:hint="eastAsia" w:ascii="黑体" w:hAnsi="黑体"/>
                <w:szCs w:val="21"/>
              </w:rPr>
              <w:t>考核方式</w:t>
            </w:r>
          </w:p>
        </w:tc>
        <w:tc>
          <w:tcPr>
            <w:tcW w:w="2102" w:type="dxa"/>
            <w:gridSpan w:val="3"/>
          </w:tcPr>
          <w:p w14:paraId="75154D77">
            <w:pPr>
              <w:pStyle w:val="13"/>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4366A61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102" w:type="dxa"/>
            <w:vMerge w:val="continue"/>
          </w:tcPr>
          <w:p w14:paraId="22E7F27E">
            <w:pPr>
              <w:widowControl w:val="0"/>
              <w:snapToGrid w:val="0"/>
              <w:jc w:val="center"/>
              <w:rPr>
                <w:rFonts w:ascii="黑体" w:hAnsi="黑体" w:eastAsia="黑体"/>
                <w:bCs/>
                <w:sz w:val="21"/>
                <w:szCs w:val="21"/>
              </w:rPr>
            </w:pPr>
          </w:p>
        </w:tc>
        <w:tc>
          <w:tcPr>
            <w:tcW w:w="3129" w:type="dxa"/>
            <w:vMerge w:val="continue"/>
          </w:tcPr>
          <w:p w14:paraId="69DEF98C">
            <w:pPr>
              <w:widowControl w:val="0"/>
              <w:snapToGrid w:val="0"/>
              <w:jc w:val="center"/>
              <w:rPr>
                <w:rFonts w:ascii="黑体" w:hAnsi="黑体" w:eastAsia="黑体"/>
                <w:bCs/>
                <w:sz w:val="21"/>
                <w:szCs w:val="21"/>
              </w:rPr>
            </w:pPr>
          </w:p>
        </w:tc>
        <w:tc>
          <w:tcPr>
            <w:tcW w:w="1976" w:type="dxa"/>
            <w:vMerge w:val="continue"/>
          </w:tcPr>
          <w:p w14:paraId="136C0AF3">
            <w:pPr>
              <w:widowControl w:val="0"/>
              <w:snapToGrid w:val="0"/>
              <w:jc w:val="center"/>
              <w:rPr>
                <w:rFonts w:ascii="黑体" w:hAnsi="黑体" w:eastAsia="黑体"/>
                <w:bCs/>
                <w:sz w:val="21"/>
                <w:szCs w:val="21"/>
              </w:rPr>
            </w:pPr>
          </w:p>
        </w:tc>
        <w:tc>
          <w:tcPr>
            <w:tcW w:w="752" w:type="dxa"/>
          </w:tcPr>
          <w:p w14:paraId="645F984D">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701" w:type="dxa"/>
          </w:tcPr>
          <w:p w14:paraId="389F2E9B">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649" w:type="dxa"/>
          </w:tcPr>
          <w:p w14:paraId="3FA0D0A9">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1FC3DF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74" w:hRule="atLeast"/>
        </w:trPr>
        <w:tc>
          <w:tcPr>
            <w:tcW w:w="1102" w:type="dxa"/>
          </w:tcPr>
          <w:p w14:paraId="0857FCA3">
            <w:pPr>
              <w:widowControl w:val="0"/>
              <w:snapToGrid w:val="0"/>
              <w:spacing w:line="288" w:lineRule="auto"/>
              <w:jc w:val="left"/>
              <w:rPr>
                <w:color w:val="000000"/>
                <w:sz w:val="20"/>
                <w:szCs w:val="20"/>
              </w:rPr>
            </w:pPr>
            <w:r>
              <w:rPr>
                <w:rFonts w:hint="eastAsia"/>
                <w:color w:val="000000"/>
                <w:sz w:val="20"/>
                <w:szCs w:val="20"/>
              </w:rPr>
              <w:t>1概述</w:t>
            </w:r>
          </w:p>
        </w:tc>
        <w:tc>
          <w:tcPr>
            <w:tcW w:w="3129" w:type="dxa"/>
          </w:tcPr>
          <w:p w14:paraId="23C49E8B">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3914D79E">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53C5BF95">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3A10BA4D">
            <w:pPr>
              <w:widowControl w:val="0"/>
              <w:snapToGrid w:val="0"/>
              <w:jc w:val="center"/>
              <w:rPr>
                <w:rFonts w:ascii="Times New Roman" w:hAnsi="Times New Roman"/>
                <w:bCs/>
                <w:sz w:val="21"/>
                <w:szCs w:val="21"/>
              </w:rPr>
            </w:pPr>
            <w:r>
              <w:rPr>
                <w:rFonts w:ascii="Times New Roman" w:hAnsi="Times New Roman"/>
                <w:bCs/>
                <w:sz w:val="21"/>
                <w:szCs w:val="21"/>
              </w:rPr>
              <w:t>2</w:t>
            </w:r>
            <w:r>
              <w:rPr>
                <w:rFonts w:hint="eastAsia" w:ascii="Times New Roman" w:hAnsi="Times New Roman"/>
                <w:bCs/>
                <w:sz w:val="21"/>
                <w:szCs w:val="21"/>
              </w:rPr>
              <w:t>.课堂表现</w:t>
            </w:r>
          </w:p>
        </w:tc>
        <w:tc>
          <w:tcPr>
            <w:tcW w:w="752" w:type="dxa"/>
          </w:tcPr>
          <w:p w14:paraId="4C1ECF35">
            <w:pPr>
              <w:widowControl w:val="0"/>
              <w:snapToGrid w:val="0"/>
              <w:spacing w:line="288" w:lineRule="auto"/>
              <w:jc w:val="center"/>
              <w:rPr>
                <w:color w:val="000000"/>
                <w:sz w:val="20"/>
                <w:szCs w:val="20"/>
              </w:rPr>
            </w:pPr>
            <w:r>
              <w:rPr>
                <w:color w:val="000000"/>
                <w:sz w:val="20"/>
                <w:szCs w:val="20"/>
              </w:rPr>
              <w:t>2</w:t>
            </w:r>
          </w:p>
        </w:tc>
        <w:tc>
          <w:tcPr>
            <w:tcW w:w="701" w:type="dxa"/>
          </w:tcPr>
          <w:p w14:paraId="3C251A56">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0474F3F7">
            <w:pPr>
              <w:widowControl w:val="0"/>
              <w:snapToGrid w:val="0"/>
              <w:spacing w:line="288" w:lineRule="auto"/>
              <w:jc w:val="center"/>
              <w:rPr>
                <w:color w:val="000000"/>
                <w:sz w:val="20"/>
                <w:szCs w:val="20"/>
              </w:rPr>
            </w:pPr>
            <w:r>
              <w:rPr>
                <w:rFonts w:hint="eastAsia"/>
                <w:color w:val="000000"/>
                <w:sz w:val="20"/>
                <w:szCs w:val="20"/>
              </w:rPr>
              <w:t>2</w:t>
            </w:r>
          </w:p>
        </w:tc>
      </w:tr>
      <w:tr w14:paraId="4828E2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tcPr>
          <w:p w14:paraId="7DD9CDEB">
            <w:pPr>
              <w:widowControl w:val="0"/>
              <w:snapToGrid w:val="0"/>
              <w:spacing w:line="288" w:lineRule="auto"/>
              <w:jc w:val="left"/>
              <w:rPr>
                <w:color w:val="000000"/>
                <w:sz w:val="20"/>
                <w:szCs w:val="20"/>
              </w:rPr>
            </w:pPr>
            <w:r>
              <w:rPr>
                <w:rFonts w:hint="eastAsia"/>
                <w:color w:val="000000"/>
                <w:sz w:val="20"/>
                <w:szCs w:val="20"/>
              </w:rPr>
              <w:t>2老年健康特征</w:t>
            </w:r>
          </w:p>
        </w:tc>
        <w:tc>
          <w:tcPr>
            <w:tcW w:w="3129" w:type="dxa"/>
          </w:tcPr>
          <w:p w14:paraId="534431CF">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0373DAF8">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3413CF4C">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35F28BD4">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1C516BFB">
            <w:pPr>
              <w:widowControl w:val="0"/>
              <w:snapToGrid w:val="0"/>
              <w:jc w:val="center"/>
              <w:rPr>
                <w:rFonts w:ascii="Times New Roman" w:hAnsi="Times New Roman"/>
                <w:bCs/>
                <w:sz w:val="21"/>
                <w:szCs w:val="21"/>
              </w:rPr>
            </w:pPr>
            <w:r>
              <w:rPr>
                <w:rFonts w:ascii="Times New Roman" w:hAnsi="Times New Roman"/>
                <w:bCs/>
                <w:sz w:val="21"/>
                <w:szCs w:val="21"/>
              </w:rPr>
              <w:t>3</w:t>
            </w:r>
            <w:r>
              <w:rPr>
                <w:rFonts w:hint="eastAsia" w:ascii="Times New Roman" w:hAnsi="Times New Roman"/>
                <w:bCs/>
                <w:sz w:val="21"/>
                <w:szCs w:val="21"/>
              </w:rPr>
              <w:t>.课堂表现</w:t>
            </w:r>
          </w:p>
        </w:tc>
        <w:tc>
          <w:tcPr>
            <w:tcW w:w="752" w:type="dxa"/>
          </w:tcPr>
          <w:p w14:paraId="60518893">
            <w:pPr>
              <w:widowControl w:val="0"/>
              <w:snapToGrid w:val="0"/>
              <w:spacing w:line="288" w:lineRule="auto"/>
              <w:jc w:val="center"/>
              <w:rPr>
                <w:color w:val="000000"/>
                <w:sz w:val="20"/>
                <w:szCs w:val="20"/>
              </w:rPr>
            </w:pPr>
            <w:r>
              <w:rPr>
                <w:rFonts w:hint="eastAsia"/>
                <w:color w:val="000000"/>
                <w:sz w:val="20"/>
                <w:szCs w:val="20"/>
              </w:rPr>
              <w:t>4</w:t>
            </w:r>
          </w:p>
        </w:tc>
        <w:tc>
          <w:tcPr>
            <w:tcW w:w="701" w:type="dxa"/>
          </w:tcPr>
          <w:p w14:paraId="7109AFF6">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3AF1B369">
            <w:pPr>
              <w:widowControl w:val="0"/>
              <w:snapToGrid w:val="0"/>
              <w:spacing w:line="288" w:lineRule="auto"/>
              <w:jc w:val="center"/>
              <w:rPr>
                <w:color w:val="000000"/>
                <w:sz w:val="20"/>
                <w:szCs w:val="20"/>
              </w:rPr>
            </w:pPr>
            <w:r>
              <w:rPr>
                <w:rFonts w:hint="eastAsia"/>
                <w:color w:val="000000"/>
                <w:sz w:val="20"/>
                <w:szCs w:val="20"/>
              </w:rPr>
              <w:t>4</w:t>
            </w:r>
          </w:p>
        </w:tc>
      </w:tr>
      <w:tr w14:paraId="752C4B3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tcPr>
          <w:p w14:paraId="46515DF2">
            <w:pPr>
              <w:widowControl w:val="0"/>
              <w:snapToGrid w:val="0"/>
              <w:spacing w:line="288" w:lineRule="auto"/>
              <w:jc w:val="left"/>
              <w:rPr>
                <w:color w:val="000000"/>
                <w:sz w:val="20"/>
                <w:szCs w:val="20"/>
              </w:rPr>
            </w:pPr>
            <w:r>
              <w:rPr>
                <w:rFonts w:hint="eastAsia"/>
                <w:color w:val="000000"/>
                <w:sz w:val="20"/>
                <w:szCs w:val="20"/>
              </w:rPr>
              <w:t>3衰老与功能障碍</w:t>
            </w:r>
          </w:p>
        </w:tc>
        <w:tc>
          <w:tcPr>
            <w:tcW w:w="3129" w:type="dxa"/>
          </w:tcPr>
          <w:p w14:paraId="708ABAE7">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543C7BAB">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75C482A6">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00B6262D">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3DC2F4D9">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14:paraId="063E83C6">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tc>
        <w:tc>
          <w:tcPr>
            <w:tcW w:w="752" w:type="dxa"/>
          </w:tcPr>
          <w:p w14:paraId="4327A8BE">
            <w:pPr>
              <w:widowControl w:val="0"/>
              <w:snapToGrid w:val="0"/>
              <w:spacing w:line="288" w:lineRule="auto"/>
              <w:jc w:val="center"/>
              <w:rPr>
                <w:color w:val="000000"/>
                <w:sz w:val="20"/>
                <w:szCs w:val="20"/>
              </w:rPr>
            </w:pPr>
            <w:r>
              <w:rPr>
                <w:color w:val="000000"/>
                <w:sz w:val="20"/>
                <w:szCs w:val="20"/>
              </w:rPr>
              <w:t>2</w:t>
            </w:r>
          </w:p>
        </w:tc>
        <w:tc>
          <w:tcPr>
            <w:tcW w:w="701" w:type="dxa"/>
          </w:tcPr>
          <w:p w14:paraId="0C294E37">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78285B54">
            <w:pPr>
              <w:widowControl w:val="0"/>
              <w:snapToGrid w:val="0"/>
              <w:spacing w:line="288" w:lineRule="auto"/>
              <w:jc w:val="center"/>
              <w:rPr>
                <w:color w:val="000000"/>
                <w:sz w:val="20"/>
                <w:szCs w:val="20"/>
              </w:rPr>
            </w:pPr>
            <w:r>
              <w:rPr>
                <w:color w:val="000000"/>
                <w:sz w:val="20"/>
                <w:szCs w:val="20"/>
              </w:rPr>
              <w:t>2</w:t>
            </w:r>
          </w:p>
        </w:tc>
      </w:tr>
      <w:tr w14:paraId="4A3280C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tcPr>
          <w:p w14:paraId="4ABC1F62">
            <w:pPr>
              <w:widowControl w:val="0"/>
              <w:snapToGrid w:val="0"/>
              <w:spacing w:line="288" w:lineRule="auto"/>
              <w:jc w:val="left"/>
              <w:rPr>
                <w:color w:val="000000"/>
                <w:sz w:val="20"/>
                <w:szCs w:val="20"/>
              </w:rPr>
            </w:pPr>
            <w:r>
              <w:rPr>
                <w:rFonts w:hint="eastAsia"/>
                <w:color w:val="000000"/>
                <w:sz w:val="20"/>
                <w:szCs w:val="20"/>
              </w:rPr>
              <w:t>4老年疾病流行特征</w:t>
            </w:r>
          </w:p>
        </w:tc>
        <w:tc>
          <w:tcPr>
            <w:tcW w:w="3129" w:type="dxa"/>
          </w:tcPr>
          <w:p w14:paraId="1950B5B1">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6FD48DDA">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1989697A">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5A5C9DA1">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2ABA0CF0">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14:paraId="4BA54CD4">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tc>
        <w:tc>
          <w:tcPr>
            <w:tcW w:w="752" w:type="dxa"/>
          </w:tcPr>
          <w:p w14:paraId="7E0E7ED8">
            <w:pPr>
              <w:widowControl w:val="0"/>
              <w:snapToGrid w:val="0"/>
              <w:spacing w:line="288" w:lineRule="auto"/>
              <w:jc w:val="center"/>
              <w:rPr>
                <w:color w:val="000000"/>
                <w:sz w:val="20"/>
                <w:szCs w:val="20"/>
              </w:rPr>
            </w:pPr>
            <w:r>
              <w:rPr>
                <w:rFonts w:hint="eastAsia"/>
                <w:color w:val="000000"/>
                <w:sz w:val="20"/>
                <w:szCs w:val="20"/>
              </w:rPr>
              <w:t>2</w:t>
            </w:r>
          </w:p>
        </w:tc>
        <w:tc>
          <w:tcPr>
            <w:tcW w:w="701" w:type="dxa"/>
          </w:tcPr>
          <w:p w14:paraId="690D9E1D">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18EB91CE">
            <w:pPr>
              <w:widowControl w:val="0"/>
              <w:snapToGrid w:val="0"/>
              <w:spacing w:line="288" w:lineRule="auto"/>
              <w:jc w:val="center"/>
              <w:rPr>
                <w:color w:val="000000"/>
                <w:sz w:val="20"/>
                <w:szCs w:val="20"/>
              </w:rPr>
            </w:pPr>
            <w:r>
              <w:rPr>
                <w:rFonts w:hint="eastAsia"/>
                <w:color w:val="000000"/>
                <w:sz w:val="20"/>
                <w:szCs w:val="20"/>
              </w:rPr>
              <w:t>2</w:t>
            </w:r>
          </w:p>
        </w:tc>
      </w:tr>
      <w:tr w14:paraId="11B1E29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tcPr>
          <w:p w14:paraId="74A14613">
            <w:pPr>
              <w:widowControl w:val="0"/>
              <w:snapToGrid w:val="0"/>
              <w:spacing w:line="288" w:lineRule="auto"/>
              <w:jc w:val="left"/>
              <w:rPr>
                <w:color w:val="000000"/>
                <w:sz w:val="20"/>
                <w:szCs w:val="20"/>
              </w:rPr>
            </w:pPr>
            <w:r>
              <w:rPr>
                <w:rFonts w:hint="eastAsia"/>
                <w:color w:val="000000"/>
                <w:sz w:val="20"/>
                <w:szCs w:val="20"/>
              </w:rPr>
              <w:t>5老年健康测评</w:t>
            </w:r>
          </w:p>
        </w:tc>
        <w:tc>
          <w:tcPr>
            <w:tcW w:w="3129" w:type="dxa"/>
          </w:tcPr>
          <w:p w14:paraId="0DA6B61B">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11969BB2">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7C64D379">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614F8E91">
            <w:pPr>
              <w:widowControl w:val="0"/>
              <w:snapToGrid w:val="0"/>
              <w:jc w:val="center"/>
              <w:rPr>
                <w:rFonts w:ascii="Times New Roman" w:hAnsi="Times New Roman"/>
                <w:bCs/>
                <w:sz w:val="21"/>
                <w:szCs w:val="21"/>
              </w:rPr>
            </w:pPr>
            <w:r>
              <w:rPr>
                <w:rFonts w:ascii="Times New Roman" w:hAnsi="Times New Roman"/>
                <w:bCs/>
                <w:sz w:val="21"/>
                <w:szCs w:val="21"/>
              </w:rPr>
              <w:t>2</w:t>
            </w:r>
            <w:r>
              <w:rPr>
                <w:rFonts w:hint="eastAsia" w:ascii="Times New Roman" w:hAnsi="Times New Roman"/>
                <w:bCs/>
                <w:sz w:val="21"/>
                <w:szCs w:val="21"/>
              </w:rPr>
              <w:t>.案例分析</w:t>
            </w:r>
          </w:p>
          <w:p w14:paraId="0D219A18">
            <w:pPr>
              <w:widowControl w:val="0"/>
              <w:snapToGrid w:val="0"/>
              <w:jc w:val="center"/>
              <w:rPr>
                <w:rFonts w:ascii="Times New Roman" w:hAnsi="Times New Roman"/>
                <w:bCs/>
                <w:sz w:val="21"/>
                <w:szCs w:val="21"/>
              </w:rPr>
            </w:pPr>
            <w:r>
              <w:rPr>
                <w:rFonts w:ascii="Times New Roman" w:hAnsi="Times New Roman"/>
                <w:bCs/>
                <w:sz w:val="21"/>
                <w:szCs w:val="21"/>
              </w:rPr>
              <w:t>3</w:t>
            </w:r>
            <w:r>
              <w:rPr>
                <w:rFonts w:hint="eastAsia" w:ascii="Times New Roman" w:hAnsi="Times New Roman"/>
                <w:bCs/>
                <w:sz w:val="21"/>
                <w:szCs w:val="21"/>
              </w:rPr>
              <w:t>.课堂表现</w:t>
            </w:r>
          </w:p>
        </w:tc>
        <w:tc>
          <w:tcPr>
            <w:tcW w:w="752" w:type="dxa"/>
          </w:tcPr>
          <w:p w14:paraId="2405141C">
            <w:pPr>
              <w:widowControl w:val="0"/>
              <w:snapToGrid w:val="0"/>
              <w:spacing w:line="288" w:lineRule="auto"/>
              <w:jc w:val="center"/>
              <w:rPr>
                <w:color w:val="000000"/>
                <w:sz w:val="20"/>
                <w:szCs w:val="20"/>
              </w:rPr>
            </w:pPr>
            <w:r>
              <w:rPr>
                <w:rFonts w:hint="eastAsia"/>
                <w:color w:val="000000"/>
                <w:sz w:val="20"/>
                <w:szCs w:val="20"/>
              </w:rPr>
              <w:t>2</w:t>
            </w:r>
          </w:p>
        </w:tc>
        <w:tc>
          <w:tcPr>
            <w:tcW w:w="701" w:type="dxa"/>
          </w:tcPr>
          <w:p w14:paraId="2AC0BC50">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42D0CC3C">
            <w:pPr>
              <w:widowControl w:val="0"/>
              <w:snapToGrid w:val="0"/>
              <w:spacing w:line="288" w:lineRule="auto"/>
              <w:jc w:val="center"/>
              <w:rPr>
                <w:color w:val="000000"/>
                <w:sz w:val="20"/>
                <w:szCs w:val="20"/>
              </w:rPr>
            </w:pPr>
            <w:r>
              <w:rPr>
                <w:rFonts w:hint="eastAsia"/>
                <w:color w:val="000000"/>
                <w:sz w:val="20"/>
                <w:szCs w:val="20"/>
              </w:rPr>
              <w:t>2</w:t>
            </w:r>
          </w:p>
        </w:tc>
      </w:tr>
      <w:tr w14:paraId="3DF96D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tcPr>
          <w:p w14:paraId="08A21792">
            <w:pPr>
              <w:widowControl w:val="0"/>
              <w:snapToGrid w:val="0"/>
              <w:spacing w:line="288" w:lineRule="auto"/>
              <w:jc w:val="left"/>
              <w:rPr>
                <w:color w:val="000000"/>
                <w:sz w:val="20"/>
                <w:szCs w:val="20"/>
              </w:rPr>
            </w:pPr>
            <w:r>
              <w:rPr>
                <w:rFonts w:hint="eastAsia"/>
                <w:color w:val="000000"/>
                <w:sz w:val="20"/>
                <w:szCs w:val="20"/>
              </w:rPr>
              <w:t>6全球老年疾病负担</w:t>
            </w:r>
          </w:p>
        </w:tc>
        <w:tc>
          <w:tcPr>
            <w:tcW w:w="3129" w:type="dxa"/>
          </w:tcPr>
          <w:p w14:paraId="70F1F60F">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1B406148">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4C632EC0">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57A939C7">
            <w:pPr>
              <w:widowControl w:val="0"/>
              <w:snapToGrid w:val="0"/>
              <w:jc w:val="center"/>
              <w:rPr>
                <w:rFonts w:ascii="Times New Roman" w:hAnsi="Times New Roman"/>
                <w:bCs/>
                <w:sz w:val="21"/>
                <w:szCs w:val="21"/>
              </w:rPr>
            </w:pPr>
            <w:r>
              <w:rPr>
                <w:rFonts w:ascii="Times New Roman" w:hAnsi="Times New Roman"/>
                <w:bCs/>
                <w:sz w:val="21"/>
                <w:szCs w:val="21"/>
              </w:rPr>
              <w:t>2</w:t>
            </w:r>
            <w:r>
              <w:rPr>
                <w:rFonts w:hint="eastAsia" w:ascii="Times New Roman" w:hAnsi="Times New Roman"/>
                <w:bCs/>
                <w:sz w:val="21"/>
                <w:szCs w:val="21"/>
              </w:rPr>
              <w:t>.课堂表现</w:t>
            </w:r>
          </w:p>
        </w:tc>
        <w:tc>
          <w:tcPr>
            <w:tcW w:w="752" w:type="dxa"/>
          </w:tcPr>
          <w:p w14:paraId="51B076CC">
            <w:pPr>
              <w:widowControl w:val="0"/>
              <w:snapToGrid w:val="0"/>
              <w:spacing w:line="288" w:lineRule="auto"/>
              <w:jc w:val="center"/>
              <w:rPr>
                <w:color w:val="000000"/>
                <w:sz w:val="20"/>
                <w:szCs w:val="20"/>
              </w:rPr>
            </w:pPr>
            <w:r>
              <w:rPr>
                <w:rFonts w:hint="eastAsia"/>
                <w:color w:val="000000"/>
                <w:sz w:val="20"/>
                <w:szCs w:val="20"/>
              </w:rPr>
              <w:t>2</w:t>
            </w:r>
          </w:p>
        </w:tc>
        <w:tc>
          <w:tcPr>
            <w:tcW w:w="701" w:type="dxa"/>
          </w:tcPr>
          <w:p w14:paraId="6DFAF4DF">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363AEB3F">
            <w:pPr>
              <w:widowControl w:val="0"/>
              <w:snapToGrid w:val="0"/>
              <w:spacing w:line="288" w:lineRule="auto"/>
              <w:jc w:val="center"/>
              <w:rPr>
                <w:color w:val="000000"/>
                <w:sz w:val="20"/>
                <w:szCs w:val="20"/>
              </w:rPr>
            </w:pPr>
            <w:r>
              <w:rPr>
                <w:rFonts w:hint="eastAsia"/>
                <w:color w:val="000000"/>
                <w:sz w:val="20"/>
                <w:szCs w:val="20"/>
              </w:rPr>
              <w:t>2</w:t>
            </w:r>
          </w:p>
        </w:tc>
      </w:tr>
      <w:tr w14:paraId="71105E4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tcPr>
          <w:p w14:paraId="76F043B4">
            <w:pPr>
              <w:widowControl w:val="0"/>
              <w:snapToGrid w:val="0"/>
              <w:spacing w:line="288" w:lineRule="auto"/>
              <w:jc w:val="left"/>
              <w:rPr>
                <w:color w:val="000000"/>
                <w:sz w:val="20"/>
                <w:szCs w:val="20"/>
              </w:rPr>
            </w:pPr>
            <w:r>
              <w:rPr>
                <w:rFonts w:hint="eastAsia"/>
                <w:color w:val="000000"/>
                <w:sz w:val="20"/>
                <w:szCs w:val="20"/>
              </w:rPr>
              <w:t>7老年健康全球策略</w:t>
            </w:r>
          </w:p>
        </w:tc>
        <w:tc>
          <w:tcPr>
            <w:tcW w:w="3129" w:type="dxa"/>
          </w:tcPr>
          <w:p w14:paraId="3F11B943">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7223A879">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1CE1BC43">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478B0816">
            <w:pPr>
              <w:widowControl w:val="0"/>
              <w:snapToGrid w:val="0"/>
              <w:jc w:val="center"/>
              <w:rPr>
                <w:rFonts w:ascii="Times New Roman" w:hAnsi="Times New Roman"/>
                <w:bCs/>
                <w:sz w:val="21"/>
                <w:szCs w:val="21"/>
              </w:rPr>
            </w:pPr>
            <w:r>
              <w:rPr>
                <w:rFonts w:ascii="Times New Roman" w:hAnsi="Times New Roman"/>
                <w:bCs/>
                <w:sz w:val="21"/>
                <w:szCs w:val="21"/>
              </w:rPr>
              <w:t>2</w:t>
            </w:r>
            <w:r>
              <w:rPr>
                <w:rFonts w:hint="eastAsia" w:ascii="Times New Roman" w:hAnsi="Times New Roman"/>
                <w:bCs/>
                <w:sz w:val="21"/>
                <w:szCs w:val="21"/>
              </w:rPr>
              <w:t>.案例分析</w:t>
            </w:r>
          </w:p>
          <w:p w14:paraId="105B3BE3">
            <w:pPr>
              <w:widowControl w:val="0"/>
              <w:snapToGrid w:val="0"/>
              <w:jc w:val="center"/>
              <w:rPr>
                <w:rFonts w:ascii="Times New Roman" w:hAnsi="Times New Roman"/>
                <w:bCs/>
                <w:sz w:val="21"/>
                <w:szCs w:val="21"/>
              </w:rPr>
            </w:pPr>
            <w:r>
              <w:rPr>
                <w:rFonts w:ascii="Times New Roman" w:hAnsi="Times New Roman"/>
                <w:bCs/>
                <w:sz w:val="21"/>
                <w:szCs w:val="21"/>
              </w:rPr>
              <w:t>3</w:t>
            </w:r>
            <w:r>
              <w:rPr>
                <w:rFonts w:hint="eastAsia" w:ascii="Times New Roman" w:hAnsi="Times New Roman"/>
                <w:bCs/>
                <w:sz w:val="21"/>
                <w:szCs w:val="21"/>
              </w:rPr>
              <w:t>.课堂表现</w:t>
            </w:r>
          </w:p>
        </w:tc>
        <w:tc>
          <w:tcPr>
            <w:tcW w:w="752" w:type="dxa"/>
          </w:tcPr>
          <w:p w14:paraId="7C58F651">
            <w:pPr>
              <w:widowControl w:val="0"/>
              <w:snapToGrid w:val="0"/>
              <w:spacing w:line="288" w:lineRule="auto"/>
              <w:jc w:val="center"/>
              <w:rPr>
                <w:color w:val="000000"/>
                <w:sz w:val="20"/>
                <w:szCs w:val="20"/>
              </w:rPr>
            </w:pPr>
            <w:r>
              <w:rPr>
                <w:rFonts w:hint="eastAsia"/>
                <w:color w:val="000000"/>
                <w:sz w:val="20"/>
                <w:szCs w:val="20"/>
              </w:rPr>
              <w:t>2</w:t>
            </w:r>
          </w:p>
        </w:tc>
        <w:tc>
          <w:tcPr>
            <w:tcW w:w="701" w:type="dxa"/>
          </w:tcPr>
          <w:p w14:paraId="6F4E5E97">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1B693E4E">
            <w:pPr>
              <w:widowControl w:val="0"/>
              <w:snapToGrid w:val="0"/>
              <w:spacing w:line="288" w:lineRule="auto"/>
              <w:jc w:val="center"/>
              <w:rPr>
                <w:color w:val="000000"/>
                <w:sz w:val="20"/>
                <w:szCs w:val="20"/>
              </w:rPr>
            </w:pPr>
            <w:r>
              <w:rPr>
                <w:rFonts w:hint="eastAsia"/>
                <w:color w:val="000000"/>
                <w:sz w:val="20"/>
                <w:szCs w:val="20"/>
              </w:rPr>
              <w:t>2</w:t>
            </w:r>
          </w:p>
        </w:tc>
      </w:tr>
      <w:tr w14:paraId="46FE11B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tcPr>
          <w:p w14:paraId="582B2A34">
            <w:pPr>
              <w:widowControl w:val="0"/>
              <w:snapToGrid w:val="0"/>
              <w:spacing w:line="288" w:lineRule="auto"/>
              <w:jc w:val="left"/>
              <w:rPr>
                <w:color w:val="000000"/>
                <w:sz w:val="20"/>
                <w:szCs w:val="20"/>
              </w:rPr>
            </w:pPr>
            <w:r>
              <w:rPr>
                <w:rFonts w:hint="eastAsia"/>
                <w:color w:val="000000"/>
                <w:sz w:val="20"/>
                <w:szCs w:val="20"/>
              </w:rPr>
              <w:t>8老年健康公共政策体系</w:t>
            </w:r>
          </w:p>
        </w:tc>
        <w:tc>
          <w:tcPr>
            <w:tcW w:w="3129" w:type="dxa"/>
          </w:tcPr>
          <w:p w14:paraId="3848C0E6">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7D957184">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3536EAEF">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2F3C1873">
            <w:pPr>
              <w:widowControl w:val="0"/>
              <w:snapToGrid w:val="0"/>
              <w:jc w:val="center"/>
              <w:rPr>
                <w:rFonts w:ascii="Times New Roman" w:hAnsi="Times New Roman"/>
                <w:bCs/>
                <w:sz w:val="21"/>
                <w:szCs w:val="21"/>
              </w:rPr>
            </w:pPr>
            <w:r>
              <w:rPr>
                <w:rFonts w:ascii="Times New Roman" w:hAnsi="Times New Roman"/>
                <w:bCs/>
                <w:sz w:val="21"/>
                <w:szCs w:val="21"/>
              </w:rPr>
              <w:t>2</w:t>
            </w:r>
            <w:r>
              <w:rPr>
                <w:rFonts w:hint="eastAsia" w:ascii="Times New Roman" w:hAnsi="Times New Roman"/>
                <w:bCs/>
                <w:sz w:val="21"/>
                <w:szCs w:val="21"/>
              </w:rPr>
              <w:t>.案例分析</w:t>
            </w:r>
          </w:p>
          <w:p w14:paraId="4291C607">
            <w:pPr>
              <w:widowControl w:val="0"/>
              <w:snapToGrid w:val="0"/>
              <w:jc w:val="center"/>
              <w:rPr>
                <w:rFonts w:ascii="Times New Roman" w:hAnsi="Times New Roman"/>
                <w:bCs/>
                <w:sz w:val="21"/>
                <w:szCs w:val="21"/>
              </w:rPr>
            </w:pPr>
            <w:r>
              <w:rPr>
                <w:rFonts w:ascii="Times New Roman" w:hAnsi="Times New Roman"/>
                <w:bCs/>
                <w:sz w:val="21"/>
                <w:szCs w:val="21"/>
              </w:rPr>
              <w:t>3</w:t>
            </w:r>
            <w:r>
              <w:rPr>
                <w:rFonts w:hint="eastAsia" w:ascii="Times New Roman" w:hAnsi="Times New Roman"/>
                <w:bCs/>
                <w:sz w:val="21"/>
                <w:szCs w:val="21"/>
              </w:rPr>
              <w:t>.课堂表现</w:t>
            </w:r>
          </w:p>
        </w:tc>
        <w:tc>
          <w:tcPr>
            <w:tcW w:w="752" w:type="dxa"/>
          </w:tcPr>
          <w:p w14:paraId="7F103558">
            <w:pPr>
              <w:widowControl w:val="0"/>
              <w:snapToGrid w:val="0"/>
              <w:spacing w:line="288" w:lineRule="auto"/>
              <w:jc w:val="center"/>
              <w:rPr>
                <w:color w:val="000000"/>
                <w:sz w:val="20"/>
                <w:szCs w:val="20"/>
              </w:rPr>
            </w:pPr>
            <w:r>
              <w:rPr>
                <w:rFonts w:hint="eastAsia"/>
                <w:color w:val="000000"/>
                <w:sz w:val="20"/>
                <w:szCs w:val="20"/>
              </w:rPr>
              <w:t>2</w:t>
            </w:r>
          </w:p>
        </w:tc>
        <w:tc>
          <w:tcPr>
            <w:tcW w:w="701" w:type="dxa"/>
          </w:tcPr>
          <w:p w14:paraId="3954CB7B">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18DA8A8E">
            <w:pPr>
              <w:widowControl w:val="0"/>
              <w:snapToGrid w:val="0"/>
              <w:spacing w:line="288" w:lineRule="auto"/>
              <w:jc w:val="center"/>
              <w:rPr>
                <w:color w:val="000000"/>
                <w:sz w:val="20"/>
                <w:szCs w:val="20"/>
              </w:rPr>
            </w:pPr>
            <w:r>
              <w:rPr>
                <w:rFonts w:hint="eastAsia"/>
                <w:color w:val="000000"/>
                <w:sz w:val="20"/>
                <w:szCs w:val="20"/>
              </w:rPr>
              <w:t>2</w:t>
            </w:r>
          </w:p>
        </w:tc>
      </w:tr>
      <w:tr w14:paraId="380AEAE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tcPr>
          <w:p w14:paraId="24DA78A5">
            <w:pPr>
              <w:widowControl w:val="0"/>
              <w:snapToGrid w:val="0"/>
              <w:spacing w:line="288" w:lineRule="auto"/>
              <w:jc w:val="left"/>
              <w:rPr>
                <w:color w:val="000000"/>
                <w:sz w:val="20"/>
                <w:szCs w:val="20"/>
              </w:rPr>
            </w:pPr>
            <w:r>
              <w:rPr>
                <w:rFonts w:hint="eastAsia"/>
                <w:color w:val="000000"/>
                <w:sz w:val="20"/>
                <w:szCs w:val="20"/>
              </w:rPr>
              <w:t>9老年健康促进</w:t>
            </w:r>
          </w:p>
        </w:tc>
        <w:tc>
          <w:tcPr>
            <w:tcW w:w="3129" w:type="dxa"/>
          </w:tcPr>
          <w:p w14:paraId="739382F9">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5B170EF3">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08F4C0B1">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4DEE7672">
            <w:pPr>
              <w:widowControl w:val="0"/>
              <w:snapToGrid w:val="0"/>
              <w:jc w:val="center"/>
              <w:rPr>
                <w:rFonts w:ascii="Times New Roman" w:hAnsi="Times New Roman"/>
                <w:bCs/>
                <w:sz w:val="21"/>
                <w:szCs w:val="21"/>
              </w:rPr>
            </w:pPr>
            <w:r>
              <w:rPr>
                <w:rFonts w:ascii="Times New Roman" w:hAnsi="Times New Roman"/>
                <w:bCs/>
                <w:sz w:val="21"/>
                <w:szCs w:val="21"/>
              </w:rPr>
              <w:t>2</w:t>
            </w:r>
            <w:r>
              <w:rPr>
                <w:rFonts w:hint="eastAsia" w:ascii="Times New Roman" w:hAnsi="Times New Roman"/>
                <w:bCs/>
                <w:sz w:val="21"/>
                <w:szCs w:val="21"/>
              </w:rPr>
              <w:t>.课堂表现</w:t>
            </w:r>
          </w:p>
        </w:tc>
        <w:tc>
          <w:tcPr>
            <w:tcW w:w="752" w:type="dxa"/>
          </w:tcPr>
          <w:p w14:paraId="6105D9FE">
            <w:pPr>
              <w:widowControl w:val="0"/>
              <w:snapToGrid w:val="0"/>
              <w:spacing w:line="288" w:lineRule="auto"/>
              <w:jc w:val="center"/>
              <w:rPr>
                <w:color w:val="000000"/>
                <w:sz w:val="20"/>
                <w:szCs w:val="20"/>
              </w:rPr>
            </w:pPr>
            <w:r>
              <w:rPr>
                <w:rFonts w:hint="eastAsia"/>
                <w:color w:val="000000"/>
                <w:sz w:val="20"/>
                <w:szCs w:val="20"/>
              </w:rPr>
              <w:t>2</w:t>
            </w:r>
          </w:p>
        </w:tc>
        <w:tc>
          <w:tcPr>
            <w:tcW w:w="701" w:type="dxa"/>
          </w:tcPr>
          <w:p w14:paraId="446A0CD6">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5615B203">
            <w:pPr>
              <w:widowControl w:val="0"/>
              <w:snapToGrid w:val="0"/>
              <w:spacing w:line="288" w:lineRule="auto"/>
              <w:jc w:val="center"/>
              <w:rPr>
                <w:color w:val="000000"/>
                <w:sz w:val="20"/>
                <w:szCs w:val="20"/>
              </w:rPr>
            </w:pPr>
            <w:r>
              <w:rPr>
                <w:rFonts w:hint="eastAsia"/>
                <w:color w:val="000000"/>
                <w:sz w:val="20"/>
                <w:szCs w:val="20"/>
              </w:rPr>
              <w:t>2</w:t>
            </w:r>
          </w:p>
        </w:tc>
      </w:tr>
      <w:tr w14:paraId="00B4649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tcPr>
          <w:p w14:paraId="4CB938F9">
            <w:pPr>
              <w:widowControl w:val="0"/>
              <w:snapToGrid w:val="0"/>
              <w:spacing w:line="288" w:lineRule="auto"/>
              <w:jc w:val="left"/>
              <w:rPr>
                <w:color w:val="000000"/>
                <w:sz w:val="20"/>
                <w:szCs w:val="20"/>
              </w:rPr>
            </w:pPr>
            <w:r>
              <w:rPr>
                <w:rFonts w:hint="eastAsia"/>
                <w:color w:val="000000"/>
                <w:sz w:val="20"/>
                <w:szCs w:val="20"/>
              </w:rPr>
              <w:t>10老年长期照料</w:t>
            </w:r>
          </w:p>
        </w:tc>
        <w:tc>
          <w:tcPr>
            <w:tcW w:w="3129" w:type="dxa"/>
          </w:tcPr>
          <w:p w14:paraId="2B3C9A87">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656D814A">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3095306B">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1CCA7EC5">
            <w:pPr>
              <w:widowControl w:val="0"/>
              <w:snapToGrid w:val="0"/>
              <w:jc w:val="center"/>
              <w:rPr>
                <w:rFonts w:ascii="Times New Roman" w:hAnsi="Times New Roman"/>
                <w:bCs/>
                <w:sz w:val="21"/>
                <w:szCs w:val="21"/>
              </w:rPr>
            </w:pPr>
            <w:r>
              <w:rPr>
                <w:rFonts w:ascii="Times New Roman" w:hAnsi="Times New Roman"/>
                <w:bCs/>
                <w:sz w:val="21"/>
                <w:szCs w:val="21"/>
              </w:rPr>
              <w:t>2</w:t>
            </w:r>
            <w:r>
              <w:rPr>
                <w:rFonts w:hint="eastAsia" w:ascii="Times New Roman" w:hAnsi="Times New Roman"/>
                <w:bCs/>
                <w:sz w:val="21"/>
                <w:szCs w:val="21"/>
              </w:rPr>
              <w:t>.案例分析</w:t>
            </w:r>
          </w:p>
          <w:p w14:paraId="74BC4BB8">
            <w:pPr>
              <w:widowControl w:val="0"/>
              <w:snapToGrid w:val="0"/>
              <w:jc w:val="center"/>
              <w:rPr>
                <w:rFonts w:ascii="Times New Roman" w:hAnsi="Times New Roman"/>
                <w:bCs/>
                <w:sz w:val="21"/>
                <w:szCs w:val="21"/>
              </w:rPr>
            </w:pPr>
            <w:r>
              <w:rPr>
                <w:rFonts w:ascii="Times New Roman" w:hAnsi="Times New Roman"/>
                <w:bCs/>
                <w:sz w:val="21"/>
                <w:szCs w:val="21"/>
              </w:rPr>
              <w:t>3</w:t>
            </w:r>
            <w:r>
              <w:rPr>
                <w:rFonts w:hint="eastAsia" w:ascii="Times New Roman" w:hAnsi="Times New Roman"/>
                <w:bCs/>
                <w:sz w:val="21"/>
                <w:szCs w:val="21"/>
              </w:rPr>
              <w:t>.课堂表现</w:t>
            </w:r>
          </w:p>
        </w:tc>
        <w:tc>
          <w:tcPr>
            <w:tcW w:w="752" w:type="dxa"/>
          </w:tcPr>
          <w:p w14:paraId="609750E4">
            <w:pPr>
              <w:widowControl w:val="0"/>
              <w:snapToGrid w:val="0"/>
              <w:spacing w:line="288" w:lineRule="auto"/>
              <w:jc w:val="center"/>
              <w:rPr>
                <w:color w:val="000000"/>
                <w:sz w:val="20"/>
                <w:szCs w:val="20"/>
              </w:rPr>
            </w:pPr>
            <w:r>
              <w:rPr>
                <w:rFonts w:hint="eastAsia"/>
                <w:color w:val="000000"/>
                <w:sz w:val="20"/>
                <w:szCs w:val="20"/>
              </w:rPr>
              <w:t>2</w:t>
            </w:r>
          </w:p>
        </w:tc>
        <w:tc>
          <w:tcPr>
            <w:tcW w:w="701" w:type="dxa"/>
          </w:tcPr>
          <w:p w14:paraId="25D6DB49">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3FD6C23C">
            <w:pPr>
              <w:widowControl w:val="0"/>
              <w:snapToGrid w:val="0"/>
              <w:spacing w:line="288" w:lineRule="auto"/>
              <w:jc w:val="center"/>
              <w:rPr>
                <w:color w:val="000000"/>
                <w:sz w:val="20"/>
                <w:szCs w:val="20"/>
              </w:rPr>
            </w:pPr>
            <w:r>
              <w:rPr>
                <w:rFonts w:hint="eastAsia"/>
                <w:color w:val="000000"/>
                <w:sz w:val="20"/>
                <w:szCs w:val="20"/>
              </w:rPr>
              <w:t>2</w:t>
            </w:r>
          </w:p>
        </w:tc>
      </w:tr>
      <w:tr w14:paraId="523E3D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tcPr>
          <w:p w14:paraId="7C46873C">
            <w:pPr>
              <w:widowControl w:val="0"/>
              <w:snapToGrid w:val="0"/>
              <w:spacing w:line="288" w:lineRule="auto"/>
              <w:jc w:val="left"/>
              <w:rPr>
                <w:color w:val="000000"/>
                <w:sz w:val="20"/>
                <w:szCs w:val="20"/>
              </w:rPr>
            </w:pPr>
            <w:r>
              <w:rPr>
                <w:rFonts w:hint="eastAsia"/>
                <w:color w:val="000000"/>
                <w:sz w:val="20"/>
                <w:szCs w:val="20"/>
              </w:rPr>
              <w:t>11老年健康全球治理</w:t>
            </w:r>
          </w:p>
        </w:tc>
        <w:tc>
          <w:tcPr>
            <w:tcW w:w="3129" w:type="dxa"/>
          </w:tcPr>
          <w:p w14:paraId="468A0103">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49829246">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4023F1A9">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44E21571">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367A767D">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14:paraId="1C3BAC95">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tc>
        <w:tc>
          <w:tcPr>
            <w:tcW w:w="752" w:type="dxa"/>
          </w:tcPr>
          <w:p w14:paraId="2C1736A8">
            <w:pPr>
              <w:widowControl w:val="0"/>
              <w:snapToGrid w:val="0"/>
              <w:spacing w:line="288" w:lineRule="auto"/>
              <w:jc w:val="center"/>
              <w:rPr>
                <w:color w:val="000000"/>
                <w:sz w:val="20"/>
                <w:szCs w:val="20"/>
              </w:rPr>
            </w:pPr>
            <w:r>
              <w:rPr>
                <w:rFonts w:hint="eastAsia"/>
                <w:color w:val="000000"/>
                <w:sz w:val="20"/>
                <w:szCs w:val="20"/>
              </w:rPr>
              <w:t>2</w:t>
            </w:r>
          </w:p>
        </w:tc>
        <w:tc>
          <w:tcPr>
            <w:tcW w:w="701" w:type="dxa"/>
          </w:tcPr>
          <w:p w14:paraId="39D05518">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09EAC1C6">
            <w:pPr>
              <w:widowControl w:val="0"/>
              <w:snapToGrid w:val="0"/>
              <w:spacing w:line="288" w:lineRule="auto"/>
              <w:jc w:val="center"/>
              <w:rPr>
                <w:color w:val="000000"/>
                <w:sz w:val="20"/>
                <w:szCs w:val="20"/>
              </w:rPr>
            </w:pPr>
            <w:r>
              <w:rPr>
                <w:rFonts w:hint="eastAsia"/>
                <w:color w:val="000000"/>
                <w:sz w:val="20"/>
                <w:szCs w:val="20"/>
              </w:rPr>
              <w:t>2</w:t>
            </w:r>
          </w:p>
        </w:tc>
      </w:tr>
      <w:tr w14:paraId="66ACB65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tcPr>
          <w:p w14:paraId="722FF5B5">
            <w:pPr>
              <w:widowControl w:val="0"/>
              <w:snapToGrid w:val="0"/>
              <w:spacing w:line="288" w:lineRule="auto"/>
              <w:jc w:val="left"/>
              <w:rPr>
                <w:color w:val="000000"/>
                <w:sz w:val="20"/>
                <w:szCs w:val="20"/>
              </w:rPr>
            </w:pPr>
            <w:r>
              <w:rPr>
                <w:rFonts w:hint="eastAsia"/>
                <w:color w:val="000000"/>
                <w:sz w:val="20"/>
                <w:szCs w:val="20"/>
              </w:rPr>
              <w:t>12老年慢性非传染性疾病</w:t>
            </w:r>
          </w:p>
        </w:tc>
        <w:tc>
          <w:tcPr>
            <w:tcW w:w="3129" w:type="dxa"/>
          </w:tcPr>
          <w:p w14:paraId="6B842D25">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4506BD60">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72FD97D1">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01AF5CFA">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135388DA">
            <w:pPr>
              <w:widowControl w:val="0"/>
              <w:snapToGrid w:val="0"/>
              <w:jc w:val="center"/>
              <w:rPr>
                <w:rFonts w:ascii="Times New Roman" w:hAnsi="Times New Roman"/>
                <w:bCs/>
                <w:sz w:val="21"/>
                <w:szCs w:val="21"/>
              </w:rPr>
            </w:pPr>
            <w:r>
              <w:rPr>
                <w:rFonts w:ascii="Times New Roman" w:hAnsi="Times New Roman"/>
                <w:bCs/>
                <w:sz w:val="21"/>
                <w:szCs w:val="21"/>
              </w:rPr>
              <w:t>3</w:t>
            </w:r>
            <w:r>
              <w:rPr>
                <w:rFonts w:hint="eastAsia" w:ascii="Times New Roman" w:hAnsi="Times New Roman"/>
                <w:bCs/>
                <w:sz w:val="21"/>
                <w:szCs w:val="21"/>
              </w:rPr>
              <w:t>.课堂表现</w:t>
            </w:r>
          </w:p>
        </w:tc>
        <w:tc>
          <w:tcPr>
            <w:tcW w:w="752" w:type="dxa"/>
          </w:tcPr>
          <w:p w14:paraId="4829D2FF">
            <w:pPr>
              <w:widowControl w:val="0"/>
              <w:snapToGrid w:val="0"/>
              <w:spacing w:line="288" w:lineRule="auto"/>
              <w:jc w:val="center"/>
              <w:rPr>
                <w:color w:val="000000"/>
                <w:sz w:val="20"/>
                <w:szCs w:val="20"/>
              </w:rPr>
            </w:pPr>
            <w:r>
              <w:rPr>
                <w:rFonts w:hint="eastAsia"/>
                <w:color w:val="000000"/>
                <w:sz w:val="20"/>
                <w:szCs w:val="20"/>
              </w:rPr>
              <w:t>2</w:t>
            </w:r>
          </w:p>
        </w:tc>
        <w:tc>
          <w:tcPr>
            <w:tcW w:w="701" w:type="dxa"/>
          </w:tcPr>
          <w:p w14:paraId="140F82F1">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05ACBD70">
            <w:pPr>
              <w:widowControl w:val="0"/>
              <w:snapToGrid w:val="0"/>
              <w:spacing w:line="288" w:lineRule="auto"/>
              <w:jc w:val="center"/>
              <w:rPr>
                <w:color w:val="000000"/>
                <w:sz w:val="20"/>
                <w:szCs w:val="20"/>
              </w:rPr>
            </w:pPr>
            <w:r>
              <w:rPr>
                <w:rFonts w:hint="eastAsia"/>
                <w:color w:val="000000"/>
                <w:sz w:val="20"/>
                <w:szCs w:val="20"/>
              </w:rPr>
              <w:t>2</w:t>
            </w:r>
          </w:p>
        </w:tc>
      </w:tr>
      <w:tr w14:paraId="1120C7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tcPr>
          <w:p w14:paraId="63ECC1A4">
            <w:pPr>
              <w:widowControl w:val="0"/>
              <w:snapToGrid w:val="0"/>
              <w:spacing w:line="288" w:lineRule="auto"/>
              <w:jc w:val="left"/>
              <w:rPr>
                <w:color w:val="000000"/>
                <w:sz w:val="20"/>
                <w:szCs w:val="20"/>
              </w:rPr>
            </w:pPr>
            <w:r>
              <w:rPr>
                <w:rFonts w:hint="eastAsia"/>
                <w:color w:val="000000"/>
                <w:sz w:val="20"/>
                <w:szCs w:val="20"/>
              </w:rPr>
              <w:t>13全球老年主要传染性疾病</w:t>
            </w:r>
          </w:p>
        </w:tc>
        <w:tc>
          <w:tcPr>
            <w:tcW w:w="3129" w:type="dxa"/>
          </w:tcPr>
          <w:p w14:paraId="1B534168">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702B91D7">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6B3CDF20">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1F558714">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53C4ECF5">
            <w:pPr>
              <w:widowControl w:val="0"/>
              <w:snapToGrid w:val="0"/>
              <w:jc w:val="center"/>
              <w:rPr>
                <w:rFonts w:ascii="Times New Roman" w:hAnsi="Times New Roman"/>
                <w:bCs/>
                <w:sz w:val="21"/>
                <w:szCs w:val="21"/>
              </w:rPr>
            </w:pPr>
            <w:r>
              <w:rPr>
                <w:rFonts w:ascii="Times New Roman" w:hAnsi="Times New Roman"/>
                <w:bCs/>
                <w:sz w:val="21"/>
                <w:szCs w:val="21"/>
              </w:rPr>
              <w:t>3</w:t>
            </w:r>
            <w:r>
              <w:rPr>
                <w:rFonts w:hint="eastAsia" w:ascii="Times New Roman" w:hAnsi="Times New Roman"/>
                <w:bCs/>
                <w:sz w:val="21"/>
                <w:szCs w:val="21"/>
              </w:rPr>
              <w:t>.课堂表现</w:t>
            </w:r>
          </w:p>
        </w:tc>
        <w:tc>
          <w:tcPr>
            <w:tcW w:w="752" w:type="dxa"/>
          </w:tcPr>
          <w:p w14:paraId="233C2B1B">
            <w:pPr>
              <w:widowControl w:val="0"/>
              <w:snapToGrid w:val="0"/>
              <w:spacing w:line="288" w:lineRule="auto"/>
              <w:jc w:val="center"/>
              <w:rPr>
                <w:color w:val="000000"/>
                <w:sz w:val="20"/>
                <w:szCs w:val="20"/>
              </w:rPr>
            </w:pPr>
            <w:r>
              <w:rPr>
                <w:rFonts w:hint="eastAsia"/>
                <w:color w:val="000000"/>
                <w:sz w:val="20"/>
                <w:szCs w:val="20"/>
              </w:rPr>
              <w:t>2</w:t>
            </w:r>
          </w:p>
        </w:tc>
        <w:tc>
          <w:tcPr>
            <w:tcW w:w="701" w:type="dxa"/>
          </w:tcPr>
          <w:p w14:paraId="712E6CB8">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3A471F91">
            <w:pPr>
              <w:widowControl w:val="0"/>
              <w:snapToGrid w:val="0"/>
              <w:spacing w:line="288" w:lineRule="auto"/>
              <w:jc w:val="center"/>
              <w:rPr>
                <w:color w:val="000000"/>
                <w:sz w:val="20"/>
                <w:szCs w:val="20"/>
              </w:rPr>
            </w:pPr>
            <w:r>
              <w:rPr>
                <w:rFonts w:hint="eastAsia"/>
                <w:color w:val="000000"/>
                <w:sz w:val="20"/>
                <w:szCs w:val="20"/>
              </w:rPr>
              <w:t>2</w:t>
            </w:r>
          </w:p>
        </w:tc>
      </w:tr>
      <w:tr w14:paraId="77D69ED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102" w:type="dxa"/>
          </w:tcPr>
          <w:p w14:paraId="2B5FF5F1">
            <w:pPr>
              <w:widowControl w:val="0"/>
              <w:snapToGrid w:val="0"/>
              <w:spacing w:line="288" w:lineRule="auto"/>
              <w:jc w:val="left"/>
              <w:rPr>
                <w:color w:val="000000"/>
                <w:sz w:val="20"/>
                <w:szCs w:val="20"/>
              </w:rPr>
            </w:pPr>
            <w:r>
              <w:rPr>
                <w:rFonts w:hint="eastAsia"/>
                <w:color w:val="000000"/>
                <w:sz w:val="20"/>
                <w:szCs w:val="20"/>
              </w:rPr>
              <w:t>14老年失能</w:t>
            </w:r>
          </w:p>
        </w:tc>
        <w:tc>
          <w:tcPr>
            <w:tcW w:w="3129" w:type="dxa"/>
          </w:tcPr>
          <w:p w14:paraId="7612E8FA">
            <w:pPr>
              <w:widowControl w:val="0"/>
              <w:snapToGrid w:val="0"/>
              <w:jc w:val="center"/>
              <w:rPr>
                <w:rFonts w:ascii="Times New Roman" w:hAnsi="Times New Roman"/>
                <w:bCs/>
                <w:sz w:val="21"/>
                <w:szCs w:val="21"/>
              </w:rPr>
            </w:pPr>
            <w:r>
              <w:rPr>
                <w:rFonts w:hint="eastAsia" w:ascii="Times New Roman" w:hAnsi="Times New Roman"/>
                <w:bCs/>
                <w:sz w:val="21"/>
                <w:szCs w:val="21"/>
              </w:rPr>
              <w:t>讲述教学法、讨论教学法</w:t>
            </w:r>
          </w:p>
          <w:p w14:paraId="46695AB9">
            <w:pPr>
              <w:widowControl w:val="0"/>
              <w:snapToGrid w:val="0"/>
              <w:jc w:val="center"/>
              <w:rPr>
                <w:rFonts w:ascii="Times New Roman" w:hAnsi="Times New Roman"/>
                <w:bCs/>
                <w:sz w:val="21"/>
                <w:szCs w:val="21"/>
              </w:rPr>
            </w:pPr>
            <w:r>
              <w:rPr>
                <w:rFonts w:hint="eastAsia" w:ascii="Times New Roman" w:hAnsi="Times New Roman"/>
                <w:bCs/>
                <w:sz w:val="21"/>
                <w:szCs w:val="21"/>
              </w:rPr>
              <w:t>问题导向学习、合作学习</w:t>
            </w:r>
          </w:p>
        </w:tc>
        <w:tc>
          <w:tcPr>
            <w:tcW w:w="1976" w:type="dxa"/>
          </w:tcPr>
          <w:p w14:paraId="3ABCA639">
            <w:pPr>
              <w:widowControl w:val="0"/>
              <w:snapToGrid w:val="0"/>
              <w:jc w:val="center"/>
              <w:rPr>
                <w:rFonts w:ascii="Times New Roman" w:hAnsi="Times New Roman"/>
                <w:bCs/>
                <w:sz w:val="21"/>
                <w:szCs w:val="21"/>
              </w:rPr>
            </w:pPr>
            <w:r>
              <w:rPr>
                <w:rFonts w:hint="eastAsia" w:ascii="Times New Roman" w:hAnsi="Times New Roman"/>
                <w:bCs/>
                <w:sz w:val="21"/>
                <w:szCs w:val="21"/>
              </w:rPr>
              <w:t>1.随堂提问</w:t>
            </w:r>
          </w:p>
          <w:p w14:paraId="76E671EC">
            <w:pPr>
              <w:widowControl w:val="0"/>
              <w:snapToGrid w:val="0"/>
              <w:jc w:val="center"/>
              <w:rPr>
                <w:rFonts w:ascii="Times New Roman" w:hAnsi="Times New Roman"/>
                <w:bCs/>
                <w:sz w:val="21"/>
                <w:szCs w:val="21"/>
              </w:rPr>
            </w:pPr>
            <w:r>
              <w:rPr>
                <w:rFonts w:hint="eastAsia" w:ascii="Times New Roman" w:hAnsi="Times New Roman"/>
                <w:bCs/>
                <w:sz w:val="21"/>
                <w:szCs w:val="21"/>
              </w:rPr>
              <w:t>2.随堂测验</w:t>
            </w:r>
          </w:p>
          <w:p w14:paraId="4DF0A485">
            <w:pPr>
              <w:widowControl w:val="0"/>
              <w:snapToGrid w:val="0"/>
              <w:jc w:val="center"/>
              <w:rPr>
                <w:rFonts w:ascii="Times New Roman" w:hAnsi="Times New Roman"/>
                <w:bCs/>
                <w:sz w:val="21"/>
                <w:szCs w:val="21"/>
              </w:rPr>
            </w:pPr>
            <w:r>
              <w:rPr>
                <w:rFonts w:hint="eastAsia" w:ascii="Times New Roman" w:hAnsi="Times New Roman"/>
                <w:bCs/>
                <w:sz w:val="21"/>
                <w:szCs w:val="21"/>
              </w:rPr>
              <w:t>3.案例分析</w:t>
            </w:r>
          </w:p>
          <w:p w14:paraId="56350487">
            <w:pPr>
              <w:widowControl w:val="0"/>
              <w:snapToGrid w:val="0"/>
              <w:jc w:val="center"/>
              <w:rPr>
                <w:rFonts w:ascii="Times New Roman" w:hAnsi="Times New Roman"/>
                <w:bCs/>
                <w:sz w:val="21"/>
                <w:szCs w:val="21"/>
              </w:rPr>
            </w:pPr>
            <w:r>
              <w:rPr>
                <w:rFonts w:hint="eastAsia" w:ascii="Times New Roman" w:hAnsi="Times New Roman"/>
                <w:bCs/>
                <w:sz w:val="21"/>
                <w:szCs w:val="21"/>
              </w:rPr>
              <w:t>4.课堂表现</w:t>
            </w:r>
          </w:p>
        </w:tc>
        <w:tc>
          <w:tcPr>
            <w:tcW w:w="752" w:type="dxa"/>
          </w:tcPr>
          <w:p w14:paraId="45319C20">
            <w:pPr>
              <w:widowControl w:val="0"/>
              <w:snapToGrid w:val="0"/>
              <w:spacing w:line="288" w:lineRule="auto"/>
              <w:jc w:val="center"/>
              <w:rPr>
                <w:color w:val="000000"/>
                <w:sz w:val="20"/>
                <w:szCs w:val="20"/>
              </w:rPr>
            </w:pPr>
            <w:r>
              <w:rPr>
                <w:color w:val="000000"/>
                <w:sz w:val="20"/>
                <w:szCs w:val="20"/>
              </w:rPr>
              <w:t>4</w:t>
            </w:r>
          </w:p>
        </w:tc>
        <w:tc>
          <w:tcPr>
            <w:tcW w:w="701" w:type="dxa"/>
          </w:tcPr>
          <w:p w14:paraId="3B805008">
            <w:pPr>
              <w:widowControl w:val="0"/>
              <w:snapToGrid w:val="0"/>
              <w:spacing w:line="288" w:lineRule="auto"/>
              <w:jc w:val="center"/>
              <w:rPr>
                <w:color w:val="000000"/>
                <w:sz w:val="20"/>
                <w:szCs w:val="20"/>
              </w:rPr>
            </w:pPr>
            <w:r>
              <w:rPr>
                <w:rFonts w:hint="eastAsia"/>
                <w:color w:val="000000"/>
                <w:sz w:val="20"/>
                <w:szCs w:val="20"/>
              </w:rPr>
              <w:t>0</w:t>
            </w:r>
          </w:p>
        </w:tc>
        <w:tc>
          <w:tcPr>
            <w:tcW w:w="649" w:type="dxa"/>
          </w:tcPr>
          <w:p w14:paraId="3B606DFA">
            <w:pPr>
              <w:widowControl w:val="0"/>
              <w:snapToGrid w:val="0"/>
              <w:spacing w:line="288" w:lineRule="auto"/>
              <w:jc w:val="center"/>
              <w:rPr>
                <w:color w:val="000000"/>
                <w:sz w:val="20"/>
                <w:szCs w:val="20"/>
              </w:rPr>
            </w:pPr>
            <w:r>
              <w:rPr>
                <w:color w:val="000000"/>
                <w:sz w:val="20"/>
                <w:szCs w:val="20"/>
              </w:rPr>
              <w:t>4</w:t>
            </w:r>
          </w:p>
        </w:tc>
      </w:tr>
      <w:tr w14:paraId="5DCF35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85" w:type="dxa"/>
            <w:bottom w:w="0" w:type="dxa"/>
            <w:right w:w="85" w:type="dxa"/>
          </w:tblCellMar>
        </w:tblPrEx>
        <w:trPr>
          <w:trHeight w:val="454" w:hRule="atLeast"/>
          <w:jc w:val="center"/>
        </w:trPr>
        <w:tc>
          <w:tcPr>
            <w:tcW w:w="6207" w:type="dxa"/>
            <w:gridSpan w:val="3"/>
            <w:vAlign w:val="center"/>
          </w:tcPr>
          <w:p w14:paraId="065A1184">
            <w:pPr>
              <w:pStyle w:val="13"/>
              <w:widowControl w:val="0"/>
            </w:pPr>
            <w:r>
              <w:rPr>
                <w:rFonts w:hint="eastAsia"/>
              </w:rPr>
              <w:t>合计</w:t>
            </w:r>
          </w:p>
        </w:tc>
        <w:tc>
          <w:tcPr>
            <w:tcW w:w="752" w:type="dxa"/>
            <w:vAlign w:val="center"/>
          </w:tcPr>
          <w:p w14:paraId="74FEB56A">
            <w:pPr>
              <w:widowControl w:val="0"/>
              <w:snapToGrid w:val="0"/>
              <w:jc w:val="center"/>
              <w:rPr>
                <w:rFonts w:ascii="Times New Roman" w:hAnsi="Times New Roman"/>
                <w:bCs/>
                <w:sz w:val="21"/>
                <w:szCs w:val="21"/>
              </w:rPr>
            </w:pPr>
            <w:r>
              <w:rPr>
                <w:rFonts w:hint="eastAsia" w:ascii="Times New Roman" w:hAnsi="Times New Roman"/>
                <w:bCs/>
                <w:sz w:val="21"/>
                <w:szCs w:val="21"/>
              </w:rPr>
              <w:t>3</w:t>
            </w:r>
            <w:r>
              <w:rPr>
                <w:rFonts w:ascii="Times New Roman" w:hAnsi="Times New Roman"/>
                <w:bCs/>
                <w:sz w:val="21"/>
                <w:szCs w:val="21"/>
              </w:rPr>
              <w:t>2</w:t>
            </w:r>
          </w:p>
        </w:tc>
        <w:tc>
          <w:tcPr>
            <w:tcW w:w="701" w:type="dxa"/>
            <w:vAlign w:val="center"/>
          </w:tcPr>
          <w:p w14:paraId="5625084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649" w:type="dxa"/>
            <w:vAlign w:val="center"/>
          </w:tcPr>
          <w:p w14:paraId="2EA89DEF">
            <w:pPr>
              <w:widowControl w:val="0"/>
              <w:snapToGrid w:val="0"/>
              <w:jc w:val="center"/>
              <w:rPr>
                <w:rFonts w:ascii="Times New Roman" w:hAnsi="Times New Roman"/>
                <w:bCs/>
                <w:sz w:val="21"/>
                <w:szCs w:val="21"/>
              </w:rPr>
            </w:pPr>
            <w:r>
              <w:rPr>
                <w:rFonts w:hint="eastAsia" w:ascii="Times New Roman" w:hAnsi="Times New Roman"/>
                <w:bCs/>
                <w:sz w:val="21"/>
                <w:szCs w:val="21"/>
              </w:rPr>
              <w:t>3</w:t>
            </w:r>
          </w:p>
        </w:tc>
      </w:tr>
    </w:tbl>
    <w:p w14:paraId="47AEA306">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2D769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6722E6AF">
            <w:pPr>
              <w:pStyle w:val="13"/>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2ADD0B5F">
            <w:pPr>
              <w:pStyle w:val="13"/>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628CA2E9">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572F53C0">
            <w:pPr>
              <w:pStyle w:val="13"/>
              <w:rPr>
                <w:szCs w:val="16"/>
              </w:rPr>
            </w:pPr>
            <w:r>
              <w:rPr>
                <w:rFonts w:hint="eastAsia"/>
                <w:szCs w:val="16"/>
              </w:rPr>
              <w:t>实验</w:t>
            </w:r>
          </w:p>
          <w:p w14:paraId="52438C8D">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24CD05A7">
            <w:pPr>
              <w:pStyle w:val="13"/>
              <w:rPr>
                <w:szCs w:val="16"/>
              </w:rPr>
            </w:pPr>
            <w:r>
              <w:rPr>
                <w:rFonts w:hint="eastAsia"/>
                <w:szCs w:val="16"/>
              </w:rPr>
              <w:t>实验</w:t>
            </w:r>
          </w:p>
          <w:p w14:paraId="4A957D44">
            <w:pPr>
              <w:pStyle w:val="13"/>
              <w:rPr>
                <w:szCs w:val="16"/>
              </w:rPr>
            </w:pPr>
            <w:r>
              <w:rPr>
                <w:rFonts w:hint="eastAsia"/>
                <w:szCs w:val="16"/>
              </w:rPr>
              <w:t>类型</w:t>
            </w:r>
          </w:p>
        </w:tc>
      </w:tr>
      <w:tr w14:paraId="5A810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0F9D68A9">
            <w:pPr>
              <w:pStyle w:val="14"/>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7FA3B77">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14:paraId="43805135">
            <w:pPr>
              <w:pStyle w:val="14"/>
              <w:jc w:val="left"/>
            </w:pPr>
          </w:p>
        </w:tc>
        <w:tc>
          <w:tcPr>
            <w:tcW w:w="842" w:type="dxa"/>
            <w:tcBorders>
              <w:left w:val="single" w:color="auto" w:sz="4" w:space="0"/>
              <w:right w:val="single" w:color="auto" w:sz="4" w:space="0"/>
            </w:tcBorders>
            <w:shd w:val="clear" w:color="auto" w:fill="auto"/>
            <w:vAlign w:val="center"/>
          </w:tcPr>
          <w:p w14:paraId="3944634F">
            <w:pPr>
              <w:pStyle w:val="14"/>
            </w:pPr>
          </w:p>
        </w:tc>
        <w:tc>
          <w:tcPr>
            <w:tcW w:w="928" w:type="dxa"/>
            <w:tcBorders>
              <w:left w:val="single" w:color="auto" w:sz="4" w:space="0"/>
              <w:right w:val="single" w:color="auto" w:sz="12" w:space="0"/>
            </w:tcBorders>
            <w:shd w:val="clear" w:color="auto" w:fill="auto"/>
            <w:vAlign w:val="center"/>
          </w:tcPr>
          <w:p w14:paraId="1AB8A2D8">
            <w:pPr>
              <w:pStyle w:val="14"/>
            </w:pPr>
          </w:p>
        </w:tc>
      </w:tr>
      <w:tr w14:paraId="6D176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7CEEA75">
            <w:pPr>
              <w:pStyle w:val="14"/>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0CD96CD">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14:paraId="5E825317">
            <w:pPr>
              <w:pStyle w:val="14"/>
              <w:jc w:val="left"/>
            </w:pPr>
          </w:p>
        </w:tc>
        <w:tc>
          <w:tcPr>
            <w:tcW w:w="842" w:type="dxa"/>
            <w:tcBorders>
              <w:left w:val="single" w:color="auto" w:sz="4" w:space="0"/>
              <w:bottom w:val="single" w:color="auto" w:sz="4" w:space="0"/>
              <w:right w:val="single" w:color="auto" w:sz="4" w:space="0"/>
            </w:tcBorders>
            <w:shd w:val="clear" w:color="auto" w:fill="auto"/>
            <w:vAlign w:val="center"/>
          </w:tcPr>
          <w:p w14:paraId="16DA9BAC">
            <w:pPr>
              <w:pStyle w:val="14"/>
            </w:pPr>
          </w:p>
        </w:tc>
        <w:tc>
          <w:tcPr>
            <w:tcW w:w="928" w:type="dxa"/>
            <w:tcBorders>
              <w:left w:val="single" w:color="auto" w:sz="4" w:space="0"/>
              <w:bottom w:val="single" w:color="auto" w:sz="4" w:space="0"/>
              <w:right w:val="single" w:color="auto" w:sz="12" w:space="0"/>
            </w:tcBorders>
            <w:shd w:val="clear" w:color="auto" w:fill="auto"/>
            <w:vAlign w:val="center"/>
          </w:tcPr>
          <w:p w14:paraId="69229D37">
            <w:pPr>
              <w:pStyle w:val="14"/>
            </w:pPr>
          </w:p>
        </w:tc>
      </w:tr>
      <w:tr w14:paraId="231C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5B055164">
            <w:pPr>
              <w:pStyle w:val="14"/>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13AAE884">
            <w:pPr>
              <w:pStyle w:val="14"/>
            </w:pPr>
          </w:p>
        </w:tc>
        <w:tc>
          <w:tcPr>
            <w:tcW w:w="3965" w:type="dxa"/>
            <w:tcBorders>
              <w:top w:val="single" w:color="auto" w:sz="4" w:space="0"/>
              <w:left w:val="single" w:color="auto" w:sz="4" w:space="0"/>
              <w:bottom w:val="single" w:color="auto" w:sz="4" w:space="0"/>
              <w:right w:val="single" w:color="auto" w:sz="4" w:space="0"/>
            </w:tcBorders>
            <w:vAlign w:val="center"/>
          </w:tcPr>
          <w:p w14:paraId="1EDB85D6">
            <w:pPr>
              <w:pStyle w:val="14"/>
              <w:jc w:val="left"/>
            </w:pPr>
          </w:p>
        </w:tc>
        <w:tc>
          <w:tcPr>
            <w:tcW w:w="842" w:type="dxa"/>
            <w:tcBorders>
              <w:left w:val="single" w:color="auto" w:sz="4" w:space="0"/>
              <w:right w:val="single" w:color="auto" w:sz="4" w:space="0"/>
            </w:tcBorders>
            <w:shd w:val="clear" w:color="auto" w:fill="auto"/>
            <w:vAlign w:val="center"/>
          </w:tcPr>
          <w:p w14:paraId="37BACE8F">
            <w:pPr>
              <w:pStyle w:val="14"/>
            </w:pPr>
          </w:p>
        </w:tc>
        <w:tc>
          <w:tcPr>
            <w:tcW w:w="928" w:type="dxa"/>
            <w:tcBorders>
              <w:left w:val="single" w:color="auto" w:sz="4" w:space="0"/>
              <w:right w:val="single" w:color="auto" w:sz="12" w:space="0"/>
            </w:tcBorders>
            <w:shd w:val="clear" w:color="auto" w:fill="auto"/>
            <w:vAlign w:val="center"/>
          </w:tcPr>
          <w:p w14:paraId="23EDA6C4">
            <w:pPr>
              <w:pStyle w:val="14"/>
            </w:pPr>
          </w:p>
        </w:tc>
      </w:tr>
      <w:tr w14:paraId="11CE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66C014BB">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07FC1CA8">
      <w:pPr>
        <w:pStyle w:val="16"/>
        <w:spacing w:before="326" w:beforeLines="100" w:line="360" w:lineRule="auto"/>
        <w:ind w:firstLine="140" w:firstLineChars="50"/>
        <w:rPr>
          <w:rFonts w:ascii="黑体" w:hAnsi="宋体"/>
        </w:rPr>
      </w:pPr>
      <w:bookmarkStart w:id="0" w:name="OLE_LINK2"/>
      <w:bookmarkStart w:id="1" w:name="OLE_LINK1"/>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68EC2F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6529622D">
            <w:pPr>
              <w:pStyle w:val="14"/>
              <w:widowControl w:val="0"/>
              <w:jc w:val="left"/>
            </w:pPr>
            <w:r>
              <w:rPr>
                <w:rFonts w:hint="eastAsia"/>
              </w:rPr>
              <w:t>《老龄化与全球健康》课程的思政教育旨在培养学生的国际视野、社会责任感和对老年群体的关怀。通过分析全球老龄化趋势及其挑战，强调国际合作的必要性，提升学生的全球健康意识。课程强化对老年人心理、健康需求的理解，鼓励学生参与社会服务，实践人文关怀。同时，激发学生探索科技在改善老年生活质量中的应用，促进科学研究与创新。教育学生理解伦理道德在老龄化问题解决中的重要性，为培养具备良好职业素养的医疗卫生人才奠定基础。</w:t>
            </w:r>
          </w:p>
        </w:tc>
      </w:tr>
    </w:tbl>
    <w:p w14:paraId="74658CD4">
      <w:pPr>
        <w:pStyle w:val="16"/>
        <w:spacing w:before="326" w:beforeLines="100" w:line="360" w:lineRule="auto"/>
        <w:rPr>
          <w:rFonts w:ascii="黑体" w:hAnsi="宋体"/>
        </w:rPr>
      </w:pPr>
      <w:r>
        <w:rPr>
          <w:rFonts w:hint="eastAsia" w:ascii="黑体" w:hAnsi="宋体"/>
        </w:rPr>
        <w:t>五、课程考核</w:t>
      </w:r>
      <w:bookmarkStart w:id="2" w:name="OLE_LINK3"/>
      <w:bookmarkStart w:id="3" w:name="OLE_LINK4"/>
    </w:p>
    <w:bookmarkEnd w:id="2"/>
    <w:bookmarkEnd w:id="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55834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3430DF2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4D800CC3">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5E7D9450">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20263F71">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4246A98A">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A9D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7300FCC9">
            <w:pPr>
              <w:widowControl w:val="0"/>
              <w:snapToGrid w:val="0"/>
              <w:jc w:val="center"/>
              <w:rPr>
                <w:rFonts w:ascii="黑体" w:hAnsi="黑体" w:eastAsia="黑体"/>
                <w:bCs/>
                <w:sz w:val="21"/>
                <w:szCs w:val="21"/>
              </w:rPr>
            </w:pPr>
          </w:p>
        </w:tc>
        <w:tc>
          <w:tcPr>
            <w:tcW w:w="709" w:type="dxa"/>
            <w:vMerge w:val="continue"/>
          </w:tcPr>
          <w:p w14:paraId="7521DF63">
            <w:pPr>
              <w:pStyle w:val="16"/>
              <w:widowControl w:val="0"/>
              <w:jc w:val="both"/>
              <w:rPr>
                <w:rFonts w:ascii="黑体" w:hAnsi="黑体"/>
                <w:bCs/>
                <w:sz w:val="21"/>
                <w:szCs w:val="21"/>
              </w:rPr>
            </w:pPr>
          </w:p>
        </w:tc>
        <w:tc>
          <w:tcPr>
            <w:tcW w:w="2353" w:type="dxa"/>
            <w:vMerge w:val="continue"/>
            <w:tcBorders>
              <w:right w:val="double" w:color="auto" w:sz="4" w:space="0"/>
            </w:tcBorders>
          </w:tcPr>
          <w:p w14:paraId="3E9A31DF">
            <w:pPr>
              <w:pStyle w:val="16"/>
              <w:widowControl w:val="0"/>
              <w:jc w:val="both"/>
              <w:rPr>
                <w:rFonts w:ascii="黑体" w:hAnsi="黑体"/>
                <w:bCs/>
                <w:sz w:val="21"/>
                <w:szCs w:val="21"/>
              </w:rPr>
            </w:pPr>
          </w:p>
        </w:tc>
        <w:tc>
          <w:tcPr>
            <w:tcW w:w="612" w:type="dxa"/>
            <w:tcBorders>
              <w:left w:val="double" w:color="auto" w:sz="4" w:space="0"/>
            </w:tcBorders>
            <w:vAlign w:val="center"/>
          </w:tcPr>
          <w:p w14:paraId="1766F1D4">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077A00A7">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3FA04DC5">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6340E070">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00D30C93">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31E02EEF">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57431392">
            <w:pPr>
              <w:pStyle w:val="16"/>
              <w:widowControl w:val="0"/>
              <w:spacing w:line="240" w:lineRule="auto"/>
              <w:jc w:val="center"/>
              <w:rPr>
                <w:rFonts w:ascii="黑体" w:hAnsi="黑体"/>
                <w:bCs/>
                <w:sz w:val="21"/>
                <w:szCs w:val="21"/>
              </w:rPr>
            </w:pPr>
          </w:p>
        </w:tc>
      </w:tr>
      <w:tr w14:paraId="16A3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24ADB35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vAlign w:val="center"/>
          </w:tcPr>
          <w:p w14:paraId="35703D7C">
            <w:pPr>
              <w:pStyle w:val="14"/>
              <w:widowControl w:val="0"/>
              <w:rPr>
                <w:rFonts w:asciiTheme="minorEastAsia" w:hAnsiTheme="minorEastAsia" w:eastAsiaTheme="minorEastAsia" w:cstheme="minorEastAsia"/>
              </w:rPr>
            </w:pPr>
            <w:r>
              <w:rPr>
                <w:rFonts w:asciiTheme="minorEastAsia" w:hAnsiTheme="minorEastAsia" w:eastAsiaTheme="minorEastAsia" w:cstheme="minorEastAsia"/>
                <w:color w:val="000000" w:themeColor="text1"/>
                <w14:textFill>
                  <w14:solidFill>
                    <w14:schemeClr w14:val="tx1"/>
                  </w14:solidFill>
                </w14:textFill>
              </w:rPr>
              <w:t>40%</w:t>
            </w:r>
          </w:p>
        </w:tc>
        <w:tc>
          <w:tcPr>
            <w:tcW w:w="2353" w:type="dxa"/>
            <w:tcBorders>
              <w:right w:val="double" w:color="auto" w:sz="4" w:space="0"/>
            </w:tcBorders>
            <w:vAlign w:val="center"/>
          </w:tcPr>
          <w:p w14:paraId="79A340D0">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期末小测验</w:t>
            </w:r>
          </w:p>
        </w:tc>
        <w:tc>
          <w:tcPr>
            <w:tcW w:w="612" w:type="dxa"/>
            <w:tcBorders>
              <w:left w:val="double" w:color="auto" w:sz="4" w:space="0"/>
            </w:tcBorders>
            <w:vAlign w:val="center"/>
          </w:tcPr>
          <w:p w14:paraId="0B53F244">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12" w:type="dxa"/>
            <w:vAlign w:val="center"/>
          </w:tcPr>
          <w:p w14:paraId="65F57451">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12" w:type="dxa"/>
            <w:vAlign w:val="center"/>
          </w:tcPr>
          <w:p w14:paraId="46A2842C">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14:paraId="77536EF4">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14:paraId="21ACA80B">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612" w:type="dxa"/>
            <w:vAlign w:val="center"/>
          </w:tcPr>
          <w:p w14:paraId="25BF7D26">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5</w:t>
            </w:r>
          </w:p>
        </w:tc>
        <w:tc>
          <w:tcPr>
            <w:tcW w:w="706" w:type="dxa"/>
            <w:tcBorders>
              <w:right w:val="single" w:color="auto" w:sz="12" w:space="0"/>
            </w:tcBorders>
            <w:vAlign w:val="center"/>
          </w:tcPr>
          <w:p w14:paraId="7F30726D">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6704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7BE9DFE">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vAlign w:val="center"/>
          </w:tcPr>
          <w:p w14:paraId="3BC62670">
            <w:pPr>
              <w:pStyle w:val="14"/>
              <w:widowControl w:val="0"/>
              <w:rPr>
                <w:rFonts w:asciiTheme="minorEastAsia" w:hAnsiTheme="minorEastAsia" w:eastAsiaTheme="minorEastAsia" w:cstheme="minorEastAsia"/>
              </w:rPr>
            </w:pPr>
            <w:r>
              <w:rPr>
                <w:rFonts w:asciiTheme="minorEastAsia" w:hAnsiTheme="minorEastAsia" w:eastAsiaTheme="minorEastAsia" w:cstheme="minorEastAsia"/>
              </w:rPr>
              <w:t>30</w:t>
            </w:r>
            <w:r>
              <w:rPr>
                <w:rFonts w:hint="eastAsia" w:asciiTheme="minorEastAsia" w:hAnsiTheme="minorEastAsia" w:eastAsiaTheme="minorEastAsia" w:cstheme="minorEastAsia"/>
              </w:rPr>
              <w:t>%</w:t>
            </w:r>
          </w:p>
        </w:tc>
        <w:tc>
          <w:tcPr>
            <w:tcW w:w="2353" w:type="dxa"/>
            <w:tcBorders>
              <w:right w:val="double" w:color="auto" w:sz="4" w:space="0"/>
            </w:tcBorders>
            <w:vAlign w:val="center"/>
          </w:tcPr>
          <w:p w14:paraId="454D5DE5">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课后作业</w:t>
            </w:r>
          </w:p>
        </w:tc>
        <w:tc>
          <w:tcPr>
            <w:tcW w:w="612" w:type="dxa"/>
            <w:tcBorders>
              <w:left w:val="double" w:color="auto" w:sz="4" w:space="0"/>
            </w:tcBorders>
            <w:vAlign w:val="center"/>
          </w:tcPr>
          <w:p w14:paraId="68B18291">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12" w:type="dxa"/>
            <w:vAlign w:val="center"/>
          </w:tcPr>
          <w:p w14:paraId="39A3432C">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12" w:type="dxa"/>
            <w:vAlign w:val="center"/>
          </w:tcPr>
          <w:p w14:paraId="4444619E">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14:paraId="21438177">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14:paraId="7153B439">
            <w:pPr>
              <w:pStyle w:val="14"/>
              <w:widowControl w:val="0"/>
              <w:rPr>
                <w:rFonts w:asciiTheme="minorEastAsia" w:hAnsiTheme="minorEastAsia" w:eastAsiaTheme="minorEastAsia" w:cstheme="minorEastAsia"/>
              </w:rPr>
            </w:pPr>
          </w:p>
        </w:tc>
        <w:tc>
          <w:tcPr>
            <w:tcW w:w="612" w:type="dxa"/>
            <w:vAlign w:val="center"/>
          </w:tcPr>
          <w:p w14:paraId="3AEE6660">
            <w:pPr>
              <w:pStyle w:val="14"/>
              <w:widowControl w:val="0"/>
              <w:rPr>
                <w:rFonts w:asciiTheme="minorEastAsia" w:hAnsiTheme="minorEastAsia" w:eastAsiaTheme="minorEastAsia" w:cstheme="minorEastAsia"/>
              </w:rPr>
            </w:pPr>
          </w:p>
        </w:tc>
        <w:tc>
          <w:tcPr>
            <w:tcW w:w="706" w:type="dxa"/>
            <w:tcBorders>
              <w:right w:val="single" w:color="auto" w:sz="12" w:space="0"/>
            </w:tcBorders>
            <w:vAlign w:val="center"/>
          </w:tcPr>
          <w:p w14:paraId="74B01AE2">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6E87E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9961E99">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vAlign w:val="center"/>
          </w:tcPr>
          <w:p w14:paraId="60A23C89">
            <w:pPr>
              <w:pStyle w:val="14"/>
              <w:widowControl w:val="0"/>
              <w:rPr>
                <w:rFonts w:asciiTheme="minorEastAsia" w:hAnsiTheme="minorEastAsia" w:eastAsiaTheme="minorEastAsia" w:cstheme="minorEastAsia"/>
              </w:rPr>
            </w:pPr>
            <w:r>
              <w:rPr>
                <w:rFonts w:asciiTheme="minorEastAsia" w:hAnsiTheme="minorEastAsia" w:eastAsiaTheme="minorEastAsia" w:cstheme="minorEastAsia"/>
              </w:rPr>
              <w:t>15</w:t>
            </w:r>
            <w:r>
              <w:rPr>
                <w:rFonts w:hint="eastAsia" w:asciiTheme="minorEastAsia" w:hAnsiTheme="minorEastAsia" w:eastAsiaTheme="minorEastAsia" w:cstheme="minorEastAsia"/>
              </w:rPr>
              <w:t>%</w:t>
            </w:r>
          </w:p>
        </w:tc>
        <w:tc>
          <w:tcPr>
            <w:tcW w:w="2353" w:type="dxa"/>
            <w:tcBorders>
              <w:right w:val="double" w:color="auto" w:sz="4" w:space="0"/>
            </w:tcBorders>
            <w:vAlign w:val="center"/>
          </w:tcPr>
          <w:p w14:paraId="0F75962A">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课堂展示</w:t>
            </w:r>
          </w:p>
        </w:tc>
        <w:tc>
          <w:tcPr>
            <w:tcW w:w="612" w:type="dxa"/>
            <w:tcBorders>
              <w:left w:val="double" w:color="auto" w:sz="4" w:space="0"/>
            </w:tcBorders>
            <w:vAlign w:val="center"/>
          </w:tcPr>
          <w:p w14:paraId="0167CB55">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14:paraId="63DC2498">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14:paraId="335D38BA">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14:paraId="2CADE210">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20</w:t>
            </w:r>
          </w:p>
        </w:tc>
        <w:tc>
          <w:tcPr>
            <w:tcW w:w="612" w:type="dxa"/>
            <w:vAlign w:val="center"/>
          </w:tcPr>
          <w:p w14:paraId="1A5AB556">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14:paraId="4D0AF9A8">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706" w:type="dxa"/>
            <w:tcBorders>
              <w:right w:val="single" w:color="auto" w:sz="12" w:space="0"/>
            </w:tcBorders>
            <w:vAlign w:val="center"/>
          </w:tcPr>
          <w:p w14:paraId="4EC9288D">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r w14:paraId="19D6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C571424">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709" w:type="dxa"/>
            <w:vAlign w:val="center"/>
          </w:tcPr>
          <w:p w14:paraId="082A66A5">
            <w:pPr>
              <w:pStyle w:val="14"/>
              <w:widowControl w:val="0"/>
              <w:rPr>
                <w:rFonts w:asciiTheme="minorEastAsia" w:hAnsiTheme="minorEastAsia" w:eastAsiaTheme="minorEastAsia" w:cstheme="minorEastAsia"/>
              </w:rPr>
            </w:pPr>
            <w:r>
              <w:rPr>
                <w:rFonts w:asciiTheme="minorEastAsia" w:hAnsiTheme="minorEastAsia" w:eastAsiaTheme="minorEastAsia" w:cstheme="minorEastAsia"/>
              </w:rPr>
              <w:t>15</w:t>
            </w:r>
            <w:r>
              <w:rPr>
                <w:rFonts w:hint="eastAsia" w:asciiTheme="minorEastAsia" w:hAnsiTheme="minorEastAsia" w:eastAsiaTheme="minorEastAsia" w:cstheme="minorEastAsia"/>
              </w:rPr>
              <w:t>%</w:t>
            </w:r>
          </w:p>
        </w:tc>
        <w:tc>
          <w:tcPr>
            <w:tcW w:w="2353" w:type="dxa"/>
            <w:tcBorders>
              <w:right w:val="double" w:color="auto" w:sz="4" w:space="0"/>
            </w:tcBorders>
            <w:vAlign w:val="center"/>
          </w:tcPr>
          <w:p w14:paraId="3AFE8D41">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平时表现</w:t>
            </w:r>
          </w:p>
        </w:tc>
        <w:tc>
          <w:tcPr>
            <w:tcW w:w="612" w:type="dxa"/>
            <w:tcBorders>
              <w:left w:val="double" w:color="auto" w:sz="4" w:space="0"/>
            </w:tcBorders>
            <w:vAlign w:val="center"/>
          </w:tcPr>
          <w:p w14:paraId="77A60C7A">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40</w:t>
            </w:r>
          </w:p>
        </w:tc>
        <w:tc>
          <w:tcPr>
            <w:tcW w:w="612" w:type="dxa"/>
            <w:vAlign w:val="center"/>
          </w:tcPr>
          <w:p w14:paraId="5CE087ED">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612" w:type="dxa"/>
            <w:vAlign w:val="center"/>
          </w:tcPr>
          <w:p w14:paraId="6226CB1D">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14:paraId="266787DF">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14:paraId="7CA5644C">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612" w:type="dxa"/>
            <w:vAlign w:val="center"/>
          </w:tcPr>
          <w:p w14:paraId="31FC6D4C">
            <w:pPr>
              <w:pStyle w:val="14"/>
              <w:widowControl w:val="0"/>
              <w:rPr>
                <w:rFonts w:asciiTheme="minorEastAsia" w:hAnsiTheme="minorEastAsia" w:eastAsiaTheme="minorEastAsia" w:cstheme="minorEastAsia"/>
              </w:rPr>
            </w:pPr>
          </w:p>
        </w:tc>
        <w:tc>
          <w:tcPr>
            <w:tcW w:w="706" w:type="dxa"/>
            <w:tcBorders>
              <w:right w:val="single" w:color="auto" w:sz="12" w:space="0"/>
            </w:tcBorders>
            <w:vAlign w:val="center"/>
          </w:tcPr>
          <w:p w14:paraId="64B864E7">
            <w:pPr>
              <w:pStyle w:val="14"/>
              <w:widowControl w:val="0"/>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056D3F17">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08486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04BB2455">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1AFCE0F1">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624BAC20">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60DCE82F">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217A0E76">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5ABE2A04">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5A1FCF2C">
            <w:pPr>
              <w:pStyle w:val="16"/>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67E698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0FC8A8B2">
            <w:pPr>
              <w:widowControl w:val="0"/>
              <w:snapToGrid w:val="0"/>
              <w:jc w:val="center"/>
              <w:rPr>
                <w:rFonts w:ascii="黑体" w:hAnsi="黑体" w:eastAsia="黑体"/>
                <w:bCs/>
                <w:sz w:val="21"/>
                <w:szCs w:val="21"/>
              </w:rPr>
            </w:pPr>
          </w:p>
        </w:tc>
        <w:tc>
          <w:tcPr>
            <w:tcW w:w="648" w:type="dxa"/>
            <w:vMerge w:val="continue"/>
          </w:tcPr>
          <w:p w14:paraId="01D1CCE0">
            <w:pPr>
              <w:pStyle w:val="16"/>
              <w:widowControl w:val="0"/>
              <w:jc w:val="both"/>
              <w:rPr>
                <w:rFonts w:ascii="黑体" w:hAnsi="黑体"/>
                <w:bCs/>
                <w:sz w:val="21"/>
                <w:szCs w:val="21"/>
              </w:rPr>
            </w:pPr>
          </w:p>
        </w:tc>
        <w:tc>
          <w:tcPr>
            <w:tcW w:w="1403" w:type="dxa"/>
            <w:vMerge w:val="continue"/>
          </w:tcPr>
          <w:p w14:paraId="3EA9ADFC">
            <w:pPr>
              <w:pStyle w:val="16"/>
              <w:widowControl w:val="0"/>
              <w:jc w:val="both"/>
              <w:rPr>
                <w:rFonts w:ascii="黑体" w:hAnsi="黑体"/>
                <w:bCs/>
                <w:sz w:val="21"/>
                <w:szCs w:val="21"/>
              </w:rPr>
            </w:pPr>
          </w:p>
        </w:tc>
        <w:tc>
          <w:tcPr>
            <w:tcW w:w="1403" w:type="dxa"/>
            <w:vAlign w:val="center"/>
          </w:tcPr>
          <w:p w14:paraId="38AF4279">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1CA02AA1">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34CE70C1">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A7E7994">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449C9038">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37AFB44">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5C5C577E">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35CEFD97">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45E080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21318B4">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4F08BC73">
            <w:pPr>
              <w:widowControl w:val="0"/>
              <w:snapToGrid w:val="0"/>
              <w:jc w:val="center"/>
              <w:rPr>
                <w:rFonts w:ascii="Arial" w:hAnsi="Arial" w:eastAsia="黑体" w:cs="Arial"/>
                <w:bCs/>
                <w:sz w:val="21"/>
                <w:szCs w:val="21"/>
              </w:rPr>
            </w:pPr>
          </w:p>
        </w:tc>
        <w:tc>
          <w:tcPr>
            <w:tcW w:w="1403" w:type="dxa"/>
          </w:tcPr>
          <w:p w14:paraId="1C0237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683AAF3E">
            <w:pPr>
              <w:pStyle w:val="14"/>
              <w:widowControl w:val="0"/>
              <w:jc w:val="both"/>
            </w:pPr>
          </w:p>
        </w:tc>
        <w:tc>
          <w:tcPr>
            <w:tcW w:w="1403" w:type="dxa"/>
          </w:tcPr>
          <w:p w14:paraId="6FF74196">
            <w:pPr>
              <w:pStyle w:val="14"/>
              <w:widowControl w:val="0"/>
              <w:jc w:val="both"/>
            </w:pPr>
          </w:p>
        </w:tc>
        <w:tc>
          <w:tcPr>
            <w:tcW w:w="1403" w:type="dxa"/>
          </w:tcPr>
          <w:p w14:paraId="06A7300E">
            <w:pPr>
              <w:pStyle w:val="14"/>
              <w:widowControl w:val="0"/>
              <w:jc w:val="both"/>
            </w:pPr>
          </w:p>
        </w:tc>
        <w:tc>
          <w:tcPr>
            <w:tcW w:w="1403" w:type="dxa"/>
          </w:tcPr>
          <w:p w14:paraId="49FAB8F8">
            <w:pPr>
              <w:pStyle w:val="6"/>
              <w:widowControl/>
              <w:shd w:val="clear" w:color="auto" w:fill="FFFFFF"/>
              <w:jc w:val="both"/>
            </w:pPr>
          </w:p>
        </w:tc>
      </w:tr>
      <w:tr w14:paraId="481C8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1165D41">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1AAAB938">
            <w:pPr>
              <w:widowControl w:val="0"/>
              <w:snapToGrid w:val="0"/>
              <w:jc w:val="center"/>
              <w:rPr>
                <w:rFonts w:ascii="Arial" w:hAnsi="Arial" w:eastAsia="黑体" w:cs="Arial"/>
                <w:bCs/>
                <w:sz w:val="21"/>
                <w:szCs w:val="21"/>
              </w:rPr>
            </w:pPr>
          </w:p>
        </w:tc>
        <w:tc>
          <w:tcPr>
            <w:tcW w:w="1403" w:type="dxa"/>
            <w:vAlign w:val="center"/>
          </w:tcPr>
          <w:p w14:paraId="6B53FC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D28638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43278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1DC13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E912B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341A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7AB26F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4C509CC5">
            <w:pPr>
              <w:widowControl w:val="0"/>
              <w:snapToGrid w:val="0"/>
              <w:jc w:val="center"/>
              <w:rPr>
                <w:rFonts w:ascii="Arial" w:hAnsi="Arial" w:eastAsia="黑体" w:cs="Arial"/>
                <w:bCs/>
                <w:sz w:val="21"/>
                <w:szCs w:val="21"/>
              </w:rPr>
            </w:pPr>
          </w:p>
        </w:tc>
        <w:tc>
          <w:tcPr>
            <w:tcW w:w="1403" w:type="dxa"/>
            <w:vAlign w:val="center"/>
          </w:tcPr>
          <w:p w14:paraId="6914FF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CFFFD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2715B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701D3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83ECC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7CB5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6D00A90">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22DF7276">
            <w:pPr>
              <w:widowControl w:val="0"/>
              <w:snapToGrid w:val="0"/>
              <w:jc w:val="center"/>
              <w:rPr>
                <w:rFonts w:ascii="Arial" w:hAnsi="Arial" w:eastAsia="黑体" w:cs="Arial"/>
                <w:bCs/>
                <w:sz w:val="21"/>
                <w:szCs w:val="21"/>
              </w:rPr>
            </w:pPr>
          </w:p>
        </w:tc>
        <w:tc>
          <w:tcPr>
            <w:tcW w:w="1403" w:type="dxa"/>
            <w:vAlign w:val="center"/>
          </w:tcPr>
          <w:p w14:paraId="10D2E51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98967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49BBE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410CB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83E71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CF65A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18C8103">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3C0E26FC">
            <w:pPr>
              <w:widowControl w:val="0"/>
              <w:snapToGrid w:val="0"/>
              <w:jc w:val="center"/>
              <w:rPr>
                <w:rFonts w:ascii="Arial" w:hAnsi="Arial" w:eastAsia="黑体" w:cs="Arial"/>
                <w:bCs/>
                <w:sz w:val="21"/>
                <w:szCs w:val="21"/>
              </w:rPr>
            </w:pPr>
          </w:p>
        </w:tc>
        <w:tc>
          <w:tcPr>
            <w:tcW w:w="1403" w:type="dxa"/>
            <w:vAlign w:val="center"/>
          </w:tcPr>
          <w:p w14:paraId="4612BE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763AE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4056E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A9928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FC864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875BA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54" w:hRule="atLeast"/>
        </w:trPr>
        <w:tc>
          <w:tcPr>
            <w:tcW w:w="613" w:type="dxa"/>
            <w:vAlign w:val="center"/>
          </w:tcPr>
          <w:p w14:paraId="6BB1755C">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53B7F4FE">
            <w:pPr>
              <w:widowControl w:val="0"/>
              <w:snapToGrid w:val="0"/>
              <w:jc w:val="center"/>
              <w:rPr>
                <w:rFonts w:ascii="Arial" w:hAnsi="Arial" w:eastAsia="黑体" w:cs="Arial"/>
                <w:bCs/>
                <w:sz w:val="21"/>
                <w:szCs w:val="21"/>
              </w:rPr>
            </w:pPr>
          </w:p>
        </w:tc>
        <w:tc>
          <w:tcPr>
            <w:tcW w:w="1403" w:type="dxa"/>
            <w:vAlign w:val="center"/>
          </w:tcPr>
          <w:p w14:paraId="09CFE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CAABA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6B901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1CBC6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0AA3D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4BEBBC36">
      <w:pPr>
        <w:pStyle w:val="16"/>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5D670B66">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35CFBB96">
            <w:pPr>
              <w:pStyle w:val="14"/>
              <w:widowControl w:val="0"/>
              <w:jc w:val="left"/>
              <w:rPr>
                <w:rFonts w:ascii="仿宋" w:hAnsi="仿宋" w:eastAsia="仿宋" w:cs="仿宋"/>
              </w:rPr>
            </w:pPr>
          </w:p>
          <w:p w14:paraId="5DD781CF">
            <w:pPr>
              <w:pStyle w:val="14"/>
              <w:widowControl w:val="0"/>
              <w:jc w:val="left"/>
              <w:rPr>
                <w:rFonts w:ascii="宋体" w:hAnsi="宋体"/>
                <w:bCs/>
              </w:rPr>
            </w:pPr>
          </w:p>
          <w:p w14:paraId="3E9E2D43">
            <w:pPr>
              <w:pStyle w:val="14"/>
              <w:widowControl w:val="0"/>
              <w:jc w:val="left"/>
              <w:rPr>
                <w:rFonts w:ascii="黑体"/>
              </w:rPr>
            </w:pPr>
          </w:p>
        </w:tc>
      </w:tr>
    </w:tbl>
    <w:p w14:paraId="3BA9ECA4">
      <w:pPr>
        <w:pStyle w:val="16"/>
        <w:rPr>
          <w:rFonts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Microsoft YaHei UI"/>
    <w:panose1 w:val="00000000000000000000"/>
    <w:charset w:val="86"/>
    <w:family w:val="script"/>
    <w:pitch w:val="default"/>
    <w:sig w:usb0="00000000" w:usb1="0000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EE02">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D30A7B8">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D30A7B8">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52AD5"/>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38D9"/>
    <w:rsid w:val="00344EF2"/>
    <w:rsid w:val="00347EB8"/>
    <w:rsid w:val="00347F80"/>
    <w:rsid w:val="00353F74"/>
    <w:rsid w:val="003557DE"/>
    <w:rsid w:val="00361BEB"/>
    <w:rsid w:val="00370184"/>
    <w:rsid w:val="00373C8A"/>
    <w:rsid w:val="00377C10"/>
    <w:rsid w:val="00384A1F"/>
    <w:rsid w:val="00384D60"/>
    <w:rsid w:val="00385D41"/>
    <w:rsid w:val="003861BA"/>
    <w:rsid w:val="00393A3A"/>
    <w:rsid w:val="003A1680"/>
    <w:rsid w:val="003A373C"/>
    <w:rsid w:val="003A5874"/>
    <w:rsid w:val="003B1258"/>
    <w:rsid w:val="003B4A81"/>
    <w:rsid w:val="003C1F8D"/>
    <w:rsid w:val="003C61A5"/>
    <w:rsid w:val="003D1968"/>
    <w:rsid w:val="003D4994"/>
    <w:rsid w:val="003E10A5"/>
    <w:rsid w:val="003E354D"/>
    <w:rsid w:val="003E7D72"/>
    <w:rsid w:val="003F3923"/>
    <w:rsid w:val="003F43F6"/>
    <w:rsid w:val="004019DB"/>
    <w:rsid w:val="00402B67"/>
    <w:rsid w:val="00403C91"/>
    <w:rsid w:val="0040433E"/>
    <w:rsid w:val="00404974"/>
    <w:rsid w:val="0040726A"/>
    <w:rsid w:val="004100B0"/>
    <w:rsid w:val="0041267F"/>
    <w:rsid w:val="00417C28"/>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299"/>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65352"/>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66A"/>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57B53"/>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26555"/>
    <w:rsid w:val="00D343A8"/>
    <w:rsid w:val="00D37832"/>
    <w:rsid w:val="00D44860"/>
    <w:rsid w:val="00D47689"/>
    <w:rsid w:val="00D50C42"/>
    <w:rsid w:val="00D57CF5"/>
    <w:rsid w:val="00D612BC"/>
    <w:rsid w:val="00D62F98"/>
    <w:rsid w:val="00D66FD6"/>
    <w:rsid w:val="00D8285B"/>
    <w:rsid w:val="00D862EB"/>
    <w:rsid w:val="00D86619"/>
    <w:rsid w:val="00D93E7C"/>
    <w:rsid w:val="00DA24B1"/>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44014"/>
    <w:rsid w:val="00E545FF"/>
    <w:rsid w:val="00E6080E"/>
    <w:rsid w:val="00E64168"/>
    <w:rsid w:val="00E655B3"/>
    <w:rsid w:val="00E7081D"/>
    <w:rsid w:val="00E70904"/>
    <w:rsid w:val="00E71319"/>
    <w:rsid w:val="00E75171"/>
    <w:rsid w:val="00E804B0"/>
    <w:rsid w:val="00E86772"/>
    <w:rsid w:val="00E90B8B"/>
    <w:rsid w:val="00E93ADD"/>
    <w:rsid w:val="00E952D8"/>
    <w:rsid w:val="00E97711"/>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5599"/>
    <w:rsid w:val="00FB693D"/>
    <w:rsid w:val="00FB7768"/>
    <w:rsid w:val="00FC7489"/>
    <w:rsid w:val="00FD1BA8"/>
    <w:rsid w:val="00FD218F"/>
    <w:rsid w:val="00FD5663"/>
    <w:rsid w:val="00FD56C6"/>
    <w:rsid w:val="00FE3221"/>
    <w:rsid w:val="00FE48EA"/>
    <w:rsid w:val="00FE571F"/>
    <w:rsid w:val="00FF47F6"/>
    <w:rsid w:val="016E63C2"/>
    <w:rsid w:val="024B0C39"/>
    <w:rsid w:val="0A8128A6"/>
    <w:rsid w:val="0BF32A1B"/>
    <w:rsid w:val="10BD2C22"/>
    <w:rsid w:val="1FCC517F"/>
    <w:rsid w:val="22987C80"/>
    <w:rsid w:val="24192CCC"/>
    <w:rsid w:val="26F4679D"/>
    <w:rsid w:val="39A66CD4"/>
    <w:rsid w:val="3CD52CE1"/>
    <w:rsid w:val="410F2E6A"/>
    <w:rsid w:val="4430136C"/>
    <w:rsid w:val="4AB0382B"/>
    <w:rsid w:val="5096180A"/>
    <w:rsid w:val="569868B5"/>
    <w:rsid w:val="611F6817"/>
    <w:rsid w:val="66CA1754"/>
    <w:rsid w:val="6CE4273A"/>
    <w:rsid w:val="6F1E65D4"/>
    <w:rsid w:val="6F266C86"/>
    <w:rsid w:val="6F5042C2"/>
    <w:rsid w:val="74316312"/>
    <w:rsid w:val="780F13C8"/>
    <w:rsid w:val="7BA8502E"/>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E003D-F162-44AD-B061-FE785EC43DBD}">
  <ds:schemaRefs/>
</ds:datastoreItem>
</file>

<file path=docProps/app.xml><?xml version="1.0" encoding="utf-8"?>
<Properties xmlns="http://schemas.openxmlformats.org/officeDocument/2006/extended-properties" xmlns:vt="http://schemas.openxmlformats.org/officeDocument/2006/docPropsVTypes">
  <Template>Normal</Template>
  <Pages>10</Pages>
  <Words>1265</Words>
  <Characters>1334</Characters>
  <Lines>45</Lines>
  <Paragraphs>12</Paragraphs>
  <TotalTime>0</TotalTime>
  <ScaleCrop>false</ScaleCrop>
  <LinksUpToDate>false</LinksUpToDate>
  <CharactersWithSpaces>1343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2025-02-18T09:56:00Z</dcterms:created>
  <dc:creator>juvg</dc:creator>
  <cp:lastModifiedBy>归晚.</cp:lastModifiedBy>
  <cp:lastPrinted>2023-11-21T00:52:00Z</cp:lastPrinted>
  <dcterms:modified xsi:type="dcterms:W3CDTF">2025-03-18T06:10:44Z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B8588DEF0F9F45EEA60E8230054E83AB_12</vt:lpwstr>
  </property>
  <property fmtid="{D5CDD505-2E9C-101B-9397-08002B2CF9AE}" pid="4" name="KSOTemplateDocerSaveRecord">
    <vt:lpwstr>eyJoZGlkIjoiOGYyZTQwNzY0YmUwZjVjNTE5NzMzOGJiOTgwZmM0NTEiLCJ1c2VySWQiOiI1NTQ0NjQ5MzAifQ==</vt:lpwstr>
  </property>
</Properties>
</file>