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Theme="minorEastAsia" w:hAnsiTheme="minorEastAsia" w:eastAsiaTheme="minorEastAsia" w:cstheme="minorEastAsia"/>
          <w:b/>
          <w:bCs/>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cstheme="minorEastAsia"/>
          <w:b/>
          <w:bCs/>
          <w:kern w:val="0"/>
          <w:sz w:val="40"/>
          <w:szCs w:val="40"/>
        </w:rPr>
        <w:t>专业课课程教学大纲</w:t>
      </w:r>
    </w:p>
    <w:p>
      <w:pPr>
        <w:spacing w:line="288" w:lineRule="auto"/>
        <w:jc w:val="center"/>
        <w:rPr>
          <w:b/>
          <w:sz w:val="28"/>
          <w:szCs w:val="30"/>
        </w:rPr>
      </w:pPr>
      <w:r>
        <w:rPr>
          <w:rFonts w:hint="eastAsia"/>
          <w:b/>
          <w:sz w:val="28"/>
          <w:szCs w:val="30"/>
        </w:rPr>
        <w:t>【护理导论】</w:t>
      </w:r>
    </w:p>
    <w:p>
      <w:pPr>
        <w:shd w:val="clear" w:color="auto" w:fill="F5F5F5"/>
        <w:jc w:val="center"/>
        <w:textAlignment w:val="top"/>
        <w:rPr>
          <w:rFonts w:ascii="Arial" w:hAnsi="Arial" w:cs="Arial"/>
          <w:kern w:val="0"/>
          <w:sz w:val="20"/>
          <w:szCs w:val="20"/>
        </w:rPr>
      </w:pPr>
      <w:r>
        <w:rPr>
          <w:rFonts w:hint="eastAsia"/>
          <w:b/>
          <w:sz w:val="28"/>
          <w:szCs w:val="30"/>
        </w:rPr>
        <w:t>【Introduction of Nursing】</w:t>
      </w:r>
      <w:bookmarkStart w:id="0" w:name="a2"/>
      <w:bookmarkEnd w:id="0"/>
    </w:p>
    <w:p>
      <w:pPr>
        <w:spacing w:beforeLines="50"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sz w:val="20"/>
          <w:szCs w:val="20"/>
        </w:rPr>
      </w:pPr>
      <w:r>
        <w:rPr>
          <w:b/>
          <w:bCs/>
          <w:sz w:val="20"/>
          <w:szCs w:val="20"/>
        </w:rPr>
        <w:t>课程代码：</w:t>
      </w:r>
      <w:r>
        <w:rPr>
          <w:sz w:val="20"/>
          <w:szCs w:val="20"/>
        </w:rPr>
        <w:t>【</w:t>
      </w:r>
      <w:r>
        <w:rPr>
          <w:color w:val="000000" w:themeColor="text1"/>
          <w:sz w:val="20"/>
          <w:szCs w:val="20"/>
          <w14:textFill>
            <w14:solidFill>
              <w14:schemeClr w14:val="tx1"/>
            </w14:solidFill>
          </w14:textFill>
        </w:rPr>
        <w:t>007</w:t>
      </w:r>
      <w:bookmarkStart w:id="1" w:name="_GoBack"/>
      <w:bookmarkEnd w:id="1"/>
      <w:r>
        <w:rPr>
          <w:color w:val="000000" w:themeColor="text1"/>
          <w:sz w:val="20"/>
          <w:szCs w:val="20"/>
          <w14:textFill>
            <w14:solidFill>
              <w14:schemeClr w14:val="tx1"/>
            </w14:solidFill>
          </w14:textFill>
        </w:rPr>
        <w:t>0033</w:t>
      </w:r>
      <w:r>
        <w:rPr>
          <w:sz w:val="20"/>
          <w:szCs w:val="20"/>
        </w:rPr>
        <w:t>】</w:t>
      </w:r>
    </w:p>
    <w:p>
      <w:pPr>
        <w:snapToGrid w:val="0"/>
        <w:spacing w:line="288" w:lineRule="auto"/>
        <w:ind w:firstLine="394" w:firstLineChars="196"/>
        <w:rPr>
          <w:szCs w:val="21"/>
        </w:rPr>
      </w:pPr>
      <w:r>
        <w:rPr>
          <w:b/>
          <w:bCs/>
          <w:sz w:val="20"/>
          <w:szCs w:val="20"/>
        </w:rPr>
        <w:t>课程学分：</w:t>
      </w:r>
      <w:r>
        <w:rPr>
          <w:sz w:val="20"/>
          <w:szCs w:val="20"/>
        </w:rPr>
        <w:t>【</w:t>
      </w:r>
      <w:r>
        <w:rPr>
          <w:rFonts w:hint="eastAsia"/>
          <w:sz w:val="20"/>
          <w:szCs w:val="20"/>
        </w:rPr>
        <w:t>2.0</w:t>
      </w:r>
      <w:r>
        <w:rPr>
          <w:sz w:val="20"/>
          <w:szCs w:val="20"/>
        </w:rPr>
        <w:t>】</w:t>
      </w:r>
    </w:p>
    <w:p>
      <w:pPr>
        <w:snapToGrid w:val="0"/>
        <w:spacing w:line="288" w:lineRule="auto"/>
        <w:ind w:firstLine="394" w:firstLineChars="196"/>
        <w:rPr>
          <w:szCs w:val="21"/>
        </w:rPr>
      </w:pPr>
      <w:r>
        <w:rPr>
          <w:b/>
          <w:bCs/>
          <w:sz w:val="20"/>
          <w:szCs w:val="20"/>
        </w:rPr>
        <w:t>面向专业：</w:t>
      </w:r>
      <w:r>
        <w:rPr>
          <w:sz w:val="20"/>
          <w:szCs w:val="20"/>
        </w:rPr>
        <w:t>【</w:t>
      </w:r>
      <w:r>
        <w:rPr>
          <w:rFonts w:hint="eastAsia"/>
          <w:sz w:val="20"/>
          <w:szCs w:val="20"/>
        </w:rPr>
        <w:t>护理</w:t>
      </w:r>
      <w:r>
        <w:rPr>
          <w:sz w:val="20"/>
          <w:szCs w:val="20"/>
        </w:rPr>
        <w:t>】</w:t>
      </w:r>
    </w:p>
    <w:p>
      <w:pPr>
        <w:snapToGrid w:val="0"/>
        <w:spacing w:line="288" w:lineRule="auto"/>
        <w:ind w:firstLine="394" w:firstLineChars="196"/>
        <w:rPr>
          <w:sz w:val="20"/>
          <w:szCs w:val="20"/>
        </w:rPr>
      </w:pPr>
      <w:r>
        <w:rPr>
          <w:b/>
          <w:bCs/>
          <w:sz w:val="20"/>
          <w:szCs w:val="20"/>
        </w:rPr>
        <w:t>课程性质：</w:t>
      </w:r>
      <w:r>
        <w:rPr>
          <w:sz w:val="20"/>
          <w:szCs w:val="20"/>
        </w:rPr>
        <w:t>【</w:t>
      </w:r>
      <w:r>
        <w:rPr>
          <w:rFonts w:hint="eastAsia"/>
          <w:sz w:val="20"/>
          <w:szCs w:val="20"/>
        </w:rPr>
        <w:t>系级选修课</w:t>
      </w:r>
      <w:r>
        <w:rPr>
          <w:sz w:val="20"/>
          <w:szCs w:val="20"/>
        </w:rPr>
        <w:t>】</w:t>
      </w:r>
    </w:p>
    <w:p>
      <w:pPr>
        <w:snapToGrid w:val="0"/>
        <w:spacing w:line="288" w:lineRule="auto"/>
        <w:ind w:firstLine="394" w:firstLineChars="196"/>
        <w:rPr>
          <w:b/>
          <w:bCs/>
          <w:szCs w:val="21"/>
        </w:rPr>
      </w:pPr>
      <w:r>
        <w:rPr>
          <w:b/>
          <w:bCs/>
          <w:sz w:val="20"/>
          <w:szCs w:val="20"/>
        </w:rPr>
        <w:t>开课院系：</w:t>
      </w:r>
      <w:r>
        <w:rPr>
          <w:rFonts w:hint="eastAsia"/>
          <w:b/>
          <w:bCs/>
          <w:sz w:val="20"/>
          <w:szCs w:val="20"/>
          <w:lang w:val="en-US" w:eastAsia="zh-CN"/>
        </w:rPr>
        <w:t>健康管理学院</w:t>
      </w:r>
      <w:r>
        <w:rPr>
          <w:rFonts w:hint="eastAsia"/>
          <w:b/>
          <w:bCs/>
          <w:sz w:val="20"/>
          <w:szCs w:val="20"/>
        </w:rPr>
        <w:t>护理系</w:t>
      </w:r>
    </w:p>
    <w:p>
      <w:pPr>
        <w:snapToGrid w:val="0"/>
        <w:spacing w:line="288" w:lineRule="auto"/>
        <w:ind w:firstLine="394" w:firstLineChars="196"/>
        <w:rPr>
          <w:sz w:val="20"/>
          <w:szCs w:val="20"/>
        </w:rPr>
      </w:pPr>
      <w:r>
        <w:rPr>
          <w:b/>
          <w:bCs/>
          <w:sz w:val="20"/>
          <w:szCs w:val="20"/>
        </w:rPr>
        <w:t>使用教材：</w:t>
      </w:r>
    </w:p>
    <w:p>
      <w:pPr>
        <w:snapToGrid w:val="0"/>
        <w:spacing w:line="288" w:lineRule="auto"/>
        <w:ind w:firstLine="792" w:firstLineChars="396"/>
        <w:rPr>
          <w:szCs w:val="21"/>
        </w:rPr>
      </w:pPr>
      <w:r>
        <w:rPr>
          <w:sz w:val="20"/>
          <w:szCs w:val="20"/>
        </w:rPr>
        <w:t>教材【</w:t>
      </w:r>
      <w:r>
        <w:rPr>
          <w:rFonts w:hint="eastAsia"/>
          <w:sz w:val="20"/>
          <w:szCs w:val="20"/>
        </w:rPr>
        <w:t>《护理学导论》第4版，主编：李晓松、章晓幸，人民卫生出版社</w:t>
      </w:r>
      <w:r>
        <w:rPr>
          <w:sz w:val="20"/>
          <w:szCs w:val="20"/>
        </w:rPr>
        <w:t>】</w:t>
      </w:r>
    </w:p>
    <w:p>
      <w:pPr>
        <w:snapToGrid w:val="0"/>
        <w:spacing w:line="288" w:lineRule="auto"/>
        <w:ind w:firstLine="800" w:firstLineChars="400"/>
        <w:rPr>
          <w:sz w:val="20"/>
          <w:szCs w:val="20"/>
        </w:rPr>
      </w:pPr>
      <w:r>
        <w:rPr>
          <w:sz w:val="20"/>
          <w:szCs w:val="20"/>
        </w:rPr>
        <w:t>参考</w:t>
      </w:r>
      <w:r>
        <w:rPr>
          <w:rFonts w:hint="eastAsia"/>
          <w:sz w:val="20"/>
          <w:szCs w:val="20"/>
        </w:rPr>
        <w:t>书目</w:t>
      </w:r>
      <w:r>
        <w:rPr>
          <w:sz w:val="20"/>
          <w:szCs w:val="20"/>
        </w:rPr>
        <w:t>【</w:t>
      </w:r>
      <w:r>
        <w:rPr>
          <w:rFonts w:hint="eastAsia"/>
          <w:sz w:val="20"/>
          <w:szCs w:val="20"/>
        </w:rPr>
        <w:t>《护理学导论》，主编：张琳琳、王慧玲，人民卫生出版社；《护理学导论》</w:t>
      </w:r>
    </w:p>
    <w:p>
      <w:pPr>
        <w:snapToGrid w:val="0"/>
        <w:spacing w:line="288" w:lineRule="auto"/>
        <w:rPr>
          <w:szCs w:val="21"/>
        </w:rPr>
      </w:pPr>
      <w:r>
        <w:rPr>
          <w:rFonts w:hint="eastAsia"/>
          <w:sz w:val="20"/>
          <w:szCs w:val="20"/>
        </w:rPr>
        <w:t>第3版，主编：李晓松，人民卫生出版社；《护理礼仪与人际沟通》，主编：秦东华，人民卫生出版社；《全国护士执业资格考试用书》，人民卫生出版社</w:t>
      </w:r>
      <w:r>
        <w:rPr>
          <w:sz w:val="20"/>
          <w:szCs w:val="20"/>
        </w:rPr>
        <w:t>】</w:t>
      </w:r>
    </w:p>
    <w:p>
      <w:pPr>
        <w:snapToGrid w:val="0"/>
        <w:spacing w:line="288" w:lineRule="auto"/>
        <w:ind w:firstLine="394" w:firstLineChars="196"/>
        <w:rPr>
          <w:sz w:val="20"/>
          <w:szCs w:val="20"/>
        </w:rPr>
      </w:pPr>
      <w:r>
        <w:rPr>
          <w:rFonts w:hint="eastAsia"/>
          <w:b/>
          <w:bCs/>
          <w:sz w:val="20"/>
          <w:szCs w:val="20"/>
        </w:rPr>
        <w:t>课程网站网址：暂无</w:t>
      </w:r>
    </w:p>
    <w:p>
      <w:pPr>
        <w:adjustRightInd w:val="0"/>
        <w:snapToGrid w:val="0"/>
        <w:spacing w:line="288" w:lineRule="auto"/>
        <w:ind w:firstLine="394" w:firstLineChars="196"/>
        <w:rPr>
          <w:sz w:val="20"/>
          <w:szCs w:val="20"/>
        </w:rPr>
      </w:pPr>
      <w:r>
        <w:rPr>
          <w:b/>
          <w:bCs/>
          <w:sz w:val="20"/>
          <w:szCs w:val="20"/>
        </w:rPr>
        <w:t>先修课程：</w:t>
      </w:r>
      <w:r>
        <w:rPr>
          <w:sz w:val="20"/>
          <w:szCs w:val="20"/>
        </w:rPr>
        <w:t>【</w:t>
      </w:r>
      <w:r>
        <w:rPr>
          <w:rFonts w:hint="eastAsia"/>
          <w:sz w:val="20"/>
          <w:szCs w:val="20"/>
        </w:rPr>
        <w:t>无</w:t>
      </w:r>
      <w:r>
        <w:rPr>
          <w:sz w:val="20"/>
          <w:szCs w:val="20"/>
        </w:rPr>
        <w:t>】</w:t>
      </w:r>
    </w:p>
    <w:p>
      <w:pPr>
        <w:adjustRightInd w:val="0"/>
        <w:snapToGrid w:val="0"/>
        <w:spacing w:beforeLines="50"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sz w:val="20"/>
          <w:szCs w:val="20"/>
        </w:rPr>
      </w:pPr>
      <w:r>
        <w:rPr>
          <w:rFonts w:hint="eastAsia"/>
          <w:sz w:val="20"/>
          <w:szCs w:val="20"/>
        </w:rPr>
        <w:t>本课程是一门介绍护理学的基本理论、学科框架、护理学发展及其规律的专业基础课程，是护理专业的入门课程。本课程旨在帮助学生了解护理专业的发展，掌握护理专业的基本概念，引导学生全面系统地了解护理专业的理论体系与模式，并在学习护理理论知识的基础上使学生对护理专业有全面的了解，从而深刻理解护理作为一门独立学科的专业特性及学科地位。在整体护理观念的指导下，培养学生的现代护理理念，增强专业认同感，掌握并运用科学的护理工作方法主动为护理对象提供生理、心理、社会等全方位的护理，提升发现问题、分析问题及解决问题的能力，为继续学习基础护理学与临床各专科护理课程、提高综合素养，促进自身及专业发展奠定必备的理论及情感基础。在教学上采用多种教学方法与手段相结合的方式，包括视频教学、案例分析、分组汇报、角色扮演及情景教学等。力求使学生在掌握护理学概念的基础上初步培养其主动学习及评判性思维能力。本课程总学时为32学时。其中理论课时24学时，实验课时8学时。</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sz w:val="20"/>
          <w:szCs w:val="20"/>
        </w:rPr>
      </w:pPr>
      <w:r>
        <w:rPr>
          <w:rFonts w:hint="eastAsia"/>
          <w:sz w:val="20"/>
          <w:szCs w:val="20"/>
        </w:rPr>
        <w:t>本课程适用于护理类专业，开设于第1学期，是护理专业学生在校学习的第一门专业基础课程。修完本课程之后，学生将进一步学习《护理学基础》、《成人护理》、《母婴护理》、《儿童护理》等护理专业课程。</w:t>
      </w: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pPr w:leftFromText="180" w:rightFromText="180" w:vertAnchor="text" w:horzAnchor="page" w:tblpXSpec="center" w:tblpY="242"/>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80" w:type="dxa"/>
          </w:tcPr>
          <w:p>
            <w:pPr>
              <w:jc w:val="center"/>
              <w:rPr>
                <w:rFonts w:ascii="宋体" w:cs="黑体"/>
                <w:b/>
                <w:kern w:val="0"/>
                <w:sz w:val="20"/>
                <w:szCs w:val="20"/>
              </w:rPr>
            </w:pPr>
            <w:r>
              <w:rPr>
                <w:rFonts w:hint="eastAsia" w:ascii="宋体" w:hAnsi="宋体" w:cs="宋体"/>
                <w:b/>
                <w:bCs/>
                <w:kern w:val="0"/>
                <w:szCs w:val="21"/>
              </w:rPr>
              <w:t>专业毕业要求</w:t>
            </w:r>
          </w:p>
        </w:tc>
        <w:tc>
          <w:tcPr>
            <w:tcW w:w="780" w:type="dxa"/>
          </w:tcPr>
          <w:p>
            <w:pPr>
              <w:jc w:val="center"/>
              <w:rPr>
                <w:rFonts w:ascii="宋体" w:cs="黑体"/>
                <w:kern w:val="0"/>
                <w:sz w:val="20"/>
                <w:szCs w:val="20"/>
              </w:rPr>
            </w:pPr>
            <w:r>
              <w:rPr>
                <w:rFonts w:hint="eastAsia" w:ascii="宋体" w:hAnsi="宋体" w:cs="宋体"/>
                <w:b/>
                <w:bCs/>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80" w:type="dxa"/>
            <w:vAlign w:val="center"/>
          </w:tcPr>
          <w:p>
            <w:pPr>
              <w:widowControl/>
              <w:rPr>
                <w:rFonts w:ascii="宋体"/>
                <w:kern w:val="0"/>
                <w:sz w:val="20"/>
                <w:szCs w:val="20"/>
              </w:rPr>
            </w:pPr>
            <w:r>
              <w:rPr>
                <w:rFonts w:ascii="宋体" w:hAnsi="宋体" w:cs="宋体"/>
                <w:kern w:val="0"/>
                <w:sz w:val="20"/>
                <w:szCs w:val="20"/>
              </w:rPr>
              <w:t>LO21</w:t>
            </w:r>
            <w:r>
              <w:rPr>
                <w:rFonts w:hint="eastAsia" w:ascii="宋体" w:hAnsi="宋体"/>
                <w:sz w:val="20"/>
                <w:szCs w:val="20"/>
              </w:rPr>
              <w:t>自主学习</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880" w:type="dxa"/>
            <w:vAlign w:val="center"/>
          </w:tcPr>
          <w:p>
            <w:pPr>
              <w:widowControl/>
              <w:rPr>
                <w:rFonts w:ascii="宋体"/>
                <w:sz w:val="20"/>
                <w:szCs w:val="20"/>
              </w:rPr>
            </w:pPr>
            <w:r>
              <w:rPr>
                <w:rFonts w:ascii="宋体" w:hAnsi="宋体" w:cs="宋体"/>
                <w:kern w:val="0"/>
                <w:sz w:val="20"/>
                <w:szCs w:val="20"/>
              </w:rPr>
              <w:t>LO31</w:t>
            </w:r>
            <w:r>
              <w:rPr>
                <w:rFonts w:hint="eastAsia" w:ascii="宋体" w:hAnsi="宋体"/>
                <w:sz w:val="20"/>
                <w:szCs w:val="20"/>
              </w:rPr>
              <w:t>专业通用能力：能应用医学基础知识解释常见临床现象，具有一定的指导护理工作和用药指导能力。</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80" w:type="dxa"/>
            <w:vAlign w:val="center"/>
          </w:tcPr>
          <w:p>
            <w:pPr>
              <w:widowControl/>
              <w:rPr>
                <w:rFonts w:ascii="宋体"/>
                <w:sz w:val="20"/>
                <w:szCs w:val="20"/>
              </w:rPr>
            </w:pPr>
            <w:r>
              <w:rPr>
                <w:rFonts w:ascii="宋体" w:hAnsi="宋体" w:cs="宋体"/>
                <w:kern w:val="0"/>
                <w:sz w:val="20"/>
                <w:szCs w:val="20"/>
              </w:rPr>
              <w:t>LO32</w:t>
            </w:r>
            <w:r>
              <w:rPr>
                <w:rFonts w:hint="eastAsia" w:ascii="宋体" w:hAnsi="宋体"/>
                <w:sz w:val="20"/>
                <w:szCs w:val="20"/>
              </w:rPr>
              <w:t>护理评估能力：能全面评估护理服务对象的身、心、社会及精神方面的健康状态。</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880" w:type="dxa"/>
            <w:vAlign w:val="center"/>
          </w:tcPr>
          <w:p>
            <w:pPr>
              <w:widowControl/>
              <w:rPr>
                <w:rFonts w:ascii="宋体"/>
                <w:kern w:val="0"/>
                <w:sz w:val="20"/>
                <w:szCs w:val="20"/>
              </w:rPr>
            </w:pPr>
            <w:r>
              <w:rPr>
                <w:rFonts w:ascii="宋体" w:hAnsi="宋体" w:cs="宋体"/>
                <w:kern w:val="0"/>
                <w:sz w:val="20"/>
                <w:szCs w:val="20"/>
              </w:rPr>
              <w:t>LO51</w:t>
            </w:r>
            <w:r>
              <w:rPr>
                <w:rFonts w:hint="eastAsia" w:ascii="宋体" w:hAnsi="宋体"/>
                <w:sz w:val="20"/>
                <w:szCs w:val="20"/>
              </w:rPr>
              <w:t>协同创新</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Spec="center" w:tblpY="152"/>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61"/>
        <w:gridCol w:w="3666"/>
        <w:gridCol w:w="169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9" w:type="dxa"/>
            <w:vAlign w:val="center"/>
          </w:tcPr>
          <w:p>
            <w:pPr>
              <w:snapToGrid w:val="0"/>
              <w:spacing w:line="288" w:lineRule="auto"/>
              <w:jc w:val="center"/>
              <w:rPr>
                <w:rFonts w:ascii="宋体"/>
                <w:b/>
                <w:szCs w:val="21"/>
              </w:rPr>
            </w:pPr>
            <w:r>
              <w:rPr>
                <w:rFonts w:hint="eastAsia" w:ascii="宋体" w:hAnsi="宋体"/>
                <w:b/>
                <w:szCs w:val="21"/>
              </w:rPr>
              <w:t>序号</w:t>
            </w:r>
          </w:p>
        </w:tc>
        <w:tc>
          <w:tcPr>
            <w:tcW w:w="1161" w:type="dxa"/>
            <w:vAlign w:val="center"/>
          </w:tcPr>
          <w:p>
            <w:pPr>
              <w:snapToGrid w:val="0"/>
              <w:spacing w:line="288" w:lineRule="auto"/>
              <w:jc w:val="center"/>
              <w:rPr>
                <w:rFonts w:ascii="宋体"/>
                <w:b/>
                <w:szCs w:val="21"/>
              </w:rPr>
            </w:pPr>
            <w:r>
              <w:rPr>
                <w:rFonts w:hint="eastAsia" w:ascii="宋体" w:hAnsi="宋体"/>
                <w:b/>
                <w:szCs w:val="21"/>
              </w:rPr>
              <w:t>课程预期</w:t>
            </w:r>
          </w:p>
          <w:p>
            <w:pPr>
              <w:snapToGrid w:val="0"/>
              <w:spacing w:line="288" w:lineRule="auto"/>
              <w:jc w:val="center"/>
              <w:rPr>
                <w:rFonts w:ascii="宋体"/>
                <w:b/>
                <w:szCs w:val="21"/>
              </w:rPr>
            </w:pPr>
            <w:r>
              <w:rPr>
                <w:rFonts w:hint="eastAsia" w:ascii="宋体" w:hAnsi="宋体"/>
                <w:b/>
                <w:szCs w:val="21"/>
              </w:rPr>
              <w:t>学习成果</w:t>
            </w:r>
          </w:p>
        </w:tc>
        <w:tc>
          <w:tcPr>
            <w:tcW w:w="3666" w:type="dxa"/>
            <w:vAlign w:val="center"/>
          </w:tcPr>
          <w:p>
            <w:pPr>
              <w:snapToGrid w:val="0"/>
              <w:spacing w:line="288" w:lineRule="auto"/>
              <w:jc w:val="center"/>
              <w:rPr>
                <w:rFonts w:ascii="宋体"/>
                <w:b/>
                <w:szCs w:val="21"/>
              </w:rPr>
            </w:pPr>
            <w:r>
              <w:rPr>
                <w:rFonts w:hint="eastAsia" w:ascii="宋体" w:hAnsi="宋体"/>
                <w:b/>
                <w:szCs w:val="21"/>
              </w:rPr>
              <w:t>课程目标</w:t>
            </w:r>
          </w:p>
        </w:tc>
        <w:tc>
          <w:tcPr>
            <w:tcW w:w="1690" w:type="dxa"/>
            <w:vAlign w:val="center"/>
          </w:tcPr>
          <w:p>
            <w:pPr>
              <w:snapToGrid w:val="0"/>
              <w:spacing w:line="288" w:lineRule="auto"/>
              <w:jc w:val="center"/>
              <w:rPr>
                <w:rFonts w:ascii="宋体"/>
                <w:b/>
                <w:szCs w:val="21"/>
              </w:rPr>
            </w:pPr>
            <w:r>
              <w:rPr>
                <w:rFonts w:hint="eastAsia" w:ascii="宋体" w:hAnsi="宋体"/>
                <w:b/>
                <w:szCs w:val="21"/>
              </w:rPr>
              <w:t>教与学方式</w:t>
            </w:r>
          </w:p>
        </w:tc>
        <w:tc>
          <w:tcPr>
            <w:tcW w:w="1500" w:type="dxa"/>
            <w:vAlign w:val="center"/>
          </w:tcPr>
          <w:p>
            <w:pPr>
              <w:snapToGrid w:val="0"/>
              <w:spacing w:line="288" w:lineRule="auto"/>
              <w:jc w:val="center"/>
              <w:rPr>
                <w:rFonts w:ascii="宋体"/>
                <w:b/>
                <w:szCs w:val="21"/>
              </w:rPr>
            </w:pPr>
            <w:r>
              <w:rPr>
                <w:rFonts w:hint="eastAsia" w:ascii="宋体" w:hAnsi="宋体"/>
                <w:b/>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9" w:type="dxa"/>
            <w:vAlign w:val="center"/>
          </w:tcPr>
          <w:p>
            <w:pPr>
              <w:jc w:val="center"/>
              <w:rPr>
                <w:rFonts w:ascii="宋体" w:hAnsi="宋体" w:cs="宋体"/>
                <w:kern w:val="0"/>
                <w:sz w:val="20"/>
                <w:szCs w:val="20"/>
              </w:rPr>
            </w:pPr>
            <w:r>
              <w:rPr>
                <w:rFonts w:ascii="宋体" w:hAnsi="宋体" w:cs="宋体"/>
                <w:kern w:val="0"/>
                <w:sz w:val="20"/>
                <w:szCs w:val="20"/>
              </w:rPr>
              <w:t>1</w:t>
            </w:r>
          </w:p>
        </w:tc>
        <w:tc>
          <w:tcPr>
            <w:tcW w:w="1161" w:type="dxa"/>
            <w:vAlign w:val="center"/>
          </w:tcPr>
          <w:p>
            <w:pPr>
              <w:jc w:val="center"/>
              <w:rPr>
                <w:rFonts w:ascii="宋体" w:hAnsi="宋体" w:cs="宋体"/>
                <w:kern w:val="0"/>
                <w:sz w:val="20"/>
                <w:szCs w:val="20"/>
              </w:rPr>
            </w:pPr>
            <w:r>
              <w:rPr>
                <w:rFonts w:ascii="宋体" w:hAnsi="宋体" w:cs="宋体"/>
                <w:kern w:val="0"/>
                <w:sz w:val="20"/>
                <w:szCs w:val="20"/>
              </w:rPr>
              <w:t>LO211</w:t>
            </w:r>
          </w:p>
        </w:tc>
        <w:tc>
          <w:tcPr>
            <w:tcW w:w="3666" w:type="dxa"/>
          </w:tcPr>
          <w:p>
            <w:pPr>
              <w:rPr>
                <w:rFonts w:ascii="宋体" w:cs="宋体"/>
                <w:kern w:val="0"/>
                <w:sz w:val="20"/>
                <w:szCs w:val="20"/>
              </w:rPr>
            </w:pPr>
            <w:r>
              <w:rPr>
                <w:rFonts w:hint="eastAsia" w:ascii="宋体" w:hAnsi="宋体" w:cs="宋体"/>
                <w:kern w:val="0"/>
                <w:sz w:val="20"/>
                <w:szCs w:val="20"/>
              </w:rPr>
              <w:t>能按照要求搜集护理学发展史相关的学习资源，实施自主学习。</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布置学习任务</w:t>
            </w:r>
          </w:p>
          <w:p>
            <w:pPr>
              <w:snapToGrid w:val="0"/>
              <w:spacing w:line="288" w:lineRule="auto"/>
              <w:jc w:val="center"/>
              <w:rPr>
                <w:rFonts w:ascii="宋体" w:cs="宋体"/>
                <w:kern w:val="0"/>
                <w:sz w:val="20"/>
                <w:szCs w:val="20"/>
              </w:rPr>
            </w:pPr>
            <w:r>
              <w:rPr>
                <w:rFonts w:hint="eastAsia" w:ascii="宋体" w:hAnsi="宋体" w:cs="宋体"/>
                <w:kern w:val="0"/>
                <w:sz w:val="20"/>
                <w:szCs w:val="20"/>
              </w:rPr>
              <w:t>课外探究性学习</w:t>
            </w:r>
          </w:p>
        </w:tc>
        <w:tc>
          <w:tcPr>
            <w:tcW w:w="1500" w:type="dxa"/>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课外学习</w:t>
            </w:r>
          </w:p>
          <w:p>
            <w:pPr>
              <w:snapToGrid w:val="0"/>
              <w:spacing w:line="288" w:lineRule="auto"/>
              <w:jc w:val="center"/>
              <w:rPr>
                <w:rFonts w:ascii="宋体" w:cs="宋体"/>
                <w:kern w:val="0"/>
                <w:sz w:val="20"/>
                <w:szCs w:val="20"/>
              </w:rPr>
            </w:pPr>
            <w:r>
              <w:rPr>
                <w:rFonts w:hint="eastAsia" w:ascii="宋体" w:hAnsi="宋体" w:cs="宋体"/>
                <w:kern w:val="0"/>
                <w:sz w:val="20"/>
                <w:szCs w:val="20"/>
              </w:rPr>
              <w:t>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19" w:type="dxa"/>
            <w:vMerge w:val="restart"/>
            <w:vAlign w:val="center"/>
          </w:tcPr>
          <w:p>
            <w:pPr>
              <w:jc w:val="center"/>
              <w:rPr>
                <w:rFonts w:ascii="宋体" w:hAnsi="宋体" w:cs="宋体"/>
                <w:kern w:val="0"/>
                <w:sz w:val="20"/>
                <w:szCs w:val="20"/>
              </w:rPr>
            </w:pPr>
            <w:r>
              <w:rPr>
                <w:rFonts w:ascii="宋体" w:hAnsi="宋体" w:cs="宋体"/>
                <w:kern w:val="0"/>
                <w:sz w:val="20"/>
                <w:szCs w:val="20"/>
              </w:rPr>
              <w:t>2</w:t>
            </w:r>
          </w:p>
        </w:tc>
        <w:tc>
          <w:tcPr>
            <w:tcW w:w="1161" w:type="dxa"/>
            <w:vMerge w:val="restart"/>
            <w:vAlign w:val="center"/>
          </w:tcPr>
          <w:p>
            <w:pPr>
              <w:jc w:val="center"/>
              <w:rPr>
                <w:rFonts w:ascii="宋体" w:hAnsi="宋体" w:cs="宋体"/>
                <w:kern w:val="0"/>
                <w:sz w:val="20"/>
                <w:szCs w:val="20"/>
              </w:rPr>
            </w:pPr>
            <w:r>
              <w:rPr>
                <w:rFonts w:ascii="宋体" w:hAnsi="宋体" w:cs="宋体"/>
                <w:kern w:val="0"/>
                <w:sz w:val="20"/>
                <w:szCs w:val="20"/>
              </w:rPr>
              <w:t>LO31</w:t>
            </w:r>
          </w:p>
        </w:tc>
        <w:tc>
          <w:tcPr>
            <w:tcW w:w="3666" w:type="dxa"/>
          </w:tcPr>
          <w:p>
            <w:pPr>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能列举护理的工作场所、方式，知道护理发展趋势。</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能理解护士与患者角色概念、特征、权利与义务，能遵循护士职业礼仪规范。</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角色扮演</w:t>
            </w:r>
          </w:p>
          <w:p>
            <w:pPr>
              <w:snapToGrid w:val="0"/>
              <w:spacing w:line="288" w:lineRule="auto"/>
              <w:jc w:val="center"/>
              <w:rPr>
                <w:rFonts w:ascii="宋体" w:cs="宋体"/>
                <w:kern w:val="0"/>
                <w:sz w:val="20"/>
                <w:szCs w:val="20"/>
              </w:rPr>
            </w:pPr>
            <w:r>
              <w:rPr>
                <w:rFonts w:hint="eastAsia" w:ascii="宋体" w:hAnsi="宋体" w:cs="宋体"/>
                <w:kern w:val="0"/>
                <w:sz w:val="20"/>
                <w:szCs w:val="20"/>
              </w:rPr>
              <w:t>礼仪训练</w:t>
            </w:r>
          </w:p>
          <w:p>
            <w:pPr>
              <w:snapToGrid w:val="0"/>
              <w:spacing w:line="288" w:lineRule="auto"/>
              <w:jc w:val="center"/>
              <w:rPr>
                <w:rFonts w:ascii="宋体" w:cs="宋体"/>
                <w:kern w:val="0"/>
                <w:sz w:val="20"/>
                <w:szCs w:val="20"/>
              </w:rPr>
            </w:pPr>
            <w:r>
              <w:rPr>
                <w:rFonts w:hint="eastAsia" w:ascii="宋体" w:hAnsi="宋体" w:cs="宋体"/>
                <w:kern w:val="0"/>
                <w:sz w:val="20"/>
                <w:szCs w:val="20"/>
              </w:rPr>
              <w:t>小组合作</w:t>
            </w:r>
          </w:p>
          <w:p>
            <w:pPr>
              <w:snapToGrid w:val="0"/>
              <w:spacing w:line="288" w:lineRule="auto"/>
              <w:jc w:val="center"/>
              <w:rPr>
                <w:rFonts w:ascii="宋体" w:cs="宋体"/>
                <w:kern w:val="0"/>
                <w:sz w:val="20"/>
                <w:szCs w:val="20"/>
              </w:rPr>
            </w:pPr>
            <w:r>
              <w:rPr>
                <w:rFonts w:hint="eastAsia" w:ascii="宋体" w:hAnsi="宋体" w:cs="宋体"/>
                <w:kern w:val="0"/>
                <w:sz w:val="20"/>
                <w:szCs w:val="20"/>
              </w:rPr>
              <w:t>视频教学</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r>
              <w:rPr>
                <w:rFonts w:hint="eastAsia" w:ascii="宋体" w:hAnsi="宋体" w:cs="宋体"/>
                <w:kern w:val="0"/>
                <w:sz w:val="20"/>
                <w:szCs w:val="20"/>
              </w:rPr>
              <w:t>小组项目汇报</w:t>
            </w:r>
          </w:p>
          <w:p>
            <w:pPr>
              <w:snapToGrid w:val="0"/>
              <w:spacing w:line="288" w:lineRule="auto"/>
              <w:jc w:val="center"/>
              <w:rPr>
                <w:rFonts w:ascii="宋体" w:cs="宋体"/>
                <w:kern w:val="0"/>
                <w:sz w:val="20"/>
                <w:szCs w:val="20"/>
              </w:rPr>
            </w:pPr>
            <w:r>
              <w:rPr>
                <w:rFonts w:hint="eastAsia" w:ascii="宋体" w:hAnsi="宋体" w:cs="宋体"/>
                <w:kern w:val="0"/>
                <w:sz w:val="20"/>
                <w:szCs w:val="20"/>
              </w:rPr>
              <w:t>礼仪展示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能用相关理论（需要理论、系统理论、压力与适应理论、成长与发展理论）指导护理工作。</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能在护理实践中应用护理理论与模式（奥瑞姆的自理理论、罗伊的适应模式、纽曼的系统模式、莱宁格的跨文化护理理论）</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案例分析报告</w:t>
            </w:r>
          </w:p>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能在护理工作中应用护理程序。</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6.</w:t>
            </w:r>
            <w:r>
              <w:rPr>
                <w:rFonts w:hint="eastAsia" w:ascii="宋体" w:hAnsi="宋体" w:cs="宋体"/>
                <w:kern w:val="0"/>
                <w:sz w:val="20"/>
                <w:szCs w:val="20"/>
              </w:rPr>
              <w:t>能理解循证护理的概念、意义与实施程序。</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7.</w:t>
            </w:r>
            <w:r>
              <w:rPr>
                <w:rFonts w:hint="eastAsia" w:ascii="宋体" w:hAnsi="宋体" w:cs="宋体"/>
                <w:kern w:val="0"/>
                <w:sz w:val="20"/>
                <w:szCs w:val="20"/>
              </w:rPr>
              <w:t>能在护理工作中进行安全防范和职业防护。</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情境模拟</w:t>
            </w:r>
          </w:p>
          <w:p>
            <w:pPr>
              <w:snapToGrid w:val="0"/>
              <w:spacing w:line="288" w:lineRule="auto"/>
              <w:jc w:val="center"/>
              <w:rPr>
                <w:rFonts w:ascii="宋体" w:cs="宋体"/>
                <w:kern w:val="0"/>
                <w:sz w:val="20"/>
                <w:szCs w:val="20"/>
              </w:rPr>
            </w:pPr>
            <w:r>
              <w:rPr>
                <w:rFonts w:hint="eastAsia" w:ascii="宋体" w:hAnsi="宋体" w:cs="宋体"/>
                <w:kern w:val="0"/>
                <w:sz w:val="20"/>
                <w:szCs w:val="20"/>
              </w:rPr>
              <w:t>操作示范</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r>
              <w:rPr>
                <w:rFonts w:hint="eastAsia" w:ascii="宋体" w:hAnsi="宋体" w:cs="宋体"/>
                <w:kern w:val="0"/>
                <w:sz w:val="20"/>
                <w:szCs w:val="20"/>
              </w:rPr>
              <w:t>操作演示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9" w:type="dxa"/>
            <w:vMerge w:val="continue"/>
          </w:tcPr>
          <w:p>
            <w:pPr>
              <w:rPr>
                <w:rFonts w:ascii="宋体" w:cs="宋体"/>
                <w:kern w:val="0"/>
                <w:sz w:val="20"/>
                <w:szCs w:val="20"/>
              </w:rPr>
            </w:pPr>
          </w:p>
        </w:tc>
        <w:tc>
          <w:tcPr>
            <w:tcW w:w="1161" w:type="dxa"/>
            <w:vMerge w:val="restart"/>
            <w:vAlign w:val="center"/>
          </w:tcPr>
          <w:p>
            <w:pPr>
              <w:jc w:val="center"/>
              <w:rPr>
                <w:rFonts w:ascii="宋体" w:hAnsi="宋体" w:cs="宋体"/>
                <w:kern w:val="0"/>
                <w:sz w:val="20"/>
                <w:szCs w:val="20"/>
              </w:rPr>
            </w:pPr>
            <w:r>
              <w:rPr>
                <w:rFonts w:ascii="宋体" w:hAnsi="宋体" w:cs="宋体"/>
                <w:kern w:val="0"/>
                <w:sz w:val="20"/>
                <w:szCs w:val="20"/>
              </w:rPr>
              <w:t>LO32</w:t>
            </w:r>
          </w:p>
        </w:tc>
        <w:tc>
          <w:tcPr>
            <w:tcW w:w="3666" w:type="dxa"/>
          </w:tcPr>
          <w:p>
            <w:pPr>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能说出健康与疾病的概念、关系，分析影响健康的因素。</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能应用护理理论与相关理论评估服务对象的身、心、社会及精神方面的健康状态。</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sz w:val="20"/>
                <w:szCs w:val="20"/>
              </w:rPr>
            </w:pPr>
            <w:r>
              <w:rPr>
                <w:rFonts w:hint="eastAsia" w:ascii="宋体" w:hAnsi="宋体" w:cs="宋体"/>
                <w:kern w:val="0"/>
                <w:sz w:val="20"/>
                <w:szCs w:val="20"/>
              </w:rPr>
              <w:t>小组讨论</w:t>
            </w:r>
          </w:p>
        </w:tc>
        <w:tc>
          <w:tcPr>
            <w:tcW w:w="1500" w:type="dxa"/>
          </w:tcPr>
          <w:p>
            <w:pPr>
              <w:snapToGrid w:val="0"/>
              <w:spacing w:line="288" w:lineRule="auto"/>
              <w:rPr>
                <w:rFonts w:ascii="宋体" w:cs="宋体"/>
                <w:kern w:val="0"/>
                <w:sz w:val="20"/>
                <w:szCs w:val="20"/>
              </w:rPr>
            </w:pPr>
            <w:r>
              <w:rPr>
                <w:rFonts w:hint="eastAsia" w:ascii="宋体" w:hAnsi="宋体" w:cs="宋体"/>
                <w:kern w:val="0"/>
                <w:sz w:val="20"/>
                <w:szCs w:val="20"/>
              </w:rPr>
              <w:t>案例分析报告</w:t>
            </w:r>
          </w:p>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能对服务对象进行护理评估。</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19" w:type="dxa"/>
            <w:vAlign w:val="center"/>
          </w:tcPr>
          <w:p>
            <w:pPr>
              <w:jc w:val="center"/>
              <w:rPr>
                <w:rFonts w:ascii="宋体" w:hAnsi="宋体" w:cs="宋体"/>
                <w:kern w:val="0"/>
                <w:sz w:val="20"/>
                <w:szCs w:val="20"/>
              </w:rPr>
            </w:pPr>
            <w:r>
              <w:rPr>
                <w:rFonts w:ascii="宋体" w:hAnsi="宋体" w:cs="宋体"/>
                <w:kern w:val="0"/>
                <w:sz w:val="20"/>
                <w:szCs w:val="20"/>
              </w:rPr>
              <w:t>3</w:t>
            </w:r>
          </w:p>
        </w:tc>
        <w:tc>
          <w:tcPr>
            <w:tcW w:w="1161" w:type="dxa"/>
            <w:vAlign w:val="center"/>
          </w:tcPr>
          <w:p>
            <w:pPr>
              <w:jc w:val="center"/>
              <w:rPr>
                <w:rFonts w:ascii="宋体" w:hAnsi="宋体" w:cs="宋体"/>
                <w:kern w:val="0"/>
                <w:sz w:val="20"/>
                <w:szCs w:val="20"/>
              </w:rPr>
            </w:pPr>
            <w:r>
              <w:rPr>
                <w:rFonts w:ascii="宋体" w:hAnsi="宋体" w:cs="宋体"/>
                <w:kern w:val="0"/>
                <w:sz w:val="20"/>
                <w:szCs w:val="20"/>
              </w:rPr>
              <w:t>LO511</w:t>
            </w:r>
          </w:p>
        </w:tc>
        <w:tc>
          <w:tcPr>
            <w:tcW w:w="3666" w:type="dxa"/>
          </w:tcPr>
          <w:p>
            <w:pPr>
              <w:rPr>
                <w:rFonts w:ascii="宋体" w:cs="宋体"/>
                <w:kern w:val="0"/>
                <w:sz w:val="20"/>
                <w:szCs w:val="20"/>
              </w:rPr>
            </w:pPr>
            <w:r>
              <w:rPr>
                <w:rFonts w:hint="eastAsia" w:ascii="宋体" w:hAnsi="宋体" w:cs="宋体"/>
                <w:kern w:val="0"/>
                <w:sz w:val="20"/>
                <w:szCs w:val="20"/>
              </w:rPr>
              <w:t>能在本课程的小组项目中主动积极承担自己的角色和任务，并与其他成员密切合作。</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小组合作学习</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小组项目汇报和展示</w:t>
            </w: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50"/>
        <w:gridCol w:w="2044"/>
        <w:gridCol w:w="1926"/>
        <w:gridCol w:w="1543"/>
        <w:gridCol w:w="670"/>
        <w:gridCol w:w="672"/>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35" w:type="dxa"/>
            <w:vAlign w:val="center"/>
          </w:tcPr>
          <w:p>
            <w:pPr>
              <w:snapToGrid w:val="0"/>
              <w:spacing w:line="288" w:lineRule="auto"/>
              <w:jc w:val="center"/>
              <w:rPr>
                <w:rFonts w:ascii="宋体"/>
                <w:b/>
                <w:szCs w:val="21"/>
              </w:rPr>
            </w:pPr>
            <w:r>
              <w:rPr>
                <w:rFonts w:hint="eastAsia" w:ascii="宋体" w:hAnsi="宋体"/>
                <w:b/>
                <w:szCs w:val="21"/>
              </w:rPr>
              <w:t>序号</w:t>
            </w:r>
          </w:p>
        </w:tc>
        <w:tc>
          <w:tcPr>
            <w:tcW w:w="850" w:type="dxa"/>
            <w:vAlign w:val="center"/>
          </w:tcPr>
          <w:p>
            <w:pPr>
              <w:snapToGrid w:val="0"/>
              <w:spacing w:line="288" w:lineRule="auto"/>
              <w:jc w:val="center"/>
              <w:rPr>
                <w:rFonts w:ascii="宋体" w:hAnsi="宋体"/>
                <w:b/>
                <w:szCs w:val="21"/>
              </w:rPr>
            </w:pPr>
            <w:r>
              <w:rPr>
                <w:rFonts w:hint="eastAsia" w:ascii="宋体" w:hAnsi="宋体"/>
                <w:b/>
                <w:szCs w:val="21"/>
              </w:rPr>
              <w:t>单元</w:t>
            </w:r>
          </w:p>
          <w:p>
            <w:pPr>
              <w:snapToGrid w:val="0"/>
              <w:spacing w:line="288" w:lineRule="auto"/>
              <w:jc w:val="center"/>
              <w:rPr>
                <w:rFonts w:ascii="宋体"/>
                <w:b/>
                <w:szCs w:val="21"/>
              </w:rPr>
            </w:pPr>
            <w:r>
              <w:rPr>
                <w:rFonts w:hint="eastAsia" w:ascii="宋体" w:hAnsi="宋体"/>
                <w:b/>
                <w:szCs w:val="21"/>
              </w:rPr>
              <w:t>名称</w:t>
            </w:r>
          </w:p>
        </w:tc>
        <w:tc>
          <w:tcPr>
            <w:tcW w:w="2044" w:type="dxa"/>
            <w:vAlign w:val="center"/>
          </w:tcPr>
          <w:p>
            <w:pPr>
              <w:snapToGrid w:val="0"/>
              <w:spacing w:line="288" w:lineRule="auto"/>
              <w:jc w:val="center"/>
              <w:rPr>
                <w:rFonts w:ascii="宋体"/>
                <w:b/>
                <w:szCs w:val="21"/>
              </w:rPr>
            </w:pPr>
            <w:r>
              <w:rPr>
                <w:rFonts w:hint="eastAsia" w:ascii="宋体" w:hAnsi="宋体"/>
                <w:b/>
                <w:szCs w:val="21"/>
              </w:rPr>
              <w:t>知识点</w:t>
            </w:r>
          </w:p>
        </w:tc>
        <w:tc>
          <w:tcPr>
            <w:tcW w:w="1926" w:type="dxa"/>
            <w:vAlign w:val="center"/>
          </w:tcPr>
          <w:p>
            <w:pPr>
              <w:snapToGrid w:val="0"/>
              <w:spacing w:line="288" w:lineRule="auto"/>
              <w:jc w:val="center"/>
              <w:rPr>
                <w:rFonts w:ascii="宋体"/>
                <w:b/>
                <w:szCs w:val="21"/>
              </w:rPr>
            </w:pPr>
            <w:r>
              <w:rPr>
                <w:rFonts w:hint="eastAsia" w:ascii="宋体" w:hAnsi="宋体"/>
                <w:b/>
                <w:szCs w:val="21"/>
              </w:rPr>
              <w:t>能力要求</w:t>
            </w:r>
          </w:p>
        </w:tc>
        <w:tc>
          <w:tcPr>
            <w:tcW w:w="1543" w:type="dxa"/>
            <w:vAlign w:val="center"/>
          </w:tcPr>
          <w:p>
            <w:pPr>
              <w:snapToGrid w:val="0"/>
              <w:spacing w:line="288" w:lineRule="auto"/>
              <w:jc w:val="center"/>
              <w:rPr>
                <w:rFonts w:ascii="宋体"/>
                <w:b/>
                <w:szCs w:val="21"/>
              </w:rPr>
            </w:pPr>
            <w:r>
              <w:rPr>
                <w:rFonts w:hint="eastAsia" w:ascii="宋体" w:hAnsi="宋体"/>
                <w:b/>
                <w:szCs w:val="21"/>
              </w:rPr>
              <w:t>教学难点</w:t>
            </w:r>
          </w:p>
        </w:tc>
        <w:tc>
          <w:tcPr>
            <w:tcW w:w="670" w:type="dxa"/>
            <w:vAlign w:val="center"/>
          </w:tcPr>
          <w:p>
            <w:pPr>
              <w:snapToGrid w:val="0"/>
              <w:spacing w:line="288" w:lineRule="auto"/>
              <w:jc w:val="center"/>
              <w:rPr>
                <w:rFonts w:ascii="宋体" w:hAnsi="宋体"/>
                <w:b/>
                <w:szCs w:val="21"/>
              </w:rPr>
            </w:pPr>
            <w:r>
              <w:rPr>
                <w:rFonts w:hint="eastAsia" w:ascii="宋体" w:hAnsi="宋体"/>
                <w:b/>
                <w:szCs w:val="21"/>
              </w:rPr>
              <w:t>理论时数</w:t>
            </w:r>
          </w:p>
        </w:tc>
        <w:tc>
          <w:tcPr>
            <w:tcW w:w="672" w:type="dxa"/>
            <w:vAlign w:val="center"/>
          </w:tcPr>
          <w:p>
            <w:pPr>
              <w:snapToGrid w:val="0"/>
              <w:spacing w:line="288" w:lineRule="auto"/>
              <w:jc w:val="center"/>
              <w:rPr>
                <w:rFonts w:ascii="宋体" w:hAnsi="宋体"/>
                <w:b/>
                <w:szCs w:val="21"/>
              </w:rPr>
            </w:pPr>
            <w:r>
              <w:rPr>
                <w:rFonts w:hint="eastAsia" w:ascii="宋体" w:hAnsi="宋体"/>
                <w:b/>
                <w:szCs w:val="21"/>
              </w:rPr>
              <w:t>实践时数</w:t>
            </w:r>
          </w:p>
        </w:tc>
        <w:tc>
          <w:tcPr>
            <w:tcW w:w="418" w:type="dxa"/>
            <w:vAlign w:val="center"/>
          </w:tcPr>
          <w:p>
            <w:pPr>
              <w:snapToGrid w:val="0"/>
              <w:spacing w:line="288" w:lineRule="auto"/>
              <w:jc w:val="center"/>
              <w:rPr>
                <w:rFonts w:ascii="宋体" w:hAnsi="宋体"/>
                <w:b/>
                <w:szCs w:val="21"/>
              </w:rPr>
            </w:pPr>
            <w:r>
              <w:rPr>
                <w:rFonts w:hint="eastAsia" w:ascii="宋体" w:hAnsi="宋体"/>
                <w:b/>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ascii="宋体" w:hAnsi="宋体"/>
                <w:sz w:val="20"/>
                <w:szCs w:val="20"/>
              </w:rPr>
              <w:t>1</w:t>
            </w:r>
          </w:p>
        </w:tc>
        <w:tc>
          <w:tcPr>
            <w:tcW w:w="850" w:type="dxa"/>
            <w:vAlign w:val="center"/>
          </w:tcPr>
          <w:p>
            <w:pPr>
              <w:snapToGrid w:val="0"/>
              <w:spacing w:line="288" w:lineRule="auto"/>
              <w:jc w:val="center"/>
              <w:rPr>
                <w:rFonts w:ascii="宋体"/>
                <w:sz w:val="20"/>
                <w:szCs w:val="20"/>
              </w:rPr>
            </w:pPr>
            <w:r>
              <w:rPr>
                <w:rFonts w:hint="eastAsia" w:ascii="宋体" w:hAnsi="宋体"/>
                <w:sz w:val="20"/>
                <w:szCs w:val="20"/>
              </w:rPr>
              <w:t>护理学概述</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rPr>
              <w:t xml:space="preserve"> </w:t>
            </w:r>
            <w:r>
              <w:rPr>
                <w:rFonts w:hint="eastAsia" w:ascii="宋体" w:hAnsi="宋体"/>
                <w:sz w:val="20"/>
                <w:szCs w:val="20"/>
              </w:rPr>
              <w:t>知道南丁格尔对护理专业的主要贡献，护理的概念，理解护理的内涵；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知道护理学的概念及其演变过程，知道护理学的发展史，理解护理学的四个基本概念及其关系；</w:t>
            </w:r>
          </w:p>
          <w:p>
            <w:pPr>
              <w:snapToGrid w:val="0"/>
              <w:spacing w:line="288" w:lineRule="auto"/>
              <w:jc w:val="left"/>
              <w:rPr>
                <w:rFonts w:ascii="宋体"/>
                <w:b/>
                <w:sz w:val="20"/>
                <w:szCs w:val="20"/>
              </w:rPr>
            </w:pPr>
            <w:r>
              <w:rPr>
                <w:rFonts w:ascii="宋体" w:hAnsi="宋体"/>
                <w:sz w:val="20"/>
                <w:szCs w:val="20"/>
              </w:rPr>
              <w:t>3.</w:t>
            </w:r>
            <w:r>
              <w:rPr>
                <w:rFonts w:hint="eastAsia" w:ascii="宋体" w:hAnsi="宋体"/>
                <w:sz w:val="20"/>
                <w:szCs w:val="20"/>
              </w:rPr>
              <w:t>知道护理专业的形成及其特征、护理专业工作范畴、学术团体及发展趋势。</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能说出南丁格尔对护理专业的主要贡献，护理、护理学的概念；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能说出护理学的演变过程；</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能阐述护理学的四个基本概念及其关系；</w:t>
            </w:r>
          </w:p>
          <w:p>
            <w:pPr>
              <w:snapToGrid w:val="0"/>
              <w:spacing w:line="288" w:lineRule="auto"/>
              <w:jc w:val="left"/>
              <w:rPr>
                <w:rFonts w:ascii="宋体"/>
                <w:b/>
                <w:sz w:val="20"/>
                <w:szCs w:val="20"/>
              </w:rPr>
            </w:pPr>
            <w:r>
              <w:rPr>
                <w:rFonts w:ascii="宋体" w:hAnsi="宋体"/>
                <w:sz w:val="20"/>
                <w:szCs w:val="20"/>
              </w:rPr>
              <w:t>4.</w:t>
            </w:r>
            <w:r>
              <w:rPr>
                <w:rFonts w:hint="eastAsia" w:ascii="宋体" w:hAnsi="宋体"/>
                <w:sz w:val="20"/>
                <w:szCs w:val="20"/>
              </w:rPr>
              <w:t>能阐述护理专业的特征、工作范畴及发展趋势。</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护理学的四个基本概念及其关系</w:t>
            </w:r>
          </w:p>
          <w:p>
            <w:pPr>
              <w:snapToGrid w:val="0"/>
              <w:spacing w:line="288" w:lineRule="auto"/>
              <w:jc w:val="left"/>
              <w:rPr>
                <w:rFonts w:ascii="宋体"/>
                <w:b/>
                <w:sz w:val="20"/>
                <w:szCs w:val="20"/>
              </w:rPr>
            </w:pPr>
            <w:r>
              <w:rPr>
                <w:rFonts w:ascii="宋体" w:hAnsi="宋体"/>
                <w:sz w:val="20"/>
                <w:szCs w:val="20"/>
              </w:rPr>
              <w:t>2.</w:t>
            </w:r>
            <w:r>
              <w:rPr>
                <w:rFonts w:hint="eastAsia"/>
              </w:rPr>
              <w:t xml:space="preserve"> </w:t>
            </w:r>
            <w:r>
              <w:rPr>
                <w:rFonts w:hint="eastAsia" w:ascii="宋体" w:hAnsi="宋体"/>
                <w:sz w:val="20"/>
                <w:szCs w:val="20"/>
              </w:rPr>
              <w:t>现代护理学发展的三个阶段的特点。</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5" w:type="dxa"/>
            <w:vAlign w:val="center"/>
          </w:tcPr>
          <w:p>
            <w:pPr>
              <w:snapToGrid w:val="0"/>
              <w:spacing w:line="288" w:lineRule="auto"/>
              <w:jc w:val="center"/>
              <w:rPr>
                <w:rFonts w:ascii="宋体" w:hAnsi="宋体"/>
                <w:sz w:val="20"/>
                <w:szCs w:val="20"/>
              </w:rPr>
            </w:pPr>
            <w:r>
              <w:rPr>
                <w:rFonts w:ascii="宋体" w:hAnsi="宋体"/>
                <w:sz w:val="20"/>
                <w:szCs w:val="20"/>
              </w:rPr>
              <w:t>2</w:t>
            </w:r>
          </w:p>
        </w:tc>
        <w:tc>
          <w:tcPr>
            <w:tcW w:w="850" w:type="dxa"/>
            <w:vAlign w:val="center"/>
          </w:tcPr>
          <w:p>
            <w:pPr>
              <w:snapToGrid w:val="0"/>
              <w:spacing w:line="288" w:lineRule="auto"/>
              <w:jc w:val="center"/>
              <w:rPr>
                <w:rFonts w:ascii="宋体"/>
                <w:sz w:val="20"/>
                <w:szCs w:val="20"/>
              </w:rPr>
            </w:pPr>
            <w:r>
              <w:rPr>
                <w:rFonts w:hint="eastAsia" w:ascii="宋体" w:hAnsi="宋体"/>
                <w:sz w:val="20"/>
                <w:szCs w:val="20"/>
              </w:rPr>
              <w:t>健康与疾病</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知道健康的概念和影响因素，知道亚健康状态的概念；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知道疾病的概念及其演变过程，疾病的影响，疾病的预防；</w:t>
            </w:r>
          </w:p>
          <w:p>
            <w:pPr>
              <w:snapToGrid w:val="0"/>
              <w:spacing w:line="288" w:lineRule="auto"/>
              <w:jc w:val="left"/>
              <w:rPr>
                <w:rFonts w:ascii="宋体"/>
                <w:b/>
                <w:sz w:val="20"/>
                <w:szCs w:val="20"/>
              </w:rPr>
            </w:pPr>
            <w:r>
              <w:rPr>
                <w:rFonts w:ascii="宋体" w:hAnsi="宋体"/>
                <w:sz w:val="20"/>
                <w:szCs w:val="20"/>
              </w:rPr>
              <w:t>3.</w:t>
            </w:r>
            <w:r>
              <w:rPr>
                <w:rFonts w:hint="eastAsia" w:ascii="宋体" w:hAnsi="宋体"/>
                <w:sz w:val="20"/>
                <w:szCs w:val="20"/>
              </w:rPr>
              <w:t>理解健康与疾病的关系。</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能说出健康、亚健康状态的概念；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能在护理案例中分析出影响健康的因素；</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能简述疾病三级预防的目的、具体措施等。</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疾病的预防</w:t>
            </w:r>
          </w:p>
          <w:p>
            <w:pPr>
              <w:snapToGrid w:val="0"/>
              <w:spacing w:line="288" w:lineRule="auto"/>
              <w:jc w:val="left"/>
              <w:rPr>
                <w:rFonts w:ascii="宋体"/>
                <w:b/>
                <w:sz w:val="20"/>
                <w:szCs w:val="20"/>
              </w:rPr>
            </w:pPr>
            <w:r>
              <w:rPr>
                <w:rFonts w:ascii="宋体" w:hAnsi="宋体"/>
                <w:sz w:val="20"/>
                <w:szCs w:val="20"/>
              </w:rPr>
              <w:t>2.</w:t>
            </w:r>
            <w:r>
              <w:rPr>
                <w:rFonts w:hint="eastAsia" w:ascii="宋体" w:hAnsi="宋体"/>
                <w:sz w:val="20"/>
                <w:szCs w:val="20"/>
              </w:rPr>
              <w:t>健康与疾病的关系</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护士与病人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知道护士的角色概念和角色特征，知道护士的素质要求和护士行为规范；</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知道病人角色概念和角色特征，病人角色适应不良的类型、影响因素与促进措施，知道病人的权利与义务。</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能说出护士的角色概念、病人角色概念和角色特征；</w:t>
            </w:r>
            <w:r>
              <w:rPr>
                <w:rFonts w:ascii="宋体" w:hAnsi="宋体"/>
                <w:sz w:val="20"/>
                <w:szCs w:val="20"/>
              </w:rPr>
              <w:t>2.</w:t>
            </w:r>
            <w:r>
              <w:rPr>
                <w:rFonts w:hint="eastAsia" w:ascii="宋体" w:hAnsi="宋体"/>
                <w:sz w:val="20"/>
                <w:szCs w:val="20"/>
              </w:rPr>
              <w:t>能简述护士的素质要求和规范演示护士的行为规范；</w:t>
            </w:r>
          </w:p>
          <w:p>
            <w:pPr>
              <w:snapToGrid w:val="0"/>
              <w:spacing w:line="288" w:lineRule="auto"/>
              <w:jc w:val="left"/>
              <w:rPr>
                <w:rFonts w:ascii="宋体"/>
                <w:b/>
                <w:sz w:val="20"/>
                <w:szCs w:val="20"/>
              </w:rPr>
            </w:pPr>
            <w:r>
              <w:rPr>
                <w:rFonts w:ascii="宋体" w:hAnsi="宋体"/>
                <w:sz w:val="20"/>
                <w:szCs w:val="20"/>
              </w:rPr>
              <w:t>3.</w:t>
            </w:r>
            <w:r>
              <w:rPr>
                <w:rFonts w:hint="eastAsia" w:ascii="宋体" w:hAnsi="宋体"/>
                <w:sz w:val="20"/>
                <w:szCs w:val="20"/>
              </w:rPr>
              <w:t>能在护理案例中分析病人角色适应不良的类型、影响因素。</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护士行为规范</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患者角色适应不良的类型</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6</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4</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一般</w:t>
            </w:r>
          </w:p>
          <w:p>
            <w:pPr>
              <w:snapToGrid w:val="0"/>
              <w:spacing w:line="288" w:lineRule="auto"/>
              <w:jc w:val="center"/>
              <w:rPr>
                <w:rFonts w:ascii="宋体" w:hAnsi="宋体"/>
                <w:sz w:val="20"/>
                <w:szCs w:val="20"/>
              </w:rPr>
            </w:pPr>
            <w:r>
              <w:rPr>
                <w:rFonts w:hint="eastAsia" w:ascii="宋体" w:hAnsi="宋体"/>
                <w:sz w:val="20"/>
                <w:szCs w:val="20"/>
              </w:rPr>
              <w:t>系统</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知道系统的概念和系统理论的发展历史；</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知道系统的分类、基本属性、结构与功能；</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在护理中运用系统理论。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能简述系统的分类、基本属性；</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能在护理案例中运用系统理论。</w:t>
            </w:r>
          </w:p>
        </w:tc>
        <w:tc>
          <w:tcPr>
            <w:tcW w:w="1543" w:type="dxa"/>
          </w:tcPr>
          <w:p>
            <w:pPr>
              <w:snapToGrid w:val="0"/>
              <w:spacing w:line="288" w:lineRule="auto"/>
              <w:jc w:val="left"/>
              <w:rPr>
                <w:rFonts w:ascii="宋体" w:hAnsi="宋体"/>
                <w:sz w:val="20"/>
                <w:szCs w:val="20"/>
              </w:rPr>
            </w:pPr>
            <w:r>
              <w:rPr>
                <w:rFonts w:hint="eastAsia" w:ascii="宋体" w:hAnsi="宋体"/>
                <w:sz w:val="20"/>
                <w:szCs w:val="20"/>
              </w:rPr>
              <w:t>系统理论的内容和运用</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5</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需要</w:t>
            </w:r>
          </w:p>
          <w:p>
            <w:pPr>
              <w:snapToGrid w:val="0"/>
              <w:spacing w:line="288" w:lineRule="auto"/>
              <w:jc w:val="center"/>
              <w:rPr>
                <w:rFonts w:ascii="宋体" w:hAnsi="宋体"/>
                <w:sz w:val="20"/>
                <w:szCs w:val="20"/>
              </w:rPr>
            </w:pPr>
            <w:r>
              <w:rPr>
                <w:rFonts w:hint="eastAsia" w:ascii="宋体" w:hAnsi="宋体"/>
                <w:sz w:val="20"/>
                <w:szCs w:val="20"/>
              </w:rPr>
              <w:t>层次</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知道需要的概念、特征和影响需要满足的因素；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知道并理解马斯洛人类基本需要层次理论的内容；</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在护理中运用马斯洛人类基本需要层次理论。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能用图表示马斯洛人类基本需要层次理论的内容；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能在护理案例中运用马斯洛人类基本需要层次理论。</w:t>
            </w:r>
          </w:p>
        </w:tc>
        <w:tc>
          <w:tcPr>
            <w:tcW w:w="1543" w:type="dxa"/>
          </w:tcPr>
          <w:p>
            <w:pPr>
              <w:snapToGrid w:val="0"/>
              <w:spacing w:line="288" w:lineRule="auto"/>
              <w:jc w:val="left"/>
              <w:rPr>
                <w:rFonts w:ascii="宋体"/>
                <w:sz w:val="20"/>
                <w:szCs w:val="20"/>
              </w:rPr>
            </w:pPr>
            <w:r>
              <w:rPr>
                <w:rFonts w:hint="eastAsia" w:ascii="宋体" w:hAnsi="宋体"/>
                <w:sz w:val="20"/>
                <w:szCs w:val="20"/>
              </w:rPr>
              <w:t>马斯洛人类基本需要层次理论的内容与运用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6</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压力与适应</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知道压力与适应理论的相关概念和内容；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知道并理解有关压力的学说；</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在护理工作中运用压力与适应理论。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能说出有关压力的学说；</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能在护理案例中运用压力与适应理论。</w:t>
            </w:r>
          </w:p>
        </w:tc>
        <w:tc>
          <w:tcPr>
            <w:tcW w:w="1543" w:type="dxa"/>
          </w:tcPr>
          <w:p>
            <w:pPr>
              <w:snapToGrid w:val="0"/>
              <w:spacing w:line="288" w:lineRule="auto"/>
              <w:jc w:val="left"/>
              <w:rPr>
                <w:rFonts w:ascii="宋体" w:hAnsi="宋体"/>
                <w:sz w:val="20"/>
                <w:szCs w:val="20"/>
              </w:rPr>
            </w:pPr>
            <w:r>
              <w:rPr>
                <w:rFonts w:hint="eastAsia" w:ascii="宋体" w:hAnsi="宋体"/>
                <w:sz w:val="20"/>
                <w:szCs w:val="20"/>
              </w:rPr>
              <w:t>压力与适应理论的内容和运用</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7</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成长与发展</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知道成长与发展的基本概念、内容、基本原则和影响因素；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知道成长与发展的理论；</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在护理工作中运用成长与发展理论。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能说出成长与发展的理论；</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能在护理案例中运用成长与发展理论。</w:t>
            </w:r>
          </w:p>
        </w:tc>
        <w:tc>
          <w:tcPr>
            <w:tcW w:w="1543" w:type="dxa"/>
          </w:tcPr>
          <w:p>
            <w:pPr>
              <w:snapToGrid w:val="0"/>
              <w:spacing w:line="288" w:lineRule="auto"/>
              <w:jc w:val="left"/>
              <w:rPr>
                <w:rFonts w:ascii="宋体" w:hAnsi="宋体"/>
                <w:sz w:val="20"/>
                <w:szCs w:val="20"/>
              </w:rPr>
            </w:pPr>
            <w:r>
              <w:rPr>
                <w:rFonts w:hint="eastAsia" w:ascii="宋体" w:hAnsi="宋体"/>
                <w:sz w:val="20"/>
                <w:szCs w:val="20"/>
              </w:rPr>
              <w:t>成长与发展理论的内容和运用</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8</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奥瑞姆的自理理论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知道奥瑞姆自理理论的内容；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知道奥瑞姆自理理论对四个基本概念的阐述；</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在护理实践中运用奥瑞姆自理理论。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能简述奥瑞姆自理理论的内容；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能在护理实践中运用奥瑞姆自理理论。</w:t>
            </w:r>
          </w:p>
        </w:tc>
        <w:tc>
          <w:tcPr>
            <w:tcW w:w="1543" w:type="dxa"/>
          </w:tcPr>
          <w:p>
            <w:pPr>
              <w:snapToGrid w:val="0"/>
              <w:spacing w:line="288" w:lineRule="auto"/>
              <w:jc w:val="left"/>
              <w:rPr>
                <w:rFonts w:ascii="宋体"/>
                <w:sz w:val="20"/>
                <w:szCs w:val="20"/>
              </w:rPr>
            </w:pPr>
            <w:r>
              <w:rPr>
                <w:rFonts w:hint="eastAsia" w:ascii="宋体" w:hAnsi="宋体"/>
                <w:sz w:val="20"/>
                <w:szCs w:val="20"/>
              </w:rPr>
              <w:t>奥瑞姆自理理论的内容和运用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9</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罗伊的适应</w:t>
            </w:r>
          </w:p>
          <w:p>
            <w:pPr>
              <w:snapToGrid w:val="0"/>
              <w:spacing w:line="288" w:lineRule="auto"/>
              <w:jc w:val="center"/>
              <w:rPr>
                <w:rFonts w:ascii="宋体" w:hAnsi="宋体"/>
                <w:sz w:val="20"/>
                <w:szCs w:val="20"/>
              </w:rPr>
            </w:pPr>
            <w:r>
              <w:rPr>
                <w:rFonts w:hint="eastAsia" w:ascii="宋体" w:hAnsi="宋体"/>
                <w:sz w:val="20"/>
                <w:szCs w:val="20"/>
              </w:rPr>
              <w:t>模式</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知道罗伊适应模式的基本内容；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知道罗伊适应模式对四个基本概念的阐述；</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在护理实践中运用罗伊适应模式。</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能阐述罗伊适应模式的基本内容；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能在护理实践中运用罗伊适应模式。</w:t>
            </w:r>
          </w:p>
        </w:tc>
        <w:tc>
          <w:tcPr>
            <w:tcW w:w="1543" w:type="dxa"/>
          </w:tcPr>
          <w:p>
            <w:pPr>
              <w:snapToGrid w:val="0"/>
              <w:spacing w:line="288" w:lineRule="auto"/>
              <w:jc w:val="left"/>
              <w:rPr>
                <w:rFonts w:ascii="宋体"/>
                <w:sz w:val="20"/>
                <w:szCs w:val="20"/>
              </w:rPr>
            </w:pPr>
            <w:r>
              <w:rPr>
                <w:rFonts w:hint="eastAsia" w:ascii="宋体" w:hAnsi="宋体"/>
                <w:sz w:val="20"/>
                <w:szCs w:val="20"/>
              </w:rPr>
              <w:t>罗伊适应模式的内容和运用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10</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纽曼的健康</w:t>
            </w:r>
          </w:p>
          <w:p>
            <w:pPr>
              <w:snapToGrid w:val="0"/>
              <w:spacing w:line="288" w:lineRule="auto"/>
              <w:jc w:val="center"/>
              <w:rPr>
                <w:rFonts w:ascii="宋体" w:hAnsi="宋体"/>
                <w:sz w:val="20"/>
                <w:szCs w:val="20"/>
              </w:rPr>
            </w:pPr>
            <w:r>
              <w:rPr>
                <w:rFonts w:hint="eastAsia" w:ascii="宋体" w:hAnsi="宋体"/>
                <w:sz w:val="20"/>
                <w:szCs w:val="20"/>
              </w:rPr>
              <w:t>系统</w:t>
            </w:r>
          </w:p>
          <w:p>
            <w:pPr>
              <w:snapToGrid w:val="0"/>
              <w:spacing w:line="288" w:lineRule="auto"/>
              <w:jc w:val="center"/>
              <w:rPr>
                <w:rFonts w:ascii="宋体" w:hAnsi="宋体"/>
                <w:sz w:val="20"/>
                <w:szCs w:val="20"/>
              </w:rPr>
            </w:pPr>
            <w:r>
              <w:rPr>
                <w:rFonts w:hint="eastAsia" w:ascii="宋体" w:hAnsi="宋体"/>
                <w:sz w:val="20"/>
                <w:szCs w:val="20"/>
              </w:rPr>
              <w:t>模式</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知道纽曼系统模式的基本内容；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知道纽曼系统模式对四个基本概念的阐述；</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在护理实践中运用纽曼系统模式。</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能阐述纽曼系统模式的基本内容；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能在护理实践中运用纽曼系统模式。</w:t>
            </w:r>
          </w:p>
        </w:tc>
        <w:tc>
          <w:tcPr>
            <w:tcW w:w="1543" w:type="dxa"/>
          </w:tcPr>
          <w:p>
            <w:pPr>
              <w:snapToGrid w:val="0"/>
              <w:spacing w:line="288" w:lineRule="auto"/>
              <w:jc w:val="left"/>
              <w:rPr>
                <w:rFonts w:ascii="宋体"/>
                <w:sz w:val="20"/>
                <w:szCs w:val="20"/>
              </w:rPr>
            </w:pPr>
            <w:r>
              <w:rPr>
                <w:rFonts w:hint="eastAsia" w:ascii="宋体" w:hAnsi="宋体"/>
                <w:sz w:val="20"/>
                <w:szCs w:val="20"/>
              </w:rPr>
              <w:t>纽曼系统模式的内容和运用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ascii="宋体" w:hAnsi="宋体"/>
                <w:sz w:val="20"/>
                <w:szCs w:val="20"/>
              </w:rPr>
              <w:t>1</w:t>
            </w:r>
            <w:r>
              <w:rPr>
                <w:rFonts w:hint="eastAsia" w:ascii="宋体" w:hAnsi="宋体"/>
                <w:sz w:val="20"/>
                <w:szCs w:val="20"/>
              </w:rPr>
              <w:t>1</w:t>
            </w:r>
          </w:p>
        </w:tc>
        <w:tc>
          <w:tcPr>
            <w:tcW w:w="850" w:type="dxa"/>
            <w:vAlign w:val="center"/>
          </w:tcPr>
          <w:p>
            <w:pPr>
              <w:snapToGrid w:val="0"/>
              <w:spacing w:line="288" w:lineRule="auto"/>
              <w:jc w:val="center"/>
              <w:rPr>
                <w:rFonts w:ascii="宋体"/>
                <w:sz w:val="20"/>
                <w:szCs w:val="20"/>
              </w:rPr>
            </w:pPr>
            <w:r>
              <w:rPr>
                <w:rFonts w:hint="eastAsia" w:ascii="宋体" w:hAnsi="宋体"/>
                <w:sz w:val="20"/>
                <w:szCs w:val="20"/>
              </w:rPr>
              <w:t>莱宁格的跨文化护理</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知道跨文化护理理论的基本内容；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在护理实践中运用跨文化护理理论。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能阐述跨文化护理理论的基本内容；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能在护理实践中运用跨文化护理理论。</w:t>
            </w:r>
          </w:p>
        </w:tc>
        <w:tc>
          <w:tcPr>
            <w:tcW w:w="1543" w:type="dxa"/>
          </w:tcPr>
          <w:p>
            <w:pPr>
              <w:snapToGrid w:val="0"/>
              <w:spacing w:line="288" w:lineRule="auto"/>
              <w:jc w:val="left"/>
              <w:rPr>
                <w:rFonts w:ascii="宋体"/>
                <w:sz w:val="20"/>
                <w:szCs w:val="20"/>
              </w:rPr>
            </w:pPr>
            <w:r>
              <w:rPr>
                <w:rFonts w:hint="eastAsia" w:ascii="宋体" w:hAnsi="宋体"/>
                <w:sz w:val="20"/>
                <w:szCs w:val="20"/>
              </w:rPr>
              <w:t>跨文化护理理论的内容和运用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12</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护理</w:t>
            </w:r>
          </w:p>
          <w:p>
            <w:pPr>
              <w:snapToGrid w:val="0"/>
              <w:spacing w:line="288" w:lineRule="auto"/>
              <w:jc w:val="center"/>
              <w:rPr>
                <w:rFonts w:ascii="宋体" w:hAnsi="宋体"/>
                <w:sz w:val="20"/>
                <w:szCs w:val="20"/>
              </w:rPr>
            </w:pPr>
            <w:r>
              <w:rPr>
                <w:rFonts w:hint="eastAsia" w:ascii="宋体" w:hAnsi="宋体"/>
                <w:sz w:val="20"/>
                <w:szCs w:val="20"/>
              </w:rPr>
              <w:t>程序</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知道护理程序的概念、发展史及理论基础；</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知道护理评估的定义、步骤及内容；</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知道护理诊断的定义、分类、组成及陈述，护理诊断与合作性问题及医疗诊断的关系，书写护理诊断的注意事项；</w:t>
            </w:r>
          </w:p>
          <w:p>
            <w:pPr>
              <w:snapToGrid w:val="0"/>
              <w:spacing w:line="288" w:lineRule="auto"/>
              <w:jc w:val="left"/>
              <w:rPr>
                <w:rFonts w:ascii="宋体"/>
                <w:sz w:val="20"/>
                <w:szCs w:val="20"/>
              </w:rPr>
            </w:pPr>
            <w:r>
              <w:rPr>
                <w:rFonts w:ascii="宋体" w:hAnsi="宋体"/>
                <w:sz w:val="20"/>
                <w:szCs w:val="20"/>
              </w:rPr>
              <w:t>4.</w:t>
            </w:r>
            <w:r>
              <w:rPr>
                <w:rFonts w:hint="eastAsia" w:ascii="宋体" w:hAnsi="宋体"/>
                <w:sz w:val="20"/>
                <w:szCs w:val="20"/>
              </w:rPr>
              <w:t>知道如何进行护理诊断的排序、确定护理目标、制定护理措施和书写护理计划；</w:t>
            </w:r>
          </w:p>
          <w:p>
            <w:pPr>
              <w:snapToGrid w:val="0"/>
              <w:spacing w:line="288" w:lineRule="auto"/>
              <w:jc w:val="left"/>
              <w:rPr>
                <w:rFonts w:ascii="宋体"/>
                <w:sz w:val="20"/>
                <w:szCs w:val="20"/>
              </w:rPr>
            </w:pPr>
            <w:r>
              <w:rPr>
                <w:rFonts w:ascii="宋体" w:hAnsi="宋体"/>
                <w:sz w:val="20"/>
                <w:szCs w:val="20"/>
              </w:rPr>
              <w:t>5.</w:t>
            </w:r>
            <w:r>
              <w:rPr>
                <w:rFonts w:hint="eastAsia" w:ascii="宋体" w:hAnsi="宋体"/>
                <w:sz w:val="20"/>
                <w:szCs w:val="20"/>
              </w:rPr>
              <w:t>知道护理实施过程、方法和技巧及记录；</w:t>
            </w:r>
          </w:p>
          <w:p>
            <w:pPr>
              <w:snapToGrid w:val="0"/>
              <w:spacing w:line="288" w:lineRule="auto"/>
              <w:jc w:val="left"/>
              <w:rPr>
                <w:rFonts w:ascii="宋体" w:hAnsi="宋体"/>
                <w:sz w:val="20"/>
                <w:szCs w:val="20"/>
              </w:rPr>
            </w:pPr>
            <w:r>
              <w:rPr>
                <w:rFonts w:ascii="宋体" w:hAnsi="宋体"/>
                <w:sz w:val="20"/>
                <w:szCs w:val="20"/>
              </w:rPr>
              <w:t>6.</w:t>
            </w:r>
            <w:r>
              <w:rPr>
                <w:rFonts w:hint="eastAsia" w:ascii="宋体" w:hAnsi="宋体"/>
                <w:sz w:val="20"/>
                <w:szCs w:val="20"/>
              </w:rPr>
              <w:t>知道护理评价的目的及意义。</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能说出护理程序的概念；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能说出护理评估的定义、能简述护理评估的步骤及内容；</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能说出护理诊断的定义、分类、组成及陈述，能分析护理诊断与合作性问题及医疗诊断的关系；</w:t>
            </w:r>
          </w:p>
          <w:p>
            <w:pPr>
              <w:snapToGrid w:val="0"/>
              <w:spacing w:line="288" w:lineRule="auto"/>
              <w:jc w:val="left"/>
              <w:rPr>
                <w:rFonts w:ascii="宋体"/>
                <w:sz w:val="20"/>
                <w:szCs w:val="20"/>
              </w:rPr>
            </w:pPr>
            <w:r>
              <w:rPr>
                <w:rFonts w:ascii="宋体" w:hAnsi="宋体"/>
                <w:sz w:val="20"/>
                <w:szCs w:val="20"/>
              </w:rPr>
              <w:t>4.</w:t>
            </w:r>
            <w:r>
              <w:rPr>
                <w:rFonts w:hint="eastAsia" w:ascii="宋体" w:hAnsi="宋体"/>
                <w:sz w:val="20"/>
                <w:szCs w:val="20"/>
              </w:rPr>
              <w:t>能简述护理诊断的排序原则；</w:t>
            </w:r>
          </w:p>
          <w:p>
            <w:pPr>
              <w:snapToGrid w:val="0"/>
              <w:spacing w:line="288" w:lineRule="auto"/>
              <w:jc w:val="left"/>
              <w:rPr>
                <w:rFonts w:ascii="宋体"/>
                <w:sz w:val="20"/>
                <w:szCs w:val="20"/>
              </w:rPr>
            </w:pPr>
            <w:r>
              <w:rPr>
                <w:rFonts w:ascii="宋体" w:hAnsi="宋体"/>
                <w:sz w:val="20"/>
                <w:szCs w:val="20"/>
              </w:rPr>
              <w:t>5.</w:t>
            </w:r>
            <w:r>
              <w:rPr>
                <w:rFonts w:hint="eastAsia" w:ascii="宋体" w:hAnsi="宋体"/>
                <w:sz w:val="20"/>
                <w:szCs w:val="20"/>
              </w:rPr>
              <w:t>能说出护理实施的记录方式。</w:t>
            </w:r>
          </w:p>
          <w:p>
            <w:pPr>
              <w:snapToGrid w:val="0"/>
              <w:spacing w:line="288" w:lineRule="auto"/>
              <w:jc w:val="left"/>
              <w:rPr>
                <w:rFonts w:ascii="宋体" w:hAnsi="宋体"/>
                <w:sz w:val="20"/>
                <w:szCs w:val="20"/>
              </w:rPr>
            </w:pP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护理评估的步骤及内容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护理诊断的分类、组成、陈述及书写护理诊断的注意事项</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护理诊断的排序、护理目标的确定</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4</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13</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循证</w:t>
            </w:r>
          </w:p>
          <w:p>
            <w:pPr>
              <w:snapToGrid w:val="0"/>
              <w:spacing w:line="288" w:lineRule="auto"/>
              <w:jc w:val="center"/>
              <w:rPr>
                <w:rFonts w:ascii="宋体" w:hAnsi="宋体"/>
                <w:sz w:val="20"/>
                <w:szCs w:val="20"/>
              </w:rPr>
            </w:pPr>
            <w:r>
              <w:rPr>
                <w:rFonts w:hint="eastAsia" w:ascii="宋体" w:hAnsi="宋体"/>
                <w:sz w:val="20"/>
                <w:szCs w:val="20"/>
              </w:rPr>
              <w:t>护理</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知道循证护理的概念和基本要素；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知道循证护理的证据来源与分级，理解实证护理与科研护理的区别；</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知道循证护理的实施程序、面临的困难与前景展望。</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能说出循证护理的概念和基本要素；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能简述循证护理的证据来源与分级；</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能简述循证护理的实施程序。</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循证护理的证据来源与分级</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实证护理与科研护理的区别</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14</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护理安全与职业防护</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知道护理安全的影响因素和防范原则；</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知道护理职业损伤的危险因素和常见护理职业损伤的防护。</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能说出护理安全的影响因素和防范原则；</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能说出护理职业损伤的危险因素和常见护理职业损伤的防护。</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护理安全的防范原则</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常见护理职业损伤的防护</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35"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合计</w:t>
            </w:r>
          </w:p>
        </w:tc>
        <w:tc>
          <w:tcPr>
            <w:tcW w:w="850" w:type="dxa"/>
            <w:vAlign w:val="center"/>
          </w:tcPr>
          <w:p>
            <w:pPr>
              <w:snapToGrid w:val="0"/>
              <w:spacing w:line="288" w:lineRule="auto"/>
              <w:jc w:val="center"/>
              <w:rPr>
                <w:rFonts w:ascii="宋体" w:hAnsi="宋体"/>
                <w:b/>
                <w:bCs/>
                <w:sz w:val="20"/>
                <w:szCs w:val="20"/>
              </w:rPr>
            </w:pPr>
          </w:p>
        </w:tc>
        <w:tc>
          <w:tcPr>
            <w:tcW w:w="2044" w:type="dxa"/>
            <w:vAlign w:val="center"/>
          </w:tcPr>
          <w:p>
            <w:pPr>
              <w:snapToGrid w:val="0"/>
              <w:spacing w:line="288" w:lineRule="auto"/>
              <w:jc w:val="center"/>
              <w:rPr>
                <w:rFonts w:ascii="宋体" w:hAnsi="宋体"/>
                <w:b/>
                <w:bCs/>
                <w:sz w:val="20"/>
                <w:szCs w:val="20"/>
              </w:rPr>
            </w:pPr>
          </w:p>
        </w:tc>
        <w:tc>
          <w:tcPr>
            <w:tcW w:w="1926" w:type="dxa"/>
            <w:vAlign w:val="center"/>
          </w:tcPr>
          <w:p>
            <w:pPr>
              <w:snapToGrid w:val="0"/>
              <w:spacing w:line="288" w:lineRule="auto"/>
              <w:jc w:val="center"/>
              <w:rPr>
                <w:rFonts w:ascii="宋体" w:hAnsi="宋体"/>
                <w:b/>
                <w:bCs/>
                <w:sz w:val="20"/>
                <w:szCs w:val="20"/>
              </w:rPr>
            </w:pPr>
          </w:p>
        </w:tc>
        <w:tc>
          <w:tcPr>
            <w:tcW w:w="1543" w:type="dxa"/>
            <w:vAlign w:val="center"/>
          </w:tcPr>
          <w:p>
            <w:pPr>
              <w:snapToGrid w:val="0"/>
              <w:spacing w:line="288" w:lineRule="auto"/>
              <w:jc w:val="center"/>
              <w:rPr>
                <w:rFonts w:ascii="宋体" w:hAnsi="宋体"/>
                <w:b/>
                <w:bCs/>
                <w:sz w:val="20"/>
                <w:szCs w:val="20"/>
              </w:rPr>
            </w:pPr>
          </w:p>
        </w:tc>
        <w:tc>
          <w:tcPr>
            <w:tcW w:w="670"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24</w:t>
            </w:r>
          </w:p>
        </w:tc>
        <w:tc>
          <w:tcPr>
            <w:tcW w:w="672"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8</w:t>
            </w:r>
          </w:p>
        </w:tc>
        <w:tc>
          <w:tcPr>
            <w:tcW w:w="418"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32</w:t>
            </w:r>
          </w:p>
        </w:tc>
      </w:tr>
    </w:tbl>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pPr w:leftFromText="180" w:rightFromText="180" w:vertAnchor="text" w:horzAnchor="margin" w:tblpXSpec="center" w:tblpY="15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127"/>
        <w:gridCol w:w="3219"/>
        <w:gridCol w:w="1011"/>
        <w:gridCol w:w="1757"/>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3" w:type="dxa"/>
            <w:vAlign w:val="center"/>
          </w:tcPr>
          <w:p>
            <w:pPr>
              <w:snapToGrid w:val="0"/>
              <w:jc w:val="center"/>
              <w:rPr>
                <w:rFonts w:ascii="宋体"/>
                <w:b/>
                <w:szCs w:val="21"/>
              </w:rPr>
            </w:pPr>
            <w:r>
              <w:rPr>
                <w:rFonts w:hint="eastAsia" w:ascii="宋体" w:hAnsi="宋体"/>
                <w:b/>
                <w:szCs w:val="21"/>
              </w:rPr>
              <w:t>序号</w:t>
            </w:r>
          </w:p>
        </w:tc>
        <w:tc>
          <w:tcPr>
            <w:tcW w:w="1127" w:type="dxa"/>
            <w:vAlign w:val="center"/>
          </w:tcPr>
          <w:p>
            <w:pPr>
              <w:snapToGrid w:val="0"/>
              <w:jc w:val="center"/>
              <w:rPr>
                <w:rFonts w:ascii="宋体"/>
                <w:b/>
                <w:szCs w:val="21"/>
              </w:rPr>
            </w:pPr>
            <w:r>
              <w:rPr>
                <w:rFonts w:hint="eastAsia" w:ascii="宋体" w:hAnsi="宋体"/>
                <w:b/>
                <w:szCs w:val="21"/>
              </w:rPr>
              <w:t>实验名称</w:t>
            </w:r>
          </w:p>
        </w:tc>
        <w:tc>
          <w:tcPr>
            <w:tcW w:w="3219" w:type="dxa"/>
            <w:vAlign w:val="center"/>
          </w:tcPr>
          <w:p>
            <w:pPr>
              <w:snapToGrid w:val="0"/>
              <w:jc w:val="center"/>
              <w:rPr>
                <w:rFonts w:ascii="宋体"/>
                <w:b/>
                <w:szCs w:val="21"/>
              </w:rPr>
            </w:pPr>
            <w:r>
              <w:rPr>
                <w:rFonts w:hint="eastAsia" w:ascii="宋体" w:hAnsi="宋体"/>
                <w:b/>
                <w:szCs w:val="21"/>
              </w:rPr>
              <w:t>主要内容</w:t>
            </w:r>
          </w:p>
        </w:tc>
        <w:tc>
          <w:tcPr>
            <w:tcW w:w="1011" w:type="dxa"/>
            <w:vAlign w:val="center"/>
          </w:tcPr>
          <w:p>
            <w:pPr>
              <w:snapToGrid w:val="0"/>
              <w:jc w:val="center"/>
              <w:rPr>
                <w:rFonts w:ascii="宋体"/>
                <w:b/>
                <w:szCs w:val="21"/>
              </w:rPr>
            </w:pPr>
            <w:r>
              <w:rPr>
                <w:rFonts w:hint="eastAsia" w:ascii="宋体" w:hAnsi="宋体"/>
                <w:b/>
                <w:szCs w:val="21"/>
              </w:rPr>
              <w:t>实验</w:t>
            </w:r>
          </w:p>
          <w:p>
            <w:pPr>
              <w:snapToGrid w:val="0"/>
              <w:jc w:val="center"/>
              <w:rPr>
                <w:rFonts w:ascii="宋体"/>
                <w:b/>
                <w:szCs w:val="21"/>
              </w:rPr>
            </w:pPr>
            <w:r>
              <w:rPr>
                <w:rFonts w:hint="eastAsia" w:ascii="宋体" w:hAnsi="宋体"/>
                <w:b/>
                <w:szCs w:val="21"/>
              </w:rPr>
              <w:t>时数</w:t>
            </w:r>
          </w:p>
        </w:tc>
        <w:tc>
          <w:tcPr>
            <w:tcW w:w="1757" w:type="dxa"/>
            <w:vAlign w:val="center"/>
          </w:tcPr>
          <w:p>
            <w:pPr>
              <w:snapToGrid w:val="0"/>
              <w:jc w:val="center"/>
              <w:rPr>
                <w:rFonts w:ascii="宋体"/>
                <w:b/>
                <w:szCs w:val="21"/>
              </w:rPr>
            </w:pPr>
            <w:r>
              <w:rPr>
                <w:rFonts w:hint="eastAsia" w:ascii="宋体"/>
                <w:b/>
                <w:szCs w:val="21"/>
              </w:rPr>
              <w:t>实验类型</w:t>
            </w:r>
          </w:p>
        </w:tc>
        <w:tc>
          <w:tcPr>
            <w:tcW w:w="663" w:type="dxa"/>
            <w:vAlign w:val="center"/>
          </w:tcPr>
          <w:p>
            <w:pPr>
              <w:snapToGrid w:val="0"/>
              <w:jc w:val="center"/>
              <w:rPr>
                <w:rFonts w:asci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823" w:type="dxa"/>
            <w:vAlign w:val="center"/>
          </w:tcPr>
          <w:p>
            <w:pPr>
              <w:snapToGrid w:val="0"/>
              <w:spacing w:beforeLines="50" w:afterLines="50" w:line="288" w:lineRule="auto"/>
              <w:jc w:val="center"/>
              <w:rPr>
                <w:rFonts w:ascii="宋体"/>
                <w:sz w:val="20"/>
                <w:szCs w:val="20"/>
              </w:rPr>
            </w:pPr>
            <w:r>
              <w:rPr>
                <w:rFonts w:ascii="宋体"/>
                <w:sz w:val="20"/>
                <w:szCs w:val="20"/>
              </w:rPr>
              <w:t>1</w:t>
            </w:r>
          </w:p>
        </w:tc>
        <w:tc>
          <w:tcPr>
            <w:tcW w:w="1127" w:type="dxa"/>
            <w:vAlign w:val="center"/>
          </w:tcPr>
          <w:p>
            <w:pPr>
              <w:snapToGrid w:val="0"/>
              <w:spacing w:beforeLines="50" w:afterLines="50" w:line="288" w:lineRule="auto"/>
              <w:jc w:val="center"/>
              <w:rPr>
                <w:rFonts w:ascii="宋体"/>
                <w:sz w:val="20"/>
                <w:szCs w:val="20"/>
              </w:rPr>
            </w:pPr>
            <w:r>
              <w:rPr>
                <w:rFonts w:hint="eastAsia" w:ascii="宋体"/>
                <w:sz w:val="20"/>
                <w:szCs w:val="20"/>
              </w:rPr>
              <w:t>护士礼仪</w:t>
            </w:r>
          </w:p>
        </w:tc>
        <w:tc>
          <w:tcPr>
            <w:tcW w:w="3219" w:type="dxa"/>
            <w:vAlign w:val="center"/>
          </w:tcPr>
          <w:p>
            <w:pPr>
              <w:snapToGrid w:val="0"/>
              <w:spacing w:beforeLines="50" w:afterLines="50" w:line="288" w:lineRule="auto"/>
              <w:jc w:val="center"/>
              <w:rPr>
                <w:rFonts w:ascii="宋体"/>
                <w:sz w:val="20"/>
                <w:szCs w:val="20"/>
              </w:rPr>
            </w:pPr>
            <w:r>
              <w:rPr>
                <w:rFonts w:hint="eastAsia" w:ascii="宋体"/>
                <w:sz w:val="20"/>
                <w:szCs w:val="20"/>
              </w:rPr>
              <w:t>护士仪容礼仪与仪态礼仪</w:t>
            </w:r>
          </w:p>
        </w:tc>
        <w:tc>
          <w:tcPr>
            <w:tcW w:w="1011" w:type="dxa"/>
            <w:vAlign w:val="center"/>
          </w:tcPr>
          <w:p>
            <w:pPr>
              <w:snapToGrid w:val="0"/>
              <w:spacing w:beforeLines="50" w:afterLines="50" w:line="288" w:lineRule="auto"/>
              <w:jc w:val="center"/>
              <w:rPr>
                <w:rFonts w:ascii="宋体"/>
                <w:sz w:val="20"/>
                <w:szCs w:val="20"/>
              </w:rPr>
            </w:pPr>
            <w:r>
              <w:rPr>
                <w:rFonts w:ascii="宋体"/>
                <w:sz w:val="20"/>
                <w:szCs w:val="20"/>
              </w:rPr>
              <w:t>6</w:t>
            </w:r>
          </w:p>
        </w:tc>
        <w:tc>
          <w:tcPr>
            <w:tcW w:w="1757" w:type="dxa"/>
            <w:vAlign w:val="center"/>
          </w:tcPr>
          <w:p>
            <w:pPr>
              <w:snapToGrid w:val="0"/>
              <w:spacing w:beforeLines="50" w:afterLines="50" w:line="288" w:lineRule="auto"/>
              <w:jc w:val="center"/>
              <w:rPr>
                <w:rFonts w:ascii="宋体"/>
                <w:sz w:val="20"/>
                <w:szCs w:val="20"/>
              </w:rPr>
            </w:pPr>
            <w:r>
              <w:rPr>
                <w:rFonts w:hint="eastAsia" w:ascii="宋体"/>
                <w:sz w:val="20"/>
                <w:szCs w:val="20"/>
              </w:rPr>
              <w:t>综合型</w:t>
            </w:r>
          </w:p>
        </w:tc>
        <w:tc>
          <w:tcPr>
            <w:tcW w:w="663" w:type="dxa"/>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23" w:type="dxa"/>
            <w:vAlign w:val="center"/>
          </w:tcPr>
          <w:p>
            <w:pPr>
              <w:snapToGrid w:val="0"/>
              <w:spacing w:beforeLines="50" w:afterLines="50" w:line="288" w:lineRule="auto"/>
              <w:jc w:val="center"/>
              <w:rPr>
                <w:rFonts w:ascii="宋体"/>
                <w:sz w:val="20"/>
                <w:szCs w:val="20"/>
              </w:rPr>
            </w:pPr>
            <w:r>
              <w:rPr>
                <w:rFonts w:ascii="宋体"/>
                <w:sz w:val="20"/>
                <w:szCs w:val="20"/>
              </w:rPr>
              <w:t>2</w:t>
            </w:r>
          </w:p>
        </w:tc>
        <w:tc>
          <w:tcPr>
            <w:tcW w:w="1127" w:type="dxa"/>
            <w:vAlign w:val="center"/>
          </w:tcPr>
          <w:p>
            <w:pPr>
              <w:snapToGrid w:val="0"/>
              <w:spacing w:beforeLines="50" w:afterLines="50" w:line="288" w:lineRule="auto"/>
              <w:jc w:val="center"/>
              <w:rPr>
                <w:rFonts w:ascii="宋体"/>
                <w:sz w:val="20"/>
                <w:szCs w:val="20"/>
              </w:rPr>
            </w:pPr>
            <w:r>
              <w:rPr>
                <w:rFonts w:hint="eastAsia" w:ascii="宋体"/>
                <w:sz w:val="20"/>
                <w:szCs w:val="20"/>
              </w:rPr>
              <w:t>案例分析</w:t>
            </w:r>
          </w:p>
        </w:tc>
        <w:tc>
          <w:tcPr>
            <w:tcW w:w="3219" w:type="dxa"/>
            <w:vAlign w:val="center"/>
          </w:tcPr>
          <w:p>
            <w:pPr>
              <w:snapToGrid w:val="0"/>
              <w:spacing w:beforeLines="50" w:afterLines="50" w:line="288" w:lineRule="auto"/>
              <w:jc w:val="center"/>
              <w:rPr>
                <w:rFonts w:ascii="宋体"/>
                <w:sz w:val="20"/>
                <w:szCs w:val="20"/>
              </w:rPr>
            </w:pPr>
            <w:r>
              <w:rPr>
                <w:rFonts w:hint="eastAsia" w:ascii="宋体"/>
                <w:sz w:val="20"/>
                <w:szCs w:val="20"/>
              </w:rPr>
              <w:t>护理理论与模式的运用</w:t>
            </w:r>
          </w:p>
        </w:tc>
        <w:tc>
          <w:tcPr>
            <w:tcW w:w="1011" w:type="dxa"/>
            <w:vAlign w:val="center"/>
          </w:tcPr>
          <w:p>
            <w:pPr>
              <w:snapToGrid w:val="0"/>
              <w:spacing w:beforeLines="50" w:afterLines="50" w:line="288" w:lineRule="auto"/>
              <w:jc w:val="center"/>
              <w:rPr>
                <w:rFonts w:ascii="宋体"/>
                <w:sz w:val="20"/>
                <w:szCs w:val="20"/>
              </w:rPr>
            </w:pPr>
            <w:r>
              <w:rPr>
                <w:rFonts w:ascii="宋体"/>
                <w:sz w:val="20"/>
                <w:szCs w:val="20"/>
              </w:rPr>
              <w:t>2</w:t>
            </w:r>
          </w:p>
        </w:tc>
        <w:tc>
          <w:tcPr>
            <w:tcW w:w="1757" w:type="dxa"/>
            <w:vAlign w:val="center"/>
          </w:tcPr>
          <w:p>
            <w:pPr>
              <w:snapToGrid w:val="0"/>
              <w:spacing w:beforeLines="50" w:afterLines="50" w:line="288" w:lineRule="auto"/>
              <w:jc w:val="center"/>
              <w:rPr>
                <w:rFonts w:ascii="宋体"/>
                <w:sz w:val="20"/>
                <w:szCs w:val="20"/>
              </w:rPr>
            </w:pPr>
            <w:r>
              <w:rPr>
                <w:rFonts w:hint="eastAsia" w:ascii="宋体"/>
                <w:sz w:val="20"/>
                <w:szCs w:val="20"/>
              </w:rPr>
              <w:t>综合型</w:t>
            </w:r>
          </w:p>
        </w:tc>
        <w:tc>
          <w:tcPr>
            <w:tcW w:w="663" w:type="dxa"/>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23" w:type="dxa"/>
            <w:vAlign w:val="center"/>
          </w:tcPr>
          <w:p>
            <w:pPr>
              <w:snapToGrid w:val="0"/>
              <w:spacing w:beforeLines="50" w:afterLines="50" w:line="288" w:lineRule="auto"/>
              <w:jc w:val="center"/>
              <w:rPr>
                <w:rFonts w:ascii="宋体"/>
                <w:b/>
                <w:bCs/>
                <w:sz w:val="20"/>
                <w:szCs w:val="20"/>
              </w:rPr>
            </w:pPr>
            <w:r>
              <w:rPr>
                <w:rFonts w:hint="eastAsia" w:ascii="宋体"/>
                <w:b/>
                <w:bCs/>
                <w:sz w:val="20"/>
                <w:szCs w:val="20"/>
              </w:rPr>
              <w:t>合计</w:t>
            </w:r>
          </w:p>
        </w:tc>
        <w:tc>
          <w:tcPr>
            <w:tcW w:w="1127" w:type="dxa"/>
            <w:vAlign w:val="center"/>
          </w:tcPr>
          <w:p>
            <w:pPr>
              <w:snapToGrid w:val="0"/>
              <w:spacing w:beforeLines="50" w:afterLines="50" w:line="288" w:lineRule="auto"/>
              <w:jc w:val="center"/>
              <w:rPr>
                <w:rFonts w:ascii="宋体"/>
                <w:b/>
                <w:bCs/>
                <w:sz w:val="20"/>
                <w:szCs w:val="20"/>
              </w:rPr>
            </w:pPr>
          </w:p>
        </w:tc>
        <w:tc>
          <w:tcPr>
            <w:tcW w:w="3219" w:type="dxa"/>
            <w:vAlign w:val="center"/>
          </w:tcPr>
          <w:p>
            <w:pPr>
              <w:snapToGrid w:val="0"/>
              <w:spacing w:beforeLines="50" w:afterLines="50" w:line="288" w:lineRule="auto"/>
              <w:jc w:val="center"/>
              <w:rPr>
                <w:rFonts w:ascii="宋体"/>
                <w:b/>
                <w:bCs/>
                <w:sz w:val="20"/>
                <w:szCs w:val="20"/>
              </w:rPr>
            </w:pPr>
          </w:p>
        </w:tc>
        <w:tc>
          <w:tcPr>
            <w:tcW w:w="1011" w:type="dxa"/>
            <w:vAlign w:val="center"/>
          </w:tcPr>
          <w:p>
            <w:pPr>
              <w:snapToGrid w:val="0"/>
              <w:spacing w:beforeLines="50" w:afterLines="50" w:line="288" w:lineRule="auto"/>
              <w:jc w:val="center"/>
              <w:rPr>
                <w:rFonts w:ascii="宋体"/>
                <w:b/>
                <w:bCs/>
                <w:sz w:val="20"/>
                <w:szCs w:val="20"/>
              </w:rPr>
            </w:pPr>
            <w:r>
              <w:rPr>
                <w:rFonts w:hint="eastAsia" w:ascii="宋体"/>
                <w:b/>
                <w:bCs/>
                <w:sz w:val="20"/>
                <w:szCs w:val="20"/>
              </w:rPr>
              <w:t>8</w:t>
            </w:r>
          </w:p>
        </w:tc>
        <w:tc>
          <w:tcPr>
            <w:tcW w:w="1757" w:type="dxa"/>
            <w:vAlign w:val="center"/>
          </w:tcPr>
          <w:p>
            <w:pPr>
              <w:snapToGrid w:val="0"/>
              <w:spacing w:beforeLines="50" w:afterLines="50" w:line="288" w:lineRule="auto"/>
              <w:jc w:val="center"/>
              <w:rPr>
                <w:rFonts w:ascii="宋体"/>
                <w:b/>
                <w:bCs/>
                <w:sz w:val="20"/>
                <w:szCs w:val="20"/>
              </w:rPr>
            </w:pPr>
          </w:p>
        </w:tc>
        <w:tc>
          <w:tcPr>
            <w:tcW w:w="663" w:type="dxa"/>
            <w:vAlign w:val="center"/>
          </w:tcPr>
          <w:p>
            <w:pPr>
              <w:snapToGrid w:val="0"/>
              <w:spacing w:beforeLines="50" w:afterLines="50" w:line="288" w:lineRule="auto"/>
              <w:jc w:val="center"/>
              <w:rPr>
                <w:rFonts w:ascii="宋体"/>
                <w:b/>
                <w:bCs/>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4"/>
        <w:tblpPr w:leftFromText="180" w:rightFromText="180" w:vertAnchor="text" w:horzAnchor="margin" w:tblpXSpec="center" w:tblpY="186"/>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1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00" w:type="dxa"/>
          </w:tcPr>
          <w:p>
            <w:pPr>
              <w:snapToGrid w:val="0"/>
              <w:spacing w:beforeLines="50" w:afterLines="50"/>
              <w:jc w:val="center"/>
              <w:rPr>
                <w:rFonts w:ascii="宋体"/>
                <w:b/>
                <w:bCs/>
                <w:szCs w:val="20"/>
              </w:rPr>
            </w:pPr>
            <w:r>
              <w:rPr>
                <w:rFonts w:hint="eastAsia" w:ascii="宋体" w:hAnsi="宋体"/>
                <w:b/>
                <w:bCs/>
                <w:szCs w:val="20"/>
              </w:rPr>
              <w:t>总评构成（</w:t>
            </w:r>
            <w:r>
              <w:rPr>
                <w:rFonts w:ascii="宋体" w:hAnsi="宋体"/>
                <w:b/>
                <w:bCs/>
                <w:szCs w:val="20"/>
              </w:rPr>
              <w:t>1+X</w:t>
            </w:r>
            <w:r>
              <w:rPr>
                <w:rFonts w:hint="eastAsia" w:ascii="宋体" w:hAnsi="宋体"/>
                <w:b/>
                <w:bCs/>
                <w:szCs w:val="20"/>
              </w:rPr>
              <w:t>）</w:t>
            </w:r>
          </w:p>
        </w:tc>
        <w:tc>
          <w:tcPr>
            <w:tcW w:w="5120" w:type="dxa"/>
          </w:tcPr>
          <w:p>
            <w:pPr>
              <w:snapToGrid w:val="0"/>
              <w:spacing w:beforeLines="50" w:afterLines="50"/>
              <w:jc w:val="center"/>
              <w:rPr>
                <w:rFonts w:ascii="宋体"/>
                <w:b/>
                <w:bCs/>
                <w:szCs w:val="20"/>
              </w:rPr>
            </w:pPr>
            <w:r>
              <w:rPr>
                <w:rFonts w:hint="eastAsia" w:ascii="宋体" w:hAnsi="宋体"/>
                <w:b/>
                <w:bCs/>
                <w:szCs w:val="20"/>
              </w:rPr>
              <w:t>评价方式</w:t>
            </w:r>
          </w:p>
        </w:tc>
        <w:tc>
          <w:tcPr>
            <w:tcW w:w="1920" w:type="dxa"/>
          </w:tcPr>
          <w:p>
            <w:pPr>
              <w:snapToGrid w:val="0"/>
              <w:spacing w:beforeLines="50" w:afterLines="50"/>
              <w:jc w:val="center"/>
              <w:rPr>
                <w:rFonts w:ascii="宋体"/>
                <w:b/>
                <w:bCs/>
                <w:szCs w:val="20"/>
              </w:rPr>
            </w:pPr>
            <w:r>
              <w:rPr>
                <w:rFonts w:hint="eastAsia" w:ascii="宋体" w:hAnsi="宋体"/>
                <w:b/>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tcPr>
          <w:p>
            <w:pPr>
              <w:widowControl/>
              <w:spacing w:line="360" w:lineRule="auto"/>
              <w:jc w:val="center"/>
              <w:rPr>
                <w:rFonts w:ascii="宋体" w:hAnsi="宋体"/>
                <w:bCs/>
                <w:sz w:val="20"/>
                <w:szCs w:val="20"/>
              </w:rPr>
            </w:pPr>
            <w:r>
              <w:rPr>
                <w:rFonts w:hint="eastAsia" w:ascii="宋体" w:hAnsi="宋体" w:cs="Arial"/>
                <w:kern w:val="0"/>
                <w:sz w:val="20"/>
                <w:szCs w:val="20"/>
              </w:rPr>
              <w:t>1</w:t>
            </w:r>
          </w:p>
        </w:tc>
        <w:tc>
          <w:tcPr>
            <w:tcW w:w="5120" w:type="dxa"/>
          </w:tcPr>
          <w:p>
            <w:pPr>
              <w:widowControl/>
              <w:spacing w:line="360" w:lineRule="auto"/>
              <w:jc w:val="center"/>
              <w:rPr>
                <w:rFonts w:ascii="宋体"/>
                <w:bCs/>
                <w:sz w:val="20"/>
                <w:szCs w:val="20"/>
              </w:rPr>
            </w:pPr>
            <w:r>
              <w:rPr>
                <w:rFonts w:hint="eastAsia" w:ascii="宋体" w:hAnsi="宋体" w:cs="Arial"/>
                <w:kern w:val="0"/>
                <w:sz w:val="20"/>
                <w:szCs w:val="20"/>
              </w:rPr>
              <w:t>期末闭卷考试</w:t>
            </w:r>
          </w:p>
        </w:tc>
        <w:tc>
          <w:tcPr>
            <w:tcW w:w="1920" w:type="dxa"/>
          </w:tcPr>
          <w:p>
            <w:pPr>
              <w:widowControl/>
              <w:spacing w:line="360" w:lineRule="auto"/>
              <w:jc w:val="center"/>
              <w:rPr>
                <w:rFonts w:ascii="宋体"/>
                <w:bCs/>
                <w:sz w:val="20"/>
                <w:szCs w:val="20"/>
              </w:rPr>
            </w:pPr>
            <w:r>
              <w:rPr>
                <w:rFonts w:hint="eastAsia" w:ascii="宋体" w:hAnsi="宋体" w:cs="Arial"/>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00" w:type="dxa"/>
          </w:tcPr>
          <w:p>
            <w:pPr>
              <w:widowControl/>
              <w:spacing w:line="360" w:lineRule="auto"/>
              <w:jc w:val="center"/>
              <w:rPr>
                <w:rFonts w:ascii="宋体" w:hAnsi="宋体"/>
                <w:bCs/>
                <w:sz w:val="20"/>
                <w:szCs w:val="20"/>
              </w:rPr>
            </w:pPr>
            <w:r>
              <w:rPr>
                <w:rFonts w:hint="eastAsia" w:ascii="宋体" w:hAnsi="宋体" w:cs="Arial"/>
                <w:kern w:val="0"/>
                <w:sz w:val="20"/>
                <w:szCs w:val="20"/>
              </w:rPr>
              <w:t>X</w:t>
            </w:r>
            <w:r>
              <w:rPr>
                <w:rFonts w:ascii="宋体" w:hAnsi="宋体" w:cs="Arial"/>
                <w:kern w:val="0"/>
                <w:sz w:val="20"/>
                <w:szCs w:val="20"/>
              </w:rPr>
              <w:t>1</w:t>
            </w:r>
          </w:p>
        </w:tc>
        <w:tc>
          <w:tcPr>
            <w:tcW w:w="5120" w:type="dxa"/>
          </w:tcPr>
          <w:p>
            <w:pPr>
              <w:widowControl/>
              <w:spacing w:line="360" w:lineRule="auto"/>
              <w:jc w:val="center"/>
              <w:rPr>
                <w:rFonts w:ascii="宋体"/>
                <w:bCs/>
                <w:sz w:val="20"/>
                <w:szCs w:val="20"/>
              </w:rPr>
            </w:pPr>
            <w:r>
              <w:rPr>
                <w:rFonts w:hint="eastAsia" w:ascii="宋体" w:hAnsi="宋体"/>
                <w:sz w:val="20"/>
                <w:szCs w:val="20"/>
              </w:rPr>
              <w:t>小组项目-护士礼仪</w:t>
            </w:r>
          </w:p>
        </w:tc>
        <w:tc>
          <w:tcPr>
            <w:tcW w:w="1920" w:type="dxa"/>
          </w:tcPr>
          <w:p>
            <w:pPr>
              <w:widowControl/>
              <w:spacing w:line="360" w:lineRule="auto"/>
              <w:jc w:val="center"/>
              <w:rPr>
                <w:rFonts w:ascii="宋体"/>
                <w:bCs/>
                <w:sz w:val="20"/>
                <w:szCs w:val="20"/>
              </w:rPr>
            </w:pPr>
            <w:r>
              <w:rPr>
                <w:rFonts w:ascii="宋体" w:hAnsi="宋体" w:cs="Arial"/>
                <w:kern w:val="0"/>
                <w:sz w:val="20"/>
                <w:szCs w:val="20"/>
              </w:rPr>
              <w:t>2</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tcPr>
          <w:p>
            <w:pPr>
              <w:widowControl/>
              <w:spacing w:line="360" w:lineRule="auto"/>
              <w:jc w:val="center"/>
              <w:rPr>
                <w:rFonts w:ascii="宋体" w:hAnsi="宋体"/>
                <w:bCs/>
                <w:sz w:val="20"/>
                <w:szCs w:val="20"/>
              </w:rPr>
            </w:pPr>
            <w:r>
              <w:rPr>
                <w:rFonts w:hint="eastAsia" w:ascii="宋体" w:hAnsi="宋体" w:cs="Arial"/>
                <w:kern w:val="0"/>
                <w:sz w:val="20"/>
                <w:szCs w:val="20"/>
              </w:rPr>
              <w:t>X</w:t>
            </w:r>
            <w:r>
              <w:rPr>
                <w:rFonts w:ascii="宋体" w:hAnsi="宋体" w:cs="Arial"/>
                <w:kern w:val="0"/>
                <w:sz w:val="20"/>
                <w:szCs w:val="20"/>
              </w:rPr>
              <w:t>2</w:t>
            </w:r>
          </w:p>
        </w:tc>
        <w:tc>
          <w:tcPr>
            <w:tcW w:w="5120" w:type="dxa"/>
          </w:tcPr>
          <w:p>
            <w:pPr>
              <w:widowControl/>
              <w:spacing w:line="360" w:lineRule="auto"/>
              <w:jc w:val="center"/>
              <w:rPr>
                <w:rFonts w:ascii="宋体"/>
                <w:bCs/>
                <w:sz w:val="20"/>
                <w:szCs w:val="20"/>
              </w:rPr>
            </w:pPr>
            <w:r>
              <w:rPr>
                <w:rFonts w:hint="eastAsia" w:ascii="宋体" w:hAnsi="宋体"/>
                <w:sz w:val="20"/>
                <w:szCs w:val="20"/>
              </w:rPr>
              <w:t>课堂测验</w:t>
            </w:r>
          </w:p>
        </w:tc>
        <w:tc>
          <w:tcPr>
            <w:tcW w:w="1920" w:type="dxa"/>
          </w:tcPr>
          <w:p>
            <w:pPr>
              <w:widowControl/>
              <w:spacing w:line="360" w:lineRule="auto"/>
              <w:jc w:val="center"/>
              <w:rPr>
                <w:rFonts w:ascii="宋体"/>
                <w:bCs/>
                <w:sz w:val="20"/>
                <w:szCs w:val="20"/>
              </w:rPr>
            </w:pPr>
            <w:r>
              <w:rPr>
                <w:rFonts w:hint="eastAsia" w:ascii="宋体" w:hAnsi="宋体"/>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tcPr>
          <w:p>
            <w:pPr>
              <w:widowControl/>
              <w:spacing w:line="360" w:lineRule="auto"/>
              <w:jc w:val="center"/>
              <w:rPr>
                <w:rFonts w:hint="eastAsia" w:ascii="宋体" w:hAnsi="宋体" w:cs="Arial"/>
                <w:kern w:val="0"/>
                <w:sz w:val="20"/>
                <w:szCs w:val="20"/>
              </w:rPr>
            </w:pPr>
            <w:r>
              <w:rPr>
                <w:rFonts w:hint="eastAsia" w:ascii="宋体" w:hAnsi="宋体" w:cs="Arial"/>
                <w:kern w:val="0"/>
                <w:sz w:val="20"/>
                <w:szCs w:val="20"/>
              </w:rPr>
              <w:t>X3</w:t>
            </w:r>
          </w:p>
        </w:tc>
        <w:tc>
          <w:tcPr>
            <w:tcW w:w="5120" w:type="dxa"/>
          </w:tcPr>
          <w:p>
            <w:pPr>
              <w:widowControl/>
              <w:spacing w:line="360" w:lineRule="auto"/>
              <w:jc w:val="center"/>
              <w:rPr>
                <w:rFonts w:hint="eastAsia" w:ascii="宋体" w:hAnsi="宋体"/>
                <w:sz w:val="20"/>
                <w:szCs w:val="20"/>
              </w:rPr>
            </w:pPr>
            <w:r>
              <w:rPr>
                <w:rFonts w:hint="eastAsia" w:ascii="宋体" w:hAnsi="宋体"/>
                <w:sz w:val="20"/>
                <w:szCs w:val="20"/>
              </w:rPr>
              <w:t>个案分析</w:t>
            </w:r>
          </w:p>
        </w:tc>
        <w:tc>
          <w:tcPr>
            <w:tcW w:w="1920" w:type="dxa"/>
          </w:tcPr>
          <w:p>
            <w:pPr>
              <w:widowControl/>
              <w:spacing w:line="360" w:lineRule="auto"/>
              <w:jc w:val="center"/>
              <w:rPr>
                <w:rFonts w:hint="eastAsia" w:ascii="宋体" w:hAnsi="宋体"/>
                <w:sz w:val="20"/>
                <w:szCs w:val="20"/>
              </w:rPr>
            </w:pPr>
            <w:r>
              <w:rPr>
                <w:rFonts w:hint="eastAsia" w:ascii="宋体" w:hAnsi="宋体"/>
                <w:sz w:val="20"/>
                <w:szCs w:val="20"/>
              </w:rPr>
              <w:t>10%</w:t>
            </w:r>
          </w:p>
        </w:tc>
      </w:tr>
    </w:tbl>
    <w:p>
      <w:pPr>
        <w:snapToGrid w:val="0"/>
        <w:spacing w:line="288" w:lineRule="auto"/>
        <w:rPr>
          <w:sz w:val="28"/>
          <w:szCs w:val="28"/>
        </w:rPr>
      </w:pPr>
    </w:p>
    <w:p>
      <w:pPr>
        <w:snapToGrid w:val="0"/>
        <w:spacing w:line="288" w:lineRule="auto"/>
        <w:rPr>
          <w:sz w:val="28"/>
          <w:szCs w:val="28"/>
        </w:rPr>
      </w:pPr>
      <w:r>
        <w:rPr>
          <w:sz w:val="28"/>
          <w:szCs w:val="28"/>
        </w:rPr>
        <w:drawing>
          <wp:anchor distT="0" distB="0" distL="114300" distR="114300" simplePos="0" relativeHeight="251660288" behindDoc="0" locked="0" layoutInCell="1" allowOverlap="1">
            <wp:simplePos x="0" y="0"/>
            <wp:positionH relativeFrom="column">
              <wp:posOffset>2946400</wp:posOffset>
            </wp:positionH>
            <wp:positionV relativeFrom="paragraph">
              <wp:posOffset>54610</wp:posOffset>
            </wp:positionV>
            <wp:extent cx="828040" cy="311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29902" cy="311963"/>
                    </a:xfrm>
                    <a:prstGeom prst="rect">
                      <a:avLst/>
                    </a:prstGeom>
                    <a:noFill/>
                    <a:ln>
                      <a:noFill/>
                    </a:ln>
                  </pic:spPr>
                </pic:pic>
              </a:graphicData>
            </a:graphic>
          </wp:anchor>
        </w:drawing>
      </w:r>
      <w:r>
        <w:rPr>
          <w:rFonts w:hint="eastAsia"/>
          <w:sz w:val="28"/>
          <w:szCs w:val="28"/>
        </w:rPr>
        <w:t>撰写人：</w:t>
      </w:r>
      <w:r>
        <w:rPr>
          <w:rFonts w:hint="eastAsia" w:ascii="华文行楷" w:eastAsia="华文行楷"/>
          <w:sz w:val="28"/>
          <w:szCs w:val="28"/>
        </w:rPr>
        <w:t>吴继萍</w:t>
      </w:r>
      <w:r>
        <w:rPr>
          <w:rFonts w:hint="eastAsia"/>
          <w:sz w:val="28"/>
          <w:szCs w:val="28"/>
        </w:rPr>
        <w:t xml:space="preserve">    系主任审核签名： </w:t>
      </w:r>
      <w:r>
        <w:rPr>
          <w:sz w:val="28"/>
          <w:szCs w:val="28"/>
        </w:rPr>
        <w:t xml:space="preserve">         </w:t>
      </w:r>
      <w:r>
        <w:rPr>
          <w:rFonts w:hint="eastAsia"/>
          <w:sz w:val="28"/>
          <w:szCs w:val="28"/>
        </w:rPr>
        <w:t>审核时间：2</w:t>
      </w:r>
      <w:r>
        <w:rPr>
          <w:sz w:val="28"/>
          <w:szCs w:val="28"/>
        </w:rPr>
        <w:t>021.9</w:t>
      </w:r>
    </w:p>
    <w:p>
      <w:pPr>
        <w:snapToGrid w:val="0"/>
        <w:spacing w:line="288" w:lineRule="auto"/>
        <w:rPr>
          <w:sz w:val="28"/>
          <w:szCs w:val="28"/>
        </w:rPr>
      </w:pPr>
      <w:r>
        <w:rPr>
          <w:rFonts w:hint="eastAsia"/>
          <w:sz w:val="28"/>
          <w:szCs w:val="28"/>
        </w:rPr>
        <w:t xml:space="preserve">                       </w:t>
      </w:r>
    </w:p>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140BE8"/>
    <w:rsid w:val="00213D9A"/>
    <w:rsid w:val="00227062"/>
    <w:rsid w:val="00256B39"/>
    <w:rsid w:val="0026033C"/>
    <w:rsid w:val="002B56A3"/>
    <w:rsid w:val="002E3721"/>
    <w:rsid w:val="002E719B"/>
    <w:rsid w:val="00313BBA"/>
    <w:rsid w:val="0032602E"/>
    <w:rsid w:val="003367AE"/>
    <w:rsid w:val="003B1258"/>
    <w:rsid w:val="004100B0"/>
    <w:rsid w:val="00425234"/>
    <w:rsid w:val="005322F3"/>
    <w:rsid w:val="005467DC"/>
    <w:rsid w:val="00553D03"/>
    <w:rsid w:val="005B2B6D"/>
    <w:rsid w:val="005B4B4E"/>
    <w:rsid w:val="00624FE1"/>
    <w:rsid w:val="006F7632"/>
    <w:rsid w:val="007208D6"/>
    <w:rsid w:val="0082532A"/>
    <w:rsid w:val="008B3140"/>
    <w:rsid w:val="008B397C"/>
    <w:rsid w:val="008B47F4"/>
    <w:rsid w:val="00900019"/>
    <w:rsid w:val="00905EB8"/>
    <w:rsid w:val="0099063E"/>
    <w:rsid w:val="009A0703"/>
    <w:rsid w:val="00A769B1"/>
    <w:rsid w:val="00A837D5"/>
    <w:rsid w:val="00AC4C45"/>
    <w:rsid w:val="00AF6E4C"/>
    <w:rsid w:val="00B46F21"/>
    <w:rsid w:val="00B511A5"/>
    <w:rsid w:val="00B736A7"/>
    <w:rsid w:val="00B7651F"/>
    <w:rsid w:val="00C56E09"/>
    <w:rsid w:val="00CD3853"/>
    <w:rsid w:val="00CF096B"/>
    <w:rsid w:val="00DC133F"/>
    <w:rsid w:val="00DC2A14"/>
    <w:rsid w:val="00E163C5"/>
    <w:rsid w:val="00E16D30"/>
    <w:rsid w:val="00E33169"/>
    <w:rsid w:val="00E70904"/>
    <w:rsid w:val="00EA0E21"/>
    <w:rsid w:val="00EB1391"/>
    <w:rsid w:val="00EF44B1"/>
    <w:rsid w:val="00F35AA0"/>
    <w:rsid w:val="016E63C2"/>
    <w:rsid w:val="024B0C39"/>
    <w:rsid w:val="060C6362"/>
    <w:rsid w:val="07473208"/>
    <w:rsid w:val="0A8128A6"/>
    <w:rsid w:val="0A894CF7"/>
    <w:rsid w:val="0BF32A1B"/>
    <w:rsid w:val="0D505A6B"/>
    <w:rsid w:val="0F8F7094"/>
    <w:rsid w:val="10392996"/>
    <w:rsid w:val="10BD2C22"/>
    <w:rsid w:val="134D58A4"/>
    <w:rsid w:val="13A46165"/>
    <w:rsid w:val="1514752E"/>
    <w:rsid w:val="159643E7"/>
    <w:rsid w:val="1CE9167D"/>
    <w:rsid w:val="1E917419"/>
    <w:rsid w:val="2054419D"/>
    <w:rsid w:val="207E46B4"/>
    <w:rsid w:val="22905D74"/>
    <w:rsid w:val="22987C80"/>
    <w:rsid w:val="24192CCC"/>
    <w:rsid w:val="27F03750"/>
    <w:rsid w:val="29E168CF"/>
    <w:rsid w:val="30A91022"/>
    <w:rsid w:val="30FC459A"/>
    <w:rsid w:val="35A3428A"/>
    <w:rsid w:val="36A24B9E"/>
    <w:rsid w:val="37C67DB1"/>
    <w:rsid w:val="38341B11"/>
    <w:rsid w:val="39A66CD4"/>
    <w:rsid w:val="3C4A3023"/>
    <w:rsid w:val="3CD52CE1"/>
    <w:rsid w:val="410F2E6A"/>
    <w:rsid w:val="4430136C"/>
    <w:rsid w:val="47026FEF"/>
    <w:rsid w:val="4A7324C1"/>
    <w:rsid w:val="4AB0382B"/>
    <w:rsid w:val="4B8F2E42"/>
    <w:rsid w:val="4BCD1C09"/>
    <w:rsid w:val="4D8409ED"/>
    <w:rsid w:val="4DE97A7C"/>
    <w:rsid w:val="569868B5"/>
    <w:rsid w:val="57297E82"/>
    <w:rsid w:val="5BA74225"/>
    <w:rsid w:val="5E08137B"/>
    <w:rsid w:val="611F6817"/>
    <w:rsid w:val="63200281"/>
    <w:rsid w:val="65EB032A"/>
    <w:rsid w:val="66CA1754"/>
    <w:rsid w:val="68276FBD"/>
    <w:rsid w:val="6F1E65D4"/>
    <w:rsid w:val="6F266C86"/>
    <w:rsid w:val="6F5042C2"/>
    <w:rsid w:val="74316312"/>
    <w:rsid w:val="780F13C8"/>
    <w:rsid w:val="7C385448"/>
    <w:rsid w:val="7CB3663D"/>
    <w:rsid w:val="7D97635B"/>
    <w:rsid w:val="7FFB2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660</Words>
  <Characters>3768</Characters>
  <Lines>31</Lines>
  <Paragraphs>8</Paragraphs>
  <TotalTime>3</TotalTime>
  <ScaleCrop>false</ScaleCrop>
  <LinksUpToDate>false</LinksUpToDate>
  <CharactersWithSpaces>4420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2022-01-06T01:37:00Z</dcterms:created>
  <dc:creator>juvg</dc:creator>
  <cp:lastModifiedBy>陈小希</cp:lastModifiedBy>
  <cp:lastPrinted>2019-09-12T01:37:00Z</cp:lastPrinted>
  <dcterms:modified xsi:type="dcterms:W3CDTF">2022-01-13T07:52:44Z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4F948A1E4B7343398AE3A3808961E566</vt:lpwstr>
  </property>
</Properties>
</file>