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43357">
      <w:pPr>
        <w:spacing w:line="288" w:lineRule="auto"/>
        <w:jc w:val="center"/>
        <w:rPr>
          <w:rFonts w:ascii="方正小标宋简体" w:hAnsi="宋体"/>
          <w:b/>
          <w:bCs/>
          <w:kern w:val="0"/>
          <w:szCs w:val="21"/>
        </w:rPr>
      </w:pPr>
      <w:r>
        <w:rPr>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70395A7D">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1ZHmtQAAAAIAQAADwAAAAAAAAABACAAAAAiAAAAZHJzL2Rvd25yZXYueG1sUEsBAhQAFAAAAAgA&#10;h07iQD3k+4tiAgAApwQAAA4AAAAAAAAAAQAgAAAAIwEAAGRycy9lMm9Eb2MueG1sUEsFBgAAAAAG&#10;AAYAWQEAAPcFAAAAAA==&#10;">
                <v:fill on="t" focussize="0,0"/>
                <v:stroke on="f" weight="0.5pt"/>
                <v:imagedata o:title=""/>
                <o:lock v:ext="edit" aspectratio="f"/>
                <v:textbox>
                  <w:txbxContent>
                    <w:p w14:paraId="70395A7D">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bCs/>
          <w:kern w:val="0"/>
          <w:sz w:val="40"/>
          <w:szCs w:val="40"/>
        </w:rPr>
        <w:t>专业课课程</w:t>
      </w:r>
      <w:r>
        <w:rPr>
          <w:rFonts w:hint="eastAsia" w:ascii="方正小标宋简体" w:hAnsi="宋体" w:eastAsia="方正小标宋简体"/>
          <w:b/>
          <w:bCs/>
          <w:kern w:val="0"/>
          <w:sz w:val="40"/>
          <w:szCs w:val="40"/>
        </w:rPr>
        <w:t>教学大纲</w:t>
      </w:r>
    </w:p>
    <w:p w14:paraId="2A368E0F">
      <w:pPr>
        <w:spacing w:line="288" w:lineRule="auto"/>
        <w:rPr>
          <w:rFonts w:ascii="方正小标宋简体" w:hAnsi="宋体"/>
          <w:bCs/>
          <w:kern w:val="0"/>
          <w:szCs w:val="21"/>
        </w:rPr>
      </w:pPr>
    </w:p>
    <w:p w14:paraId="4C5B8F63">
      <w:pPr>
        <w:spacing w:line="288" w:lineRule="auto"/>
        <w:jc w:val="center"/>
        <w:rPr>
          <w:b/>
          <w:sz w:val="28"/>
          <w:szCs w:val="30"/>
        </w:rPr>
      </w:pPr>
      <w:r>
        <w:rPr>
          <w:rFonts w:hint="eastAsia"/>
          <w:b/>
          <w:sz w:val="28"/>
          <w:szCs w:val="30"/>
        </w:rPr>
        <w:t>【</w:t>
      </w:r>
      <w:r>
        <w:rPr>
          <w:rFonts w:hint="eastAsia"/>
          <w:b/>
          <w:sz w:val="28"/>
          <w:szCs w:val="30"/>
          <w:lang w:val="en-US" w:eastAsia="zh-CN"/>
        </w:rPr>
        <w:t>社区健康服务与管理</w:t>
      </w:r>
      <w:r>
        <w:rPr>
          <w:rFonts w:hint="eastAsia"/>
          <w:b/>
          <w:sz w:val="28"/>
          <w:szCs w:val="30"/>
        </w:rPr>
        <w:t>】</w:t>
      </w:r>
    </w:p>
    <w:p w14:paraId="29017483">
      <w:pPr>
        <w:shd w:val="clear" w:color="auto" w:fill="F5F5F5"/>
        <w:jc w:val="center"/>
        <w:textAlignment w:val="top"/>
        <w:rPr>
          <w:rFonts w:ascii="Arial" w:hAnsi="Arial" w:cs="Arial"/>
          <w:color w:val="888888"/>
          <w:kern w:val="0"/>
          <w:sz w:val="20"/>
          <w:szCs w:val="20"/>
        </w:rPr>
      </w:pPr>
      <w:r>
        <w:rPr>
          <w:rFonts w:hint="eastAsia"/>
          <w:b/>
          <w:sz w:val="28"/>
          <w:szCs w:val="30"/>
        </w:rPr>
        <w:t xml:space="preserve">【Community </w:t>
      </w:r>
      <w:r>
        <w:rPr>
          <w:rFonts w:hint="eastAsia"/>
          <w:b/>
          <w:sz w:val="28"/>
          <w:szCs w:val="30"/>
          <w:lang w:val="en-US" w:eastAsia="zh-CN"/>
        </w:rPr>
        <w:t>H</w:t>
      </w:r>
      <w:r>
        <w:rPr>
          <w:rFonts w:hint="eastAsia"/>
          <w:b/>
          <w:sz w:val="28"/>
          <w:szCs w:val="30"/>
        </w:rPr>
        <w:t xml:space="preserve">ealth </w:t>
      </w:r>
      <w:r>
        <w:rPr>
          <w:rFonts w:hint="eastAsia"/>
          <w:b/>
          <w:sz w:val="28"/>
          <w:szCs w:val="30"/>
          <w:lang w:val="en-US" w:eastAsia="zh-CN"/>
        </w:rPr>
        <w:t>S</w:t>
      </w:r>
      <w:r>
        <w:rPr>
          <w:rFonts w:hint="eastAsia"/>
          <w:b/>
          <w:sz w:val="28"/>
          <w:szCs w:val="30"/>
        </w:rPr>
        <w:t xml:space="preserve">ervices and </w:t>
      </w:r>
      <w:r>
        <w:rPr>
          <w:rFonts w:hint="eastAsia"/>
          <w:b/>
          <w:sz w:val="28"/>
          <w:szCs w:val="30"/>
          <w:lang w:val="en-US" w:eastAsia="zh-CN"/>
        </w:rPr>
        <w:t>M</w:t>
      </w:r>
      <w:r>
        <w:rPr>
          <w:rFonts w:hint="eastAsia"/>
          <w:b/>
          <w:sz w:val="28"/>
          <w:szCs w:val="30"/>
        </w:rPr>
        <w:t>anagement】</w:t>
      </w:r>
    </w:p>
    <w:p w14:paraId="5E0E40A6">
      <w:pPr>
        <w:numPr>
          <w:ilvl w:val="0"/>
          <w:numId w:val="1"/>
        </w:numPr>
        <w:spacing w:beforeLines="50" w:afterLines="50" w:line="288" w:lineRule="auto"/>
        <w:ind w:firstLine="360" w:firstLineChars="150"/>
        <w:rPr>
          <w:rFonts w:ascii="黑体" w:hAnsi="宋体" w:eastAsia="黑体"/>
          <w:sz w:val="24"/>
        </w:rPr>
      </w:pPr>
      <w:r>
        <w:rPr>
          <w:rFonts w:ascii="黑体" w:hAnsi="宋体" w:eastAsia="黑体"/>
          <w:sz w:val="24"/>
        </w:rPr>
        <w:t>基本信息</w:t>
      </w:r>
    </w:p>
    <w:p w14:paraId="2205C250">
      <w:pPr>
        <w:snapToGrid w:val="0"/>
        <w:spacing w:line="288" w:lineRule="auto"/>
        <w:ind w:firstLine="394" w:firstLineChars="196"/>
        <w:rPr>
          <w:color w:val="auto"/>
          <w:sz w:val="20"/>
          <w:szCs w:val="20"/>
        </w:rPr>
      </w:pPr>
      <w:r>
        <w:rPr>
          <w:b/>
          <w:bCs/>
          <w:color w:val="000000"/>
          <w:sz w:val="20"/>
          <w:szCs w:val="20"/>
        </w:rPr>
        <w:t>课程代码：</w:t>
      </w:r>
      <w:r>
        <w:rPr>
          <w:color w:val="auto"/>
          <w:sz w:val="20"/>
          <w:szCs w:val="20"/>
        </w:rPr>
        <w:t>【</w:t>
      </w:r>
      <w:r>
        <w:rPr>
          <w:rFonts w:hint="eastAsia"/>
          <w:color w:val="auto"/>
          <w:sz w:val="20"/>
          <w:szCs w:val="20"/>
          <w:lang w:val="en-US" w:eastAsia="zh-CN"/>
        </w:rPr>
        <w:t>2170033</w:t>
      </w:r>
      <w:r>
        <w:rPr>
          <w:color w:val="auto"/>
          <w:sz w:val="20"/>
          <w:szCs w:val="20"/>
        </w:rPr>
        <w:t>】</w:t>
      </w:r>
    </w:p>
    <w:p w14:paraId="1EEA8D2A">
      <w:pPr>
        <w:snapToGrid w:val="0"/>
        <w:spacing w:line="288" w:lineRule="auto"/>
        <w:ind w:firstLine="394" w:firstLineChars="196"/>
        <w:rPr>
          <w:rFonts w:asciiTheme="minorEastAsia" w:hAnsiTheme="minorEastAsia" w:eastAsiaTheme="minorEastAsia" w:cstheme="minorEastAsia"/>
          <w:color w:val="FF0000"/>
          <w:sz w:val="20"/>
          <w:szCs w:val="20"/>
        </w:rPr>
      </w:pPr>
      <w:r>
        <w:rPr>
          <w:b/>
          <w:bCs/>
          <w:color w:val="auto"/>
          <w:sz w:val="20"/>
          <w:szCs w:val="20"/>
        </w:rPr>
        <w:t>课程学分：</w:t>
      </w:r>
      <w:r>
        <w:rPr>
          <w:color w:val="auto"/>
          <w:sz w:val="20"/>
          <w:szCs w:val="20"/>
        </w:rPr>
        <w:t>【</w:t>
      </w:r>
      <w:r>
        <w:rPr>
          <w:rFonts w:hint="eastAsia"/>
          <w:color w:val="auto"/>
          <w:sz w:val="20"/>
          <w:szCs w:val="20"/>
          <w:lang w:val="en-US" w:eastAsia="zh-CN"/>
        </w:rPr>
        <w:t>2</w:t>
      </w:r>
      <w:r>
        <w:rPr>
          <w:rFonts w:hint="eastAsia" w:asciiTheme="minorEastAsia" w:hAnsiTheme="minorEastAsia" w:eastAsiaTheme="minorEastAsia" w:cstheme="minorEastAsia"/>
          <w:color w:val="auto"/>
          <w:sz w:val="20"/>
          <w:szCs w:val="20"/>
        </w:rPr>
        <w:t>.0</w:t>
      </w:r>
      <w:r>
        <w:rPr>
          <w:color w:val="auto"/>
          <w:sz w:val="20"/>
          <w:szCs w:val="20"/>
        </w:rPr>
        <w:t>】</w:t>
      </w:r>
    </w:p>
    <w:p w14:paraId="57F45FCA">
      <w:pPr>
        <w:snapToGrid w:val="0"/>
        <w:spacing w:line="288" w:lineRule="auto"/>
        <w:ind w:firstLine="394" w:firstLineChars="196"/>
        <w:rPr>
          <w:rFonts w:asciiTheme="minorEastAsia" w:hAnsiTheme="minorEastAsia" w:eastAsiaTheme="minorEastAsia" w:cstheme="minorEastAsia"/>
          <w:color w:val="000000"/>
          <w:sz w:val="20"/>
          <w:szCs w:val="20"/>
        </w:rPr>
      </w:pPr>
      <w:r>
        <w:rPr>
          <w:b/>
          <w:bCs/>
          <w:color w:val="000000"/>
          <w:sz w:val="20"/>
          <w:szCs w:val="20"/>
        </w:rPr>
        <w:t>面向专业：</w:t>
      </w:r>
      <w:r>
        <w:rPr>
          <w:color w:val="000000"/>
          <w:sz w:val="20"/>
          <w:szCs w:val="20"/>
        </w:rPr>
        <w:t>【</w:t>
      </w:r>
      <w:r>
        <w:rPr>
          <w:rFonts w:hint="eastAsia"/>
          <w:color w:val="000000"/>
          <w:sz w:val="20"/>
          <w:szCs w:val="20"/>
          <w:lang w:val="en-US" w:eastAsia="zh-CN"/>
        </w:rPr>
        <w:t>健康管理</w:t>
      </w:r>
      <w:r>
        <w:rPr>
          <w:color w:val="000000"/>
          <w:sz w:val="20"/>
          <w:szCs w:val="20"/>
        </w:rPr>
        <w:t>】</w:t>
      </w:r>
    </w:p>
    <w:p w14:paraId="4831A247">
      <w:pPr>
        <w:snapToGrid w:val="0"/>
        <w:spacing w:line="288" w:lineRule="auto"/>
        <w:ind w:firstLine="394" w:firstLineChars="196"/>
        <w:rPr>
          <w:rFonts w:asciiTheme="minorEastAsia" w:hAnsiTheme="minorEastAsia" w:cstheme="minorEastAsia"/>
          <w:color w:val="000000"/>
          <w:sz w:val="20"/>
          <w:szCs w:val="20"/>
        </w:rPr>
      </w:pPr>
      <w:r>
        <w:rPr>
          <w:b/>
          <w:bCs/>
          <w:color w:val="000000"/>
          <w:sz w:val="20"/>
          <w:szCs w:val="20"/>
        </w:rPr>
        <w:t>课程性质：</w:t>
      </w:r>
      <w:r>
        <w:rPr>
          <w:color w:val="000000"/>
          <w:sz w:val="20"/>
          <w:szCs w:val="20"/>
        </w:rPr>
        <w:t>【</w:t>
      </w:r>
      <w:r>
        <w:rPr>
          <w:rFonts w:hint="eastAsia" w:asciiTheme="minorEastAsia" w:hAnsiTheme="minorEastAsia" w:eastAsiaTheme="minorEastAsia" w:cstheme="minorEastAsia"/>
          <w:color w:val="000000"/>
          <w:sz w:val="20"/>
          <w:szCs w:val="20"/>
        </w:rPr>
        <w:t>院级</w:t>
      </w:r>
      <w:r>
        <w:rPr>
          <w:rFonts w:hint="eastAsia" w:asciiTheme="minorEastAsia" w:hAnsiTheme="minorEastAsia" w:eastAsiaTheme="minorEastAsia" w:cstheme="minorEastAsia"/>
          <w:color w:val="000000"/>
          <w:sz w:val="20"/>
          <w:szCs w:val="20"/>
          <w:lang w:val="en-US" w:eastAsia="zh-CN"/>
        </w:rPr>
        <w:t>选</w:t>
      </w:r>
      <w:r>
        <w:rPr>
          <w:rFonts w:hint="eastAsia" w:asciiTheme="minorEastAsia" w:hAnsiTheme="minorEastAsia" w:eastAsiaTheme="minorEastAsia" w:cstheme="minorEastAsia"/>
          <w:color w:val="000000"/>
          <w:sz w:val="20"/>
          <w:szCs w:val="20"/>
        </w:rPr>
        <w:t>修课</w:t>
      </w:r>
      <w:r>
        <w:rPr>
          <w:color w:val="000000"/>
          <w:sz w:val="20"/>
          <w:szCs w:val="20"/>
        </w:rPr>
        <w:t>】</w:t>
      </w:r>
    </w:p>
    <w:p w14:paraId="5E79FE92">
      <w:pPr>
        <w:snapToGrid w:val="0"/>
        <w:spacing w:line="288" w:lineRule="auto"/>
        <w:ind w:firstLine="394" w:firstLineChars="196"/>
        <w:rPr>
          <w:rFonts w:hint="default" w:asciiTheme="minorEastAsia" w:hAnsiTheme="minorEastAsia" w:eastAsiaTheme="minorEastAsia" w:cstheme="minorEastAsia"/>
          <w:color w:val="000000"/>
          <w:sz w:val="20"/>
          <w:szCs w:val="20"/>
          <w:lang w:val="en-US" w:eastAsia="zh-CN"/>
        </w:rPr>
      </w:pPr>
      <w:r>
        <w:rPr>
          <w:b/>
          <w:bCs/>
          <w:color w:val="000000"/>
          <w:sz w:val="20"/>
          <w:szCs w:val="20"/>
        </w:rPr>
        <w:t>开课院系：</w:t>
      </w:r>
      <w:r>
        <w:rPr>
          <w:rFonts w:hint="eastAsia" w:asciiTheme="minorEastAsia" w:hAnsiTheme="minorEastAsia" w:eastAsiaTheme="minorEastAsia" w:cstheme="minorEastAsia"/>
          <w:color w:val="000000"/>
          <w:sz w:val="20"/>
          <w:szCs w:val="20"/>
          <w:lang w:eastAsia="zh-CN"/>
        </w:rPr>
        <w:t>健康管理</w:t>
      </w:r>
      <w:r>
        <w:rPr>
          <w:rFonts w:hint="eastAsia" w:asciiTheme="minorEastAsia" w:hAnsiTheme="minorEastAsia" w:eastAsiaTheme="minorEastAsia" w:cstheme="minorEastAsia"/>
          <w:color w:val="000000"/>
          <w:sz w:val="20"/>
          <w:szCs w:val="20"/>
        </w:rPr>
        <w:t>学院</w:t>
      </w:r>
      <w:r>
        <w:rPr>
          <w:rFonts w:hint="eastAsia" w:asciiTheme="minorEastAsia" w:hAnsiTheme="minorEastAsia" w:eastAsiaTheme="minorEastAsia" w:cstheme="minorEastAsia"/>
          <w:color w:val="000000"/>
          <w:sz w:val="20"/>
          <w:szCs w:val="20"/>
          <w:lang w:val="en-US" w:eastAsia="zh-CN"/>
        </w:rPr>
        <w:t>健康管理系</w:t>
      </w:r>
    </w:p>
    <w:p w14:paraId="5E9A115F">
      <w:pPr>
        <w:snapToGrid w:val="0"/>
        <w:spacing w:line="288" w:lineRule="auto"/>
        <w:ind w:firstLine="394" w:firstLineChars="196"/>
        <w:rPr>
          <w:b/>
          <w:bCs/>
          <w:color w:val="000000"/>
          <w:sz w:val="20"/>
          <w:szCs w:val="20"/>
        </w:rPr>
      </w:pPr>
      <w:r>
        <w:rPr>
          <w:b/>
          <w:bCs/>
          <w:color w:val="000000"/>
          <w:sz w:val="20"/>
          <w:szCs w:val="20"/>
        </w:rPr>
        <w:t>使用教材：</w:t>
      </w:r>
    </w:p>
    <w:p w14:paraId="26A142A9">
      <w:pPr>
        <w:snapToGrid w:val="0"/>
        <w:spacing w:line="288" w:lineRule="auto"/>
        <w:ind w:firstLine="800" w:firstLineChars="400"/>
        <w:rPr>
          <w:color w:val="000000"/>
          <w:sz w:val="20"/>
          <w:szCs w:val="20"/>
        </w:rPr>
      </w:pPr>
      <w:r>
        <w:rPr>
          <w:rFonts w:hint="eastAsia"/>
          <w:color w:val="000000"/>
          <w:sz w:val="20"/>
          <w:szCs w:val="20"/>
        </w:rPr>
        <w:t>教材【《</w:t>
      </w:r>
      <w:r>
        <w:rPr>
          <w:rFonts w:hint="eastAsia"/>
          <w:color w:val="000000"/>
          <w:sz w:val="20"/>
          <w:szCs w:val="20"/>
          <w:lang w:val="en-US" w:eastAsia="zh-CN"/>
        </w:rPr>
        <w:t>社区健康服务与管理</w:t>
      </w:r>
      <w:r>
        <w:rPr>
          <w:rFonts w:hint="eastAsia"/>
          <w:color w:val="000000"/>
          <w:sz w:val="20"/>
          <w:szCs w:val="20"/>
        </w:rPr>
        <w:t>》，主编：</w:t>
      </w:r>
      <w:r>
        <w:rPr>
          <w:rFonts w:hint="eastAsia"/>
          <w:color w:val="000000"/>
          <w:sz w:val="20"/>
          <w:szCs w:val="20"/>
          <w:lang w:val="en-US" w:eastAsia="zh-CN"/>
        </w:rPr>
        <w:t>曾渝、王中男</w:t>
      </w:r>
      <w:r>
        <w:rPr>
          <w:rFonts w:hint="eastAsia"/>
          <w:color w:val="000000"/>
          <w:sz w:val="20"/>
          <w:szCs w:val="20"/>
        </w:rPr>
        <w:t>，人民卫生出版社，20</w:t>
      </w:r>
      <w:r>
        <w:rPr>
          <w:rFonts w:hint="eastAsia"/>
          <w:color w:val="000000"/>
          <w:sz w:val="20"/>
          <w:szCs w:val="20"/>
          <w:lang w:val="en-US" w:eastAsia="zh-CN"/>
        </w:rPr>
        <w:t>20</w:t>
      </w:r>
      <w:r>
        <w:rPr>
          <w:rFonts w:hint="eastAsia"/>
          <w:color w:val="000000"/>
          <w:sz w:val="20"/>
          <w:szCs w:val="20"/>
        </w:rPr>
        <w:t>】</w:t>
      </w:r>
    </w:p>
    <w:p w14:paraId="5F38A935">
      <w:pPr>
        <w:snapToGrid w:val="0"/>
        <w:spacing w:line="288" w:lineRule="auto"/>
        <w:ind w:firstLine="800" w:firstLineChars="400"/>
        <w:rPr>
          <w:color w:val="000000"/>
          <w:sz w:val="20"/>
          <w:szCs w:val="20"/>
        </w:rPr>
      </w:pPr>
      <w:r>
        <w:rPr>
          <w:rFonts w:hint="eastAsia"/>
          <w:color w:val="000000"/>
          <w:sz w:val="20"/>
          <w:szCs w:val="20"/>
        </w:rPr>
        <w:t>参考书目【1.《</w:t>
      </w:r>
      <w:r>
        <w:rPr>
          <w:rFonts w:hint="eastAsia"/>
          <w:color w:val="000000"/>
          <w:sz w:val="20"/>
          <w:szCs w:val="20"/>
          <w:lang w:val="en-US" w:eastAsia="zh-CN"/>
        </w:rPr>
        <w:t>健康服务与管理导论</w:t>
      </w:r>
      <w:r>
        <w:rPr>
          <w:rFonts w:hint="eastAsia"/>
          <w:color w:val="000000"/>
          <w:sz w:val="20"/>
          <w:szCs w:val="20"/>
        </w:rPr>
        <w:t>》，主编：</w:t>
      </w:r>
      <w:r>
        <w:rPr>
          <w:rFonts w:hint="eastAsia"/>
          <w:color w:val="000000"/>
          <w:sz w:val="20"/>
          <w:szCs w:val="20"/>
          <w:lang w:val="en-US" w:eastAsia="zh-CN"/>
        </w:rPr>
        <w:t>郭清</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3DFE34A3">
      <w:pPr>
        <w:snapToGrid w:val="0"/>
        <w:spacing w:line="288" w:lineRule="auto"/>
        <w:ind w:firstLine="800" w:firstLineChars="400"/>
        <w:rPr>
          <w:color w:val="000000"/>
          <w:sz w:val="20"/>
          <w:szCs w:val="20"/>
        </w:rPr>
      </w:pPr>
      <w:r>
        <w:rPr>
          <w:rFonts w:hint="eastAsia"/>
          <w:color w:val="000000"/>
          <w:sz w:val="20"/>
          <w:szCs w:val="20"/>
        </w:rPr>
        <w:t>2.《</w:t>
      </w:r>
      <w:r>
        <w:rPr>
          <w:rFonts w:hint="eastAsia"/>
          <w:color w:val="000000"/>
          <w:sz w:val="20"/>
          <w:szCs w:val="20"/>
          <w:lang w:val="en-US" w:eastAsia="zh-CN"/>
        </w:rPr>
        <w:t>健康服务与管理技能</w:t>
      </w:r>
      <w:r>
        <w:rPr>
          <w:rFonts w:hint="eastAsia"/>
          <w:color w:val="000000"/>
          <w:sz w:val="20"/>
          <w:szCs w:val="20"/>
        </w:rPr>
        <w:t>》，主编：</w:t>
      </w:r>
      <w:r>
        <w:rPr>
          <w:rFonts w:hint="eastAsia"/>
          <w:color w:val="000000"/>
          <w:sz w:val="20"/>
          <w:szCs w:val="20"/>
          <w:lang w:val="en-US" w:eastAsia="zh-CN"/>
        </w:rPr>
        <w:t>许亮文、关向东</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79455D84">
      <w:pPr>
        <w:snapToGrid w:val="0"/>
        <w:spacing w:line="288" w:lineRule="auto"/>
        <w:rPr>
          <w:color w:val="000000"/>
          <w:sz w:val="20"/>
          <w:szCs w:val="20"/>
        </w:rPr>
      </w:pPr>
      <w:r>
        <w:rPr>
          <w:rFonts w:hint="eastAsia"/>
          <w:color w:val="000000"/>
          <w:sz w:val="20"/>
          <w:szCs w:val="20"/>
        </w:rPr>
        <w:t>3.《</w:t>
      </w:r>
      <w:r>
        <w:rPr>
          <w:rFonts w:hint="eastAsia"/>
          <w:color w:val="000000"/>
          <w:sz w:val="20"/>
          <w:szCs w:val="20"/>
          <w:lang w:val="en-US" w:eastAsia="zh-CN"/>
        </w:rPr>
        <w:t>健康管理学</w:t>
      </w:r>
      <w:r>
        <w:rPr>
          <w:rFonts w:hint="eastAsia"/>
          <w:color w:val="000000"/>
          <w:sz w:val="20"/>
          <w:szCs w:val="20"/>
        </w:rPr>
        <w:t>》，主编：</w:t>
      </w:r>
      <w:r>
        <w:rPr>
          <w:rFonts w:hint="eastAsia"/>
          <w:color w:val="000000"/>
          <w:sz w:val="20"/>
          <w:szCs w:val="20"/>
          <w:lang w:val="en-US" w:eastAsia="zh-CN"/>
        </w:rPr>
        <w:t>郭姣</w:t>
      </w:r>
      <w:r>
        <w:rPr>
          <w:rFonts w:hint="eastAsia"/>
          <w:color w:val="000000"/>
          <w:sz w:val="20"/>
          <w:szCs w:val="20"/>
        </w:rPr>
        <w:t>，</w:t>
      </w:r>
      <w:r>
        <w:rPr>
          <w:rFonts w:hint="eastAsia"/>
          <w:color w:val="000000"/>
          <w:sz w:val="20"/>
          <w:szCs w:val="20"/>
          <w:lang w:val="en-US" w:eastAsia="zh-CN"/>
        </w:rPr>
        <w:t>人民卫生出版社</w:t>
      </w:r>
      <w:r>
        <w:rPr>
          <w:rFonts w:hint="eastAsia"/>
          <w:color w:val="000000"/>
          <w:sz w:val="20"/>
          <w:szCs w:val="20"/>
        </w:rPr>
        <w:t>，20</w:t>
      </w:r>
      <w:r>
        <w:rPr>
          <w:rFonts w:hint="eastAsia"/>
          <w:color w:val="000000"/>
          <w:sz w:val="20"/>
          <w:szCs w:val="20"/>
          <w:lang w:val="en-US" w:eastAsia="zh-CN"/>
        </w:rPr>
        <w:t>20</w:t>
      </w:r>
      <w:r>
        <w:rPr>
          <w:rFonts w:hint="eastAsia"/>
          <w:color w:val="000000"/>
          <w:sz w:val="20"/>
          <w:szCs w:val="20"/>
        </w:rPr>
        <w:t>.】</w:t>
      </w:r>
    </w:p>
    <w:p w14:paraId="519582FF">
      <w:pPr>
        <w:snapToGrid w:val="0"/>
        <w:spacing w:line="288" w:lineRule="auto"/>
        <w:ind w:firstLine="394" w:firstLineChars="196"/>
        <w:rPr>
          <w:rFonts w:hint="eastAsia" w:eastAsia="宋体"/>
          <w:b/>
          <w:bCs/>
          <w:color w:val="000000"/>
          <w:sz w:val="20"/>
          <w:szCs w:val="20"/>
          <w:lang w:eastAsia="zh-CN"/>
        </w:rPr>
      </w:pPr>
      <w:r>
        <w:rPr>
          <w:rFonts w:hint="eastAsia"/>
          <w:b/>
          <w:bCs/>
          <w:color w:val="000000" w:themeColor="text1"/>
          <w:sz w:val="20"/>
          <w:szCs w:val="20"/>
          <w14:textFill>
            <w14:solidFill>
              <w14:schemeClr w14:val="tx1"/>
            </w14:solidFill>
          </w14:textFill>
        </w:rPr>
        <w:t>课程网站网址：</w:t>
      </w:r>
      <w:r>
        <w:rPr>
          <w:rFonts w:hint="eastAsia"/>
          <w:lang w:eastAsia="zh-CN"/>
        </w:rPr>
        <w:t>暂无</w:t>
      </w:r>
    </w:p>
    <w:p w14:paraId="369FE421">
      <w:pPr>
        <w:snapToGrid w:val="0"/>
        <w:spacing w:line="288" w:lineRule="auto"/>
        <w:ind w:firstLine="394" w:firstLineChars="196"/>
        <w:rPr>
          <w:b/>
          <w:bCs/>
          <w:color w:val="000000"/>
          <w:sz w:val="20"/>
          <w:szCs w:val="20"/>
        </w:rPr>
      </w:pPr>
      <w:r>
        <w:rPr>
          <w:b/>
          <w:bCs/>
          <w:color w:val="000000"/>
          <w:sz w:val="20"/>
          <w:szCs w:val="20"/>
        </w:rPr>
        <w:t>先修课程：</w:t>
      </w:r>
      <w:r>
        <w:rPr>
          <w:rFonts w:hint="eastAsia"/>
          <w:b/>
          <w:bCs/>
          <w:color w:val="000000"/>
          <w:sz w:val="20"/>
          <w:szCs w:val="20"/>
        </w:rPr>
        <w:t>【无】</w:t>
      </w:r>
    </w:p>
    <w:p w14:paraId="5DA437E2">
      <w:pPr>
        <w:adjustRightInd w:val="0"/>
        <w:snapToGrid w:val="0"/>
        <w:spacing w:beforeLines="50" w:afterLines="50" w:line="288" w:lineRule="auto"/>
        <w:ind w:firstLine="240" w:firstLineChars="10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14:paraId="776B378E">
      <w:pPr>
        <w:widowControl/>
        <w:spacing w:beforeLines="50" w:afterLines="50" w:line="288" w:lineRule="auto"/>
        <w:ind w:firstLine="300" w:firstLineChars="150"/>
        <w:jc w:val="left"/>
        <w:rPr>
          <w:rFonts w:hint="eastAsia"/>
          <w:color w:val="000000"/>
          <w:sz w:val="20"/>
          <w:szCs w:val="20"/>
          <w:lang w:val="en-US" w:eastAsia="zh-CN"/>
        </w:rPr>
      </w:pPr>
      <w:r>
        <w:rPr>
          <w:rFonts w:hint="eastAsia"/>
          <w:color w:val="000000"/>
          <w:sz w:val="20"/>
          <w:szCs w:val="20"/>
          <w:lang w:val="en-US" w:eastAsia="zh-CN"/>
        </w:rPr>
        <w:t>以健康管理学为核心内容的教学科研及实践正在得到广泛地推广和用,该课程就是将这一核心教学内容应用于我国城乡社区健康服务领域的一次具体探索与实践。第一章概论阐述了社区健康服务与管理的基本概念、发展历史沿革以及政策选择:第二章和第三章重点对社区健康服务与管理的基本理论和服务体系及服务模式进行了论述;第四章至第十一章分别重点介绍了健康教育与促进、营养、心理、运动、中医、重点人群及慢性病等各种类别的健康管理技能和方法:第十二章侧重介绍了社区健康风险评估与社区健康服务计划应用:第十三章至十六章分别对社区健康服务的人力资源管理、资金管理、信息管理及绩效管理进行了深入探索:第十七章则单独列入了经济学评价内容作为新的理论和实操探讨。本书为每章纸质教材都有编写配套的数字内容，以提高本教材的可阅读性。</w:t>
      </w:r>
    </w:p>
    <w:p w14:paraId="533FBACF">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14:paraId="02DE3EE4">
      <w:pPr>
        <w:snapToGrid w:val="0"/>
        <w:spacing w:line="288" w:lineRule="auto"/>
        <w:ind w:firstLine="400" w:firstLineChars="200"/>
        <w:rPr>
          <w:rFonts w:hint="default" w:eastAsia="宋体"/>
          <w:color w:val="000000"/>
          <w:sz w:val="20"/>
          <w:szCs w:val="20"/>
          <w:lang w:val="en-US" w:eastAsia="zh-CN"/>
        </w:rPr>
      </w:pPr>
      <w:r>
        <w:rPr>
          <w:rFonts w:hint="eastAsia"/>
          <w:color w:val="000000"/>
          <w:sz w:val="20"/>
          <w:szCs w:val="20"/>
          <w:lang w:val="en-US" w:eastAsia="zh-CN"/>
        </w:rPr>
        <w:t>本课程是健康管理专业的选修课程，适用于健康服务与管理专业本科教学。在现实和学术背景下，该课程适应健康服务与管理新专业的教学需求。</w:t>
      </w:r>
    </w:p>
    <w:p w14:paraId="60B986D5">
      <w:pPr>
        <w:widowControl/>
        <w:numPr>
          <w:ilvl w:val="0"/>
          <w:numId w:val="2"/>
        </w:numPr>
        <w:spacing w:beforeLines="50"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14:paraId="11F9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tcPr>
          <w:p w14:paraId="7B4C25B0">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14:paraId="2D5CB487">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3F2D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10D77F0D">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14:paraId="13E1899E">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6C6F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4F8D3517">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14:paraId="15C2A275">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30C1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7FFC9DB0">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14:paraId="39B05140">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65BE5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2F2AABF0">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14:paraId="49141C3D">
            <w:pPr>
              <w:widowControl/>
              <w:jc w:val="center"/>
              <w:rPr>
                <w:rFonts w:ascii="仿宋" w:hAnsi="仿宋" w:eastAsia="仿宋" w:cs="宋体"/>
                <w:kern w:val="0"/>
                <w:sz w:val="24"/>
                <w:szCs w:val="24"/>
              </w:rPr>
            </w:pPr>
          </w:p>
        </w:tc>
      </w:tr>
      <w:tr w14:paraId="4C11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4D5DDADA">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14:paraId="7AD25D12">
            <w:pPr>
              <w:widowControl/>
              <w:ind w:firstLine="240" w:firstLineChars="100"/>
              <w:rPr>
                <w:rFonts w:ascii="仿宋" w:hAnsi="仿宋" w:eastAsia="仿宋" w:cs="宋体"/>
                <w:kern w:val="0"/>
                <w:sz w:val="24"/>
                <w:szCs w:val="24"/>
              </w:rPr>
            </w:pPr>
          </w:p>
        </w:tc>
      </w:tr>
      <w:tr w14:paraId="75C8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73BD5513">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14:paraId="47966445">
            <w:pPr>
              <w:widowControl/>
              <w:jc w:val="center"/>
              <w:rPr>
                <w:rFonts w:ascii="仿宋" w:hAnsi="仿宋" w:eastAsia="仿宋" w:cs="宋体"/>
                <w:kern w:val="0"/>
                <w:sz w:val="24"/>
                <w:szCs w:val="24"/>
              </w:rPr>
            </w:pPr>
          </w:p>
        </w:tc>
      </w:tr>
      <w:tr w14:paraId="18DC4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76206521">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14:paraId="2671428C">
            <w:pPr>
              <w:widowControl/>
              <w:jc w:val="center"/>
              <w:rPr>
                <w:rFonts w:ascii="仿宋" w:hAnsi="仿宋" w:eastAsia="仿宋" w:cs="宋体"/>
                <w:kern w:val="0"/>
                <w:sz w:val="24"/>
                <w:szCs w:val="24"/>
              </w:rPr>
            </w:pPr>
          </w:p>
        </w:tc>
      </w:tr>
      <w:tr w14:paraId="5E35E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72975334">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14:paraId="1245CF51">
            <w:pPr>
              <w:widowControl/>
              <w:jc w:val="center"/>
              <w:rPr>
                <w:rFonts w:ascii="仿宋" w:hAnsi="仿宋" w:eastAsia="仿宋" w:cs="宋体"/>
                <w:kern w:val="0"/>
                <w:sz w:val="24"/>
                <w:szCs w:val="24"/>
              </w:rPr>
            </w:pPr>
          </w:p>
        </w:tc>
      </w:tr>
      <w:tr w14:paraId="1104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4A840DD7">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14:paraId="492C770B">
            <w:pPr>
              <w:widowControl/>
              <w:jc w:val="center"/>
              <w:rPr>
                <w:rFonts w:ascii="仿宋" w:hAnsi="仿宋" w:eastAsia="仿宋" w:cs="宋体"/>
                <w:kern w:val="0"/>
                <w:sz w:val="24"/>
                <w:szCs w:val="24"/>
              </w:rPr>
            </w:pPr>
          </w:p>
        </w:tc>
      </w:tr>
      <w:tr w14:paraId="01C2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150C6874">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14:paraId="65B03B11">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14:paraId="22F3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349" w:type="dxa"/>
            <w:vAlign w:val="center"/>
          </w:tcPr>
          <w:p w14:paraId="7E6F74A5">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14:paraId="1AF4EE40">
            <w:pPr>
              <w:widowControl/>
              <w:jc w:val="center"/>
              <w:rPr>
                <w:rFonts w:ascii="仿宋" w:hAnsi="仿宋" w:eastAsia="仿宋" w:cs="宋体"/>
                <w:kern w:val="0"/>
                <w:sz w:val="24"/>
                <w:szCs w:val="24"/>
              </w:rPr>
            </w:pPr>
          </w:p>
        </w:tc>
      </w:tr>
      <w:tr w14:paraId="6BE2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5AC9929E">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14:paraId="5E85ABF0">
            <w:pPr>
              <w:widowControl/>
              <w:jc w:val="center"/>
              <w:rPr>
                <w:rFonts w:ascii="仿宋" w:hAnsi="仿宋" w:eastAsia="仿宋" w:cs="宋体"/>
                <w:kern w:val="0"/>
                <w:sz w:val="24"/>
                <w:szCs w:val="24"/>
              </w:rPr>
            </w:pPr>
          </w:p>
        </w:tc>
      </w:tr>
      <w:tr w14:paraId="10DC1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9" w:type="dxa"/>
            <w:vAlign w:val="center"/>
          </w:tcPr>
          <w:p w14:paraId="23869100">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14:paraId="6C429E67">
            <w:pPr>
              <w:widowControl/>
              <w:jc w:val="center"/>
              <w:rPr>
                <w:rFonts w:ascii="仿宋" w:hAnsi="仿宋" w:eastAsia="仿宋" w:cs="宋体"/>
                <w:kern w:val="0"/>
                <w:sz w:val="24"/>
                <w:szCs w:val="24"/>
              </w:rPr>
            </w:pPr>
          </w:p>
        </w:tc>
      </w:tr>
    </w:tbl>
    <w:p w14:paraId="674D80C5">
      <w:pPr>
        <w:ind w:firstLine="420" w:firstLineChars="200"/>
      </w:pPr>
      <w:r>
        <w:rPr>
          <w:rFonts w:hint="eastAsia"/>
        </w:rPr>
        <w:t>备注：LO=</w:t>
      </w:r>
      <w:r>
        <w:t>learning outcomes</w:t>
      </w:r>
      <w:r>
        <w:rPr>
          <w:rFonts w:hint="eastAsia"/>
        </w:rPr>
        <w:t>（学习成果）</w:t>
      </w:r>
    </w:p>
    <w:p w14:paraId="0C644E9F">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14:paraId="49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5FEBB9D8">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14:paraId="267CFB1E">
            <w:pPr>
              <w:snapToGrid w:val="0"/>
              <w:spacing w:line="288" w:lineRule="auto"/>
              <w:jc w:val="center"/>
              <w:rPr>
                <w:b/>
                <w:color w:val="000000"/>
                <w:sz w:val="20"/>
                <w:szCs w:val="20"/>
              </w:rPr>
            </w:pPr>
            <w:r>
              <w:rPr>
                <w:rFonts w:hint="eastAsia"/>
                <w:b/>
                <w:color w:val="000000"/>
                <w:sz w:val="20"/>
                <w:szCs w:val="20"/>
              </w:rPr>
              <w:t>课程预期</w:t>
            </w:r>
          </w:p>
          <w:p w14:paraId="55178B18">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14:paraId="6BD1271A">
            <w:pPr>
              <w:snapToGrid w:val="0"/>
              <w:spacing w:line="288" w:lineRule="auto"/>
              <w:jc w:val="center"/>
              <w:rPr>
                <w:b/>
                <w:color w:val="000000"/>
                <w:sz w:val="20"/>
                <w:szCs w:val="20"/>
                <w:highlight w:val="yellow"/>
              </w:rPr>
            </w:pPr>
            <w:r>
              <w:rPr>
                <w:rFonts w:hint="eastAsia"/>
                <w:b/>
                <w:color w:val="000000"/>
                <w:sz w:val="20"/>
                <w:szCs w:val="20"/>
              </w:rPr>
              <w:t>课程目标</w:t>
            </w:r>
          </w:p>
          <w:p w14:paraId="000018E8">
            <w:pPr>
              <w:snapToGrid w:val="0"/>
              <w:spacing w:line="288" w:lineRule="auto"/>
              <w:jc w:val="center"/>
              <w:rPr>
                <w:b/>
                <w:color w:val="000000"/>
                <w:sz w:val="20"/>
                <w:szCs w:val="20"/>
              </w:rPr>
            </w:pPr>
          </w:p>
        </w:tc>
        <w:tc>
          <w:tcPr>
            <w:tcW w:w="2199" w:type="dxa"/>
            <w:shd w:val="clear" w:color="auto" w:fill="auto"/>
            <w:vAlign w:val="center"/>
          </w:tcPr>
          <w:p w14:paraId="22DA934F">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3DBAB13C">
            <w:pPr>
              <w:snapToGrid w:val="0"/>
              <w:spacing w:line="288" w:lineRule="auto"/>
              <w:jc w:val="center"/>
              <w:rPr>
                <w:b/>
                <w:color w:val="000000"/>
                <w:sz w:val="20"/>
                <w:szCs w:val="20"/>
              </w:rPr>
            </w:pPr>
            <w:r>
              <w:rPr>
                <w:rFonts w:hint="eastAsia"/>
                <w:b/>
                <w:color w:val="000000"/>
                <w:sz w:val="20"/>
                <w:szCs w:val="20"/>
              </w:rPr>
              <w:t>评价方式</w:t>
            </w:r>
          </w:p>
        </w:tc>
      </w:tr>
      <w:tr w14:paraId="7FC9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512A603B">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14:paraId="389C5645">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470" w:type="dxa"/>
            <w:shd w:val="clear" w:color="auto" w:fill="auto"/>
          </w:tcPr>
          <w:p w14:paraId="34CA2F62">
            <w:pPr>
              <w:rPr>
                <w:rFonts w:ascii="仿宋" w:hAnsi="仿宋" w:eastAsia="仿宋" w:cs="宋体"/>
                <w:color w:val="000000"/>
                <w:kern w:val="0"/>
                <w:sz w:val="24"/>
              </w:rPr>
            </w:pPr>
            <w:r>
              <w:rPr>
                <w:rFonts w:hint="eastAsia" w:ascii="仿宋" w:hAnsi="仿宋" w:eastAsia="仿宋" w:cs="仿宋"/>
                <w:color w:val="000000"/>
                <w:kern w:val="0"/>
                <w:sz w:val="24"/>
              </w:rPr>
              <w:t>1.倾听他人意见、尊重他人观点、分析他人的需求</w:t>
            </w:r>
          </w:p>
        </w:tc>
        <w:tc>
          <w:tcPr>
            <w:tcW w:w="2199" w:type="dxa"/>
            <w:shd w:val="clear" w:color="auto" w:fill="auto"/>
          </w:tcPr>
          <w:p w14:paraId="78B8F54F">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159DD1D8">
            <w:pPr>
              <w:snapToGrid w:val="0"/>
              <w:spacing w:line="288" w:lineRule="auto"/>
              <w:jc w:val="center"/>
              <w:rPr>
                <w:rFonts w:ascii="仿宋" w:hAnsi="仿宋" w:eastAsia="仿宋" w:cs="仿宋"/>
                <w:sz w:val="24"/>
              </w:rPr>
            </w:pPr>
            <w:r>
              <w:rPr>
                <w:rFonts w:hint="eastAsia" w:ascii="仿宋" w:hAnsi="仿宋" w:eastAsia="仿宋" w:cs="仿宋"/>
                <w:sz w:val="24"/>
              </w:rPr>
              <w:t>提问</w:t>
            </w:r>
          </w:p>
          <w:p w14:paraId="2A5D9668">
            <w:pPr>
              <w:snapToGrid w:val="0"/>
              <w:spacing w:line="288" w:lineRule="auto"/>
              <w:jc w:val="center"/>
              <w:rPr>
                <w:rFonts w:ascii="黑体" w:hAnsi="宋体" w:eastAsia="黑体"/>
                <w:sz w:val="24"/>
              </w:rPr>
            </w:pPr>
          </w:p>
        </w:tc>
      </w:tr>
      <w:tr w14:paraId="01CD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704B9651">
            <w:pPr>
              <w:rPr>
                <w:rFonts w:ascii="仿宋" w:hAnsi="仿宋" w:eastAsia="仿宋" w:cs="宋体"/>
                <w:color w:val="000000"/>
                <w:kern w:val="0"/>
                <w:sz w:val="24"/>
              </w:rPr>
            </w:pPr>
          </w:p>
        </w:tc>
        <w:tc>
          <w:tcPr>
            <w:tcW w:w="1175" w:type="dxa"/>
            <w:vMerge w:val="continue"/>
            <w:shd w:val="clear" w:color="auto" w:fill="auto"/>
          </w:tcPr>
          <w:p w14:paraId="5E5E758B">
            <w:pPr>
              <w:rPr>
                <w:rFonts w:ascii="仿宋" w:hAnsi="仿宋" w:eastAsia="仿宋" w:cs="宋体"/>
                <w:color w:val="000000"/>
                <w:kern w:val="0"/>
                <w:sz w:val="24"/>
              </w:rPr>
            </w:pPr>
          </w:p>
        </w:tc>
        <w:tc>
          <w:tcPr>
            <w:tcW w:w="2470" w:type="dxa"/>
            <w:shd w:val="clear" w:color="auto" w:fill="auto"/>
          </w:tcPr>
          <w:p w14:paraId="3849DBB3">
            <w:pPr>
              <w:rPr>
                <w:rFonts w:ascii="仿宋" w:hAnsi="仿宋" w:eastAsia="仿宋" w:cs="宋体"/>
                <w:color w:val="000000"/>
                <w:kern w:val="0"/>
                <w:sz w:val="24"/>
              </w:rPr>
            </w:pPr>
            <w:r>
              <w:rPr>
                <w:rFonts w:hint="eastAsia" w:ascii="仿宋" w:hAnsi="仿宋" w:eastAsia="仿宋" w:cs="仿宋"/>
                <w:color w:val="000000"/>
                <w:kern w:val="0"/>
                <w:sz w:val="24"/>
              </w:rPr>
              <w:t>2.应用书面或口头形式，阐释自己的观点，有效沟通</w:t>
            </w:r>
          </w:p>
        </w:tc>
        <w:tc>
          <w:tcPr>
            <w:tcW w:w="2199" w:type="dxa"/>
            <w:shd w:val="clear" w:color="auto" w:fill="auto"/>
          </w:tcPr>
          <w:p w14:paraId="58AE91D7">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576E4427">
            <w:pPr>
              <w:snapToGrid w:val="0"/>
              <w:spacing w:line="288" w:lineRule="auto"/>
              <w:jc w:val="center"/>
              <w:rPr>
                <w:rFonts w:ascii="仿宋" w:hAnsi="仿宋" w:eastAsia="仿宋" w:cs="仿宋"/>
                <w:sz w:val="24"/>
              </w:rPr>
            </w:pPr>
            <w:r>
              <w:rPr>
                <w:rFonts w:hint="eastAsia" w:ascii="仿宋" w:hAnsi="仿宋" w:eastAsia="仿宋" w:cs="仿宋"/>
                <w:sz w:val="24"/>
              </w:rPr>
              <w:t>提问</w:t>
            </w:r>
          </w:p>
          <w:p w14:paraId="2252AD70">
            <w:pPr>
              <w:snapToGrid w:val="0"/>
              <w:spacing w:line="288" w:lineRule="auto"/>
              <w:jc w:val="center"/>
              <w:rPr>
                <w:rFonts w:ascii="黑体" w:hAnsi="宋体" w:eastAsia="黑体"/>
                <w:sz w:val="24"/>
              </w:rPr>
            </w:pPr>
          </w:p>
        </w:tc>
      </w:tr>
      <w:tr w14:paraId="10DA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1702D9FA">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14:paraId="7DDAC3A4">
            <w:pPr>
              <w:rPr>
                <w:rFonts w:ascii="仿宋" w:hAnsi="仿宋" w:eastAsia="仿宋" w:cs="宋体"/>
                <w:color w:val="000000"/>
                <w:kern w:val="0"/>
                <w:sz w:val="24"/>
              </w:rPr>
            </w:pPr>
            <w:r>
              <w:rPr>
                <w:rFonts w:hint="eastAsia" w:ascii="仿宋" w:hAnsi="仿宋" w:eastAsia="仿宋" w:cs="宋体"/>
                <w:color w:val="000000"/>
                <w:kern w:val="0"/>
                <w:sz w:val="24"/>
                <w:szCs w:val="24"/>
              </w:rPr>
              <w:t>LO321</w:t>
            </w:r>
          </w:p>
        </w:tc>
        <w:tc>
          <w:tcPr>
            <w:tcW w:w="2470" w:type="dxa"/>
            <w:shd w:val="clear" w:color="auto" w:fill="auto"/>
          </w:tcPr>
          <w:p w14:paraId="6D3E8DE7">
            <w:pPr>
              <w:rPr>
                <w:rFonts w:ascii="仿宋" w:hAnsi="仿宋" w:eastAsia="仿宋" w:cs="宋体"/>
                <w:color w:val="000000"/>
                <w:kern w:val="0"/>
                <w:sz w:val="24"/>
              </w:rPr>
            </w:pPr>
            <w:r>
              <w:rPr>
                <w:rFonts w:hint="eastAsia" w:ascii="仿宋" w:hAnsi="仿宋" w:eastAsia="仿宋" w:cs="仿宋"/>
                <w:color w:val="000000"/>
                <w:kern w:val="0"/>
                <w:sz w:val="24"/>
                <w:szCs w:val="24"/>
              </w:rPr>
              <w:t>1.通过评估找出患者的心理问题，发现患者心理问题与身体健康的关系</w:t>
            </w:r>
          </w:p>
        </w:tc>
        <w:tc>
          <w:tcPr>
            <w:tcW w:w="2199" w:type="dxa"/>
            <w:shd w:val="clear" w:color="auto" w:fill="auto"/>
          </w:tcPr>
          <w:p w14:paraId="1DFA07E7">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79A20101">
            <w:pPr>
              <w:snapToGrid w:val="0"/>
              <w:spacing w:line="288" w:lineRule="auto"/>
              <w:jc w:val="center"/>
              <w:rPr>
                <w:rFonts w:ascii="仿宋" w:hAnsi="仿宋" w:eastAsia="仿宋" w:cs="仿宋"/>
                <w:sz w:val="24"/>
              </w:rPr>
            </w:pPr>
            <w:r>
              <w:rPr>
                <w:rFonts w:hint="eastAsia" w:ascii="仿宋" w:hAnsi="仿宋" w:eastAsia="仿宋" w:cs="仿宋"/>
                <w:sz w:val="24"/>
              </w:rPr>
              <w:t>提问</w:t>
            </w:r>
          </w:p>
          <w:p w14:paraId="569C532A">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14:paraId="2DFB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35C52998">
            <w:pPr>
              <w:rPr>
                <w:rFonts w:ascii="仿宋" w:hAnsi="仿宋" w:eastAsia="仿宋" w:cs="宋体"/>
                <w:color w:val="000000"/>
                <w:kern w:val="0"/>
                <w:sz w:val="24"/>
              </w:rPr>
            </w:pPr>
          </w:p>
        </w:tc>
        <w:tc>
          <w:tcPr>
            <w:tcW w:w="1175" w:type="dxa"/>
            <w:vMerge w:val="continue"/>
            <w:shd w:val="clear" w:color="auto" w:fill="auto"/>
          </w:tcPr>
          <w:p w14:paraId="5ECBEBC0">
            <w:pPr>
              <w:rPr>
                <w:rFonts w:ascii="仿宋" w:hAnsi="仿宋" w:eastAsia="仿宋" w:cs="宋体"/>
                <w:color w:val="000000"/>
                <w:kern w:val="0"/>
                <w:sz w:val="24"/>
              </w:rPr>
            </w:pPr>
          </w:p>
        </w:tc>
        <w:tc>
          <w:tcPr>
            <w:tcW w:w="2470" w:type="dxa"/>
            <w:shd w:val="clear" w:color="auto" w:fill="auto"/>
          </w:tcPr>
          <w:p w14:paraId="2AF8E344">
            <w:pPr>
              <w:rPr>
                <w:rFonts w:ascii="仿宋" w:hAnsi="仿宋" w:eastAsia="仿宋" w:cs="宋体"/>
                <w:color w:val="000000"/>
                <w:kern w:val="0"/>
                <w:sz w:val="24"/>
              </w:rPr>
            </w:pPr>
            <w:r>
              <w:rPr>
                <w:rFonts w:hint="eastAsia" w:ascii="仿宋" w:hAnsi="仿宋" w:eastAsia="仿宋" w:cs="仿宋"/>
                <w:color w:val="000000"/>
                <w:kern w:val="0"/>
                <w:sz w:val="24"/>
                <w:szCs w:val="24"/>
              </w:rPr>
              <w:t>2.帮助患者解决心理问题</w:t>
            </w:r>
          </w:p>
        </w:tc>
        <w:tc>
          <w:tcPr>
            <w:tcW w:w="2199" w:type="dxa"/>
            <w:shd w:val="clear" w:color="auto" w:fill="auto"/>
          </w:tcPr>
          <w:p w14:paraId="51F858E4">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tcPr>
          <w:p w14:paraId="62417D51">
            <w:pPr>
              <w:snapToGrid w:val="0"/>
              <w:spacing w:line="288" w:lineRule="auto"/>
              <w:jc w:val="center"/>
              <w:rPr>
                <w:rFonts w:ascii="黑体" w:hAnsi="宋体" w:eastAsia="黑体"/>
                <w:sz w:val="24"/>
              </w:rPr>
            </w:pPr>
            <w:r>
              <w:rPr>
                <w:rFonts w:hint="eastAsia" w:ascii="仿宋" w:hAnsi="仿宋" w:eastAsia="仿宋" w:cs="仿宋"/>
                <w:sz w:val="24"/>
              </w:rPr>
              <w:t>测验</w:t>
            </w:r>
          </w:p>
        </w:tc>
      </w:tr>
      <w:tr w14:paraId="0306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14:paraId="6FB52040">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14:paraId="6C492721">
            <w:pPr>
              <w:rPr>
                <w:rFonts w:ascii="仿宋" w:hAnsi="仿宋" w:eastAsia="仿宋" w:cs="宋体"/>
                <w:color w:val="000000"/>
                <w:kern w:val="0"/>
                <w:sz w:val="24"/>
              </w:rPr>
            </w:pPr>
            <w:r>
              <w:rPr>
                <w:rFonts w:hint="eastAsia" w:ascii="仿宋" w:hAnsi="仿宋" w:eastAsia="仿宋" w:cs="宋体"/>
                <w:color w:val="000000"/>
                <w:kern w:val="0"/>
                <w:sz w:val="24"/>
                <w:szCs w:val="24"/>
              </w:rPr>
              <w:t>LO412</w:t>
            </w:r>
          </w:p>
        </w:tc>
        <w:tc>
          <w:tcPr>
            <w:tcW w:w="2470" w:type="dxa"/>
            <w:shd w:val="clear" w:color="auto" w:fill="auto"/>
          </w:tcPr>
          <w:p w14:paraId="56C6041C">
            <w:pPr>
              <w:rPr>
                <w:rFonts w:ascii="仿宋" w:hAnsi="仿宋" w:eastAsia="仿宋" w:cs="宋体"/>
                <w:color w:val="000000"/>
                <w:kern w:val="0"/>
                <w:sz w:val="24"/>
              </w:rPr>
            </w:pPr>
            <w:r>
              <w:rPr>
                <w:rFonts w:hint="eastAsia" w:ascii="仿宋" w:hAnsi="仿宋" w:eastAsia="仿宋" w:cs="宋体"/>
                <w:color w:val="000000"/>
                <w:kern w:val="0"/>
                <w:sz w:val="24"/>
                <w:szCs w:val="24"/>
              </w:rPr>
              <w:t>具有科学精神、慎独修养、严谨求实的工作态度和符合职业道德标准的职业行为</w:t>
            </w:r>
          </w:p>
        </w:tc>
        <w:tc>
          <w:tcPr>
            <w:tcW w:w="2199" w:type="dxa"/>
            <w:shd w:val="clear" w:color="auto" w:fill="auto"/>
          </w:tcPr>
          <w:p w14:paraId="2E4190CC">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14:paraId="11B08AA7">
            <w:pPr>
              <w:snapToGrid w:val="0"/>
              <w:spacing w:line="288" w:lineRule="auto"/>
              <w:jc w:val="center"/>
              <w:rPr>
                <w:rFonts w:ascii="黑体" w:hAnsi="宋体" w:eastAsia="黑体"/>
                <w:sz w:val="24"/>
              </w:rPr>
            </w:pPr>
            <w:r>
              <w:rPr>
                <w:rFonts w:hint="eastAsia" w:ascii="仿宋" w:hAnsi="仿宋" w:eastAsia="仿宋" w:cs="仿宋"/>
                <w:sz w:val="24"/>
              </w:rPr>
              <w:t>提问</w:t>
            </w:r>
          </w:p>
        </w:tc>
      </w:tr>
      <w:tr w14:paraId="7339F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14:paraId="1C66B529">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vMerge w:val="restart"/>
            <w:shd w:val="clear" w:color="auto" w:fill="auto"/>
          </w:tcPr>
          <w:p w14:paraId="42F2C461">
            <w:pPr>
              <w:tabs>
                <w:tab w:val="left" w:pos="70"/>
              </w:tabs>
              <w:rPr>
                <w:rFonts w:ascii="仿宋" w:hAnsi="仿宋" w:eastAsia="仿宋" w:cs="宋体"/>
                <w:color w:val="000000"/>
                <w:kern w:val="0"/>
                <w:sz w:val="24"/>
              </w:rPr>
            </w:pPr>
            <w:r>
              <w:rPr>
                <w:rFonts w:ascii="仿宋" w:hAnsi="仿宋" w:eastAsia="仿宋" w:cs="宋体"/>
                <w:color w:val="000000"/>
                <w:kern w:val="0"/>
                <w:sz w:val="24"/>
              </w:rPr>
              <w:tab/>
            </w:r>
            <w:r>
              <w:rPr>
                <w:rFonts w:hint="eastAsia" w:ascii="仿宋" w:hAnsi="仿宋" w:eastAsia="仿宋" w:cs="宋体"/>
                <w:color w:val="000000"/>
                <w:kern w:val="0"/>
                <w:sz w:val="24"/>
                <w:szCs w:val="24"/>
              </w:rPr>
              <w:t>LO413</w:t>
            </w:r>
          </w:p>
        </w:tc>
        <w:tc>
          <w:tcPr>
            <w:tcW w:w="2470" w:type="dxa"/>
            <w:shd w:val="clear" w:color="auto" w:fill="auto"/>
          </w:tcPr>
          <w:p w14:paraId="198FECB7">
            <w:pPr>
              <w:rPr>
                <w:rFonts w:ascii="仿宋" w:hAnsi="仿宋" w:eastAsia="仿宋" w:cs="仿宋"/>
                <w:color w:val="000000"/>
                <w:kern w:val="0"/>
                <w:sz w:val="24"/>
                <w:szCs w:val="24"/>
              </w:rPr>
            </w:pPr>
            <w:r>
              <w:rPr>
                <w:rFonts w:hint="eastAsia" w:ascii="仿宋" w:hAnsi="仿宋" w:eastAsia="仿宋" w:cs="仿宋"/>
                <w:color w:val="000000"/>
                <w:kern w:val="0"/>
                <w:sz w:val="24"/>
                <w:szCs w:val="24"/>
              </w:rPr>
              <w:t>1.爱岗敬业：了解与专业相关的法律法规，在学习和社会实践中遵守职业规范，具备职业道德操守。</w:t>
            </w:r>
          </w:p>
        </w:tc>
        <w:tc>
          <w:tcPr>
            <w:tcW w:w="2199" w:type="dxa"/>
            <w:shd w:val="clear" w:color="auto" w:fill="auto"/>
          </w:tcPr>
          <w:p w14:paraId="0BF6D26F">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14:paraId="28674FA0">
            <w:pPr>
              <w:snapToGrid w:val="0"/>
              <w:spacing w:line="288" w:lineRule="auto"/>
              <w:jc w:val="center"/>
              <w:rPr>
                <w:rFonts w:ascii="黑体" w:hAnsi="宋体" w:eastAsia="黑体"/>
                <w:sz w:val="24"/>
              </w:rPr>
            </w:pPr>
            <w:r>
              <w:rPr>
                <w:rFonts w:hint="eastAsia" w:ascii="仿宋" w:hAnsi="仿宋" w:eastAsia="仿宋" w:cs="仿宋"/>
                <w:sz w:val="24"/>
              </w:rPr>
              <w:t>提问</w:t>
            </w:r>
          </w:p>
        </w:tc>
      </w:tr>
      <w:tr w14:paraId="247B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14:paraId="6A185EAD">
            <w:pPr>
              <w:rPr>
                <w:rFonts w:ascii="仿宋" w:hAnsi="仿宋" w:eastAsia="仿宋" w:cs="宋体"/>
                <w:color w:val="000000"/>
                <w:kern w:val="0"/>
                <w:sz w:val="24"/>
              </w:rPr>
            </w:pPr>
          </w:p>
        </w:tc>
        <w:tc>
          <w:tcPr>
            <w:tcW w:w="1175" w:type="dxa"/>
            <w:vMerge w:val="continue"/>
            <w:shd w:val="clear" w:color="auto" w:fill="auto"/>
          </w:tcPr>
          <w:p w14:paraId="534F38A5">
            <w:pPr>
              <w:tabs>
                <w:tab w:val="left" w:pos="70"/>
              </w:tabs>
              <w:rPr>
                <w:rFonts w:ascii="仿宋" w:hAnsi="仿宋" w:eastAsia="仿宋" w:cs="宋体"/>
                <w:color w:val="000000"/>
                <w:kern w:val="0"/>
                <w:sz w:val="24"/>
              </w:rPr>
            </w:pPr>
          </w:p>
        </w:tc>
        <w:tc>
          <w:tcPr>
            <w:tcW w:w="2470" w:type="dxa"/>
            <w:shd w:val="clear" w:color="auto" w:fill="auto"/>
          </w:tcPr>
          <w:p w14:paraId="6130B9F5">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2.心理健康，能承受学习和生活中的压力。</w:t>
            </w:r>
          </w:p>
        </w:tc>
        <w:tc>
          <w:tcPr>
            <w:tcW w:w="2199" w:type="dxa"/>
            <w:shd w:val="clear" w:color="auto" w:fill="auto"/>
          </w:tcPr>
          <w:p w14:paraId="224DDC11">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tcPr>
          <w:p w14:paraId="74D0B316">
            <w:pPr>
              <w:snapToGrid w:val="0"/>
              <w:spacing w:line="288" w:lineRule="auto"/>
              <w:jc w:val="center"/>
              <w:rPr>
                <w:rFonts w:ascii="黑体" w:hAnsi="宋体" w:eastAsia="黑体"/>
                <w:sz w:val="24"/>
              </w:rPr>
            </w:pPr>
            <w:r>
              <w:rPr>
                <w:rFonts w:hint="eastAsia" w:ascii="仿宋" w:hAnsi="仿宋" w:eastAsia="仿宋" w:cs="仿宋"/>
                <w:sz w:val="24"/>
              </w:rPr>
              <w:t>提问</w:t>
            </w:r>
          </w:p>
        </w:tc>
      </w:tr>
    </w:tbl>
    <w:p w14:paraId="74988B70">
      <w:pPr>
        <w:snapToGrid w:val="0"/>
        <w:spacing w:line="288" w:lineRule="auto"/>
        <w:rPr>
          <w:rFonts w:ascii="黑体" w:hAnsi="宋体" w:eastAsia="黑体"/>
          <w:sz w:val="24"/>
        </w:rPr>
      </w:pPr>
    </w:p>
    <w:p w14:paraId="771EAE5C">
      <w:pPr>
        <w:widowControl/>
        <w:numPr>
          <w:ilvl w:val="0"/>
          <w:numId w:val="3"/>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14:paraId="028BCF4F">
      <w:pPr>
        <w:widowControl/>
        <w:spacing w:beforeLines="50" w:afterLines="50" w:line="288" w:lineRule="auto"/>
        <w:ind w:firstLine="360" w:firstLineChars="150"/>
        <w:jc w:val="left"/>
        <w:rPr>
          <w:rFonts w:ascii="黑体" w:hAnsi="宋体" w:eastAsia="黑体"/>
          <w:color w:val="auto"/>
          <w:sz w:val="24"/>
        </w:rPr>
      </w:pPr>
      <w:r>
        <w:rPr>
          <w:rFonts w:hint="eastAsia" w:ascii="黑体" w:hAnsi="宋体" w:eastAsia="黑体"/>
          <w:color w:val="auto"/>
          <w:sz w:val="24"/>
        </w:rPr>
        <w:t>本课程总学时为</w:t>
      </w:r>
      <w:r>
        <w:rPr>
          <w:rFonts w:hint="eastAsia" w:ascii="黑体" w:hAnsi="宋体" w:eastAsia="黑体"/>
          <w:color w:val="auto"/>
          <w:sz w:val="24"/>
          <w:lang w:val="en-US" w:eastAsia="zh-CN"/>
        </w:rPr>
        <w:t>32</w:t>
      </w:r>
      <w:r>
        <w:rPr>
          <w:rFonts w:hint="eastAsia" w:ascii="黑体" w:hAnsi="宋体" w:eastAsia="黑体"/>
          <w:color w:val="auto"/>
          <w:sz w:val="24"/>
        </w:rPr>
        <w:t>学时，其中教师课堂理论授课学时为</w:t>
      </w:r>
      <w:r>
        <w:rPr>
          <w:rFonts w:hint="eastAsia" w:ascii="黑体" w:hAnsi="宋体" w:eastAsia="黑体"/>
          <w:color w:val="auto"/>
          <w:sz w:val="24"/>
          <w:lang w:val="en-US" w:eastAsia="zh-CN"/>
        </w:rPr>
        <w:t>24</w:t>
      </w:r>
      <w:r>
        <w:rPr>
          <w:rFonts w:hint="eastAsia" w:ascii="黑体" w:hAnsi="宋体" w:eastAsia="黑体"/>
          <w:color w:val="auto"/>
          <w:sz w:val="24"/>
        </w:rPr>
        <w:t>学时；学生课内实践环节学时为</w:t>
      </w:r>
      <w:r>
        <w:rPr>
          <w:rFonts w:hint="eastAsia" w:ascii="黑体" w:hAnsi="宋体" w:eastAsia="黑体"/>
          <w:color w:val="auto"/>
          <w:sz w:val="24"/>
          <w:lang w:val="en-US" w:eastAsia="zh-CN"/>
        </w:rPr>
        <w:t>8</w:t>
      </w:r>
      <w:r>
        <w:rPr>
          <w:rFonts w:hint="eastAsia" w:ascii="黑体" w:hAnsi="宋体" w:eastAsia="黑体"/>
          <w:color w:val="auto"/>
          <w:sz w:val="24"/>
        </w:rPr>
        <w:t>学时；课外练习，查阅文献及作业等时间不计在内。</w:t>
      </w: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00"/>
        <w:gridCol w:w="1590"/>
        <w:gridCol w:w="1506"/>
        <w:gridCol w:w="420"/>
        <w:gridCol w:w="420"/>
        <w:gridCol w:w="421"/>
      </w:tblGrid>
      <w:tr w14:paraId="5C15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14:paraId="2F76EE3F">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14:paraId="57D51FF7">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14:paraId="27D74FF3">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00" w:type="dxa"/>
            <w:vAlign w:val="center"/>
          </w:tcPr>
          <w:p w14:paraId="24EE85C8">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90" w:type="dxa"/>
            <w:vAlign w:val="center"/>
          </w:tcPr>
          <w:p w14:paraId="429B51DF">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14:paraId="44D134CE">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14:paraId="7A40C751">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14:paraId="2EA208DC">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14:paraId="7128FB43">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14:paraId="6BCE0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EF1C24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14:paraId="5565C5F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概论</w:t>
            </w:r>
          </w:p>
          <w:p w14:paraId="70F614D7">
            <w:pPr>
              <w:snapToGrid w:val="0"/>
              <w:spacing w:line="288" w:lineRule="auto"/>
              <w:jc w:val="left"/>
              <w:rPr>
                <w:rFonts w:asciiTheme="minorEastAsia" w:hAnsiTheme="minorEastAsia" w:eastAsiaTheme="minorEastAsia" w:cstheme="minorEastAsia"/>
                <w:sz w:val="20"/>
                <w:szCs w:val="20"/>
              </w:rPr>
            </w:pPr>
          </w:p>
        </w:tc>
        <w:tc>
          <w:tcPr>
            <w:tcW w:w="2426" w:type="dxa"/>
          </w:tcPr>
          <w:p w14:paraId="60AB5CF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掌握社区健康服务与管理的概念、特点、策略以及政策选择</w:t>
            </w:r>
          </w:p>
        </w:tc>
        <w:tc>
          <w:tcPr>
            <w:tcW w:w="2100" w:type="dxa"/>
          </w:tcPr>
          <w:p w14:paraId="46EF9D6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社区健康服务与管理的概念</w:t>
            </w:r>
          </w:p>
          <w:p w14:paraId="59DE7F40">
            <w:pPr>
              <w:snapToGrid w:val="0"/>
              <w:spacing w:line="288" w:lineRule="auto"/>
              <w:jc w:val="left"/>
              <w:rPr>
                <w:rFonts w:asciiTheme="minorEastAsia" w:hAnsiTheme="minorEastAsia" w:eastAsiaTheme="minorEastAsia" w:cstheme="minorEastAsia"/>
                <w:sz w:val="20"/>
                <w:szCs w:val="20"/>
              </w:rPr>
            </w:pPr>
          </w:p>
        </w:tc>
        <w:tc>
          <w:tcPr>
            <w:tcW w:w="1590" w:type="dxa"/>
          </w:tcPr>
          <w:p w14:paraId="33C275F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14:paraId="53F2D87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充分理解社区健康服务与管理的概念</w:t>
            </w:r>
          </w:p>
          <w:p w14:paraId="69737598">
            <w:pPr>
              <w:snapToGrid w:val="0"/>
              <w:spacing w:line="288" w:lineRule="auto"/>
              <w:jc w:val="left"/>
              <w:rPr>
                <w:rFonts w:hint="default" w:asciiTheme="minorEastAsia" w:hAnsiTheme="minorEastAsia" w:eastAsiaTheme="minorEastAsia" w:cstheme="minorEastAsia"/>
                <w:sz w:val="20"/>
                <w:szCs w:val="20"/>
                <w:lang w:val="en-US" w:eastAsia="zh-CN"/>
              </w:rPr>
            </w:pPr>
          </w:p>
          <w:p w14:paraId="5BF9D501">
            <w:pPr>
              <w:snapToGrid w:val="0"/>
              <w:spacing w:line="288" w:lineRule="auto"/>
              <w:jc w:val="left"/>
              <w:rPr>
                <w:rFonts w:asciiTheme="minorEastAsia" w:hAnsiTheme="minorEastAsia" w:eastAsiaTheme="minorEastAsia" w:cstheme="minorEastAsia"/>
                <w:sz w:val="20"/>
                <w:szCs w:val="20"/>
              </w:rPr>
            </w:pPr>
          </w:p>
        </w:tc>
        <w:tc>
          <w:tcPr>
            <w:tcW w:w="420" w:type="dxa"/>
          </w:tcPr>
          <w:p w14:paraId="409DDB0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420" w:type="dxa"/>
          </w:tcPr>
          <w:p w14:paraId="68BA727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22FA4BA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r>
      <w:tr w14:paraId="0A72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360" w:type="dxa"/>
            <w:vAlign w:val="center"/>
          </w:tcPr>
          <w:p w14:paraId="5560E12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454" w:type="dxa"/>
            <w:vAlign w:val="center"/>
          </w:tcPr>
          <w:p w14:paraId="6BB230D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社区健康服务与管理基本理论</w:t>
            </w:r>
          </w:p>
        </w:tc>
        <w:tc>
          <w:tcPr>
            <w:tcW w:w="2426" w:type="dxa"/>
          </w:tcPr>
          <w:p w14:paraId="692DE70E">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419C4EE2">
            <w:pPr>
              <w:numPr>
                <w:ilvl w:val="0"/>
                <w:numId w:val="4"/>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熟悉其基本内容及社区实践与应用。</w:t>
            </w:r>
          </w:p>
          <w:p w14:paraId="7FF7A4B6">
            <w:pPr>
              <w:numPr>
                <w:ilvl w:val="0"/>
                <w:numId w:val="4"/>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w:t>
            </w:r>
            <w:r>
              <w:rPr>
                <w:rFonts w:hint="eastAsia" w:asciiTheme="minorEastAsia" w:hAnsiTheme="minorEastAsia" w:eastAsiaTheme="minorEastAsia" w:cstheme="minorEastAsia"/>
                <w:sz w:val="20"/>
                <w:szCs w:val="20"/>
              </w:rPr>
              <w:t>三级预防理论的概念</w:t>
            </w:r>
          </w:p>
          <w:p w14:paraId="00B166B5">
            <w:pPr>
              <w:bidi w:val="0"/>
              <w:jc w:val="both"/>
              <w:rPr>
                <w:lang w:val="en-US" w:eastAsia="zh-CN"/>
              </w:rPr>
            </w:pPr>
          </w:p>
        </w:tc>
        <w:tc>
          <w:tcPr>
            <w:tcW w:w="2100" w:type="dxa"/>
          </w:tcPr>
          <w:p w14:paraId="7AC1E7AE">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能说出健康相关行为改变理论概念</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rPr>
              <w:t>熟悉其基本内容及社区实践与应用。</w:t>
            </w:r>
          </w:p>
          <w:p w14:paraId="3E9B97AC">
            <w:pPr>
              <w:numPr>
                <w:ilvl w:val="0"/>
                <w:numId w:val="0"/>
              </w:numPr>
              <w:snapToGrid w:val="0"/>
              <w:spacing w:line="288" w:lineRule="auto"/>
              <w:jc w:val="left"/>
              <w:rPr>
                <w:rFonts w:hint="eastAsia" w:asciiTheme="minorEastAsia" w:hAnsiTheme="minorEastAsia" w:eastAsiaTheme="minorEastAsia" w:cstheme="minorEastAsia"/>
                <w:sz w:val="20"/>
                <w:szCs w:val="20"/>
                <w:lang w:eastAsia="zh-CN"/>
              </w:rPr>
            </w:pPr>
          </w:p>
          <w:p w14:paraId="38DE68CD">
            <w:pPr>
              <w:snapToGrid w:val="0"/>
              <w:spacing w:line="288" w:lineRule="auto"/>
              <w:jc w:val="left"/>
              <w:rPr>
                <w:rFonts w:asciiTheme="minorEastAsia" w:hAnsiTheme="minorEastAsia" w:eastAsiaTheme="minorEastAsia" w:cstheme="minorEastAsia"/>
                <w:sz w:val="20"/>
                <w:szCs w:val="20"/>
              </w:rPr>
            </w:pPr>
          </w:p>
        </w:tc>
        <w:tc>
          <w:tcPr>
            <w:tcW w:w="1590" w:type="dxa"/>
          </w:tcPr>
          <w:p w14:paraId="2F9E324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充分理解社区健康服务与管理的相关理论，培养良好的态度</w:t>
            </w:r>
          </w:p>
        </w:tc>
        <w:tc>
          <w:tcPr>
            <w:tcW w:w="1506" w:type="dxa"/>
          </w:tcPr>
          <w:p w14:paraId="5C6E53E0">
            <w:pPr>
              <w:numPr>
                <w:ilvl w:val="0"/>
                <w:numId w:val="4"/>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68112EE7">
            <w:pPr>
              <w:snapToGrid w:val="0"/>
              <w:spacing w:line="288" w:lineRule="auto"/>
              <w:jc w:val="left"/>
              <w:rPr>
                <w:rFonts w:asciiTheme="minorEastAsia" w:hAnsiTheme="minorEastAsia" w:eastAsiaTheme="minorEastAsia" w:cstheme="minorEastAsia"/>
                <w:sz w:val="20"/>
                <w:szCs w:val="20"/>
              </w:rPr>
            </w:pPr>
          </w:p>
        </w:tc>
        <w:tc>
          <w:tcPr>
            <w:tcW w:w="420" w:type="dxa"/>
          </w:tcPr>
          <w:p w14:paraId="48187E3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690F197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428BFB8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1B52F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14:paraId="4D36185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454" w:type="dxa"/>
            <w:vAlign w:val="center"/>
          </w:tcPr>
          <w:p w14:paraId="5F02E56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社区健康服务模式及服务体系</w:t>
            </w:r>
          </w:p>
        </w:tc>
        <w:tc>
          <w:tcPr>
            <w:tcW w:w="2426" w:type="dxa"/>
          </w:tcPr>
          <w:p w14:paraId="674359B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掌握社区健康服务的特征，家庭医生签约服务模式,分级诊疗模式,健康服务机构服务内容。</w:t>
            </w:r>
          </w:p>
        </w:tc>
        <w:tc>
          <w:tcPr>
            <w:tcW w:w="2100" w:type="dxa"/>
          </w:tcPr>
          <w:p w14:paraId="2B281B9C">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区健康服务的特征，家庭医生签约服务模式,分级诊疗模式,健康服务机构服务内容</w:t>
            </w:r>
          </w:p>
          <w:p w14:paraId="256C1CAE">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p>
          <w:p w14:paraId="753A1F2B">
            <w:pPr>
              <w:snapToGrid w:val="0"/>
              <w:spacing w:line="288" w:lineRule="auto"/>
              <w:jc w:val="left"/>
              <w:rPr>
                <w:rFonts w:asciiTheme="minorEastAsia" w:hAnsiTheme="minorEastAsia" w:eastAsiaTheme="minorEastAsia" w:cstheme="minorEastAsia"/>
                <w:sz w:val="20"/>
                <w:szCs w:val="20"/>
              </w:rPr>
            </w:pPr>
          </w:p>
        </w:tc>
        <w:tc>
          <w:tcPr>
            <w:tcW w:w="1590" w:type="dxa"/>
          </w:tcPr>
          <w:p w14:paraId="466519F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14:paraId="3CAF438E">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掌握社区健康服务的特征，</w:t>
            </w:r>
          </w:p>
          <w:p w14:paraId="76823763">
            <w:pPr>
              <w:snapToGrid w:val="0"/>
              <w:spacing w:line="288" w:lineRule="auto"/>
              <w:jc w:val="left"/>
              <w:rPr>
                <w:rFonts w:asciiTheme="minorEastAsia" w:hAnsiTheme="minorEastAsia" w:eastAsiaTheme="minorEastAsia" w:cstheme="minorEastAsia"/>
                <w:sz w:val="20"/>
                <w:szCs w:val="20"/>
              </w:rPr>
            </w:pPr>
          </w:p>
        </w:tc>
        <w:tc>
          <w:tcPr>
            <w:tcW w:w="420" w:type="dxa"/>
          </w:tcPr>
          <w:p w14:paraId="44151AE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3F768A0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44FF8A8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4FA9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0" w:type="dxa"/>
            <w:vAlign w:val="center"/>
          </w:tcPr>
          <w:p w14:paraId="76E98D7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14:paraId="32BB856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社区健康监测与筛查技能</w:t>
            </w:r>
          </w:p>
        </w:tc>
        <w:tc>
          <w:tcPr>
            <w:tcW w:w="2426" w:type="dxa"/>
          </w:tcPr>
          <w:p w14:paraId="183FF4D3">
            <w:pPr>
              <w:numPr>
                <w:ilvl w:val="0"/>
                <w:numId w:val="0"/>
              </w:numPr>
              <w:snapToGrid w:val="0"/>
              <w:spacing w:line="288" w:lineRule="auto"/>
              <w:jc w:val="left"/>
              <w:rPr>
                <w:rFonts w:hint="eastAsia" w:asciiTheme="minorEastAsia" w:hAnsiTheme="minorEastAsia" w:eastAsiaTheme="minorEastAsia" w:cstheme="minorEastAsia"/>
                <w:sz w:val="20"/>
                <w:szCs w:val="20"/>
              </w:rPr>
            </w:pPr>
          </w:p>
          <w:p w14:paraId="79B0638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掌握社区健康监测与筛查的基本概念</w:t>
            </w:r>
          </w:p>
        </w:tc>
        <w:tc>
          <w:tcPr>
            <w:tcW w:w="2100" w:type="dxa"/>
          </w:tcPr>
          <w:p w14:paraId="0192840B">
            <w:pPr>
              <w:snapToGrid w:val="0"/>
              <w:spacing w:line="288" w:lineRule="auto"/>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社区健康监测与筛查的基本概念</w:t>
            </w:r>
          </w:p>
        </w:tc>
        <w:tc>
          <w:tcPr>
            <w:tcW w:w="1590" w:type="dxa"/>
          </w:tcPr>
          <w:p w14:paraId="366055F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对预防医学有初步了解，</w:t>
            </w:r>
            <w:r>
              <w:rPr>
                <w:rFonts w:hint="eastAsia" w:asciiTheme="minorEastAsia" w:hAnsiTheme="minorEastAsia" w:eastAsiaTheme="minorEastAsia" w:cstheme="minorEastAsia"/>
                <w:sz w:val="20"/>
                <w:szCs w:val="20"/>
              </w:rPr>
              <w:t>养成良好的生活习惯，做好宣教工作。</w:t>
            </w:r>
          </w:p>
        </w:tc>
        <w:tc>
          <w:tcPr>
            <w:tcW w:w="1506" w:type="dxa"/>
          </w:tcPr>
          <w:p w14:paraId="703A3F5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掌握社区健康监测与筛查的基本概念</w:t>
            </w:r>
          </w:p>
        </w:tc>
        <w:tc>
          <w:tcPr>
            <w:tcW w:w="420" w:type="dxa"/>
          </w:tcPr>
          <w:p w14:paraId="677D07DF">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25B3E81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14:paraId="7ED22F3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7425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1A4240B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454" w:type="dxa"/>
            <w:vAlign w:val="center"/>
          </w:tcPr>
          <w:p w14:paraId="52961FE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社区健康教育与健康促进技能</w:t>
            </w:r>
          </w:p>
        </w:tc>
        <w:tc>
          <w:tcPr>
            <w:tcW w:w="2426" w:type="dxa"/>
          </w:tcPr>
          <w:p w14:paraId="17FBE362">
            <w:pPr>
              <w:numPr>
                <w:ilvl w:val="0"/>
                <w:numId w:val="5"/>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p w14:paraId="24C93A8E">
            <w:pPr>
              <w:numPr>
                <w:ilvl w:val="0"/>
                <w:numId w:val="5"/>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熟悉社区健康教育与健康促进的任务及意义</w:t>
            </w:r>
          </w:p>
          <w:p w14:paraId="283AADD8">
            <w:pPr>
              <w:snapToGrid w:val="0"/>
              <w:spacing w:line="288" w:lineRule="auto"/>
              <w:jc w:val="left"/>
              <w:rPr>
                <w:rFonts w:asciiTheme="minorEastAsia" w:hAnsiTheme="minorEastAsia" w:eastAsiaTheme="minorEastAsia" w:cstheme="minorEastAsia"/>
                <w:sz w:val="20"/>
                <w:szCs w:val="20"/>
              </w:rPr>
            </w:pPr>
          </w:p>
        </w:tc>
        <w:tc>
          <w:tcPr>
            <w:tcW w:w="2100" w:type="dxa"/>
          </w:tcPr>
          <w:p w14:paraId="6357693E">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社区健康教育与健康促进的含义及联系</w:t>
            </w:r>
          </w:p>
          <w:p w14:paraId="64765423">
            <w:pPr>
              <w:snapToGrid w:val="0"/>
              <w:spacing w:line="288" w:lineRule="auto"/>
              <w:jc w:val="left"/>
              <w:rPr>
                <w:rFonts w:asciiTheme="minorEastAsia" w:hAnsiTheme="minorEastAsia" w:eastAsiaTheme="minorEastAsia" w:cstheme="minorEastAsia"/>
                <w:sz w:val="20"/>
                <w:szCs w:val="20"/>
              </w:rPr>
            </w:pPr>
          </w:p>
        </w:tc>
        <w:tc>
          <w:tcPr>
            <w:tcW w:w="1590" w:type="dxa"/>
          </w:tcPr>
          <w:p w14:paraId="357A344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14:paraId="2F936E0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掌握社区健康教育与健康促进的含义及联系</w:t>
            </w:r>
          </w:p>
        </w:tc>
        <w:tc>
          <w:tcPr>
            <w:tcW w:w="420" w:type="dxa"/>
          </w:tcPr>
          <w:p w14:paraId="2B8BE6C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064877A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14:paraId="6AD4C9E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74BE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1" w:hRule="atLeast"/>
          <w:jc w:val="center"/>
        </w:trPr>
        <w:tc>
          <w:tcPr>
            <w:tcW w:w="360" w:type="dxa"/>
            <w:vAlign w:val="center"/>
          </w:tcPr>
          <w:p w14:paraId="5714039D">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454" w:type="dxa"/>
            <w:vAlign w:val="center"/>
          </w:tcPr>
          <w:p w14:paraId="0E59B2B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社区营养健康管理技能</w:t>
            </w:r>
          </w:p>
        </w:tc>
        <w:tc>
          <w:tcPr>
            <w:tcW w:w="2426" w:type="dxa"/>
          </w:tcPr>
          <w:p w14:paraId="4464019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2E45E3D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2熟悉社区保健及营养干预、咨询及教育的方法与步骤</w:t>
            </w:r>
          </w:p>
          <w:p w14:paraId="53854073">
            <w:pPr>
              <w:snapToGrid w:val="0"/>
              <w:spacing w:line="288" w:lineRule="auto"/>
              <w:jc w:val="left"/>
              <w:rPr>
                <w:rFonts w:asciiTheme="minorEastAsia" w:hAnsiTheme="minorEastAsia" w:eastAsiaTheme="minorEastAsia" w:cstheme="minorEastAsia"/>
                <w:sz w:val="20"/>
                <w:szCs w:val="20"/>
              </w:rPr>
            </w:pPr>
          </w:p>
        </w:tc>
        <w:tc>
          <w:tcPr>
            <w:tcW w:w="2100" w:type="dxa"/>
          </w:tcPr>
          <w:p w14:paraId="2FCB193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能说出</w:t>
            </w:r>
            <w:r>
              <w:rPr>
                <w:rFonts w:hint="eastAsia" w:asciiTheme="minorEastAsia" w:hAnsiTheme="minorEastAsia" w:eastAsiaTheme="minorEastAsia" w:cstheme="minorEastAsia"/>
                <w:sz w:val="20"/>
                <w:szCs w:val="20"/>
                <w:lang w:val="en-US" w:eastAsia="zh-CN"/>
              </w:rPr>
              <w:t>社区营养调查及评价，营养健康信息收集及管理的方法</w:t>
            </w:r>
          </w:p>
          <w:p w14:paraId="14524E5D">
            <w:pPr>
              <w:snapToGrid w:val="0"/>
              <w:spacing w:line="288" w:lineRule="auto"/>
              <w:jc w:val="left"/>
              <w:rPr>
                <w:rFonts w:hint="default" w:asciiTheme="minorEastAsia" w:hAnsiTheme="minorEastAsia" w:eastAsiaTheme="minorEastAsia" w:cstheme="minorEastAsia"/>
                <w:sz w:val="20"/>
                <w:szCs w:val="20"/>
                <w:lang w:val="en-US" w:eastAsia="zh-CN"/>
              </w:rPr>
            </w:pPr>
          </w:p>
          <w:p w14:paraId="43736D45">
            <w:pPr>
              <w:snapToGrid w:val="0"/>
              <w:spacing w:line="288" w:lineRule="auto"/>
              <w:jc w:val="left"/>
              <w:rPr>
                <w:rFonts w:asciiTheme="minorEastAsia" w:hAnsiTheme="minorEastAsia" w:eastAsiaTheme="minorEastAsia" w:cstheme="minorEastAsia"/>
                <w:sz w:val="20"/>
                <w:szCs w:val="20"/>
              </w:rPr>
            </w:pPr>
          </w:p>
        </w:tc>
        <w:tc>
          <w:tcPr>
            <w:tcW w:w="1590" w:type="dxa"/>
          </w:tcPr>
          <w:p w14:paraId="5AD7EC0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充分理解社区营养调查的重要性，以及合理安排自己生活中所需要的营养，科学生活</w:t>
            </w:r>
          </w:p>
          <w:p w14:paraId="287D9904">
            <w:pPr>
              <w:snapToGrid w:val="0"/>
              <w:spacing w:line="288" w:lineRule="auto"/>
              <w:jc w:val="left"/>
              <w:rPr>
                <w:rFonts w:asciiTheme="minorEastAsia" w:hAnsiTheme="minorEastAsia" w:eastAsiaTheme="minorEastAsia" w:cstheme="minorEastAsia"/>
                <w:sz w:val="20"/>
                <w:szCs w:val="20"/>
              </w:rPr>
            </w:pPr>
          </w:p>
        </w:tc>
        <w:tc>
          <w:tcPr>
            <w:tcW w:w="1506" w:type="dxa"/>
          </w:tcPr>
          <w:p w14:paraId="11522F0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掌握社区营养调查及评价，营养健康信息收集及管理的方法</w:t>
            </w:r>
          </w:p>
          <w:p w14:paraId="70125E52">
            <w:pPr>
              <w:snapToGrid w:val="0"/>
              <w:spacing w:line="288" w:lineRule="auto"/>
              <w:jc w:val="left"/>
              <w:rPr>
                <w:rFonts w:asciiTheme="minorEastAsia" w:hAnsiTheme="minorEastAsia" w:eastAsiaTheme="minorEastAsia" w:cstheme="minorEastAsia"/>
                <w:sz w:val="20"/>
                <w:szCs w:val="20"/>
              </w:rPr>
            </w:pPr>
          </w:p>
        </w:tc>
        <w:tc>
          <w:tcPr>
            <w:tcW w:w="420" w:type="dxa"/>
            <w:vAlign w:val="top"/>
          </w:tcPr>
          <w:p w14:paraId="700CE766">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14:paraId="5CDB0946">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14:paraId="27DCA4C3">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14:paraId="607A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297F920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454" w:type="dxa"/>
            <w:vAlign w:val="center"/>
          </w:tcPr>
          <w:p w14:paraId="5F073BAF">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社区心理健康管理技能</w:t>
            </w:r>
          </w:p>
        </w:tc>
        <w:tc>
          <w:tcPr>
            <w:tcW w:w="2426" w:type="dxa"/>
          </w:tcPr>
          <w:p w14:paraId="1BBAE4B0">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0F17EC7A">
            <w:pPr>
              <w:numPr>
                <w:ilvl w:val="0"/>
                <w:numId w:val="0"/>
              </w:num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2.熟悉社区心理健康咨询的对象与任务，心理健康干预的概念及三个层次，社区心理健康干预方法。3.了解社区心理健康评估的工具，心理测验方法的分类，心理健康咨询的特点。</w:t>
            </w:r>
          </w:p>
        </w:tc>
        <w:tc>
          <w:tcPr>
            <w:tcW w:w="2100" w:type="dxa"/>
          </w:tcPr>
          <w:p w14:paraId="0FC19013">
            <w:pPr>
              <w:numPr>
                <w:ilvl w:val="0"/>
                <w:numId w:val="6"/>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能说出社区心理健康评估的方法，心理健康咨询的程序与技术,掌握社区常见心理健康问题及干预方法。</w:t>
            </w:r>
          </w:p>
          <w:p w14:paraId="1AF79BEB">
            <w:pPr>
              <w:snapToGrid w:val="0"/>
              <w:spacing w:line="288" w:lineRule="auto"/>
              <w:jc w:val="left"/>
              <w:rPr>
                <w:rFonts w:asciiTheme="minorEastAsia" w:hAnsiTheme="minorEastAsia" w:eastAsiaTheme="minorEastAsia" w:cstheme="minorEastAsia"/>
                <w:sz w:val="20"/>
                <w:szCs w:val="20"/>
              </w:rPr>
            </w:pPr>
          </w:p>
        </w:tc>
        <w:tc>
          <w:tcPr>
            <w:tcW w:w="1590" w:type="dxa"/>
          </w:tcPr>
          <w:p w14:paraId="08464619">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关心他人情绪问题</w:t>
            </w:r>
          </w:p>
        </w:tc>
        <w:tc>
          <w:tcPr>
            <w:tcW w:w="1506" w:type="dxa"/>
          </w:tcPr>
          <w:p w14:paraId="6189A1C5">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掌握社区心理健康评估的方法，心理健康咨询的程序与技术,掌握社区常见心理健康问题及干预方法。</w:t>
            </w:r>
          </w:p>
          <w:p w14:paraId="3F431D35">
            <w:pPr>
              <w:snapToGrid w:val="0"/>
              <w:spacing w:line="288" w:lineRule="auto"/>
              <w:jc w:val="left"/>
              <w:rPr>
                <w:rFonts w:asciiTheme="minorEastAsia" w:hAnsiTheme="minorEastAsia" w:eastAsiaTheme="minorEastAsia" w:cstheme="minorEastAsia"/>
                <w:sz w:val="20"/>
                <w:szCs w:val="20"/>
              </w:rPr>
            </w:pPr>
          </w:p>
        </w:tc>
        <w:tc>
          <w:tcPr>
            <w:tcW w:w="420" w:type="dxa"/>
          </w:tcPr>
          <w:p w14:paraId="36F02A3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0A3A05D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14:paraId="0ADA21F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7580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8250A9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54" w:type="dxa"/>
            <w:vAlign w:val="center"/>
          </w:tcPr>
          <w:p w14:paraId="456AF84F">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社区运动健康管理技能</w:t>
            </w:r>
          </w:p>
        </w:tc>
        <w:tc>
          <w:tcPr>
            <w:tcW w:w="2426" w:type="dxa"/>
          </w:tcPr>
          <w:p w14:paraId="37577E37">
            <w:pPr>
              <w:numPr>
                <w:ilvl w:val="0"/>
                <w:numId w:val="7"/>
              </w:numPr>
              <w:snapToGrid w:val="0"/>
              <w:spacing w:line="288" w:lineRule="auto"/>
              <w:jc w:val="left"/>
              <w:rPr>
                <w:rFonts w:hint="eastAsia" w:ascii="宋体" w:hAnsi="宋体" w:eastAsia="宋体" w:cs="宋体"/>
                <w:sz w:val="20"/>
                <w:szCs w:val="20"/>
              </w:rPr>
            </w:pPr>
            <w:r>
              <w:rPr>
                <w:rFonts w:hint="eastAsia" w:ascii="宋体" w:hAnsi="宋体" w:eastAsia="宋体" w:cs="宋体"/>
                <w:sz w:val="20"/>
                <w:szCs w:val="20"/>
              </w:rPr>
              <w:t>掌握社区常见的运动方式、社区运动干预的具体方法</w:t>
            </w:r>
          </w:p>
          <w:p w14:paraId="38BF9BE1">
            <w:pPr>
              <w:numPr>
                <w:ilvl w:val="0"/>
                <w:numId w:val="7"/>
              </w:numPr>
              <w:snapToGrid w:val="0"/>
              <w:spacing w:line="288" w:lineRule="auto"/>
              <w:ind w:left="0" w:leftChars="0" w:firstLine="0" w:firstLineChars="0"/>
              <w:jc w:val="left"/>
              <w:rPr>
                <w:rFonts w:hint="eastAsia" w:ascii="宋体" w:hAnsi="宋体" w:eastAsia="宋体" w:cs="宋体"/>
                <w:sz w:val="20"/>
                <w:szCs w:val="20"/>
              </w:rPr>
            </w:pPr>
            <w:r>
              <w:rPr>
                <w:rFonts w:hint="eastAsia" w:ascii="宋体" w:hAnsi="宋体" w:eastAsia="宋体" w:cs="宋体"/>
                <w:sz w:val="20"/>
                <w:szCs w:val="20"/>
              </w:rPr>
              <w:t>熟悉运动水平测量指标、体育活动方式与健身效果</w:t>
            </w:r>
          </w:p>
          <w:p w14:paraId="64273D6F">
            <w:pPr>
              <w:numPr>
                <w:ilvl w:val="0"/>
                <w:numId w:val="0"/>
              </w:numPr>
              <w:snapToGrid w:val="0"/>
              <w:spacing w:line="288" w:lineRule="auto"/>
              <w:ind w:leftChars="0"/>
              <w:jc w:val="left"/>
              <w:rPr>
                <w:rFonts w:asciiTheme="minorEastAsia" w:hAnsiTheme="minorEastAsia" w:eastAsiaTheme="minorEastAsia" w:cstheme="minorEastAsia"/>
                <w:sz w:val="20"/>
                <w:szCs w:val="20"/>
              </w:rPr>
            </w:pPr>
            <w:r>
              <w:rPr>
                <w:rFonts w:hint="eastAsia" w:ascii="宋体" w:hAnsi="宋体" w:eastAsia="宋体" w:cs="宋体"/>
                <w:sz w:val="20"/>
                <w:szCs w:val="20"/>
              </w:rPr>
              <w:t>3.了解 社区运动与健康概述、社区运动干预的原则。</w:t>
            </w:r>
          </w:p>
        </w:tc>
        <w:tc>
          <w:tcPr>
            <w:tcW w:w="2100" w:type="dxa"/>
          </w:tcPr>
          <w:p w14:paraId="32CF09FB">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能说出社区常见的运动方式、社区运动干预的具体方法</w:t>
            </w:r>
          </w:p>
          <w:p w14:paraId="1F8D9CA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w:t>
            </w:r>
          </w:p>
        </w:tc>
        <w:tc>
          <w:tcPr>
            <w:tcW w:w="1590" w:type="dxa"/>
          </w:tcPr>
          <w:p w14:paraId="11CFEB7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发现运动的趣味性，喜欢上运动。</w:t>
            </w:r>
          </w:p>
        </w:tc>
        <w:tc>
          <w:tcPr>
            <w:tcW w:w="1506" w:type="dxa"/>
          </w:tcPr>
          <w:p w14:paraId="26FC2051">
            <w:pPr>
              <w:numPr>
                <w:ilvl w:val="0"/>
                <w:numId w:val="0"/>
              </w:numPr>
              <w:snapToGrid w:val="0"/>
              <w:spacing w:line="288" w:lineRule="auto"/>
              <w:jc w:val="left"/>
              <w:rPr>
                <w:rFonts w:hint="eastAsia"/>
                <w:sz w:val="20"/>
                <w:szCs w:val="21"/>
              </w:rPr>
            </w:pPr>
            <w:r>
              <w:rPr>
                <w:rFonts w:hint="eastAsia"/>
                <w:sz w:val="20"/>
                <w:szCs w:val="21"/>
              </w:rPr>
              <w:t>掌握社区常见的运动方式、社区运动干预的具体方法</w:t>
            </w:r>
          </w:p>
          <w:p w14:paraId="1F1BDBE6">
            <w:pPr>
              <w:snapToGrid w:val="0"/>
              <w:spacing w:line="288" w:lineRule="auto"/>
              <w:jc w:val="left"/>
              <w:rPr>
                <w:rFonts w:asciiTheme="minorEastAsia" w:hAnsiTheme="minorEastAsia" w:eastAsiaTheme="minorEastAsia" w:cstheme="minorEastAsia"/>
                <w:sz w:val="20"/>
                <w:szCs w:val="20"/>
              </w:rPr>
            </w:pPr>
          </w:p>
        </w:tc>
        <w:tc>
          <w:tcPr>
            <w:tcW w:w="420" w:type="dxa"/>
          </w:tcPr>
          <w:p w14:paraId="5B1B7D2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622E540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14:paraId="4482431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2DE6E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8253F2B">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9</w:t>
            </w:r>
          </w:p>
        </w:tc>
        <w:tc>
          <w:tcPr>
            <w:tcW w:w="454" w:type="dxa"/>
            <w:vAlign w:val="center"/>
          </w:tcPr>
          <w:p w14:paraId="6EBE220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社区中医健康管理技能</w:t>
            </w:r>
          </w:p>
        </w:tc>
        <w:tc>
          <w:tcPr>
            <w:tcW w:w="2426" w:type="dxa"/>
          </w:tcPr>
          <w:p w14:paraId="01734CB8">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1.掌握四季养生理论，中医调畅情志方法。</w:t>
            </w:r>
          </w:p>
          <w:p w14:paraId="5A51C7C7">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2.熟悉饮食调养基本要求，中医外治法，如针灸法、刮疹法、拔罐法等</w:t>
            </w:r>
          </w:p>
          <w:p w14:paraId="4616AC8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六淫治病共同点，中医运动疗法。</w:t>
            </w:r>
          </w:p>
        </w:tc>
        <w:tc>
          <w:tcPr>
            <w:tcW w:w="2100" w:type="dxa"/>
          </w:tcPr>
          <w:p w14:paraId="00E361B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能说出掌握四季养生理论，中医调畅情志方法。</w:t>
            </w:r>
          </w:p>
          <w:p w14:paraId="38C7ABC7">
            <w:pPr>
              <w:snapToGrid w:val="0"/>
              <w:spacing w:line="288" w:lineRule="auto"/>
              <w:jc w:val="left"/>
              <w:rPr>
                <w:rFonts w:asciiTheme="minorEastAsia" w:hAnsiTheme="minorEastAsia" w:eastAsiaTheme="minorEastAsia" w:cstheme="minorEastAsia"/>
                <w:sz w:val="20"/>
                <w:szCs w:val="20"/>
              </w:rPr>
            </w:pPr>
          </w:p>
        </w:tc>
        <w:tc>
          <w:tcPr>
            <w:tcW w:w="1590" w:type="dxa"/>
          </w:tcPr>
          <w:p w14:paraId="2B14CC4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培学生对中医的兴趣</w:t>
            </w:r>
          </w:p>
        </w:tc>
        <w:tc>
          <w:tcPr>
            <w:tcW w:w="1506" w:type="dxa"/>
          </w:tcPr>
          <w:p w14:paraId="53ACC984">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掌握四季养生理论，中医调畅情志方法</w:t>
            </w:r>
          </w:p>
        </w:tc>
        <w:tc>
          <w:tcPr>
            <w:tcW w:w="420" w:type="dxa"/>
          </w:tcPr>
          <w:p w14:paraId="239BBD3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2183016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1" w:type="dxa"/>
          </w:tcPr>
          <w:p w14:paraId="2961CF8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w:t>
            </w:r>
          </w:p>
        </w:tc>
      </w:tr>
      <w:tr w14:paraId="52A2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D239077">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10</w:t>
            </w:r>
          </w:p>
        </w:tc>
        <w:tc>
          <w:tcPr>
            <w:tcW w:w="454" w:type="dxa"/>
            <w:vAlign w:val="center"/>
          </w:tcPr>
          <w:p w14:paraId="1DD458F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社区重点人群健康管理技能</w:t>
            </w:r>
          </w:p>
        </w:tc>
        <w:tc>
          <w:tcPr>
            <w:tcW w:w="2426" w:type="dxa"/>
          </w:tcPr>
          <w:p w14:paraId="0E8459AA">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1.掌握新生儿、婴幼儿、学龄前儿童的社区健康管理;预防接种管理。产后访视产后 42 天健康检查。老年人日常生活管理:老年人常见健康问题的管理。</w:t>
            </w:r>
          </w:p>
          <w:p w14:paraId="121F69A7">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2.熟悉 新生儿、婴幼儿、学龄前儿童常见健康问题管理。孕早期、孕中期和孕晚期健康管理。</w:t>
            </w:r>
          </w:p>
          <w:p w14:paraId="3213A46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 新生儿、婴幼儿、学龄前儿童的保健指导。老年人的健康评估;养老模式和健康管理。</w:t>
            </w:r>
          </w:p>
        </w:tc>
        <w:tc>
          <w:tcPr>
            <w:tcW w:w="2100" w:type="dxa"/>
          </w:tcPr>
          <w:p w14:paraId="29DC518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能说出新生儿、婴幼儿、学龄前儿童的社区健康管理;预防接种管理。产后访视产后 42 天健康检查。老年人日常生活管理:老年人常见健康问题的管理。</w:t>
            </w:r>
          </w:p>
          <w:p w14:paraId="77BBFB75">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w:t>
            </w:r>
          </w:p>
          <w:p w14:paraId="5FE8822D">
            <w:pPr>
              <w:snapToGrid w:val="0"/>
              <w:spacing w:line="288" w:lineRule="auto"/>
              <w:jc w:val="left"/>
              <w:rPr>
                <w:rFonts w:asciiTheme="minorEastAsia" w:hAnsiTheme="minorEastAsia" w:eastAsiaTheme="minorEastAsia" w:cstheme="minorEastAsia"/>
                <w:sz w:val="20"/>
                <w:szCs w:val="20"/>
              </w:rPr>
            </w:pPr>
          </w:p>
        </w:tc>
        <w:tc>
          <w:tcPr>
            <w:tcW w:w="1590" w:type="dxa"/>
          </w:tcPr>
          <w:p w14:paraId="7E8ACDEA">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关爱老人儿童身体健康，富有同理心</w:t>
            </w:r>
          </w:p>
        </w:tc>
        <w:tc>
          <w:tcPr>
            <w:tcW w:w="1506" w:type="dxa"/>
          </w:tcPr>
          <w:p w14:paraId="71B2E5D3">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掌握新生儿、婴幼儿、学龄前儿童的社区健康管理;预防接种管理。产后访视产后 42 天健康检查。老年人日常生活管理:老年人常见健康问题的管理。</w:t>
            </w:r>
          </w:p>
          <w:p w14:paraId="7EE8F734">
            <w:pPr>
              <w:snapToGrid w:val="0"/>
              <w:spacing w:line="288" w:lineRule="auto"/>
              <w:jc w:val="left"/>
              <w:rPr>
                <w:rFonts w:asciiTheme="minorEastAsia" w:hAnsiTheme="minorEastAsia" w:eastAsiaTheme="minorEastAsia" w:cstheme="minorEastAsia"/>
                <w:sz w:val="20"/>
                <w:szCs w:val="20"/>
              </w:rPr>
            </w:pPr>
          </w:p>
        </w:tc>
        <w:tc>
          <w:tcPr>
            <w:tcW w:w="420" w:type="dxa"/>
            <w:vAlign w:val="top"/>
          </w:tcPr>
          <w:p w14:paraId="7354F022">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14:paraId="2FA57F63">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14:paraId="7C07EC9A">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14:paraId="559A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3E2587B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11</w:t>
            </w:r>
          </w:p>
        </w:tc>
        <w:tc>
          <w:tcPr>
            <w:tcW w:w="454" w:type="dxa"/>
            <w:vAlign w:val="center"/>
          </w:tcPr>
          <w:p w14:paraId="1A6CD62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社区常见慢性病健康管理技能</w:t>
            </w:r>
          </w:p>
        </w:tc>
        <w:tc>
          <w:tcPr>
            <w:tcW w:w="2426" w:type="dxa"/>
          </w:tcPr>
          <w:p w14:paraId="6B145D7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1.掌握高血压、慢性阻塞性肺疾病和糖尿病的概念:原发性高血压、慢性阻塞性肺疾病和糖尿病病人的健康管理技能。</w:t>
            </w:r>
          </w:p>
          <w:p w14:paraId="5A71EAA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2.熟悉原发性高血压、慢性阻塞性肺疾病和糖尿病的监测与筛查:原发性高血压、慢性阻塞性肺疾病和糖尿病病人的随访与干预管理。</w:t>
            </w:r>
          </w:p>
          <w:p w14:paraId="7F0041F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原发性高血压、慢性阻塞性肺疾病和糖尿病的流行现状;原发性高血压、慢性阻塞性肺疾病和糖尿病的危险因素。</w:t>
            </w:r>
          </w:p>
        </w:tc>
        <w:tc>
          <w:tcPr>
            <w:tcW w:w="2100" w:type="dxa"/>
          </w:tcPr>
          <w:p w14:paraId="2B434F8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能说出高血压、慢性阻塞性肺疾病和糖尿病的概念:原发性高血压、慢性阻塞性肺疾病和糖尿病病人的健康管理技能</w:t>
            </w:r>
          </w:p>
        </w:tc>
        <w:tc>
          <w:tcPr>
            <w:tcW w:w="1590" w:type="dxa"/>
          </w:tcPr>
          <w:p w14:paraId="3DD83E0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认真学习，具有探索精神</w:t>
            </w:r>
          </w:p>
        </w:tc>
        <w:tc>
          <w:tcPr>
            <w:tcW w:w="1506" w:type="dxa"/>
          </w:tcPr>
          <w:p w14:paraId="2FA49D3D">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掌握高血压、慢性阻塞性肺疾病和糖尿病的概念:原发性高血压、慢性阻塞性肺疾病和糖尿病病人的健康管理技能。</w:t>
            </w:r>
          </w:p>
        </w:tc>
        <w:tc>
          <w:tcPr>
            <w:tcW w:w="420" w:type="dxa"/>
            <w:vAlign w:val="top"/>
          </w:tcPr>
          <w:p w14:paraId="341544AD">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14:paraId="7C94BC4E">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1</w:t>
            </w:r>
          </w:p>
        </w:tc>
        <w:tc>
          <w:tcPr>
            <w:tcW w:w="421" w:type="dxa"/>
            <w:vAlign w:val="top"/>
          </w:tcPr>
          <w:p w14:paraId="59C93279">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kern w:val="2"/>
                <w:sz w:val="20"/>
                <w:szCs w:val="20"/>
                <w:lang w:val="en-US" w:eastAsia="zh-CN" w:bidi="ar-SA"/>
              </w:rPr>
              <w:t>2</w:t>
            </w:r>
          </w:p>
        </w:tc>
      </w:tr>
      <w:tr w14:paraId="6EC4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04D21C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12</w:t>
            </w:r>
          </w:p>
        </w:tc>
        <w:tc>
          <w:tcPr>
            <w:tcW w:w="454" w:type="dxa"/>
            <w:vAlign w:val="center"/>
          </w:tcPr>
          <w:p w14:paraId="492260D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社区健康风险评估与社区健康服务计划</w:t>
            </w:r>
          </w:p>
        </w:tc>
        <w:tc>
          <w:tcPr>
            <w:tcW w:w="2426" w:type="dxa"/>
          </w:tcPr>
          <w:p w14:paraId="3011E56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2100" w:type="dxa"/>
          </w:tcPr>
          <w:p w14:paraId="24622A60">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能说出社区健康风险评估、社区健康服务计划与社区健康服务评价的流程。</w:t>
            </w:r>
          </w:p>
        </w:tc>
        <w:tc>
          <w:tcPr>
            <w:tcW w:w="1590" w:type="dxa"/>
          </w:tcPr>
          <w:p w14:paraId="0455BA51">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培养学生耐心与细心</w:t>
            </w:r>
          </w:p>
        </w:tc>
        <w:tc>
          <w:tcPr>
            <w:tcW w:w="1506" w:type="dxa"/>
          </w:tcPr>
          <w:p w14:paraId="7EF41027">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掌握社区健康风险评估、社区健康服务计划与社区健康服务评价的流程。</w:t>
            </w:r>
          </w:p>
        </w:tc>
        <w:tc>
          <w:tcPr>
            <w:tcW w:w="420" w:type="dxa"/>
          </w:tcPr>
          <w:p w14:paraId="11BBC01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794753D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43C0D06C">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4A9D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6CB4B78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c>
          <w:tcPr>
            <w:tcW w:w="454" w:type="dxa"/>
            <w:vAlign w:val="center"/>
          </w:tcPr>
          <w:p w14:paraId="5D724646">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社区健康服务人力资源管理</w:t>
            </w:r>
          </w:p>
        </w:tc>
        <w:tc>
          <w:tcPr>
            <w:tcW w:w="2426" w:type="dxa"/>
          </w:tcPr>
          <w:p w14:paraId="68528F6D">
            <w:pPr>
              <w:numPr>
                <w:ilvl w:val="0"/>
                <w:numId w:val="8"/>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6125E566">
            <w:pPr>
              <w:numPr>
                <w:ilvl w:val="0"/>
                <w:numId w:val="8"/>
              </w:numPr>
              <w:snapToGrid w:val="0"/>
              <w:spacing w:line="288" w:lineRule="auto"/>
              <w:ind w:left="0" w:leftChars="0" w:firstLine="0" w:firstLine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熟悉社区健康服务人力招募、培训与使用的基本内容</w:t>
            </w:r>
          </w:p>
          <w:p w14:paraId="069D2B44">
            <w:pPr>
              <w:numPr>
                <w:ilvl w:val="0"/>
                <w:numId w:val="0"/>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 社区健康服务人力资源的概念、特征、目标、职能。</w:t>
            </w:r>
          </w:p>
        </w:tc>
        <w:tc>
          <w:tcPr>
            <w:tcW w:w="2100" w:type="dxa"/>
          </w:tcPr>
          <w:p w14:paraId="2DF09A6F">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能说出社区健康服务人力资源规划、结构、配置及方法</w:t>
            </w:r>
          </w:p>
          <w:p w14:paraId="132955CE">
            <w:p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14:paraId="040A690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14:paraId="2DF8D812">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掌握社区健康服务人力资源规划、结构、配置及方法</w:t>
            </w:r>
          </w:p>
          <w:p w14:paraId="021EFFBC">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tcPr>
          <w:p w14:paraId="7694B30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tcPr>
          <w:p w14:paraId="2036F902">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1D4DAA9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7B945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53252244">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14</w:t>
            </w:r>
          </w:p>
        </w:tc>
        <w:tc>
          <w:tcPr>
            <w:tcW w:w="454" w:type="dxa"/>
            <w:vAlign w:val="center"/>
          </w:tcPr>
          <w:p w14:paraId="7326F8AE">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社区健康服务资金管理</w:t>
            </w:r>
          </w:p>
        </w:tc>
        <w:tc>
          <w:tcPr>
            <w:tcW w:w="2426" w:type="dxa"/>
          </w:tcPr>
          <w:p w14:paraId="71C52937">
            <w:pPr>
              <w:numPr>
                <w:ilvl w:val="0"/>
                <w:numId w:val="9"/>
              </w:numPr>
              <w:snapToGrid w:val="0"/>
              <w:spacing w:line="288" w:lineRule="auto"/>
              <w:ind w:leftChars="0"/>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51B8F7B5">
            <w:pPr>
              <w:numPr>
                <w:ilvl w:val="0"/>
                <w:numId w:val="9"/>
              </w:numPr>
              <w:snapToGrid w:val="0"/>
              <w:spacing w:line="288" w:lineRule="auto"/>
              <w:ind w:leftChars="0"/>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熟悉资金概念和类型，资金管理概念、原则及模式</w:t>
            </w:r>
          </w:p>
        </w:tc>
        <w:tc>
          <w:tcPr>
            <w:tcW w:w="2100" w:type="dxa"/>
          </w:tcPr>
          <w:p w14:paraId="196782D7">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能说出社区健康服务资金管理的内涵，社区健康服务资金筹集、拨付使用、监管及优化。</w:t>
            </w:r>
          </w:p>
        </w:tc>
        <w:tc>
          <w:tcPr>
            <w:tcW w:w="1590" w:type="dxa"/>
          </w:tcPr>
          <w:p w14:paraId="211C90B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506" w:type="dxa"/>
          </w:tcPr>
          <w:p w14:paraId="2EF53ED6">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掌握社区健康服务资金管理的内涵，社区健康服务资金筹集、拨付使用、监管及优化。</w:t>
            </w:r>
          </w:p>
          <w:p w14:paraId="672049FE">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14:paraId="4B4C1AED">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420" w:type="dxa"/>
            <w:vAlign w:val="top"/>
          </w:tcPr>
          <w:p w14:paraId="454C3493">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vAlign w:val="top"/>
          </w:tcPr>
          <w:p w14:paraId="6467D1F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r>
      <w:tr w14:paraId="17B1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47658A1E">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15</w:t>
            </w:r>
          </w:p>
        </w:tc>
        <w:tc>
          <w:tcPr>
            <w:tcW w:w="454" w:type="dxa"/>
            <w:vAlign w:val="center"/>
          </w:tcPr>
          <w:p w14:paraId="2FBBAF7C">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社区健康信息管理</w:t>
            </w:r>
          </w:p>
        </w:tc>
        <w:tc>
          <w:tcPr>
            <w:tcW w:w="2426" w:type="dxa"/>
          </w:tcPr>
          <w:p w14:paraId="41EA780A">
            <w:pPr>
              <w:numPr>
                <w:ilvl w:val="0"/>
                <w:numId w:val="1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掌握社区健康信息，社区健康信息管理的概念;社区健康信息系统的构成。</w:t>
            </w:r>
          </w:p>
          <w:p w14:paraId="6A693BAF">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2.熟悉社区健康信息管理的内容:社区电子(居民)健康档案管理系统、公共卫生信息系统的主要内容。</w:t>
            </w:r>
          </w:p>
        </w:tc>
        <w:tc>
          <w:tcPr>
            <w:tcW w:w="2100" w:type="dxa"/>
          </w:tcPr>
          <w:p w14:paraId="5FF6997B">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能说出社区健康信息，社区健康信息管理的概念;社区健康信息系统的构成。</w:t>
            </w:r>
          </w:p>
        </w:tc>
        <w:tc>
          <w:tcPr>
            <w:tcW w:w="1590" w:type="dxa"/>
          </w:tcPr>
          <w:p w14:paraId="4380379A">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具有严谨、统筹规划的工作精神</w:t>
            </w:r>
          </w:p>
        </w:tc>
        <w:tc>
          <w:tcPr>
            <w:tcW w:w="1506" w:type="dxa"/>
          </w:tcPr>
          <w:p w14:paraId="72890374">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掌握社区健康信息，社区健康信息管理的概念;社区健康信息系统的构成。</w:t>
            </w:r>
          </w:p>
          <w:p w14:paraId="5375932F">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14:paraId="092608E0">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14:paraId="48F1A63B">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421" w:type="dxa"/>
            <w:vAlign w:val="top"/>
          </w:tcPr>
          <w:p w14:paraId="2EF46738">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r>
      <w:tr w14:paraId="6C64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78069525">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16</w:t>
            </w:r>
          </w:p>
        </w:tc>
        <w:tc>
          <w:tcPr>
            <w:tcW w:w="454" w:type="dxa"/>
            <w:vAlign w:val="center"/>
          </w:tcPr>
          <w:p w14:paraId="2BB8C26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社区健康服务绩效管理</w:t>
            </w:r>
          </w:p>
        </w:tc>
        <w:tc>
          <w:tcPr>
            <w:tcW w:w="2426" w:type="dxa"/>
          </w:tcPr>
          <w:p w14:paraId="1D2043F8">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1.掌握社区健康服务绩效管理的概念;社区健康服务绩效管理的基本内容;社区健康服务绩效评估程序。</w:t>
            </w:r>
          </w:p>
          <w:p w14:paraId="635046E9">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2.熟悉社区健康服务绩效管理的目的和原则;基本公共卫生服务绩效管理和基医疗服务绩效管理。</w:t>
            </w:r>
          </w:p>
          <w:p w14:paraId="67D841D0">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3.了解社区健康服务绩效评估方式和方法:基本公共卫生服务绩效考核指标</w:t>
            </w:r>
          </w:p>
        </w:tc>
        <w:tc>
          <w:tcPr>
            <w:tcW w:w="2100" w:type="dxa"/>
          </w:tcPr>
          <w:p w14:paraId="05F81B43">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能说出社区健康服务绩效管理的概念;社区健康服务绩效管理的基本内容;社区健康服务绩效评估程序。</w:t>
            </w:r>
          </w:p>
          <w:p w14:paraId="56CABCD1">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14:paraId="38A3FE65">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充分理解社区健康服务与管理的绩效管理，培养良好的态度</w:t>
            </w:r>
          </w:p>
        </w:tc>
        <w:tc>
          <w:tcPr>
            <w:tcW w:w="1506" w:type="dxa"/>
          </w:tcPr>
          <w:p w14:paraId="12913675">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掌握社区健康服务绩效管理的概念;社区健康服务绩效管理的基本内容;社区健康服务绩效评估程序。</w:t>
            </w:r>
          </w:p>
          <w:p w14:paraId="2B318970">
            <w:pPr>
              <w:snapToGrid w:val="0"/>
              <w:spacing w:line="288" w:lineRule="auto"/>
              <w:jc w:val="left"/>
              <w:rPr>
                <w:rFonts w:hint="eastAsia" w:asciiTheme="minorEastAsia" w:hAnsiTheme="minorEastAsia" w:eastAsiaTheme="minorEastAsia" w:cstheme="minorEastAsia"/>
                <w:sz w:val="20"/>
                <w:szCs w:val="20"/>
                <w:lang w:val="en-US" w:eastAsia="zh-CN"/>
              </w:rPr>
            </w:pPr>
          </w:p>
        </w:tc>
        <w:tc>
          <w:tcPr>
            <w:tcW w:w="420" w:type="dxa"/>
            <w:vAlign w:val="top"/>
          </w:tcPr>
          <w:p w14:paraId="060F407D">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c>
          <w:tcPr>
            <w:tcW w:w="420" w:type="dxa"/>
            <w:vAlign w:val="top"/>
          </w:tcPr>
          <w:p w14:paraId="7E0E53E0">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0</w:t>
            </w:r>
          </w:p>
        </w:tc>
        <w:tc>
          <w:tcPr>
            <w:tcW w:w="421" w:type="dxa"/>
            <w:vAlign w:val="top"/>
          </w:tcPr>
          <w:p w14:paraId="362E5CFE">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1</w:t>
            </w:r>
          </w:p>
        </w:tc>
      </w:tr>
      <w:tr w14:paraId="431C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14:paraId="0EE1568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17</w:t>
            </w:r>
          </w:p>
        </w:tc>
        <w:tc>
          <w:tcPr>
            <w:tcW w:w="454" w:type="dxa"/>
            <w:vAlign w:val="center"/>
          </w:tcPr>
          <w:p w14:paraId="191E637D">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社区健康服务与管理的经济学评价</w:t>
            </w:r>
          </w:p>
        </w:tc>
        <w:tc>
          <w:tcPr>
            <w:tcW w:w="2426" w:type="dxa"/>
          </w:tcPr>
          <w:p w14:paraId="144FDD5D">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1.掌握卫生经济学评价的概念;卫生经济学评价的步骤。</w:t>
            </w:r>
          </w:p>
          <w:p w14:paraId="05EDBC51">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2.熟悉成本、效益、效果、效用的测量;成本效果分析、成本效用分析、成本效益分析判别标准。</w:t>
            </w:r>
          </w:p>
          <w:p w14:paraId="09487526">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3.了解有形成本与无形成本;卫生经济学评价应用于社区健康服务与管理的作用</w:t>
            </w:r>
          </w:p>
        </w:tc>
        <w:tc>
          <w:tcPr>
            <w:tcW w:w="2100" w:type="dxa"/>
          </w:tcPr>
          <w:p w14:paraId="52A3C42B">
            <w:pPr>
              <w:numPr>
                <w:ilvl w:val="0"/>
                <w:numId w:val="0"/>
              </w:num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能说出掌握卫生经济学评价的概念;卫生经济学评价的步骤。</w:t>
            </w:r>
          </w:p>
          <w:p w14:paraId="663FA7BE">
            <w:pPr>
              <w:numPr>
                <w:ilvl w:val="0"/>
                <w:numId w:val="0"/>
              </w:numPr>
              <w:snapToGrid w:val="0"/>
              <w:spacing w:line="288" w:lineRule="auto"/>
              <w:jc w:val="left"/>
              <w:rPr>
                <w:rFonts w:hint="default" w:asciiTheme="minorEastAsia" w:hAnsiTheme="minorEastAsia" w:eastAsiaTheme="minorEastAsia" w:cstheme="minorEastAsia"/>
                <w:sz w:val="20"/>
                <w:szCs w:val="20"/>
                <w:lang w:val="en-US" w:eastAsia="zh-CN"/>
              </w:rPr>
            </w:pPr>
          </w:p>
        </w:tc>
        <w:tc>
          <w:tcPr>
            <w:tcW w:w="1590" w:type="dxa"/>
          </w:tcPr>
          <w:p w14:paraId="2C82E462">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具有认真学好</w:t>
            </w:r>
            <w:r>
              <w:rPr>
                <w:rFonts w:hint="eastAsia" w:asciiTheme="minorEastAsia" w:hAnsiTheme="minorEastAsia" w:eastAsiaTheme="minorEastAsia" w:cstheme="minorEastAsia"/>
                <w:sz w:val="20"/>
                <w:szCs w:val="20"/>
                <w:lang w:val="en-US" w:eastAsia="zh-CN"/>
              </w:rPr>
              <w:t>社区健康服务与管理的</w:t>
            </w:r>
            <w:r>
              <w:rPr>
                <w:rFonts w:hint="eastAsia" w:asciiTheme="minorEastAsia" w:hAnsiTheme="minorEastAsia" w:eastAsiaTheme="minorEastAsia" w:cstheme="minorEastAsia"/>
                <w:sz w:val="20"/>
                <w:szCs w:val="20"/>
              </w:rPr>
              <w:t>科学态度</w:t>
            </w:r>
          </w:p>
        </w:tc>
        <w:tc>
          <w:tcPr>
            <w:tcW w:w="1506" w:type="dxa"/>
          </w:tcPr>
          <w:p w14:paraId="4800DA7B">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掌握卫生经济学评价的概念;卫生经济学评价的步骤。</w:t>
            </w:r>
          </w:p>
        </w:tc>
        <w:tc>
          <w:tcPr>
            <w:tcW w:w="420" w:type="dxa"/>
          </w:tcPr>
          <w:p w14:paraId="66BA33F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c>
          <w:tcPr>
            <w:tcW w:w="420" w:type="dxa"/>
          </w:tcPr>
          <w:p w14:paraId="0E5334A6">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w:t>
            </w:r>
          </w:p>
        </w:tc>
        <w:tc>
          <w:tcPr>
            <w:tcW w:w="421" w:type="dxa"/>
          </w:tcPr>
          <w:p w14:paraId="47C60FE8">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0.5</w:t>
            </w:r>
          </w:p>
        </w:tc>
      </w:tr>
    </w:tbl>
    <w:p w14:paraId="5B2A6390">
      <w:pPr>
        <w:snapToGrid w:val="0"/>
        <w:spacing w:line="288" w:lineRule="auto"/>
        <w:jc w:val="left"/>
        <w:rPr>
          <w:rFonts w:asciiTheme="minorEastAsia" w:hAnsiTheme="minorEastAsia" w:eastAsiaTheme="minorEastAsia" w:cstheme="minorEastAsia"/>
          <w:sz w:val="20"/>
          <w:szCs w:val="20"/>
        </w:rPr>
      </w:pPr>
    </w:p>
    <w:p w14:paraId="02165F8F">
      <w:pPr>
        <w:snapToGrid w:val="0"/>
        <w:spacing w:line="288" w:lineRule="auto"/>
        <w:jc w:val="left"/>
        <w:rPr>
          <w:rFonts w:asciiTheme="minorEastAsia" w:hAnsiTheme="minorEastAsia" w:eastAsiaTheme="minorEastAsia" w:cstheme="minorEastAsia"/>
          <w:sz w:val="20"/>
          <w:szCs w:val="20"/>
        </w:rPr>
      </w:pPr>
    </w:p>
    <w:p w14:paraId="6970A082">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2401"/>
        <w:gridCol w:w="3427"/>
        <w:gridCol w:w="1054"/>
        <w:gridCol w:w="1178"/>
        <w:gridCol w:w="758"/>
      </w:tblGrid>
      <w:tr w14:paraId="53A7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037125D4">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序号</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EA8DF31">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实验名称</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center"/>
          </w:tcPr>
          <w:p w14:paraId="38CB469F">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主要内容</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0CE77A6E">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实验时数</w:t>
            </w:r>
          </w:p>
        </w:tc>
        <w:tc>
          <w:tcPr>
            <w:tcW w:w="1178" w:type="dxa"/>
            <w:tcBorders>
              <w:top w:val="single" w:color="auto" w:sz="4" w:space="0"/>
              <w:left w:val="single" w:color="auto" w:sz="4" w:space="0"/>
              <w:right w:val="single" w:color="auto" w:sz="4" w:space="0"/>
            </w:tcBorders>
            <w:shd w:val="clear" w:color="auto" w:fill="auto"/>
            <w:vAlign w:val="center"/>
          </w:tcPr>
          <w:p w14:paraId="6FFE7304">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实验类型</w:t>
            </w:r>
          </w:p>
        </w:tc>
        <w:tc>
          <w:tcPr>
            <w:tcW w:w="758" w:type="dxa"/>
            <w:tcBorders>
              <w:top w:val="single" w:color="auto" w:sz="4" w:space="0"/>
              <w:left w:val="single" w:color="auto" w:sz="4" w:space="0"/>
              <w:right w:val="single" w:color="auto" w:sz="4" w:space="0"/>
            </w:tcBorders>
            <w:shd w:val="clear" w:color="auto" w:fill="auto"/>
            <w:vAlign w:val="center"/>
          </w:tcPr>
          <w:p w14:paraId="6AFEE3DC">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备注</w:t>
            </w:r>
          </w:p>
        </w:tc>
      </w:tr>
      <w:tr w14:paraId="5F71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ED30B9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4DC5A5A">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社区健康监测与筛查技能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71258FB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社区健康监测与筛查的基本概念</w:t>
            </w:r>
            <w:r>
              <w:rPr>
                <w:rFonts w:hint="eastAsia" w:asciiTheme="minorEastAsia" w:hAnsiTheme="minorEastAsia" w:eastAsiaTheme="minorEastAsia" w:cstheme="minorEastAsia"/>
                <w:sz w:val="20"/>
                <w:szCs w:val="20"/>
                <w:lang w:val="zh-CN"/>
              </w:rPr>
              <w:t>。</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42F7E7C5">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4DD35A61">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3452C118">
            <w:pPr>
              <w:snapToGrid w:val="0"/>
              <w:spacing w:line="288" w:lineRule="auto"/>
              <w:jc w:val="left"/>
              <w:rPr>
                <w:rFonts w:asciiTheme="minorEastAsia" w:hAnsiTheme="minorEastAsia" w:eastAsiaTheme="minorEastAsia" w:cstheme="minorEastAsia"/>
                <w:sz w:val="20"/>
                <w:szCs w:val="20"/>
              </w:rPr>
            </w:pPr>
          </w:p>
        </w:tc>
      </w:tr>
      <w:tr w14:paraId="2397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2A534D3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0F5CC426">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社区心理健康管理技能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5F503D28">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社区心理健康评估的方法，心理健康咨询的程序与技术,掌握社区常见心理健康问题及干预方法。</w:t>
            </w:r>
          </w:p>
          <w:p w14:paraId="0B594AAB">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098CA9F2">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1AE0C76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388400E9">
            <w:pPr>
              <w:snapToGrid w:val="0"/>
              <w:spacing w:line="288" w:lineRule="auto"/>
              <w:jc w:val="left"/>
              <w:rPr>
                <w:rFonts w:asciiTheme="minorEastAsia" w:hAnsiTheme="minorEastAsia" w:eastAsiaTheme="minorEastAsia" w:cstheme="minorEastAsia"/>
                <w:sz w:val="20"/>
                <w:szCs w:val="20"/>
              </w:rPr>
            </w:pPr>
          </w:p>
        </w:tc>
      </w:tr>
      <w:tr w14:paraId="1D34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E3E95CD">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5DAA35F">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社区营养健康管理技能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7287C5CB">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社区营养调查及评价，营养健康信息收集及管理的方法</w:t>
            </w:r>
          </w:p>
          <w:p w14:paraId="1DC0ABA9">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60DA9D70">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3476A029">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68E225C5">
            <w:pPr>
              <w:snapToGrid w:val="0"/>
              <w:spacing w:line="288" w:lineRule="auto"/>
              <w:jc w:val="left"/>
              <w:rPr>
                <w:rFonts w:asciiTheme="minorEastAsia" w:hAnsiTheme="minorEastAsia" w:eastAsiaTheme="minorEastAsia" w:cstheme="minorEastAsia"/>
                <w:sz w:val="20"/>
                <w:szCs w:val="20"/>
              </w:rPr>
            </w:pPr>
          </w:p>
        </w:tc>
      </w:tr>
      <w:tr w14:paraId="5C54E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10BAB3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F4B7398">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社区健康教育与健康促进技能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7A6465DD">
            <w:pPr>
              <w:numPr>
                <w:ilvl w:val="0"/>
                <w:numId w:val="0"/>
              </w:num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掌握健康相关行为改变理论概念</w:t>
            </w:r>
          </w:p>
          <w:p w14:paraId="579C57F9">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725DC9FD">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3923E415">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1B1672CC">
            <w:pPr>
              <w:snapToGrid w:val="0"/>
              <w:spacing w:line="288" w:lineRule="auto"/>
              <w:jc w:val="left"/>
              <w:rPr>
                <w:rFonts w:asciiTheme="minorEastAsia" w:hAnsiTheme="minorEastAsia" w:eastAsiaTheme="minorEastAsia" w:cstheme="minorEastAsia"/>
                <w:sz w:val="20"/>
                <w:szCs w:val="20"/>
              </w:rPr>
            </w:pPr>
          </w:p>
        </w:tc>
      </w:tr>
      <w:tr w14:paraId="7ECB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1CE5A22">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5623019E">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社区运动健康管理技能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tcPr>
          <w:p w14:paraId="13F73AF1">
            <w:pPr>
              <w:numPr>
                <w:ilvl w:val="0"/>
                <w:numId w:val="0"/>
              </w:numPr>
              <w:snapToGrid w:val="0"/>
              <w:spacing w:line="288" w:lineRule="auto"/>
              <w:ind w:leftChars="0"/>
              <w:jc w:val="left"/>
              <w:rPr>
                <w:rFonts w:hint="eastAsia" w:ascii="宋体" w:hAnsi="宋体" w:eastAsia="宋体" w:cs="宋体"/>
                <w:sz w:val="20"/>
                <w:szCs w:val="20"/>
              </w:rPr>
            </w:pPr>
            <w:r>
              <w:rPr>
                <w:rFonts w:hint="eastAsia" w:ascii="宋体" w:hAnsi="宋体" w:eastAsia="宋体" w:cs="宋体"/>
                <w:sz w:val="20"/>
                <w:szCs w:val="20"/>
              </w:rPr>
              <w:t>社区常见的运动方式、社区运动干预的具体方法</w:t>
            </w:r>
          </w:p>
          <w:p w14:paraId="52DD4C44">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5F673EF7">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6DC40818">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7C7EBE5F">
            <w:pPr>
              <w:snapToGrid w:val="0"/>
              <w:spacing w:line="288" w:lineRule="auto"/>
              <w:jc w:val="left"/>
              <w:rPr>
                <w:rFonts w:asciiTheme="minorEastAsia" w:hAnsiTheme="minorEastAsia" w:eastAsiaTheme="minorEastAsia" w:cstheme="minorEastAsia"/>
                <w:sz w:val="20"/>
                <w:szCs w:val="20"/>
              </w:rPr>
            </w:pPr>
          </w:p>
        </w:tc>
      </w:tr>
      <w:tr w14:paraId="054C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719EE792">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6</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7C9E4F32">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社区中医健康管理技能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14:paraId="4628074B">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1四季养生理论，中医调畅情志方法。</w:t>
            </w:r>
          </w:p>
          <w:p w14:paraId="30CF1ED9">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如针灸法、刮疹法、拔罐法等</w:t>
            </w:r>
          </w:p>
          <w:p w14:paraId="64A3531D">
            <w:pPr>
              <w:snapToGrid w:val="0"/>
              <w:spacing w:line="288" w:lineRule="auto"/>
              <w:jc w:val="left"/>
              <w:rPr>
                <w:rFonts w:asciiTheme="minorEastAsia" w:hAnsiTheme="minorEastAsia" w:eastAsiaTheme="minorEastAsia" w:cstheme="minorEastAsia"/>
                <w:sz w:val="20"/>
                <w:szCs w:val="20"/>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1EA33181">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2567E8CC">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5A126753">
            <w:pPr>
              <w:snapToGrid w:val="0"/>
              <w:spacing w:line="288" w:lineRule="auto"/>
              <w:jc w:val="left"/>
              <w:rPr>
                <w:rFonts w:asciiTheme="minorEastAsia" w:hAnsiTheme="minorEastAsia" w:eastAsiaTheme="minorEastAsia" w:cstheme="minorEastAsia"/>
                <w:sz w:val="20"/>
                <w:szCs w:val="20"/>
              </w:rPr>
            </w:pPr>
          </w:p>
        </w:tc>
      </w:tr>
      <w:tr w14:paraId="0EDB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D52443F">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7</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2224D80E">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社区重点人群健康管理技能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14:paraId="34482461">
            <w:pPr>
              <w:snapToGrid w:val="0"/>
              <w:spacing w:line="288" w:lineRule="auto"/>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新生儿、婴幼儿、学龄前儿童的社区健康管理;预防接种管理。产后访视产后 42 天健康检查。老年人日常生活管理:老年人常见健康问题的管理。</w:t>
            </w:r>
          </w:p>
          <w:p w14:paraId="11047CDC">
            <w:pPr>
              <w:snapToGrid w:val="0"/>
              <w:spacing w:line="288" w:lineRule="auto"/>
              <w:jc w:val="left"/>
              <w:rPr>
                <w:rFonts w:asciiTheme="minorEastAsia" w:hAnsiTheme="minorEastAsia" w:eastAsiaTheme="minorEastAsia" w:cstheme="minorEastAsia"/>
                <w:kern w:val="2"/>
                <w:sz w:val="20"/>
                <w:szCs w:val="20"/>
                <w:lang w:val="en-US" w:eastAsia="zh-CN" w:bidi="ar-SA"/>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64A30E10">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58A40BA2">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5E00432A">
            <w:pPr>
              <w:snapToGrid w:val="0"/>
              <w:spacing w:line="288" w:lineRule="auto"/>
              <w:jc w:val="left"/>
              <w:rPr>
                <w:rFonts w:asciiTheme="minorEastAsia" w:hAnsiTheme="minorEastAsia" w:eastAsiaTheme="minorEastAsia" w:cstheme="minorEastAsia"/>
                <w:sz w:val="20"/>
                <w:szCs w:val="20"/>
              </w:rPr>
            </w:pPr>
          </w:p>
        </w:tc>
      </w:tr>
      <w:tr w14:paraId="30AF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14:paraId="45AB116A">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2401" w:type="dxa"/>
            <w:tcBorders>
              <w:top w:val="single" w:color="auto" w:sz="4" w:space="0"/>
              <w:left w:val="single" w:color="auto" w:sz="4" w:space="0"/>
              <w:bottom w:val="single" w:color="auto" w:sz="4" w:space="0"/>
              <w:right w:val="single" w:color="auto" w:sz="4" w:space="0"/>
            </w:tcBorders>
            <w:shd w:val="clear" w:color="auto" w:fill="auto"/>
            <w:vAlign w:val="center"/>
          </w:tcPr>
          <w:p w14:paraId="6DA8E9A2">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lang w:val="en-US" w:eastAsia="zh-CN"/>
              </w:rPr>
              <w:t>社区常见慢性病健康管理技能</w:t>
            </w:r>
          </w:p>
        </w:tc>
        <w:tc>
          <w:tcPr>
            <w:tcW w:w="3427" w:type="dxa"/>
            <w:tcBorders>
              <w:top w:val="single" w:color="auto" w:sz="4" w:space="0"/>
              <w:left w:val="single" w:color="auto" w:sz="4" w:space="0"/>
              <w:bottom w:val="single" w:color="auto" w:sz="4" w:space="0"/>
              <w:right w:val="single" w:color="auto" w:sz="4" w:space="0"/>
            </w:tcBorders>
            <w:shd w:val="clear" w:color="auto" w:fill="auto"/>
            <w:vAlign w:val="top"/>
          </w:tcPr>
          <w:p w14:paraId="028A9668">
            <w:pPr>
              <w:snapToGrid w:val="0"/>
              <w:spacing w:line="288" w:lineRule="auto"/>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高血压、慢性阻塞性肺疾病和糖尿病的概念:原发性高血压、慢性阻塞性肺疾病和糖尿病病人的健康管理技能。</w:t>
            </w:r>
          </w:p>
          <w:p w14:paraId="36866B00">
            <w:pPr>
              <w:snapToGrid w:val="0"/>
              <w:spacing w:line="288" w:lineRule="auto"/>
              <w:jc w:val="left"/>
              <w:rPr>
                <w:rFonts w:hint="default" w:asciiTheme="minorEastAsia" w:hAnsiTheme="minorEastAsia" w:eastAsiaTheme="minorEastAsia" w:cstheme="minorEastAsia"/>
                <w:kern w:val="2"/>
                <w:sz w:val="20"/>
                <w:szCs w:val="20"/>
                <w:lang w:val="en-US" w:eastAsia="zh-CN" w:bidi="ar-SA"/>
              </w:rPr>
            </w:pP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397192F8">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p>
        </w:tc>
        <w:tc>
          <w:tcPr>
            <w:tcW w:w="1178" w:type="dxa"/>
            <w:tcBorders>
              <w:left w:val="single" w:color="auto" w:sz="4" w:space="0"/>
              <w:right w:val="single" w:color="auto" w:sz="4" w:space="0"/>
            </w:tcBorders>
            <w:shd w:val="clear" w:color="auto" w:fill="auto"/>
            <w:vAlign w:val="center"/>
          </w:tcPr>
          <w:p w14:paraId="429DE28D">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综合型</w:t>
            </w:r>
          </w:p>
        </w:tc>
        <w:tc>
          <w:tcPr>
            <w:tcW w:w="758" w:type="dxa"/>
            <w:tcBorders>
              <w:left w:val="single" w:color="auto" w:sz="4" w:space="0"/>
              <w:right w:val="single" w:color="auto" w:sz="4" w:space="0"/>
            </w:tcBorders>
            <w:shd w:val="clear" w:color="auto" w:fill="auto"/>
            <w:vAlign w:val="center"/>
          </w:tcPr>
          <w:p w14:paraId="6F976CD0">
            <w:pPr>
              <w:snapToGrid w:val="0"/>
              <w:spacing w:line="288" w:lineRule="auto"/>
              <w:jc w:val="left"/>
              <w:rPr>
                <w:rFonts w:asciiTheme="minorEastAsia" w:hAnsiTheme="minorEastAsia" w:eastAsiaTheme="minorEastAsia" w:cstheme="minorEastAsia"/>
                <w:sz w:val="20"/>
                <w:szCs w:val="20"/>
              </w:rPr>
            </w:pPr>
          </w:p>
        </w:tc>
      </w:tr>
      <w:tr w14:paraId="0EA8E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7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7B6A6F">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1054" w:type="dxa"/>
            <w:tcBorders>
              <w:top w:val="single" w:color="auto" w:sz="4" w:space="0"/>
              <w:left w:val="single" w:color="auto" w:sz="4" w:space="0"/>
              <w:bottom w:val="single" w:color="auto" w:sz="4" w:space="0"/>
              <w:right w:val="single" w:color="auto" w:sz="4" w:space="0"/>
            </w:tcBorders>
            <w:shd w:val="clear" w:color="auto" w:fill="auto"/>
            <w:vAlign w:val="center"/>
          </w:tcPr>
          <w:p w14:paraId="492C272D">
            <w:pPr>
              <w:snapToGrid w:val="0"/>
              <w:spacing w:line="288" w:lineRule="auto"/>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8</w:t>
            </w:r>
          </w:p>
        </w:tc>
        <w:tc>
          <w:tcPr>
            <w:tcW w:w="1178" w:type="dxa"/>
            <w:tcBorders>
              <w:left w:val="single" w:color="auto" w:sz="4" w:space="0"/>
              <w:right w:val="single" w:color="auto" w:sz="4" w:space="0"/>
            </w:tcBorders>
            <w:shd w:val="clear" w:color="auto" w:fill="auto"/>
            <w:vAlign w:val="center"/>
          </w:tcPr>
          <w:p w14:paraId="0982F2B1">
            <w:pPr>
              <w:snapToGrid w:val="0"/>
              <w:spacing w:line="288" w:lineRule="auto"/>
              <w:jc w:val="center"/>
              <w:rPr>
                <w:rFonts w:asciiTheme="minorEastAsia" w:hAnsiTheme="minorEastAsia" w:eastAsiaTheme="minorEastAsia" w:cstheme="minorEastAsia"/>
                <w:sz w:val="20"/>
                <w:szCs w:val="20"/>
              </w:rPr>
            </w:pPr>
          </w:p>
        </w:tc>
        <w:tc>
          <w:tcPr>
            <w:tcW w:w="758" w:type="dxa"/>
            <w:tcBorders>
              <w:left w:val="single" w:color="auto" w:sz="4" w:space="0"/>
              <w:right w:val="single" w:color="auto" w:sz="4" w:space="0"/>
            </w:tcBorders>
            <w:shd w:val="clear" w:color="auto" w:fill="auto"/>
            <w:vAlign w:val="center"/>
          </w:tcPr>
          <w:p w14:paraId="1CF56E84">
            <w:pPr>
              <w:snapToGrid w:val="0"/>
              <w:spacing w:line="288" w:lineRule="auto"/>
              <w:jc w:val="left"/>
              <w:rPr>
                <w:rFonts w:asciiTheme="minorEastAsia" w:hAnsiTheme="minorEastAsia" w:eastAsiaTheme="minorEastAsia" w:cstheme="minorEastAsia"/>
                <w:sz w:val="20"/>
                <w:szCs w:val="20"/>
              </w:rPr>
            </w:pPr>
          </w:p>
        </w:tc>
      </w:tr>
    </w:tbl>
    <w:p w14:paraId="02985D5E">
      <w:pPr>
        <w:snapToGrid w:val="0"/>
        <w:spacing w:line="288" w:lineRule="auto"/>
        <w:ind w:left="315" w:leftChars="150"/>
        <w:jc w:val="left"/>
        <w:rPr>
          <w:rFonts w:asciiTheme="minorEastAsia" w:hAnsiTheme="minorEastAsia" w:eastAsiaTheme="minorEastAsia" w:cstheme="minorEastAsia"/>
          <w:sz w:val="20"/>
          <w:szCs w:val="20"/>
        </w:rPr>
      </w:pPr>
    </w:p>
    <w:p w14:paraId="56A8103A">
      <w:pPr>
        <w:snapToGrid w:val="0"/>
        <w:spacing w:line="288" w:lineRule="auto"/>
        <w:ind w:right="2520" w:firstLine="400" w:firstLineChars="200"/>
        <w:rPr>
          <w:sz w:val="20"/>
          <w:szCs w:val="20"/>
        </w:rPr>
      </w:pPr>
    </w:p>
    <w:p w14:paraId="2CA5AD37">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bookmarkStart w:id="0" w:name="_GoBack"/>
      <w:bookmarkEnd w:id="0"/>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4E72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4AE7C20">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5CA36CE8">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9397E00">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14:paraId="752B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AFCDB3B">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4ACEC132">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期末闭卷考试</w:t>
            </w:r>
          </w:p>
        </w:tc>
        <w:tc>
          <w:tcPr>
            <w:tcW w:w="1843" w:type="dxa"/>
            <w:shd w:val="clear" w:color="auto" w:fill="auto"/>
          </w:tcPr>
          <w:p w14:paraId="4C6D4B14">
            <w:pPr>
              <w:snapToGrid w:val="0"/>
              <w:spacing w:beforeLines="50" w:afterLines="50"/>
              <w:jc w:val="center"/>
              <w:rPr>
                <w:rFonts w:ascii="宋体" w:hAnsi="宋体"/>
                <w:bCs/>
                <w:color w:val="000000"/>
                <w:szCs w:val="20"/>
              </w:rPr>
            </w:pPr>
            <w:r>
              <w:rPr>
                <w:rFonts w:hint="eastAsia" w:ascii="宋体" w:hAnsi="宋体"/>
                <w:bCs/>
                <w:color w:val="000000"/>
                <w:szCs w:val="20"/>
              </w:rPr>
              <w:t>60%</w:t>
            </w:r>
          </w:p>
        </w:tc>
      </w:tr>
      <w:tr w14:paraId="1D26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3A619201">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0E43A5B7">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小组汇报</w:t>
            </w:r>
          </w:p>
        </w:tc>
        <w:tc>
          <w:tcPr>
            <w:tcW w:w="1843" w:type="dxa"/>
            <w:shd w:val="clear" w:color="auto" w:fill="auto"/>
          </w:tcPr>
          <w:p w14:paraId="19783407">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2</w:t>
            </w:r>
            <w:r>
              <w:rPr>
                <w:rFonts w:hint="eastAsia" w:ascii="宋体" w:hAnsi="宋体"/>
                <w:bCs/>
                <w:color w:val="000000"/>
                <w:szCs w:val="20"/>
              </w:rPr>
              <w:t>0%</w:t>
            </w:r>
          </w:p>
        </w:tc>
      </w:tr>
      <w:tr w14:paraId="65647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5D3975D0">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0DF42C3A">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实训报告</w:t>
            </w:r>
          </w:p>
        </w:tc>
        <w:tc>
          <w:tcPr>
            <w:tcW w:w="1843" w:type="dxa"/>
            <w:shd w:val="clear" w:color="auto" w:fill="auto"/>
          </w:tcPr>
          <w:p w14:paraId="2D338E22">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r w14:paraId="73345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14:paraId="2D84DDA1">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7391A9DF">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平时作业（出勤率、课堂表现）</w:t>
            </w:r>
          </w:p>
        </w:tc>
        <w:tc>
          <w:tcPr>
            <w:tcW w:w="1843" w:type="dxa"/>
            <w:shd w:val="clear" w:color="auto" w:fill="auto"/>
          </w:tcPr>
          <w:p w14:paraId="77F42D50">
            <w:pPr>
              <w:snapToGrid w:val="0"/>
              <w:spacing w:beforeLines="50" w:afterLines="50"/>
              <w:jc w:val="center"/>
              <w:rPr>
                <w:rFonts w:ascii="宋体" w:hAnsi="宋体"/>
                <w:bCs/>
                <w:color w:val="000000"/>
                <w:szCs w:val="20"/>
              </w:rPr>
            </w:pPr>
            <w:r>
              <w:rPr>
                <w:rFonts w:hint="eastAsia" w:ascii="宋体" w:hAnsi="宋体"/>
                <w:bCs/>
                <w:color w:val="000000"/>
                <w:szCs w:val="20"/>
              </w:rPr>
              <w:t>10%</w:t>
            </w:r>
          </w:p>
        </w:tc>
      </w:tr>
    </w:tbl>
    <w:p w14:paraId="24AFB9D5">
      <w:pPr>
        <w:snapToGrid w:val="0"/>
        <w:spacing w:before="120" w:after="120" w:line="288" w:lineRule="auto"/>
        <w:rPr>
          <w:rFonts w:ascii="宋体" w:hAnsi="宋体"/>
          <w:sz w:val="20"/>
          <w:szCs w:val="20"/>
          <w:highlight w:val="yellow"/>
        </w:rPr>
      </w:pPr>
    </w:p>
    <w:p w14:paraId="196E4764">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638175" cy="504190"/>
            <wp:effectExtent l="0" t="0" r="1905" b="13970"/>
            <wp:docPr id="3" name="图片 3" descr="c21c144c2347f89e8eda02696ec9af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21c144c2347f89e8eda02696ec9affd"/>
                    <pic:cNvPicPr>
                      <a:picLocks noChangeAspect="1"/>
                    </pic:cNvPicPr>
                  </pic:nvPicPr>
                  <pic:blipFill>
                    <a:blip r:embed="rId4"/>
                    <a:stretch>
                      <a:fillRect/>
                    </a:stretch>
                  </pic:blipFill>
                  <pic:spPr>
                    <a:xfrm>
                      <a:off x="0" y="0"/>
                      <a:ext cx="638175" cy="504190"/>
                    </a:xfrm>
                    <a:prstGeom prst="rect">
                      <a:avLst/>
                    </a:prstGeom>
                  </pic:spPr>
                </pic:pic>
              </a:graphicData>
            </a:graphic>
          </wp:inline>
        </w:drawing>
      </w:r>
      <w:r>
        <w:rPr>
          <w:rFonts w:hint="eastAsia"/>
          <w:sz w:val="28"/>
          <w:szCs w:val="28"/>
        </w:rPr>
        <w:t xml:space="preserve"> </w:t>
      </w:r>
      <w:r>
        <w:rPr>
          <w:rFonts w:hint="eastAsia"/>
          <w:sz w:val="28"/>
          <w:szCs w:val="28"/>
          <w:lang w:val="en-US" w:eastAsia="zh-CN"/>
        </w:rPr>
        <w:t xml:space="preserve">   </w:t>
      </w:r>
      <w:r>
        <w:rPr>
          <w:rFonts w:hint="eastAsia"/>
          <w:sz w:val="28"/>
          <w:szCs w:val="28"/>
        </w:rPr>
        <w:t xml:space="preserve">   </w:t>
      </w:r>
      <w:r>
        <w:rPr>
          <w:rFonts w:hint="default"/>
          <w:sz w:val="28"/>
          <w:szCs w:val="28"/>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1009650" cy="449580"/>
            <wp:effectExtent l="0" t="0" r="11430" b="7620"/>
            <wp:docPr id="1" name="图片 1" descr="4392aab7d0fa4ed9a4df27ee1ca4b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92aab7d0fa4ed9a4df27ee1ca4b64"/>
                    <pic:cNvPicPr>
                      <a:picLocks noChangeAspect="1"/>
                    </pic:cNvPicPr>
                  </pic:nvPicPr>
                  <pic:blipFill>
                    <a:blip r:embed="rId5"/>
                    <a:stretch>
                      <a:fillRect/>
                    </a:stretch>
                  </pic:blipFill>
                  <pic:spPr>
                    <a:xfrm>
                      <a:off x="0" y="0"/>
                      <a:ext cx="1009650" cy="449580"/>
                    </a:xfrm>
                    <a:prstGeom prst="rect">
                      <a:avLst/>
                    </a:prstGeom>
                  </pic:spPr>
                </pic:pic>
              </a:graphicData>
            </a:graphic>
          </wp:inline>
        </w:drawing>
      </w:r>
    </w:p>
    <w:p w14:paraId="5C592732">
      <w:pPr>
        <w:snapToGrid w:val="0"/>
        <w:spacing w:line="288" w:lineRule="auto"/>
        <w:ind w:firstLine="840" w:firstLineChars="300"/>
        <w:jc w:val="right"/>
        <w:rPr>
          <w:rFonts w:hint="eastAsia"/>
          <w:sz w:val="28"/>
          <w:szCs w:val="28"/>
        </w:rPr>
      </w:pPr>
    </w:p>
    <w:p w14:paraId="2517E8C8">
      <w:pPr>
        <w:snapToGrid w:val="0"/>
        <w:spacing w:line="288" w:lineRule="auto"/>
        <w:ind w:firstLine="840" w:firstLineChars="300"/>
        <w:jc w:val="right"/>
        <w:rPr>
          <w:rFonts w:hint="eastAsia"/>
          <w:sz w:val="28"/>
          <w:szCs w:val="28"/>
        </w:rPr>
      </w:pPr>
    </w:p>
    <w:p w14:paraId="1296E121">
      <w:pPr>
        <w:snapToGrid w:val="0"/>
        <w:spacing w:line="288" w:lineRule="auto"/>
        <w:ind w:firstLine="840" w:firstLineChars="300"/>
        <w:jc w:val="right"/>
        <w:rPr>
          <w:rFonts w:hint="default" w:eastAsia="宋体"/>
          <w:sz w:val="28"/>
          <w:szCs w:val="28"/>
          <w:lang w:val="en-US" w:eastAsia="zh-CN"/>
        </w:rPr>
      </w:pPr>
      <w:r>
        <w:rPr>
          <w:rFonts w:hint="eastAsia"/>
          <w:sz w:val="28"/>
          <w:szCs w:val="28"/>
        </w:rPr>
        <w:t>审核时间：</w:t>
      </w:r>
      <w:r>
        <w:rPr>
          <w:rFonts w:hint="default"/>
          <w:sz w:val="28"/>
          <w:szCs w:val="28"/>
        </w:rPr>
        <w:t>202</w:t>
      </w:r>
      <w:r>
        <w:rPr>
          <w:rFonts w:hint="eastAsia"/>
          <w:sz w:val="28"/>
          <w:szCs w:val="28"/>
          <w:lang w:val="en-US" w:eastAsia="zh-CN"/>
        </w:rPr>
        <w:t>4</w:t>
      </w:r>
      <w:r>
        <w:rPr>
          <w:rFonts w:hint="eastAsia"/>
          <w:sz w:val="28"/>
          <w:szCs w:val="28"/>
          <w:lang w:val="en-US" w:eastAsia="zh-Hans"/>
        </w:rPr>
        <w:t>年</w:t>
      </w:r>
      <w:r>
        <w:rPr>
          <w:rFonts w:hint="eastAsia"/>
          <w:sz w:val="28"/>
          <w:szCs w:val="28"/>
          <w:lang w:val="en-US" w:eastAsia="zh-CN"/>
        </w:rPr>
        <w:t>03</w:t>
      </w:r>
      <w:r>
        <w:rPr>
          <w:rFonts w:hint="eastAsia"/>
          <w:sz w:val="28"/>
          <w:szCs w:val="28"/>
          <w:lang w:val="en-US" w:eastAsia="zh-Hans"/>
        </w:rPr>
        <w:t>月</w:t>
      </w:r>
      <w:r>
        <w:rPr>
          <w:rFonts w:hint="eastAsia"/>
          <w:sz w:val="28"/>
          <w:szCs w:val="28"/>
          <w:lang w:val="en-US" w:eastAsia="zh-CN"/>
        </w:rPr>
        <w:t>07</w:t>
      </w:r>
      <w:r>
        <w:rPr>
          <w:rFonts w:hint="eastAsia"/>
          <w:sz w:val="28"/>
          <w:szCs w:val="28"/>
          <w:lang w:val="en-US" w:eastAsia="zh-Hans"/>
        </w:rPr>
        <w:t>日</w:t>
      </w:r>
    </w:p>
    <w:p w14:paraId="779A70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40C1FC"/>
    <w:multiLevelType w:val="singleLevel"/>
    <w:tmpl w:val="9340C1FC"/>
    <w:lvl w:ilvl="0" w:tentative="0">
      <w:start w:val="1"/>
      <w:numFmt w:val="decimal"/>
      <w:lvlText w:val="%1."/>
      <w:lvlJc w:val="left"/>
      <w:pPr>
        <w:tabs>
          <w:tab w:val="left" w:pos="312"/>
        </w:tabs>
      </w:pPr>
    </w:lvl>
  </w:abstractNum>
  <w:abstractNum w:abstractNumId="1">
    <w:nsid w:val="9B2ED845"/>
    <w:multiLevelType w:val="singleLevel"/>
    <w:tmpl w:val="9B2ED845"/>
    <w:lvl w:ilvl="0" w:tentative="0">
      <w:start w:val="1"/>
      <w:numFmt w:val="decimal"/>
      <w:lvlText w:val="%1."/>
      <w:lvlJc w:val="left"/>
      <w:pPr>
        <w:tabs>
          <w:tab w:val="left" w:pos="312"/>
        </w:tabs>
      </w:pPr>
    </w:lvl>
  </w:abstractNum>
  <w:abstractNum w:abstractNumId="2">
    <w:nsid w:val="A17A2433"/>
    <w:multiLevelType w:val="singleLevel"/>
    <w:tmpl w:val="A17A2433"/>
    <w:lvl w:ilvl="0" w:tentative="0">
      <w:start w:val="1"/>
      <w:numFmt w:val="decimal"/>
      <w:lvlText w:val="%1."/>
      <w:lvlJc w:val="left"/>
      <w:pPr>
        <w:tabs>
          <w:tab w:val="left" w:pos="312"/>
        </w:tabs>
      </w:pPr>
    </w:lvl>
  </w:abstractNum>
  <w:abstractNum w:abstractNumId="3">
    <w:nsid w:val="B57AEFE5"/>
    <w:multiLevelType w:val="singleLevel"/>
    <w:tmpl w:val="B57AEFE5"/>
    <w:lvl w:ilvl="0" w:tentative="0">
      <w:start w:val="1"/>
      <w:numFmt w:val="decimal"/>
      <w:suff w:val="nothing"/>
      <w:lvlText w:val="%1．"/>
      <w:lvlJc w:val="left"/>
    </w:lvl>
  </w:abstractNum>
  <w:abstractNum w:abstractNumId="4">
    <w:nsid w:val="B8249667"/>
    <w:multiLevelType w:val="singleLevel"/>
    <w:tmpl w:val="B8249667"/>
    <w:lvl w:ilvl="0" w:tentative="0">
      <w:start w:val="4"/>
      <w:numFmt w:val="chineseCounting"/>
      <w:suff w:val="nothing"/>
      <w:lvlText w:val="%1、"/>
      <w:lvlJc w:val="left"/>
      <w:rPr>
        <w:rFonts w:hint="eastAsia"/>
      </w:rPr>
    </w:lvl>
  </w:abstractNum>
  <w:abstractNum w:abstractNumId="5">
    <w:nsid w:val="B9ED46AF"/>
    <w:multiLevelType w:val="singleLevel"/>
    <w:tmpl w:val="B9ED46AF"/>
    <w:lvl w:ilvl="0" w:tentative="0">
      <w:start w:val="1"/>
      <w:numFmt w:val="decimal"/>
      <w:lvlText w:val="%1."/>
      <w:lvlJc w:val="left"/>
      <w:pPr>
        <w:tabs>
          <w:tab w:val="left" w:pos="312"/>
        </w:tabs>
      </w:pPr>
    </w:lvl>
  </w:abstractNum>
  <w:abstractNum w:abstractNumId="6">
    <w:nsid w:val="1D5C1DDB"/>
    <w:multiLevelType w:val="singleLevel"/>
    <w:tmpl w:val="1D5C1DDB"/>
    <w:lvl w:ilvl="0" w:tentative="0">
      <w:start w:val="1"/>
      <w:numFmt w:val="chineseCounting"/>
      <w:suff w:val="nothing"/>
      <w:lvlText w:val="%1、"/>
      <w:lvlJc w:val="left"/>
      <w:rPr>
        <w:rFonts w:hint="eastAsia"/>
      </w:rPr>
    </w:lvl>
  </w:abstractNum>
  <w:abstractNum w:abstractNumId="7">
    <w:nsid w:val="3001A193"/>
    <w:multiLevelType w:val="singleLevel"/>
    <w:tmpl w:val="3001A193"/>
    <w:lvl w:ilvl="0" w:tentative="0">
      <w:start w:val="6"/>
      <w:numFmt w:val="chineseCounting"/>
      <w:suff w:val="nothing"/>
      <w:lvlText w:val="%1、"/>
      <w:lvlJc w:val="left"/>
      <w:rPr>
        <w:rFonts w:hint="eastAsia"/>
      </w:rPr>
    </w:lvl>
  </w:abstractNum>
  <w:abstractNum w:abstractNumId="8">
    <w:nsid w:val="475B6297"/>
    <w:multiLevelType w:val="singleLevel"/>
    <w:tmpl w:val="475B6297"/>
    <w:lvl w:ilvl="0" w:tentative="0">
      <w:start w:val="1"/>
      <w:numFmt w:val="decimal"/>
      <w:lvlText w:val="%1."/>
      <w:lvlJc w:val="left"/>
      <w:pPr>
        <w:tabs>
          <w:tab w:val="left" w:pos="312"/>
        </w:tabs>
      </w:pPr>
    </w:lvl>
  </w:abstractNum>
  <w:abstractNum w:abstractNumId="9">
    <w:nsid w:val="4ADA99BA"/>
    <w:multiLevelType w:val="singleLevel"/>
    <w:tmpl w:val="4ADA99BA"/>
    <w:lvl w:ilvl="0" w:tentative="0">
      <w:start w:val="1"/>
      <w:numFmt w:val="decimal"/>
      <w:lvlText w:val="%1."/>
      <w:lvlJc w:val="left"/>
      <w:pPr>
        <w:tabs>
          <w:tab w:val="left" w:pos="312"/>
        </w:tabs>
      </w:pPr>
    </w:lvl>
  </w:abstractNum>
  <w:num w:numId="1">
    <w:abstractNumId w:val="6"/>
  </w:num>
  <w:num w:numId="2">
    <w:abstractNumId w:val="4"/>
  </w:num>
  <w:num w:numId="3">
    <w:abstractNumId w:val="7"/>
  </w:num>
  <w:num w:numId="4">
    <w:abstractNumId w:val="9"/>
  </w:num>
  <w:num w:numId="5">
    <w:abstractNumId w:val="3"/>
  </w:num>
  <w:num w:numId="6">
    <w:abstractNumId w:val="0"/>
  </w:num>
  <w:num w:numId="7">
    <w:abstractNumId w:val="2"/>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OWJhMzE0MjU3OTU2YWM2N2E3ZGI5ZjJmYTI1NmIifQ=="/>
  </w:docVars>
  <w:rsids>
    <w:rsidRoot w:val="00B7651F"/>
    <w:rsid w:val="00062D82"/>
    <w:rsid w:val="000C1F5E"/>
    <w:rsid w:val="000D500B"/>
    <w:rsid w:val="001072BC"/>
    <w:rsid w:val="001160F5"/>
    <w:rsid w:val="00117646"/>
    <w:rsid w:val="00130DE8"/>
    <w:rsid w:val="00151F04"/>
    <w:rsid w:val="001526CF"/>
    <w:rsid w:val="001A70D2"/>
    <w:rsid w:val="001A70DD"/>
    <w:rsid w:val="001C5113"/>
    <w:rsid w:val="001E0A8F"/>
    <w:rsid w:val="00237B69"/>
    <w:rsid w:val="00256B39"/>
    <w:rsid w:val="0026033C"/>
    <w:rsid w:val="00275719"/>
    <w:rsid w:val="00277184"/>
    <w:rsid w:val="002919EB"/>
    <w:rsid w:val="002E3721"/>
    <w:rsid w:val="00313BBA"/>
    <w:rsid w:val="0032602E"/>
    <w:rsid w:val="003367AE"/>
    <w:rsid w:val="003B1258"/>
    <w:rsid w:val="003C664A"/>
    <w:rsid w:val="004100B0"/>
    <w:rsid w:val="004473FC"/>
    <w:rsid w:val="00483701"/>
    <w:rsid w:val="004D0DB7"/>
    <w:rsid w:val="005064EA"/>
    <w:rsid w:val="005467DC"/>
    <w:rsid w:val="00553D03"/>
    <w:rsid w:val="005928F2"/>
    <w:rsid w:val="005B2B6D"/>
    <w:rsid w:val="005B4B4E"/>
    <w:rsid w:val="005E7673"/>
    <w:rsid w:val="00624FE1"/>
    <w:rsid w:val="0063133C"/>
    <w:rsid w:val="006820F4"/>
    <w:rsid w:val="006B0BCA"/>
    <w:rsid w:val="006E3BFE"/>
    <w:rsid w:val="007208D6"/>
    <w:rsid w:val="0073760A"/>
    <w:rsid w:val="00842E67"/>
    <w:rsid w:val="00866E4B"/>
    <w:rsid w:val="008A5634"/>
    <w:rsid w:val="008B397C"/>
    <w:rsid w:val="008B47F4"/>
    <w:rsid w:val="008C65C1"/>
    <w:rsid w:val="008C7127"/>
    <w:rsid w:val="00900019"/>
    <w:rsid w:val="0099063E"/>
    <w:rsid w:val="00A15727"/>
    <w:rsid w:val="00A74840"/>
    <w:rsid w:val="00A769B1"/>
    <w:rsid w:val="00A837D5"/>
    <w:rsid w:val="00AC4C45"/>
    <w:rsid w:val="00AE05A5"/>
    <w:rsid w:val="00B42D3E"/>
    <w:rsid w:val="00B45A07"/>
    <w:rsid w:val="00B46F21"/>
    <w:rsid w:val="00B511A5"/>
    <w:rsid w:val="00B736A7"/>
    <w:rsid w:val="00B7651F"/>
    <w:rsid w:val="00BA1DB7"/>
    <w:rsid w:val="00C56E09"/>
    <w:rsid w:val="00C77199"/>
    <w:rsid w:val="00CA139D"/>
    <w:rsid w:val="00CF096B"/>
    <w:rsid w:val="00D14F8F"/>
    <w:rsid w:val="00D17CD8"/>
    <w:rsid w:val="00D24EAF"/>
    <w:rsid w:val="00D41898"/>
    <w:rsid w:val="00D510A7"/>
    <w:rsid w:val="00DF7143"/>
    <w:rsid w:val="00E16D30"/>
    <w:rsid w:val="00E27F26"/>
    <w:rsid w:val="00E33169"/>
    <w:rsid w:val="00E51CF0"/>
    <w:rsid w:val="00E55E4E"/>
    <w:rsid w:val="00E70904"/>
    <w:rsid w:val="00EE5FE2"/>
    <w:rsid w:val="00EF44B1"/>
    <w:rsid w:val="00F35AA0"/>
    <w:rsid w:val="00F44FAA"/>
    <w:rsid w:val="00F54C9C"/>
    <w:rsid w:val="00F85CED"/>
    <w:rsid w:val="00F94DA0"/>
    <w:rsid w:val="00F9768E"/>
    <w:rsid w:val="00FF2A91"/>
    <w:rsid w:val="016E63C2"/>
    <w:rsid w:val="01C375B9"/>
    <w:rsid w:val="01C817FD"/>
    <w:rsid w:val="024B0C39"/>
    <w:rsid w:val="028C047C"/>
    <w:rsid w:val="02B01641"/>
    <w:rsid w:val="02D44D09"/>
    <w:rsid w:val="03362F1D"/>
    <w:rsid w:val="0339535E"/>
    <w:rsid w:val="034009FB"/>
    <w:rsid w:val="03A86606"/>
    <w:rsid w:val="03C268B9"/>
    <w:rsid w:val="046103AE"/>
    <w:rsid w:val="04AA2B0E"/>
    <w:rsid w:val="05500A90"/>
    <w:rsid w:val="05803C27"/>
    <w:rsid w:val="05E72655"/>
    <w:rsid w:val="065D6FB5"/>
    <w:rsid w:val="068C053C"/>
    <w:rsid w:val="06D6619E"/>
    <w:rsid w:val="06DC7E38"/>
    <w:rsid w:val="06E21604"/>
    <w:rsid w:val="06E278ED"/>
    <w:rsid w:val="07FD475E"/>
    <w:rsid w:val="089F5500"/>
    <w:rsid w:val="08C67CF0"/>
    <w:rsid w:val="0946150C"/>
    <w:rsid w:val="09790029"/>
    <w:rsid w:val="097B37F4"/>
    <w:rsid w:val="0A4D72F2"/>
    <w:rsid w:val="0A701B07"/>
    <w:rsid w:val="0A8128A6"/>
    <w:rsid w:val="0B1E3995"/>
    <w:rsid w:val="0B8B4680"/>
    <w:rsid w:val="0BA1219D"/>
    <w:rsid w:val="0BF32A1B"/>
    <w:rsid w:val="0C5A4E60"/>
    <w:rsid w:val="0C675EF5"/>
    <w:rsid w:val="0DBC1F25"/>
    <w:rsid w:val="0EDE48C8"/>
    <w:rsid w:val="0F1C4F8E"/>
    <w:rsid w:val="0FBF1F0C"/>
    <w:rsid w:val="0FD8645F"/>
    <w:rsid w:val="10A45F50"/>
    <w:rsid w:val="10BD2C22"/>
    <w:rsid w:val="1166060D"/>
    <w:rsid w:val="11E1739A"/>
    <w:rsid w:val="131F62DE"/>
    <w:rsid w:val="13617C01"/>
    <w:rsid w:val="138B7CA7"/>
    <w:rsid w:val="13A818CB"/>
    <w:rsid w:val="14E117F6"/>
    <w:rsid w:val="16583C56"/>
    <w:rsid w:val="16961DA3"/>
    <w:rsid w:val="170F669E"/>
    <w:rsid w:val="173C7417"/>
    <w:rsid w:val="176B4BB1"/>
    <w:rsid w:val="177365D8"/>
    <w:rsid w:val="179A3070"/>
    <w:rsid w:val="17A03EC3"/>
    <w:rsid w:val="17EC17E3"/>
    <w:rsid w:val="181C410A"/>
    <w:rsid w:val="18837147"/>
    <w:rsid w:val="18BD172A"/>
    <w:rsid w:val="18F31129"/>
    <w:rsid w:val="19712801"/>
    <w:rsid w:val="1B553DAD"/>
    <w:rsid w:val="1B7F280C"/>
    <w:rsid w:val="1C7900D8"/>
    <w:rsid w:val="1E274E5A"/>
    <w:rsid w:val="1E3739B4"/>
    <w:rsid w:val="1E921E7E"/>
    <w:rsid w:val="1EDC18C6"/>
    <w:rsid w:val="200F55DD"/>
    <w:rsid w:val="201E3164"/>
    <w:rsid w:val="202F080F"/>
    <w:rsid w:val="20554E23"/>
    <w:rsid w:val="21106176"/>
    <w:rsid w:val="21703792"/>
    <w:rsid w:val="21C8537C"/>
    <w:rsid w:val="21D63F87"/>
    <w:rsid w:val="22113412"/>
    <w:rsid w:val="22586848"/>
    <w:rsid w:val="22987C80"/>
    <w:rsid w:val="22AA72E5"/>
    <w:rsid w:val="24192CCC"/>
    <w:rsid w:val="2452472E"/>
    <w:rsid w:val="24A029D4"/>
    <w:rsid w:val="25D2461C"/>
    <w:rsid w:val="260243E4"/>
    <w:rsid w:val="262A5E9A"/>
    <w:rsid w:val="269E4757"/>
    <w:rsid w:val="26E16B2D"/>
    <w:rsid w:val="274A29A8"/>
    <w:rsid w:val="28175BBB"/>
    <w:rsid w:val="290E0589"/>
    <w:rsid w:val="29385D9C"/>
    <w:rsid w:val="29A340B1"/>
    <w:rsid w:val="2B3460B6"/>
    <w:rsid w:val="2C0412A1"/>
    <w:rsid w:val="2C766318"/>
    <w:rsid w:val="2CC363E2"/>
    <w:rsid w:val="2CDB3534"/>
    <w:rsid w:val="2D1850D5"/>
    <w:rsid w:val="2E8A2969"/>
    <w:rsid w:val="2FB47F15"/>
    <w:rsid w:val="2FB913B8"/>
    <w:rsid w:val="30244928"/>
    <w:rsid w:val="305407F7"/>
    <w:rsid w:val="305977A7"/>
    <w:rsid w:val="30B22745"/>
    <w:rsid w:val="30D636A1"/>
    <w:rsid w:val="31383753"/>
    <w:rsid w:val="3177125F"/>
    <w:rsid w:val="32BE7014"/>
    <w:rsid w:val="331B585C"/>
    <w:rsid w:val="3369755F"/>
    <w:rsid w:val="33DF101A"/>
    <w:rsid w:val="34445196"/>
    <w:rsid w:val="34A058BA"/>
    <w:rsid w:val="351A0247"/>
    <w:rsid w:val="3528470A"/>
    <w:rsid w:val="356443DD"/>
    <w:rsid w:val="35D53BD2"/>
    <w:rsid w:val="365937E1"/>
    <w:rsid w:val="36BD6994"/>
    <w:rsid w:val="376C4606"/>
    <w:rsid w:val="3841654D"/>
    <w:rsid w:val="38E35701"/>
    <w:rsid w:val="399D48A8"/>
    <w:rsid w:val="39A66CD4"/>
    <w:rsid w:val="3A567B7A"/>
    <w:rsid w:val="3B7F58BC"/>
    <w:rsid w:val="3C1154AD"/>
    <w:rsid w:val="3C623BE0"/>
    <w:rsid w:val="3CD52CE1"/>
    <w:rsid w:val="3DB05577"/>
    <w:rsid w:val="3EB41A4F"/>
    <w:rsid w:val="3EBC45C8"/>
    <w:rsid w:val="3EE259CF"/>
    <w:rsid w:val="3EF20D0A"/>
    <w:rsid w:val="401720FC"/>
    <w:rsid w:val="402D63EC"/>
    <w:rsid w:val="4076307F"/>
    <w:rsid w:val="410F2E6A"/>
    <w:rsid w:val="41123C5B"/>
    <w:rsid w:val="416B2ED6"/>
    <w:rsid w:val="41CF6177"/>
    <w:rsid w:val="41E34FFD"/>
    <w:rsid w:val="42AA4EAA"/>
    <w:rsid w:val="42DB690C"/>
    <w:rsid w:val="437472CB"/>
    <w:rsid w:val="43FB086D"/>
    <w:rsid w:val="44254CC9"/>
    <w:rsid w:val="4430136C"/>
    <w:rsid w:val="44C47A42"/>
    <w:rsid w:val="44D402D2"/>
    <w:rsid w:val="44E74596"/>
    <w:rsid w:val="44F72807"/>
    <w:rsid w:val="46142729"/>
    <w:rsid w:val="46202240"/>
    <w:rsid w:val="46B3020A"/>
    <w:rsid w:val="47104C99"/>
    <w:rsid w:val="472D2B4E"/>
    <w:rsid w:val="47823C18"/>
    <w:rsid w:val="484C28D6"/>
    <w:rsid w:val="48D26423"/>
    <w:rsid w:val="49582F57"/>
    <w:rsid w:val="499C05FD"/>
    <w:rsid w:val="49B50D7C"/>
    <w:rsid w:val="49BD38A6"/>
    <w:rsid w:val="4A18691D"/>
    <w:rsid w:val="4A30091A"/>
    <w:rsid w:val="4AB0382B"/>
    <w:rsid w:val="4B1D3524"/>
    <w:rsid w:val="4BCA05FC"/>
    <w:rsid w:val="4BCA0854"/>
    <w:rsid w:val="4BD576D3"/>
    <w:rsid w:val="4C0B3BEF"/>
    <w:rsid w:val="4C36506E"/>
    <w:rsid w:val="4CAA0C78"/>
    <w:rsid w:val="4D536D29"/>
    <w:rsid w:val="4DBA085E"/>
    <w:rsid w:val="4DC14F70"/>
    <w:rsid w:val="4DEB467C"/>
    <w:rsid w:val="4E493960"/>
    <w:rsid w:val="4E927846"/>
    <w:rsid w:val="4F1A728C"/>
    <w:rsid w:val="4F3D42F8"/>
    <w:rsid w:val="4F6A3ACE"/>
    <w:rsid w:val="4FCD6A08"/>
    <w:rsid w:val="5029509D"/>
    <w:rsid w:val="51AE71D3"/>
    <w:rsid w:val="52084411"/>
    <w:rsid w:val="527170E8"/>
    <w:rsid w:val="553E5CAA"/>
    <w:rsid w:val="55656492"/>
    <w:rsid w:val="55A21D9D"/>
    <w:rsid w:val="569868B5"/>
    <w:rsid w:val="56A4271D"/>
    <w:rsid w:val="57C30D04"/>
    <w:rsid w:val="585855B1"/>
    <w:rsid w:val="589B00DD"/>
    <w:rsid w:val="58A04B9A"/>
    <w:rsid w:val="59234508"/>
    <w:rsid w:val="599C280A"/>
    <w:rsid w:val="5A0D37F3"/>
    <w:rsid w:val="5A9B72FB"/>
    <w:rsid w:val="5B8B67F3"/>
    <w:rsid w:val="5CD25AE5"/>
    <w:rsid w:val="5D081B72"/>
    <w:rsid w:val="5D8E16B6"/>
    <w:rsid w:val="5DC13650"/>
    <w:rsid w:val="5DC92335"/>
    <w:rsid w:val="5E300A02"/>
    <w:rsid w:val="5F0D7832"/>
    <w:rsid w:val="600433B1"/>
    <w:rsid w:val="607238AE"/>
    <w:rsid w:val="611F6817"/>
    <w:rsid w:val="62117BC1"/>
    <w:rsid w:val="623643B4"/>
    <w:rsid w:val="62870426"/>
    <w:rsid w:val="64554B9F"/>
    <w:rsid w:val="645E40D2"/>
    <w:rsid w:val="64A942E8"/>
    <w:rsid w:val="64D353B2"/>
    <w:rsid w:val="65DC19B2"/>
    <w:rsid w:val="664A064F"/>
    <w:rsid w:val="666F2FEB"/>
    <w:rsid w:val="66CA1754"/>
    <w:rsid w:val="66CF60CD"/>
    <w:rsid w:val="67066799"/>
    <w:rsid w:val="671A56EC"/>
    <w:rsid w:val="69011DB8"/>
    <w:rsid w:val="6908670E"/>
    <w:rsid w:val="696D14F7"/>
    <w:rsid w:val="6A7D3C74"/>
    <w:rsid w:val="6AF666DF"/>
    <w:rsid w:val="6B00340F"/>
    <w:rsid w:val="6C612F33"/>
    <w:rsid w:val="6C67425D"/>
    <w:rsid w:val="6C745CA3"/>
    <w:rsid w:val="6C77414B"/>
    <w:rsid w:val="6CC56E3A"/>
    <w:rsid w:val="6D4D0E25"/>
    <w:rsid w:val="6DED7B58"/>
    <w:rsid w:val="6EE0380B"/>
    <w:rsid w:val="6F0D7D36"/>
    <w:rsid w:val="6F1E65D4"/>
    <w:rsid w:val="6F266C86"/>
    <w:rsid w:val="6F5042C2"/>
    <w:rsid w:val="6F546DCE"/>
    <w:rsid w:val="6F6B4232"/>
    <w:rsid w:val="6FCE02DD"/>
    <w:rsid w:val="707B1BF7"/>
    <w:rsid w:val="709F217F"/>
    <w:rsid w:val="71750DC5"/>
    <w:rsid w:val="729B4008"/>
    <w:rsid w:val="729C143C"/>
    <w:rsid w:val="72AF1522"/>
    <w:rsid w:val="73E8144B"/>
    <w:rsid w:val="74316312"/>
    <w:rsid w:val="74503E80"/>
    <w:rsid w:val="74AB2E54"/>
    <w:rsid w:val="75572CCF"/>
    <w:rsid w:val="761A167D"/>
    <w:rsid w:val="76642244"/>
    <w:rsid w:val="768E5709"/>
    <w:rsid w:val="779A4673"/>
    <w:rsid w:val="77E63F8E"/>
    <w:rsid w:val="780F13C8"/>
    <w:rsid w:val="783A5F81"/>
    <w:rsid w:val="79316E26"/>
    <w:rsid w:val="796C4F34"/>
    <w:rsid w:val="79CA2AA3"/>
    <w:rsid w:val="79E74BFA"/>
    <w:rsid w:val="7A277525"/>
    <w:rsid w:val="7AAE0C20"/>
    <w:rsid w:val="7B7A74CA"/>
    <w:rsid w:val="7C0620E3"/>
    <w:rsid w:val="7C0D61E5"/>
    <w:rsid w:val="7C385448"/>
    <w:rsid w:val="7C417218"/>
    <w:rsid w:val="7C55168D"/>
    <w:rsid w:val="7CB3663D"/>
    <w:rsid w:val="7CF70085"/>
    <w:rsid w:val="7D14305F"/>
    <w:rsid w:val="7D9C428D"/>
    <w:rsid w:val="7DED4BB4"/>
    <w:rsid w:val="7E7B7A24"/>
    <w:rsid w:val="7EF46A91"/>
    <w:rsid w:val="7F064308"/>
    <w:rsid w:val="7FEC1704"/>
    <w:rsid w:val="CE7EB006"/>
    <w:rsid w:val="D66FD937"/>
    <w:rsid w:val="FFDFD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u w:val="single"/>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semiHidden/>
    <w:qFormat/>
    <w:uiPriority w:val="99"/>
    <w:rPr>
      <w:sz w:val="18"/>
      <w:szCs w:val="18"/>
    </w:rPr>
  </w:style>
  <w:style w:type="character" w:customStyle="1" w:styleId="12">
    <w:name w:val="批注框文本 Char"/>
    <w:basedOn w:val="8"/>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1298</Words>
  <Characters>1409</Characters>
  <Lines>42</Lines>
  <Paragraphs>11</Paragraphs>
  <TotalTime>0</TotalTime>
  <ScaleCrop>false</ScaleCrop>
  <LinksUpToDate>false</LinksUpToDate>
  <CharactersWithSpaces>1414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2019-09-05T14:18:00Z</dcterms:created>
  <dc:creator>juvg</dc:creator>
  <cp:lastModifiedBy>你谁呢2</cp:lastModifiedBy>
  <cp:lastPrinted>2019-03-19T11:50:00Z</cp:lastPrinted>
  <dcterms:modified xsi:type="dcterms:W3CDTF">2025-03-21T03:32:03Z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B04DC913D48A47FDA9EB8C1489AFA247_13</vt:lpwstr>
  </property>
  <property fmtid="{D5CDD505-2E9C-101B-9397-08002B2CF9AE}" pid="4" name="KSOTemplateDocerSaveRecord">
    <vt:lpwstr>eyJoZGlkIjoiNDI4MTBkZjdkOGVmOTE5Nzg5NmYzMzY3NWEwNTZmNzUiLCJ1c2VySWQiOiIyNTg1MDc3NzcifQ==</vt:lpwstr>
  </property>
</Properties>
</file>