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t>17000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疾病</w:t>
            </w:r>
            <w:r>
              <w:rPr>
                <w:rFonts w:cs="黑体" w:asciiTheme="minorEastAsia" w:hAnsiTheme="minorEastAsia" w:eastAsiaTheme="minorEastAsia"/>
                <w:sz w:val="21"/>
                <w:szCs w:val="21"/>
              </w:rPr>
              <w:t>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64学时（理论48，实践16）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t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omtom</w:t>
            </w:r>
            <w:r>
              <w:rPr>
                <w:rFonts w:asciiTheme="minorEastAsia" w:hAnsiTheme="minorEastAsia" w:eastAsiaTheme="minorEastAsia"/>
                <w:lang w:eastAsia="zh-CN"/>
              </w:rPr>
              <w:t>sonson@163.com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健康服务与管理B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20-1,B20-2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周四中午12: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，高职222办公室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《疾病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学基础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》，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王兆军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、王昊，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人民卫生出版社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1.《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疾病学基础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》，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胡野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人民卫生出版社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2014年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第2版；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2.《疾病学基础》，王易、卫洪昌，中国中医药出版社，2010年第1版；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3.《疾病学基础》，陆振虞，人民卫生出版社，2007年第1版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病因概</w:t>
            </w:r>
            <w:r>
              <w:rPr>
                <w:rFonts w:hint="eastAsia" w:ascii="宋体" w:hAnsi="宋体"/>
                <w:sz w:val="20"/>
                <w:szCs w:val="20"/>
              </w:rPr>
              <w:t>述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疾病的外源性因素，疾病的内源性因素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细菌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细菌的基本性质、革兰氏阳性菌、革兰氏阴性菌、抗酸杆菌、支原体、螺旋体、立克次体、衣原体、放线菌的生物学特征、致病性、检测与防治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>细菌的分布与消毒灭菌、细菌的感染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>细菌感染的实验室诊断与防治原则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病因概</w:t>
            </w:r>
            <w:r>
              <w:rPr>
                <w:rFonts w:hint="eastAsia" w:ascii="宋体" w:hAnsi="宋体"/>
                <w:sz w:val="20"/>
                <w:szCs w:val="20"/>
              </w:rPr>
              <w:t>述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与细菌：</w:t>
            </w:r>
            <w:r>
              <w:rPr>
                <w:rFonts w:hint="eastAsia" w:ascii="宋体" w:hAnsi="宋体"/>
                <w:sz w:val="20"/>
                <w:szCs w:val="20"/>
              </w:rPr>
              <w:t>菌的基本性质、革兰氏阳性菌、革兰氏阴性菌、抗酸杆菌、支原体、螺旋体、立克次体、衣原体、放线菌的生物学特征、致病性、检测方法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真菌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主要</w:t>
            </w:r>
            <w:r>
              <w:rPr>
                <w:rFonts w:ascii="宋体" w:hAnsi="宋体"/>
                <w:sz w:val="20"/>
                <w:szCs w:val="20"/>
              </w:rPr>
              <w:t>致病性真菌</w:t>
            </w:r>
            <w:r>
              <w:rPr>
                <w:rFonts w:hint="eastAsia" w:ascii="宋体" w:hAnsi="宋体"/>
                <w:sz w:val="20"/>
                <w:szCs w:val="20"/>
              </w:rPr>
              <w:t>（皮肤癣真菌、白假丝酵母菌、新生隐球菌）的生物学性状、致病性和微生物学检查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病毒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ascii="宋体" w:hAnsi="宋体"/>
                <w:sz w:val="20"/>
                <w:szCs w:val="20"/>
              </w:rPr>
              <w:t>呼吸道感染病毒</w:t>
            </w:r>
            <w:r>
              <w:rPr>
                <w:rFonts w:hint="eastAsia" w:ascii="宋体" w:hAnsi="宋体"/>
                <w:sz w:val="20"/>
                <w:szCs w:val="20"/>
              </w:rPr>
              <w:t>（流行性感冒病毒、麻疹病毒、腮腺炎病毒、风疹病毒、冠状病毒）、</w:t>
            </w:r>
            <w:r>
              <w:rPr>
                <w:rFonts w:ascii="宋体" w:hAnsi="宋体"/>
                <w:sz w:val="20"/>
                <w:szCs w:val="20"/>
              </w:rPr>
              <w:t>消化道感染病毒</w:t>
            </w:r>
            <w:r>
              <w:rPr>
                <w:rFonts w:hint="eastAsia" w:ascii="宋体" w:hAnsi="宋体"/>
                <w:sz w:val="20"/>
                <w:szCs w:val="20"/>
              </w:rPr>
              <w:t>（肠道病毒、脊髓灰质炎病毒、柯萨奇病毒、轮状病毒）、</w:t>
            </w:r>
            <w:r>
              <w:rPr>
                <w:rFonts w:ascii="宋体" w:hAnsi="宋体"/>
                <w:sz w:val="20"/>
                <w:szCs w:val="20"/>
              </w:rPr>
              <w:t>的生物学性状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致病特点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微生物学检查方法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防治原则</w:t>
            </w:r>
            <w:r>
              <w:rPr>
                <w:rFonts w:hint="eastAsia" w:ascii="宋体" w:hAnsi="宋体"/>
                <w:sz w:val="20"/>
                <w:szCs w:val="20"/>
              </w:rPr>
              <w:t>。病毒总体的基本性状、病毒的感染、病毒感染的检查方法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真菌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，病毒：</w:t>
            </w:r>
            <w:r>
              <w:rPr>
                <w:rFonts w:ascii="宋体" w:hAnsi="宋体"/>
                <w:sz w:val="20"/>
                <w:szCs w:val="20"/>
              </w:rPr>
              <w:t>致病性真菌</w:t>
            </w:r>
            <w:r>
              <w:rPr>
                <w:rFonts w:hint="eastAsia" w:ascii="宋体" w:hAnsi="宋体"/>
                <w:sz w:val="20"/>
                <w:szCs w:val="20"/>
              </w:rPr>
              <w:t>（皮肤癣真菌、白假丝酵母菌、新生隐球菌）的生物学性状、致病性和微生物学检查方法。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真菌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，病毒：</w:t>
            </w:r>
            <w:r>
              <w:rPr>
                <w:rFonts w:ascii="宋体" w:hAnsi="宋体"/>
                <w:sz w:val="20"/>
                <w:szCs w:val="20"/>
              </w:rPr>
              <w:t>根据</w:t>
            </w:r>
            <w:r>
              <w:rPr>
                <w:rFonts w:hint="eastAsia" w:ascii="宋体" w:hAnsi="宋体"/>
                <w:sz w:val="20"/>
                <w:szCs w:val="20"/>
              </w:rPr>
              <w:t>真菌和病毒</w:t>
            </w:r>
            <w:r>
              <w:rPr>
                <w:rFonts w:ascii="宋体" w:hAnsi="宋体"/>
                <w:sz w:val="20"/>
                <w:szCs w:val="20"/>
              </w:rPr>
              <w:t>的特征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对临床的各种病原体感染现象做出分析和初步诊断</w:t>
            </w:r>
            <w:r>
              <w:rPr>
                <w:rFonts w:hint="eastAsia" w:ascii="宋体" w:hAnsi="宋体"/>
                <w:sz w:val="20"/>
                <w:szCs w:val="20"/>
              </w:rPr>
              <w:t>。能够</w:t>
            </w:r>
            <w:r>
              <w:rPr>
                <w:rFonts w:ascii="宋体" w:hAnsi="宋体"/>
                <w:sz w:val="20"/>
                <w:szCs w:val="20"/>
              </w:rPr>
              <w:t>运用病原</w:t>
            </w:r>
            <w:r>
              <w:rPr>
                <w:rFonts w:hint="eastAsia" w:ascii="宋体" w:hAnsi="宋体"/>
                <w:sz w:val="20"/>
                <w:szCs w:val="20"/>
              </w:rPr>
              <w:t>体</w:t>
            </w:r>
            <w:r>
              <w:rPr>
                <w:rFonts w:ascii="宋体" w:hAnsi="宋体"/>
                <w:sz w:val="20"/>
                <w:szCs w:val="20"/>
              </w:rPr>
              <w:t>的检测和防治原则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医学病毒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肝炎病毒</w:t>
            </w:r>
            <w:r>
              <w:rPr>
                <w:rFonts w:hint="eastAsia" w:ascii="宋体" w:hAnsi="宋体"/>
                <w:sz w:val="20"/>
                <w:szCs w:val="20"/>
              </w:rPr>
              <w:t>（甲型肝炎病毒、乙型肝炎病毒、丙型肝炎病毒、丁型肝炎病毒、戊型肝炎病毒）、</w:t>
            </w:r>
            <w:r>
              <w:rPr>
                <w:rFonts w:ascii="宋体" w:hAnsi="宋体"/>
                <w:sz w:val="20"/>
                <w:szCs w:val="20"/>
              </w:rPr>
              <w:t>虫媒病毒和出血热病毒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疱疹病毒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反转录病毒的生物学性状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致病特点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医学蠕虫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微生物学检查方法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防治原则</w:t>
            </w:r>
            <w:r>
              <w:rPr>
                <w:rFonts w:hint="eastAsia" w:ascii="宋体" w:hAnsi="宋体"/>
                <w:sz w:val="20"/>
                <w:szCs w:val="20"/>
              </w:rPr>
              <w:t>。知道线虫、吸虫的感染方式和致病特点。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医学蠕虫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医学原虫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医学节肢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动物：</w:t>
            </w:r>
            <w:r>
              <w:rPr>
                <w:rFonts w:hint="eastAsia" w:ascii="宋体" w:hAnsi="宋体"/>
                <w:sz w:val="20"/>
                <w:szCs w:val="20"/>
              </w:rPr>
              <w:t>绦虫、其他人体寄生蠕虫、叶足虫、鞭毛虫、孢子虫的感染方式和致病特点。</w:t>
            </w:r>
          </w:p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绦虫、其他人体寄生蠕虫、叶足虫、鞭毛虫、孢子虫的流行病学特点与防治。</w:t>
            </w:r>
          </w:p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医学蠕虫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医学原虫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医学节肢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动物：</w:t>
            </w:r>
            <w:r>
              <w:rPr>
                <w:rFonts w:hint="eastAsia" w:ascii="宋体" w:hAnsi="宋体"/>
                <w:sz w:val="20"/>
                <w:lang w:eastAsia="zh-CN"/>
              </w:rPr>
              <w:t>掌握</w:t>
            </w:r>
            <w:r>
              <w:rPr>
                <w:rFonts w:hint="eastAsia" w:ascii="宋体" w:hAnsi="宋体"/>
                <w:sz w:val="20"/>
              </w:rPr>
              <w:t>绦虫、其他人体寄生蠕虫、叶足虫、鞭毛虫、孢子虫的感染方式和致病特点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医学蠕虫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医学原虫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医学节肢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动物：</w:t>
            </w:r>
            <w:r>
              <w:rPr>
                <w:rFonts w:hint="eastAsia" w:ascii="宋体" w:hAnsi="宋体"/>
                <w:sz w:val="20"/>
              </w:rPr>
              <w:t>能判断蛔虫、钩虫、吸虫、绦虫的结构特点。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免疫与免疫系统、 抗原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免疫的概念、免疫系统的组成及功能；掌握抗原的概念和特征；掌握抗原表位、的概念。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>抗原的特异性、抗体的基本结构、抗体的生物学活性及主要生物学功能。运用抗原的种类和医学中常见的抗原物质。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735" w:firstLineChars="35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735" w:firstLineChars="35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免疫分子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主要组织相容性复合体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抗体、补体、细胞因子的概念；知道主要组织相容性复合体的概念、基因特点。补体系统的经典激活途径。掌握抗体的基本结构、抗体的生物学活性及主要生物学功能。熟悉补体系统各成分的主要生物学作用、补体系统的替代激活途径及MBL激活途径；熟悉HLA分子的结构、分布和与医学的相关性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免疫细胞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免疫细胞的分化和发育、固有免疫细胞、适应性免疫细胞、提呈免疫细胞、免疫应答的概念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免疫应答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T、B淋巴细胞介导的免疫应答的基本过程（抗原的加工处理及提呈；“双信号”学说）。HLA复合体基因组成，HLA的分子结构与分布。熟悉MHC分子的生物学意义。免疫应答的类型（体液、细胞免疫；初次、再次应答；正向、负向应答）。了解综合免疫应答的结局（免疫保护作用、免疫损伤作用、免疫耐受现象）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抗感染免疫、 免疫调节和免疫耐受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抗感染过程中，人体具有的三道基本防线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抗感染免疫、 免疫调节和免疫耐受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宿主抗不同病原体的免疫特点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免疫耐受的形成与表现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;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运用免疫调节的机制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组织细胞的适应和损伤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ascii="宋体" w:hAnsi="宋体"/>
                <w:sz w:val="20"/>
                <w:szCs w:val="20"/>
              </w:rPr>
              <w:t xml:space="preserve"> 知道适应中</w:t>
            </w:r>
            <w:r>
              <w:rPr>
                <w:rFonts w:hint="eastAsia" w:ascii="宋体" w:hAnsi="宋体"/>
                <w:sz w:val="20"/>
                <w:szCs w:val="20"/>
              </w:rPr>
              <w:t>肥大、</w:t>
            </w:r>
            <w:r>
              <w:rPr>
                <w:rFonts w:ascii="宋体" w:hAnsi="宋体"/>
                <w:sz w:val="20"/>
                <w:szCs w:val="20"/>
              </w:rPr>
              <w:t>萎缩、增生、化生的概念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  <w:r>
              <w:rPr>
                <w:rFonts w:ascii="宋体" w:hAnsi="宋体"/>
                <w:sz w:val="20"/>
                <w:szCs w:val="20"/>
              </w:rPr>
              <w:t>掌握细胞物质积聚中</w:t>
            </w:r>
            <w:r>
              <w:rPr>
                <w:rFonts w:hint="eastAsia" w:ascii="宋体" w:hAnsi="宋体"/>
                <w:sz w:val="20"/>
                <w:szCs w:val="20"/>
              </w:rPr>
              <w:t>水变性、脂肪变性、透明样变性的概念。</w:t>
            </w:r>
            <w:r>
              <w:rPr>
                <w:rFonts w:ascii="宋体" w:hAnsi="宋体"/>
                <w:sz w:val="20"/>
                <w:szCs w:val="20"/>
              </w:rPr>
              <w:t>细胞死亡中坏死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细胞凋亡的概念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。</w:t>
            </w:r>
            <w:r>
              <w:rPr>
                <w:rFonts w:ascii="宋体" w:hAnsi="宋体"/>
                <w:sz w:val="20"/>
                <w:szCs w:val="20"/>
              </w:rPr>
              <w:t>.理解</w:t>
            </w:r>
            <w:r>
              <w:rPr>
                <w:rFonts w:hint="eastAsia" w:ascii="宋体" w:hAnsi="宋体"/>
                <w:sz w:val="20"/>
                <w:szCs w:val="20"/>
              </w:rPr>
              <w:t>再生、</w:t>
            </w:r>
            <w:r>
              <w:rPr>
                <w:rFonts w:ascii="宋体" w:hAnsi="宋体"/>
                <w:sz w:val="20"/>
                <w:szCs w:val="20"/>
              </w:rPr>
              <w:t>纤维性修复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创伤愈合</w:t>
            </w:r>
            <w:r>
              <w:rPr>
                <w:rFonts w:hint="eastAsia" w:ascii="宋体" w:hAnsi="宋体"/>
                <w:sz w:val="20"/>
                <w:szCs w:val="20"/>
              </w:rPr>
              <w:t>的过程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血液循环障碍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充血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出血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血栓形成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梗死</w:t>
            </w:r>
            <w:r>
              <w:rPr>
                <w:rFonts w:hint="eastAsia" w:ascii="宋体" w:hAnsi="宋体"/>
                <w:sz w:val="20"/>
                <w:szCs w:val="20"/>
              </w:rPr>
              <w:t>、DIC、休克形成原因和发生机制。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影响</w:t>
            </w:r>
            <w:r>
              <w:rPr>
                <w:rFonts w:hint="eastAsia" w:ascii="宋体" w:hAnsi="宋体"/>
                <w:sz w:val="20"/>
                <w:szCs w:val="20"/>
              </w:rPr>
              <w:t>DIC发生发展的因素、休克的发生机制。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炎症</w:t>
            </w:r>
            <w:r>
              <w:rPr>
                <w:rFonts w:hint="eastAsia" w:ascii="宋体" w:hAnsi="宋体"/>
                <w:sz w:val="20"/>
                <w:szCs w:val="20"/>
              </w:rPr>
              <w:t>与</w:t>
            </w:r>
            <w:r>
              <w:rPr>
                <w:rFonts w:ascii="宋体" w:hAnsi="宋体"/>
                <w:sz w:val="20"/>
                <w:szCs w:val="20"/>
              </w:rPr>
              <w:t>发热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水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、 </w:t>
            </w:r>
            <w:r>
              <w:rPr>
                <w:rFonts w:ascii="宋体" w:hAnsi="宋体"/>
                <w:sz w:val="20"/>
                <w:szCs w:val="20"/>
              </w:rPr>
              <w:t>电解质代谢紊乱与酸碱平衡紊乱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炎症和发热的概念</w:t>
            </w:r>
            <w:r>
              <w:rPr>
                <w:rFonts w:hint="eastAsia" w:ascii="宋体" w:hAnsi="宋体"/>
                <w:sz w:val="20"/>
                <w:szCs w:val="20"/>
              </w:rPr>
              <w:t>，发热的</w:t>
            </w:r>
            <w:r>
              <w:rPr>
                <w:rFonts w:ascii="宋体" w:hAnsi="宋体"/>
                <w:sz w:val="20"/>
                <w:szCs w:val="20"/>
              </w:rPr>
              <w:t>分期和热代谢特点。</w:t>
            </w:r>
            <w:r>
              <w:rPr>
                <w:rFonts w:hint="eastAsia" w:ascii="宋体" w:hAnsi="宋体"/>
                <w:sz w:val="20"/>
                <w:szCs w:val="20"/>
              </w:rPr>
              <w:t>掌握脱水、水肿的概念，低血钾血症、高血钾血症的概念。</w:t>
            </w:r>
            <w:r>
              <w:rPr>
                <w:rFonts w:ascii="宋体" w:hAnsi="宋体"/>
                <w:sz w:val="20"/>
                <w:szCs w:val="20"/>
              </w:rPr>
              <w:t>炎症基本病理变化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炎症局部表现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急性炎症过程中的白细胞反应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急性炎症病理学类型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炎症</w:t>
            </w:r>
            <w:r>
              <w:rPr>
                <w:rFonts w:hint="eastAsia" w:ascii="宋体" w:hAnsi="宋体"/>
                <w:sz w:val="20"/>
                <w:szCs w:val="20"/>
              </w:rPr>
              <w:t>与</w:t>
            </w:r>
            <w:r>
              <w:rPr>
                <w:rFonts w:ascii="宋体" w:hAnsi="宋体"/>
                <w:sz w:val="20"/>
                <w:szCs w:val="20"/>
              </w:rPr>
              <w:t>发热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水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、 </w:t>
            </w:r>
            <w:r>
              <w:rPr>
                <w:rFonts w:ascii="宋体" w:hAnsi="宋体"/>
                <w:sz w:val="20"/>
                <w:szCs w:val="20"/>
              </w:rPr>
              <w:t>电解质代谢紊乱与酸碱平衡紊乱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慢性炎症概念；炎症全身反应；炎症意义；急性炎症过程中的血管反应；急性炎症结局；慢性炎症原因及类型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  <w:r>
              <w:rPr>
                <w:rFonts w:ascii="宋体" w:hAnsi="宋体"/>
                <w:sz w:val="20"/>
                <w:szCs w:val="20"/>
              </w:rPr>
              <w:t>熟悉各型脱水临床表现；水肿发生原因及基本机制；低钾血症和高钾血症对机体的影响。运用炎症原因、分类；类症介质作用；了解发热发生机制、机体代谢和功能变化和防治病理生理基础。了解各型脱水、低钾血症和高钾血症原因及其防治病理生理学基础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</w:rPr>
              <w:t>炎症</w:t>
            </w:r>
            <w:r>
              <w:rPr>
                <w:rFonts w:hint="eastAsia" w:ascii="宋体" w:hAnsi="宋体"/>
                <w:sz w:val="20"/>
              </w:rPr>
              <w:t>与</w:t>
            </w:r>
            <w:r>
              <w:rPr>
                <w:rFonts w:ascii="宋体" w:hAnsi="宋体"/>
                <w:sz w:val="20"/>
              </w:rPr>
              <w:t>发热</w:t>
            </w:r>
            <w:r>
              <w:rPr>
                <w:rFonts w:hint="eastAsia" w:ascii="宋体" w:hAnsi="宋体" w:eastAsiaTheme="minorEastAsia"/>
                <w:sz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发热的</w:t>
            </w:r>
            <w:r>
              <w:rPr>
                <w:rFonts w:ascii="宋体" w:hAnsi="宋体"/>
                <w:sz w:val="20"/>
                <w:szCs w:val="20"/>
              </w:rPr>
              <w:t>分期和热代谢特点。</w:t>
            </w: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ascii="宋体" w:hAnsi="宋体"/>
                <w:sz w:val="20"/>
                <w:szCs w:val="20"/>
              </w:rPr>
              <w:t>炎症基本病理变化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炎症局部表现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急性炎症过程中的白细胞反应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急性炎症病理学类型。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缺氧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缺氧的概念、各种类型缺氧的原因、发生机制和血氧变化特点。缺氧时机体功能和代谢变化；缺氧防治与护理的病理生理学基础。运用影响机体对缺氧耐受性的因素。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肿瘤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肿瘤、分化、异型性、种植性转移、癌、肉瘤、癌前疾病(病变)、异型增生和原位癌概念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肿瘤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肿瘤的形态；肿瘤的生长；肿瘤的扩散；肿瘤的一般命名原则；良、恶性肿瘤的区别；常见的癌前疾病(病变)。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肿瘤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肿瘤的异型性表现；肿瘤对机体的影响；肿的异型增生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 xml:space="preserve"> 了解肿瘤的特殊命名原则；肿瘤的分类；癌与内瘤的区别；肿瘤的原因及发生机制。</w:t>
            </w:r>
            <w:r>
              <w:rPr>
                <w:rFonts w:ascii="宋体" w:hAnsi="宋体"/>
                <w:sz w:val="20"/>
              </w:rPr>
              <w:t>肿瘤、分化、异型性、种植性转移、癌、肉瘤、癌前疾病(病变)、异型增生和原位癌概念；肿瘤的形态；肿瘤的生长；肿瘤的扩散；肿瘤的一般命名原则；良、恶性肿瘤的区别；常见的癌前疾病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免疫系统疾病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四型超敏反应的发生原因、临床表现。自身免疫性疾病的基本特征与分类。免疫缺陷并的分类。掌握免疫缺陷并HIV的临床表现和分歧。</w:t>
            </w:r>
            <w:r>
              <w:rPr>
                <w:rFonts w:ascii="宋体" w:hAnsi="宋体"/>
                <w:sz w:val="20"/>
                <w:szCs w:val="20"/>
              </w:rPr>
              <w:t>四型超敏反应的发生机制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自身免疫性疾病的病因和发生机制</w:t>
            </w:r>
            <w:r>
              <w:rPr>
                <w:rFonts w:hint="eastAsia" w:ascii="宋体" w:hAnsi="宋体"/>
                <w:sz w:val="20"/>
                <w:szCs w:val="20"/>
              </w:rPr>
              <w:t>。熟悉移植免疫。</w:t>
            </w:r>
          </w:p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呼吸系统疾病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ascii="宋体" w:hAnsi="宋体"/>
                <w:sz w:val="20"/>
                <w:szCs w:val="20"/>
              </w:rPr>
              <w:t xml:space="preserve"> 大叶性肺炎和小叶性肺炎概念；大叶性肺炎、小叶性肺炎病理交化及临床病理联系。病毒性肺炎、慢性阻塞性肺疾病、</w:t>
            </w:r>
            <w:r>
              <w:rPr>
                <w:rFonts w:hint="eastAsia" w:ascii="宋体" w:hAnsi="宋体"/>
                <w:sz w:val="20"/>
                <w:szCs w:val="20"/>
              </w:rPr>
              <w:t>肺心病</w:t>
            </w:r>
            <w:r>
              <w:rPr>
                <w:rFonts w:ascii="宋体" w:hAnsi="宋体"/>
                <w:sz w:val="20"/>
                <w:szCs w:val="20"/>
              </w:rPr>
              <w:t>的发病机制、病理变化及临床病理联系性、结局及并发症。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泌尿系统疾病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肾小球肾炎、肾盂肾炎、肾衰竭的基本病理变化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肾小球肾炎、肾盂肾炎、肾衰竭的病因和发病机制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>肾小球肾炎、肾盂肾炎、肾衰竭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/>
                <w:sz w:val="20"/>
                <w:szCs w:val="20"/>
              </w:rPr>
              <w:t>防治原则。</w:t>
            </w:r>
          </w:p>
          <w:p>
            <w:pPr>
              <w:widowControl/>
              <w:spacing w:line="240" w:lineRule="exact"/>
              <w:jc w:val="both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内分泌系统疾病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甲状腺肿、甲状腺癌、糖尿病的基本病理变化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>甲状腺肿、甲状腺癌、糖尿病的病因和发病机制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>甲状腺肿、甲状腺癌、糖尿病的防治原则。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课堂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开卷</w:t>
            </w:r>
            <w:r>
              <w:rPr>
                <w:rFonts w:ascii="宋体" w:hAnsi="宋体" w:eastAsia="宋体"/>
                <w:color w:val="000000"/>
                <w:kern w:val="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小组</w:t>
            </w:r>
            <w:r>
              <w:rPr>
                <w:rFonts w:ascii="宋体" w:hAnsi="宋体" w:eastAsia="宋体"/>
                <w:color w:val="000000"/>
                <w:kern w:val="0"/>
              </w:rPr>
              <w:t>演讲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2</w:t>
            </w:r>
            <w:r>
              <w:rPr>
                <w:rFonts w:ascii="宋体" w:hAnsi="宋体" w:eastAsia="宋体"/>
                <w:color w:val="000000"/>
                <w:kern w:val="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53110" cy="438150"/>
            <wp:effectExtent l="19050" t="0" r="8727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93" cy="43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09930" cy="286385"/>
            <wp:effectExtent l="0" t="0" r="13970" b="18415"/>
            <wp:docPr id="4" name="图片 4" descr="9ca522878c9e1cbc4e48b78c7e31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ca522878c9e1cbc4e48b78c7e31db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2022.2.19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41" o:spid="_x0000_s10241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>
          <v:path arrowok="t"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0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60DB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38F"/>
    <w:rsid w:val="0020344A"/>
    <w:rsid w:val="00205C30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66CF1"/>
    <w:rsid w:val="00280A20"/>
    <w:rsid w:val="00282761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046BC"/>
    <w:rsid w:val="00323A00"/>
    <w:rsid w:val="00325BFB"/>
    <w:rsid w:val="00326D1F"/>
    <w:rsid w:val="00331EC3"/>
    <w:rsid w:val="00340792"/>
    <w:rsid w:val="003412F9"/>
    <w:rsid w:val="00344C4C"/>
    <w:rsid w:val="003450E5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D016C"/>
    <w:rsid w:val="003D131C"/>
    <w:rsid w:val="003D2737"/>
    <w:rsid w:val="003E152E"/>
    <w:rsid w:val="003F01D4"/>
    <w:rsid w:val="003F0A1F"/>
    <w:rsid w:val="003F51DB"/>
    <w:rsid w:val="003F5A06"/>
    <w:rsid w:val="003F6A3C"/>
    <w:rsid w:val="003F6B48"/>
    <w:rsid w:val="0040053F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371A"/>
    <w:rsid w:val="00452E85"/>
    <w:rsid w:val="00452ED4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7613"/>
    <w:rsid w:val="004D07ED"/>
    <w:rsid w:val="004D4FBE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037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583B"/>
    <w:rsid w:val="005E7A88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50D"/>
    <w:rsid w:val="00642FF2"/>
    <w:rsid w:val="006537ED"/>
    <w:rsid w:val="0065695C"/>
    <w:rsid w:val="0066123E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982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33CF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1CF7"/>
    <w:rsid w:val="00873C4B"/>
    <w:rsid w:val="00880B0E"/>
    <w:rsid w:val="00882E20"/>
    <w:rsid w:val="00892651"/>
    <w:rsid w:val="008A2553"/>
    <w:rsid w:val="008A44D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D55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03F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1F83"/>
    <w:rsid w:val="00A3339A"/>
    <w:rsid w:val="00A33917"/>
    <w:rsid w:val="00A35685"/>
    <w:rsid w:val="00A36DF9"/>
    <w:rsid w:val="00A4549E"/>
    <w:rsid w:val="00A47514"/>
    <w:rsid w:val="00A5020C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168"/>
    <w:rsid w:val="00A978EA"/>
    <w:rsid w:val="00A979D1"/>
    <w:rsid w:val="00AA0E2A"/>
    <w:rsid w:val="00AA2454"/>
    <w:rsid w:val="00AA5DB7"/>
    <w:rsid w:val="00AA67D2"/>
    <w:rsid w:val="00AA6C05"/>
    <w:rsid w:val="00AB058B"/>
    <w:rsid w:val="00AB499E"/>
    <w:rsid w:val="00AB5519"/>
    <w:rsid w:val="00AB6BFA"/>
    <w:rsid w:val="00AB7541"/>
    <w:rsid w:val="00AC00AC"/>
    <w:rsid w:val="00AC0EB7"/>
    <w:rsid w:val="00AC534F"/>
    <w:rsid w:val="00AC5AA6"/>
    <w:rsid w:val="00AD15FD"/>
    <w:rsid w:val="00AD3670"/>
    <w:rsid w:val="00AD5471"/>
    <w:rsid w:val="00AD606E"/>
    <w:rsid w:val="00AE2C9A"/>
    <w:rsid w:val="00AF5CCA"/>
    <w:rsid w:val="00B01533"/>
    <w:rsid w:val="00B05815"/>
    <w:rsid w:val="00B11918"/>
    <w:rsid w:val="00B11DFC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905"/>
    <w:rsid w:val="00B44DC3"/>
    <w:rsid w:val="00B527EC"/>
    <w:rsid w:val="00B607A5"/>
    <w:rsid w:val="00B701FD"/>
    <w:rsid w:val="00B748C2"/>
    <w:rsid w:val="00B751A9"/>
    <w:rsid w:val="00B7624C"/>
    <w:rsid w:val="00B767B7"/>
    <w:rsid w:val="00B813E8"/>
    <w:rsid w:val="00B92931"/>
    <w:rsid w:val="00BA3CCB"/>
    <w:rsid w:val="00BA5396"/>
    <w:rsid w:val="00BB00B3"/>
    <w:rsid w:val="00BB12F5"/>
    <w:rsid w:val="00BC09B7"/>
    <w:rsid w:val="00BC622E"/>
    <w:rsid w:val="00BE1F18"/>
    <w:rsid w:val="00BE1F39"/>
    <w:rsid w:val="00BE6281"/>
    <w:rsid w:val="00BE747E"/>
    <w:rsid w:val="00BE7EFB"/>
    <w:rsid w:val="00BF5503"/>
    <w:rsid w:val="00BF7135"/>
    <w:rsid w:val="00C01FC1"/>
    <w:rsid w:val="00C02F3A"/>
    <w:rsid w:val="00C04815"/>
    <w:rsid w:val="00C1222F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FF7"/>
    <w:rsid w:val="00C61289"/>
    <w:rsid w:val="00C64518"/>
    <w:rsid w:val="00C67772"/>
    <w:rsid w:val="00C70424"/>
    <w:rsid w:val="00C7584A"/>
    <w:rsid w:val="00C760A0"/>
    <w:rsid w:val="00C84ED2"/>
    <w:rsid w:val="00C86C3F"/>
    <w:rsid w:val="00C90E9D"/>
    <w:rsid w:val="00C91188"/>
    <w:rsid w:val="00C925BC"/>
    <w:rsid w:val="00C97B4D"/>
    <w:rsid w:val="00CA1CEF"/>
    <w:rsid w:val="00CB08A7"/>
    <w:rsid w:val="00CB6942"/>
    <w:rsid w:val="00CB7109"/>
    <w:rsid w:val="00CC0BE5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400EB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67BC3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03B"/>
    <w:rsid w:val="00F54438"/>
    <w:rsid w:val="00F54DD6"/>
    <w:rsid w:val="00F55A8A"/>
    <w:rsid w:val="00F562B7"/>
    <w:rsid w:val="00F61FD6"/>
    <w:rsid w:val="00F6290B"/>
    <w:rsid w:val="00F633F9"/>
    <w:rsid w:val="00F65118"/>
    <w:rsid w:val="00F75B0B"/>
    <w:rsid w:val="00F803DE"/>
    <w:rsid w:val="00F80D9A"/>
    <w:rsid w:val="00F82F68"/>
    <w:rsid w:val="00F91469"/>
    <w:rsid w:val="00F9383F"/>
    <w:rsid w:val="00F938D7"/>
    <w:rsid w:val="00F948E3"/>
    <w:rsid w:val="00F95F7A"/>
    <w:rsid w:val="00F968BE"/>
    <w:rsid w:val="00FA2F4B"/>
    <w:rsid w:val="00FA57E1"/>
    <w:rsid w:val="00FA6268"/>
    <w:rsid w:val="00FA6A7E"/>
    <w:rsid w:val="00FB15A4"/>
    <w:rsid w:val="00FB1F55"/>
    <w:rsid w:val="00FB4AE3"/>
    <w:rsid w:val="00FB4FCB"/>
    <w:rsid w:val="00FD1F2E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6A046B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E86154-3DDB-4F24-97AA-349EE4EE1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3007</Words>
  <Characters>412</Characters>
  <Lines>3</Lines>
  <Paragraphs>6</Paragraphs>
  <TotalTime>0</TotalTime>
  <ScaleCrop>false</ScaleCrop>
  <LinksUpToDate>false</LinksUpToDate>
  <CharactersWithSpaces>3413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2020-09-14T08:00:00Z</dcterms:created>
  <dc:creator>*****</dc:creator>
  <cp:lastModifiedBy>姚美芳</cp:lastModifiedBy>
  <cp:lastPrinted>2015-03-18T03:45:00Z</cp:lastPrinted>
  <dcterms:modified xsi:type="dcterms:W3CDTF">2022-02-28T02:46:51Z</dcterms:modified>
  <dc:title>上海建桥学院教学进度计划表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FA93F9A23AFA406784F06309E5AF3CDE</vt:lpwstr>
  </property>
</Properties>
</file>