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lang w:eastAsia="zh-TW"/>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【老年护理学】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Gerontological nursing</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default" w:ascii="Times New Roman" w:hAnsi="Times New Roman" w:eastAsia="PMingLiU" w:cs="Times New Roman"/>
          <w:color w:val="000000"/>
          <w:sz w:val="20"/>
          <w:szCs w:val="20"/>
          <w:lang w:val="en-US" w:eastAsia="zh-TW"/>
        </w:rPr>
        <w:t>1170018</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ascii="Times New Roman" w:hAnsi="Times New Roman"/>
          <w:color w:val="000000"/>
          <w:sz w:val="20"/>
          <w:szCs w:val="20"/>
        </w:rPr>
        <w:t>2</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rFonts w:hint="eastAsia"/>
          <w:b/>
          <w:bCs/>
          <w:color w:val="000000"/>
          <w:sz w:val="20"/>
          <w:szCs w:val="20"/>
        </w:rPr>
        <w:t>健康管理学院护理系</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老年护理学，化前珍、胡秀英，人民卫生出版社，第</w:t>
      </w:r>
      <w:r>
        <w:rPr>
          <w:rFonts w:ascii="Times New Roman" w:hAnsi="Times New Roman"/>
          <w:color w:val="000000"/>
          <w:sz w:val="20"/>
          <w:szCs w:val="20"/>
        </w:rPr>
        <w:t>4</w:t>
      </w:r>
      <w:r>
        <w:rPr>
          <w:rFonts w:hint="eastAsia"/>
          <w:color w:val="000000"/>
          <w:sz w:val="20"/>
          <w:szCs w:val="20"/>
        </w:rPr>
        <w:t>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老年医学，张建、范利，人民卫生出版社，第</w:t>
      </w:r>
      <w:r>
        <w:rPr>
          <w:rFonts w:ascii="Times New Roman" w:hAnsi="Times New Roman"/>
          <w:color w:val="000000"/>
          <w:sz w:val="20"/>
          <w:szCs w:val="20"/>
        </w:rPr>
        <w:t>2</w:t>
      </w:r>
      <w:r>
        <w:rPr>
          <w:rFonts w:hint="eastAsia"/>
          <w:color w:val="000000"/>
          <w:sz w:val="20"/>
          <w:szCs w:val="20"/>
        </w:rPr>
        <w:t>版</w:t>
      </w:r>
    </w:p>
    <w:p>
      <w:pPr>
        <w:snapToGrid w:val="0"/>
        <w:spacing w:line="288" w:lineRule="auto"/>
        <w:ind w:left="1308" w:firstLine="372" w:firstLineChars="186"/>
        <w:rPr>
          <w:rFonts w:ascii="宋体" w:hAnsi="宋体"/>
          <w:color w:val="000000"/>
          <w:sz w:val="20"/>
          <w:szCs w:val="20"/>
          <w:lang w:eastAsia="zh-TW"/>
        </w:rPr>
      </w:pPr>
      <w:r>
        <w:rPr>
          <w:rFonts w:hint="eastAsia" w:ascii="宋体" w:hAnsi="宋体"/>
          <w:color w:val="000000"/>
          <w:sz w:val="20"/>
          <w:szCs w:val="20"/>
          <w:lang w:eastAsia="zh-TW"/>
        </w:rPr>
        <w:t>老年護理學，張家琪，華杏出版社，第</w:t>
      </w:r>
      <w:r>
        <w:rPr>
          <w:rFonts w:ascii="Times New Roman" w:hAnsi="Times New Roman"/>
          <w:color w:val="000000"/>
          <w:sz w:val="20"/>
          <w:szCs w:val="20"/>
          <w:lang w:eastAsia="zh-TW"/>
        </w:rPr>
        <w:t>1</w:t>
      </w:r>
      <w:r>
        <w:rPr>
          <w:rFonts w:hint="eastAsia" w:ascii="宋体" w:hAnsi="宋体"/>
          <w:color w:val="000000"/>
          <w:sz w:val="20"/>
          <w:szCs w:val="20"/>
          <w:lang w:eastAsia="zh-TW"/>
        </w:rPr>
        <w:t>版</w:t>
      </w:r>
    </w:p>
    <w:p>
      <w:pPr>
        <w:snapToGrid w:val="0"/>
        <w:spacing w:line="288" w:lineRule="auto"/>
        <w:ind w:left="1308" w:firstLine="372" w:firstLineChars="186"/>
        <w:rPr>
          <w:rFonts w:ascii="PMingLiU" w:hAnsi="PMingLiU" w:eastAsia="PMingLiU"/>
          <w:color w:val="000000"/>
          <w:sz w:val="20"/>
          <w:szCs w:val="20"/>
        </w:rPr>
      </w:pPr>
      <w:r>
        <w:rPr>
          <w:rFonts w:ascii="Times New Roman" w:hAnsi="Times New Roman"/>
          <w:color w:val="000000"/>
          <w:sz w:val="20"/>
          <w:szCs w:val="20"/>
        </w:rPr>
        <w:t>Eliopoulos</w:t>
      </w:r>
      <w:r>
        <w:rPr>
          <w:rFonts w:ascii="Times New Roman" w:hAnsi="Times New Roman" w:eastAsia="PMingLiU"/>
          <w:color w:val="000000"/>
          <w:sz w:val="20"/>
          <w:szCs w:val="20"/>
          <w:lang w:eastAsia="zh-TW"/>
        </w:rPr>
        <w:t xml:space="preserve">, C. (2018). Gerontological nursing (9th ed.). </w:t>
      </w:r>
      <w:r>
        <w:rPr>
          <w:rFonts w:ascii="Times New Roman" w:hAnsi="Times New Roman" w:eastAsia="PMingLiU"/>
          <w:color w:val="000000"/>
          <w:sz w:val="20"/>
          <w:szCs w:val="20"/>
        </w:rPr>
        <w:t>Wolters Kluwer.</w:t>
      </w:r>
      <w:r>
        <w:rPr>
          <w:color w:val="000000"/>
          <w:sz w:val="20"/>
          <w:szCs w:val="20"/>
        </w:rPr>
        <w:t>】</w:t>
      </w:r>
    </w:p>
    <w:p>
      <w:pPr>
        <w:snapToGrid w:val="0"/>
        <w:spacing w:line="288" w:lineRule="auto"/>
        <w:ind w:firstLine="392"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rFonts w:ascii="Times New Roman" w:hAnsi="Times New Roman"/>
          <w:color w:val="000000"/>
          <w:sz w:val="20"/>
          <w:szCs w:val="20"/>
        </w:rPr>
        <w:t>A 010001（6）</w:t>
      </w:r>
      <w:r>
        <w:rPr>
          <w:rFonts w:hint="eastAsia"/>
          <w:color w:val="000000"/>
          <w:sz w:val="20"/>
          <w:szCs w:val="20"/>
        </w:rPr>
        <w:t>，生理学</w:t>
      </w:r>
      <w:r>
        <w:rPr>
          <w:rFonts w:ascii="Times New Roman" w:hAnsi="Times New Roman"/>
          <w:color w:val="000000"/>
          <w:sz w:val="20"/>
          <w:szCs w:val="20"/>
        </w:rPr>
        <w:t>A 010001（4）</w:t>
      </w:r>
      <w:r>
        <w:rPr>
          <w:rFonts w:hint="eastAsia"/>
          <w:color w:val="000000"/>
          <w:sz w:val="20"/>
          <w:szCs w:val="20"/>
        </w:rPr>
        <w:t>，病理学与病理生理学</w:t>
      </w:r>
      <w:r>
        <w:rPr>
          <w:rFonts w:ascii="Times New Roman" w:hAnsi="Times New Roman"/>
          <w:color w:val="000000"/>
          <w:sz w:val="20"/>
          <w:szCs w:val="20"/>
        </w:rPr>
        <w:t>A 010001（3）</w:t>
      </w:r>
      <w:r>
        <w:rPr>
          <w:rFonts w:hint="eastAsia"/>
          <w:color w:val="000000"/>
          <w:sz w:val="20"/>
          <w:szCs w:val="20"/>
        </w:rPr>
        <w:t>，药理学</w:t>
      </w:r>
      <w:r>
        <w:rPr>
          <w:rFonts w:ascii="Times New Roman" w:hAnsi="Times New Roman"/>
          <w:color w:val="000000"/>
          <w:sz w:val="20"/>
          <w:szCs w:val="20"/>
        </w:rPr>
        <w:t>A 010001（3）</w:t>
      </w:r>
      <w:r>
        <w:rPr>
          <w:rFonts w:hint="eastAsia"/>
          <w:color w:val="000000"/>
          <w:sz w:val="20"/>
          <w:szCs w:val="20"/>
        </w:rPr>
        <w:t>，护士人文修养</w:t>
      </w:r>
      <w:r>
        <w:rPr>
          <w:rFonts w:ascii="Times New Roman" w:hAnsi="Times New Roman"/>
          <w:color w:val="000000"/>
          <w:sz w:val="20"/>
          <w:szCs w:val="20"/>
        </w:rPr>
        <w:t>A 010001（1.5）</w:t>
      </w:r>
      <w:r>
        <w:rPr>
          <w:rFonts w:hint="eastAsia"/>
          <w:color w:val="000000"/>
          <w:sz w:val="20"/>
          <w:szCs w:val="20"/>
        </w:rPr>
        <w:t>，护理伦理学</w:t>
      </w:r>
      <w:r>
        <w:rPr>
          <w:rFonts w:ascii="Times New Roman" w:hAnsi="Times New Roman"/>
          <w:color w:val="000000"/>
          <w:sz w:val="20"/>
          <w:szCs w:val="20"/>
        </w:rPr>
        <w:t>A 010001（1）</w:t>
      </w:r>
      <w:r>
        <w:rPr>
          <w:rFonts w:hint="eastAsia"/>
          <w:color w:val="000000"/>
          <w:sz w:val="20"/>
          <w:szCs w:val="20"/>
        </w:rPr>
        <w:t>，护理心理学</w:t>
      </w:r>
      <w:r>
        <w:rPr>
          <w:rFonts w:ascii="Times New Roman" w:hAnsi="Times New Roman"/>
          <w:color w:val="000000"/>
          <w:sz w:val="20"/>
          <w:szCs w:val="20"/>
        </w:rPr>
        <w:t>A 010001（1.5）</w:t>
      </w:r>
      <w:r>
        <w:rPr>
          <w:rFonts w:hint="eastAsia"/>
          <w:color w:val="000000"/>
          <w:sz w:val="20"/>
          <w:szCs w:val="20"/>
        </w:rPr>
        <w:t>，基础护理学</w:t>
      </w:r>
      <w:r>
        <w:rPr>
          <w:rFonts w:ascii="Times New Roman" w:hAnsi="Times New Roman"/>
          <w:color w:val="000000"/>
          <w:sz w:val="20"/>
          <w:szCs w:val="20"/>
        </w:rPr>
        <w:t>1A 010001（4）</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line="288" w:lineRule="auto"/>
        <w:ind w:firstLine="400" w:firstLineChars="200"/>
        <w:jc w:val="left"/>
        <w:rPr>
          <w:rFonts w:eastAsia="PMingLiU"/>
          <w:color w:val="000000"/>
          <w:sz w:val="20"/>
          <w:szCs w:val="20"/>
        </w:rPr>
      </w:pPr>
      <w:r>
        <w:rPr>
          <w:rFonts w:hint="eastAsia"/>
          <w:color w:val="000000"/>
          <w:sz w:val="20"/>
          <w:szCs w:val="20"/>
        </w:rPr>
        <w:t>人口老化已经是全球趋势，于</w:t>
      </w:r>
      <w:r>
        <w:rPr>
          <w:color w:val="000000"/>
          <w:sz w:val="20"/>
          <w:szCs w:val="20"/>
        </w:rPr>
        <w:t>2020</w:t>
      </w:r>
      <w:r>
        <w:rPr>
          <w:rFonts w:hint="eastAsia"/>
          <w:color w:val="000000"/>
          <w:sz w:val="20"/>
          <w:szCs w:val="20"/>
        </w:rPr>
        <w:t>年国家统计局显示，我国</w:t>
      </w:r>
      <w:r>
        <w:rPr>
          <w:color w:val="000000"/>
          <w:sz w:val="20"/>
          <w:szCs w:val="20"/>
        </w:rPr>
        <w:t>65</w:t>
      </w:r>
      <w:r>
        <w:rPr>
          <w:rFonts w:hint="eastAsia"/>
          <w:color w:val="000000"/>
          <w:sz w:val="20"/>
          <w:szCs w:val="20"/>
        </w:rPr>
        <w:t>岁以上的人口，占总人口</w:t>
      </w:r>
      <w:r>
        <w:rPr>
          <w:color w:val="000000"/>
          <w:sz w:val="20"/>
          <w:szCs w:val="20"/>
        </w:rPr>
        <w:t>13%</w:t>
      </w:r>
      <w:r>
        <w:rPr>
          <w:rFonts w:hint="eastAsia"/>
          <w:color w:val="000000"/>
          <w:sz w:val="20"/>
          <w:szCs w:val="20"/>
        </w:rPr>
        <w:t>，已进入老龄化社会，这情形将冲击经济、教育、劳动力、社会保障等多方面问题，由此得知长者照护为我国不可忽视的重要议题，因此，加强老年护理学教育、培养老年护理专业人具有十分重要的意义。</w:t>
      </w:r>
    </w:p>
    <w:p>
      <w:pPr>
        <w:widowControl/>
        <w:spacing w:line="288" w:lineRule="auto"/>
        <w:ind w:firstLine="400" w:firstLineChars="200"/>
        <w:jc w:val="left"/>
        <w:rPr>
          <w:color w:val="000000"/>
          <w:sz w:val="20"/>
          <w:szCs w:val="20"/>
        </w:rPr>
      </w:pPr>
      <w:r>
        <w:rPr>
          <w:rFonts w:hint="eastAsia"/>
          <w:color w:val="000000"/>
          <w:sz w:val="20"/>
          <w:szCs w:val="20"/>
        </w:rPr>
        <w:t>《老年护理学》</w:t>
      </w:r>
      <w:r>
        <w:rPr>
          <w:rFonts w:hint="eastAsia" w:ascii="PMingLiU" w:hAnsi="PMingLiU"/>
          <w:color w:val="000000"/>
          <w:sz w:val="20"/>
          <w:szCs w:val="20"/>
        </w:rPr>
        <w:t>为</w:t>
      </w:r>
      <w:r>
        <w:rPr>
          <w:rFonts w:hint="eastAsia"/>
          <w:color w:val="000000"/>
          <w:sz w:val="20"/>
          <w:szCs w:val="20"/>
        </w:rPr>
        <w:t>护理</w:t>
      </w:r>
      <w:r>
        <w:rPr>
          <w:rFonts w:hint="eastAsia" w:ascii="PMingLiU" w:hAnsi="PMingLiU"/>
          <w:color w:val="000000"/>
          <w:sz w:val="20"/>
          <w:szCs w:val="20"/>
        </w:rPr>
        <w:t>专升本</w:t>
      </w:r>
      <w:r>
        <w:rPr>
          <w:rFonts w:hint="eastAsia"/>
          <w:color w:val="000000"/>
          <w:sz w:val="20"/>
          <w:szCs w:val="20"/>
        </w:rPr>
        <w:t>专业开设的一门专业选修课程</w:t>
      </w:r>
      <w:r>
        <w:rPr>
          <w:rFonts w:hint="eastAsia" w:ascii="PMingLiU" w:hAnsi="PMingLiU" w:eastAsia="PMingLiU"/>
          <w:color w:val="000000"/>
          <w:sz w:val="20"/>
          <w:szCs w:val="20"/>
        </w:rPr>
        <w:t>。</w:t>
      </w:r>
      <w:r>
        <w:rPr>
          <w:color w:val="000000"/>
          <w:sz w:val="20"/>
          <w:szCs w:val="20"/>
        </w:rPr>
        <w:t xml:space="preserve"> </w:t>
      </w:r>
      <w:r>
        <w:rPr>
          <w:rFonts w:hint="eastAsia"/>
          <w:color w:val="000000"/>
          <w:sz w:val="20"/>
          <w:szCs w:val="20"/>
        </w:rPr>
        <w:t>《老年护理学》</w:t>
      </w:r>
      <w:r>
        <w:rPr>
          <w:rFonts w:hint="eastAsia" w:ascii="PMingLiU" w:hAnsi="PMingLiU"/>
          <w:color w:val="000000"/>
          <w:sz w:val="20"/>
          <w:szCs w:val="20"/>
        </w:rPr>
        <w:t>的范畴含括老年人的全人健康、功能评估、照护计划与执行、照护技巧等。本课程以护理与长期照护人员的角度，说明常见情况的案例分享与照护技巧。透过老化理论、老年生理与心理变化、与老人沟通、老年人的健康评估、常见健康问题与护理、认知症照护、临终护理及伦理议题等，研究老年人的健康问题，满足老年人的健康需求，进而提高老年人的生活质量，维护和促进老年人的身、心、灵、社会的健康。</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于护理</w:t>
      </w:r>
      <w:r>
        <w:rPr>
          <w:rFonts w:hint="eastAsia" w:ascii="PMingLiU" w:hAnsi="PMingLiU"/>
          <w:color w:val="000000"/>
          <w:sz w:val="20"/>
          <w:szCs w:val="20"/>
        </w:rPr>
        <w:t>专升本学生，并开设于第一学期。</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p>
      <w:pPr>
        <w:widowControl/>
        <w:spacing w:before="156" w:beforeLines="50" w:after="156" w:afterLines="50" w:line="288" w:lineRule="auto"/>
        <w:ind w:firstLine="360" w:firstLineChars="150"/>
        <w:jc w:val="left"/>
        <w:rPr>
          <w:rFonts w:ascii="黑体" w:hAnsi="宋体" w:eastAsia="黑体"/>
          <w:sz w:val="24"/>
        </w:rPr>
      </w:pPr>
    </w:p>
    <w:tbl>
      <w:tblPr>
        <w:tblStyle w:val="6"/>
        <w:tblpPr w:leftFromText="180" w:rightFromText="180" w:vertAnchor="text" w:horzAnchor="page" w:tblpX="2375" w:tblpY="242"/>
        <w:tblOverlap w:val="never"/>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5393"/>
        <w:gridCol w:w="688"/>
      </w:tblGrid>
      <w:tr>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rPr>
          <w:trHeight w:val="171" w:hRule="atLeast"/>
        </w:trPr>
        <w:tc>
          <w:tcPr>
            <w:tcW w:w="1696" w:type="dxa"/>
            <w:vMerge w:val="restart"/>
          </w:tcPr>
          <w:p>
            <w:pPr>
              <w:rPr>
                <w:rFonts w:ascii="宋体" w:hAnsi="宋体"/>
                <w:kern w:val="0"/>
                <w:sz w:val="20"/>
                <w:szCs w:val="20"/>
              </w:rPr>
            </w:pPr>
            <w:r>
              <w:rPr>
                <w:rFonts w:ascii="Times New Roman" w:hAnsi="Times New Roman"/>
                <w:color w:val="000000"/>
                <w:kern w:val="0"/>
                <w:sz w:val="20"/>
                <w:szCs w:val="20"/>
              </w:rPr>
              <w:t>LO1</w:t>
            </w:r>
            <w:r>
              <w:rPr>
                <w:rFonts w:hint="eastAsia" w:ascii="宋体" w:hAnsi="宋体" w:cs="宋体"/>
                <w:color w:val="000000"/>
                <w:kern w:val="0"/>
                <w:sz w:val="20"/>
                <w:szCs w:val="20"/>
              </w:rPr>
              <w:t>表达沟通</w:t>
            </w:r>
          </w:p>
        </w:tc>
        <w:tc>
          <w:tcPr>
            <w:tcW w:w="5393" w:type="dxa"/>
          </w:tcPr>
          <w:p>
            <w:pPr>
              <w:rPr>
                <w:rFonts w:ascii="宋体" w:hAnsi="宋体" w:cs="宋体"/>
                <w:color w:val="000000"/>
                <w:kern w:val="0"/>
                <w:sz w:val="20"/>
                <w:szCs w:val="20"/>
              </w:rPr>
            </w:pPr>
            <w:r>
              <w:rPr>
                <w:rFonts w:ascii="Times New Roman" w:hAnsi="Times New Roman"/>
                <w:color w:val="000000"/>
                <w:kern w:val="0"/>
                <w:sz w:val="20"/>
                <w:szCs w:val="20"/>
              </w:rPr>
              <w:t>LO11</w:t>
            </w:r>
            <w:r>
              <w:rPr>
                <w:rFonts w:hint="eastAsia" w:ascii="宋体" w:hAnsi="宋体" w:cs="宋体"/>
                <w:color w:val="000000"/>
                <w:kern w:val="0"/>
                <w:sz w:val="20"/>
                <w:szCs w:val="20"/>
              </w:rPr>
              <w:t xml:space="preserve"> 尊重护理对象的价值观、文化习俗、个人信仰和权利。</w:t>
            </w:r>
          </w:p>
        </w:tc>
        <w:tc>
          <w:tcPr>
            <w:tcW w:w="688" w:type="dxa"/>
          </w:tcPr>
          <w:p>
            <w:pPr>
              <w:rPr>
                <w:rFonts w:ascii="宋体" w:hAnsi="宋体" w:cs="宋体"/>
                <w:color w:val="000000"/>
                <w:kern w:val="0"/>
                <w:sz w:val="20"/>
                <w:szCs w:val="20"/>
              </w:rPr>
            </w:pPr>
          </w:p>
        </w:tc>
      </w:tr>
      <w:tr>
        <w:trPr>
          <w:trHeight w:val="151" w:hRule="atLeast"/>
        </w:trPr>
        <w:tc>
          <w:tcPr>
            <w:tcW w:w="1696" w:type="dxa"/>
            <w:vMerge w:val="continue"/>
          </w:tcPr>
          <w:p>
            <w:pPr>
              <w:rPr>
                <w:rFonts w:ascii="宋体" w:hAnsi="宋体" w:cs="宋体"/>
                <w:color w:val="000000"/>
                <w:kern w:val="0"/>
                <w:sz w:val="20"/>
                <w:szCs w:val="20"/>
              </w:rPr>
            </w:pPr>
          </w:p>
        </w:tc>
        <w:tc>
          <w:tcPr>
            <w:tcW w:w="5393" w:type="dxa"/>
          </w:tcPr>
          <w:p>
            <w:pPr>
              <w:rPr>
                <w:rFonts w:ascii="宋体" w:hAnsi="宋体" w:cs="宋体"/>
                <w:color w:val="000000"/>
                <w:kern w:val="0"/>
                <w:sz w:val="20"/>
                <w:szCs w:val="20"/>
              </w:rPr>
            </w:pPr>
            <w:r>
              <w:rPr>
                <w:rFonts w:ascii="Times New Roman" w:hAnsi="Times New Roman"/>
                <w:color w:val="000000"/>
                <w:kern w:val="0"/>
                <w:sz w:val="20"/>
                <w:szCs w:val="20"/>
              </w:rPr>
              <w:t>LO12</w:t>
            </w:r>
            <w:r>
              <w:rPr>
                <w:rFonts w:hint="eastAsia" w:ascii="宋体" w:hAnsi="宋体" w:cs="宋体"/>
                <w:color w:val="000000"/>
                <w:kern w:val="0"/>
                <w:sz w:val="20"/>
                <w:szCs w:val="20"/>
              </w:rPr>
              <w:t xml:space="preserve"> 具有在护理专业实践中有效沟通与合作的能力。</w:t>
            </w:r>
          </w:p>
        </w:tc>
        <w:tc>
          <w:tcPr>
            <w:tcW w:w="688" w:type="dxa"/>
          </w:tcPr>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 w:hRule="atLeast"/>
        </w:trPr>
        <w:tc>
          <w:tcPr>
            <w:tcW w:w="1696" w:type="dxa"/>
            <w:vMerge w:val="restart"/>
          </w:tcPr>
          <w:p>
            <w:pPr>
              <w:widowControl/>
              <w:rPr>
                <w:rFonts w:ascii="宋体" w:hAnsi="宋体"/>
                <w:kern w:val="0"/>
                <w:sz w:val="20"/>
                <w:szCs w:val="20"/>
              </w:rPr>
            </w:pPr>
            <w:r>
              <w:rPr>
                <w:rFonts w:ascii="Times New Roman" w:hAnsi="Times New Roman"/>
                <w:color w:val="000000"/>
                <w:kern w:val="0"/>
                <w:sz w:val="20"/>
                <w:szCs w:val="20"/>
              </w:rPr>
              <w:t>LO2</w:t>
            </w:r>
            <w:r>
              <w:rPr>
                <w:rFonts w:hint="eastAsia" w:ascii="宋体" w:hAnsi="宋体" w:cs="宋体"/>
                <w:color w:val="000000"/>
                <w:kern w:val="0"/>
                <w:sz w:val="20"/>
                <w:szCs w:val="20"/>
              </w:rPr>
              <w:t>自主学习</w:t>
            </w:r>
          </w:p>
        </w:tc>
        <w:tc>
          <w:tcPr>
            <w:tcW w:w="5393" w:type="dxa"/>
          </w:tcPr>
          <w:p>
            <w:pPr>
              <w:rPr>
                <w:rFonts w:ascii="宋体" w:hAnsi="宋体" w:cs="宋体"/>
                <w:color w:val="000000"/>
                <w:kern w:val="0"/>
                <w:sz w:val="20"/>
                <w:szCs w:val="20"/>
              </w:rPr>
            </w:pPr>
            <w:r>
              <w:rPr>
                <w:rFonts w:ascii="Times New Roman" w:hAnsi="Times New Roman"/>
                <w:color w:val="000000"/>
                <w:kern w:val="0"/>
                <w:sz w:val="20"/>
                <w:szCs w:val="20"/>
              </w:rPr>
              <w:t>LO21</w:t>
            </w:r>
            <w:r>
              <w:rPr>
                <w:rFonts w:hint="eastAsia" w:ascii="宋体" w:hAnsi="宋体" w:cs="宋体"/>
                <w:color w:val="000000"/>
                <w:kern w:val="0"/>
                <w:sz w:val="20"/>
                <w:szCs w:val="20"/>
              </w:rPr>
              <w:t xml:space="preserve"> 树立终身学习的观念，具有主动获取新知识、不断进行自我完善和推动专业发展的态度。</w:t>
            </w:r>
          </w:p>
        </w:tc>
        <w:tc>
          <w:tcPr>
            <w:tcW w:w="688" w:type="dxa"/>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1696" w:type="dxa"/>
            <w:vMerge w:val="continue"/>
          </w:tcPr>
          <w:p>
            <w:pPr>
              <w:widowControl/>
              <w:rPr>
                <w:rFonts w:ascii="宋体" w:hAnsi="宋体" w:cs="宋体"/>
                <w:color w:val="000000"/>
                <w:kern w:val="0"/>
                <w:sz w:val="20"/>
                <w:szCs w:val="20"/>
              </w:rPr>
            </w:pPr>
          </w:p>
        </w:tc>
        <w:tc>
          <w:tcPr>
            <w:tcW w:w="5393" w:type="dxa"/>
          </w:tcPr>
          <w:p>
            <w:pPr>
              <w:rPr>
                <w:rFonts w:ascii="宋体" w:hAnsi="宋体" w:cs="宋体"/>
                <w:color w:val="000000"/>
                <w:kern w:val="0"/>
                <w:sz w:val="20"/>
                <w:szCs w:val="20"/>
              </w:rPr>
            </w:pPr>
            <w:r>
              <w:rPr>
                <w:rFonts w:ascii="Times New Roman" w:hAnsi="Times New Roman"/>
                <w:color w:val="000000"/>
                <w:kern w:val="0"/>
                <w:sz w:val="20"/>
                <w:szCs w:val="20"/>
              </w:rPr>
              <w:t>LO22</w:t>
            </w:r>
            <w:r>
              <w:rPr>
                <w:rFonts w:hint="eastAsia" w:ascii="宋体" w:hAnsi="宋体" w:cs="宋体"/>
                <w:color w:val="000000"/>
                <w:kern w:val="0"/>
                <w:sz w:val="20"/>
                <w:szCs w:val="20"/>
              </w:rPr>
              <w:t xml:space="preserve"> </w:t>
            </w:r>
            <w:r>
              <w:rPr>
                <w:rFonts w:hint="eastAsia" w:ascii="宋体" w:hAnsi="宋体" w:cs="宋体"/>
                <w:color w:val="000000"/>
                <w:sz w:val="20"/>
                <w:szCs w:val="20"/>
              </w:rPr>
              <w:t>能搜集、获取达到目标所需要的学习资源，实施学习计划、反思学习计划、持续改进，达到学习目标</w:t>
            </w:r>
            <w:r>
              <w:rPr>
                <w:rFonts w:hint="eastAsia" w:ascii="PMingLiU" w:hAnsi="PMingLiU" w:eastAsia="PMingLiU" w:cs="宋体"/>
                <w:color w:val="000000"/>
                <w:sz w:val="20"/>
                <w:szCs w:val="20"/>
              </w:rPr>
              <w:t>。</w:t>
            </w:r>
          </w:p>
        </w:tc>
        <w:tc>
          <w:tcPr>
            <w:tcW w:w="688" w:type="dxa"/>
          </w:tcPr>
          <w:p>
            <w:pPr>
              <w:widowControl/>
              <w:rPr>
                <w:rFonts w:ascii="宋体" w:hAnsi="宋体" w:cs="宋体"/>
                <w:color w:val="000000"/>
                <w:kern w:val="0"/>
                <w:sz w:val="20"/>
                <w:szCs w:val="20"/>
              </w:rPr>
            </w:pPr>
            <w:r>
              <w:rPr>
                <w:rFonts w:hint="eastAsia" w:ascii="宋体" w:hAnsi="宋体" w:cs="仿宋"/>
                <w:color w:val="000000"/>
                <w:kern w:val="0"/>
                <w:sz w:val="20"/>
                <w:szCs w:val="20"/>
              </w:rPr>
              <w:t>●</w:t>
            </w:r>
          </w:p>
        </w:tc>
      </w:tr>
      <w:tr>
        <w:trPr>
          <w:trHeight w:val="634" w:hRule="atLeast"/>
        </w:trPr>
        <w:tc>
          <w:tcPr>
            <w:tcW w:w="1696" w:type="dxa"/>
            <w:vMerge w:val="restart"/>
          </w:tcPr>
          <w:p>
            <w:pPr>
              <w:widowControl/>
              <w:rPr>
                <w:rFonts w:ascii="宋体" w:hAnsi="宋体"/>
                <w:kern w:val="0"/>
                <w:sz w:val="20"/>
                <w:szCs w:val="20"/>
              </w:rPr>
            </w:pPr>
            <w:r>
              <w:rPr>
                <w:rFonts w:ascii="Times New Roman" w:hAnsi="Times New Roman"/>
                <w:color w:val="000000"/>
                <w:kern w:val="0"/>
                <w:sz w:val="20"/>
                <w:szCs w:val="20"/>
              </w:rPr>
              <w:t>LO3</w:t>
            </w:r>
            <w:r>
              <w:rPr>
                <w:rFonts w:hint="eastAsia" w:ascii="宋体" w:hAnsi="宋体" w:cs="宋体"/>
                <w:color w:val="000000"/>
                <w:kern w:val="0"/>
                <w:sz w:val="20"/>
                <w:szCs w:val="20"/>
              </w:rPr>
              <w:t>专业能力</w:t>
            </w:r>
          </w:p>
        </w:tc>
        <w:tc>
          <w:tcPr>
            <w:tcW w:w="5393" w:type="dxa"/>
          </w:tcPr>
          <w:p>
            <w:pPr>
              <w:rPr>
                <w:rFonts w:ascii="宋体" w:hAnsi="宋体" w:cs="宋体"/>
                <w:color w:val="000000"/>
                <w:kern w:val="0"/>
                <w:sz w:val="20"/>
                <w:szCs w:val="20"/>
              </w:rPr>
            </w:pPr>
            <w:r>
              <w:rPr>
                <w:rFonts w:ascii="Times New Roman" w:hAnsi="Times New Roman"/>
                <w:color w:val="000000"/>
                <w:kern w:val="0"/>
                <w:sz w:val="20"/>
                <w:szCs w:val="20"/>
              </w:rPr>
              <w:t>LO31</w:t>
            </w:r>
            <w:r>
              <w:rPr>
                <w:rFonts w:hint="eastAsia" w:ascii="宋体" w:hAnsi="宋体" w:cs="宋体"/>
                <w:color w:val="000000"/>
                <w:kern w:val="0"/>
                <w:sz w:val="20"/>
                <w:szCs w:val="20"/>
              </w:rPr>
              <w:t>具有</w:t>
            </w:r>
            <w:r>
              <w:rPr>
                <w:rFonts w:hint="eastAsia" w:ascii="PMingLiU" w:hAnsi="PMingLiU" w:cs="宋体"/>
                <w:color w:val="000000"/>
                <w:kern w:val="0"/>
                <w:sz w:val="20"/>
                <w:szCs w:val="20"/>
              </w:rPr>
              <w:t>基础生物医学包括</w:t>
            </w:r>
            <w:r>
              <w:rPr>
                <w:rFonts w:ascii="宋体" w:hAnsi="宋体" w:cs="宋体"/>
                <w:color w:val="000000"/>
                <w:kern w:val="0"/>
                <w:sz w:val="20"/>
                <w:szCs w:val="20"/>
              </w:rPr>
              <w:t>(</w:t>
            </w:r>
            <w:r>
              <w:rPr>
                <w:rFonts w:hint="eastAsia" w:ascii="PMingLiU" w:hAnsi="PMingLiU" w:cs="宋体"/>
                <w:color w:val="000000"/>
                <w:kern w:val="0"/>
                <w:sz w:val="20"/>
                <w:szCs w:val="20"/>
              </w:rPr>
              <w:t>解剖学、生理学、病理学、药物学、药理学及微生物免疫学</w:t>
            </w:r>
            <w:r>
              <w:rPr>
                <w:rFonts w:ascii="宋体" w:hAnsi="宋体" w:cs="宋体"/>
                <w:color w:val="000000"/>
                <w:kern w:val="0"/>
                <w:sz w:val="20"/>
                <w:szCs w:val="20"/>
              </w:rPr>
              <w:t>)</w:t>
            </w:r>
            <w:r>
              <w:rPr>
                <w:rFonts w:hint="eastAsia" w:ascii="PMingLiU" w:hAnsi="PMingLiU" w:cs="宋体"/>
                <w:color w:val="000000"/>
                <w:kern w:val="0"/>
                <w:sz w:val="20"/>
                <w:szCs w:val="20"/>
              </w:rPr>
              <w:t>等运用能力。</w:t>
            </w:r>
          </w:p>
        </w:tc>
        <w:tc>
          <w:tcPr>
            <w:tcW w:w="688" w:type="dxa"/>
          </w:tcPr>
          <w:p>
            <w:pPr>
              <w:widowControl/>
              <w:rPr>
                <w:rFonts w:ascii="宋体" w:hAnsi="宋体" w:cs="宋体"/>
                <w:color w:val="000000"/>
                <w:kern w:val="0"/>
                <w:sz w:val="20"/>
                <w:szCs w:val="20"/>
              </w:rPr>
            </w:pPr>
          </w:p>
        </w:tc>
      </w:tr>
      <w:tr>
        <w:trPr>
          <w:trHeight w:val="190" w:hRule="atLeast"/>
        </w:trPr>
        <w:tc>
          <w:tcPr>
            <w:tcW w:w="1696" w:type="dxa"/>
            <w:vMerge w:val="continue"/>
          </w:tcPr>
          <w:p>
            <w:pPr>
              <w:rPr>
                <w:rFonts w:ascii="宋体" w:hAnsi="宋体" w:cs="宋体"/>
                <w:color w:val="000000"/>
                <w:kern w:val="0"/>
                <w:sz w:val="20"/>
                <w:szCs w:val="20"/>
              </w:rPr>
            </w:pPr>
          </w:p>
        </w:tc>
        <w:tc>
          <w:tcPr>
            <w:tcW w:w="5393" w:type="dxa"/>
          </w:tcPr>
          <w:p>
            <w:pPr>
              <w:widowControl/>
              <w:rPr>
                <w:rFonts w:ascii="宋体" w:hAnsi="宋体" w:cs="宋体" w:eastAsiaTheme="minorEastAsia"/>
                <w:color w:val="000000"/>
                <w:kern w:val="0"/>
                <w:sz w:val="20"/>
                <w:szCs w:val="20"/>
              </w:rPr>
            </w:pPr>
            <w:r>
              <w:rPr>
                <w:rFonts w:ascii="Times New Roman" w:hAnsi="Times New Roman"/>
                <w:color w:val="000000"/>
                <w:kern w:val="0"/>
                <w:sz w:val="20"/>
                <w:szCs w:val="20"/>
              </w:rPr>
              <w:t>LO32</w:t>
            </w:r>
            <w:r>
              <w:rPr>
                <w:rFonts w:hint="eastAsia" w:ascii="宋体" w:hAnsi="宋体" w:cs="宋体"/>
                <w:color w:val="000000"/>
                <w:kern w:val="0"/>
                <w:sz w:val="20"/>
                <w:szCs w:val="20"/>
              </w:rPr>
              <w:t>具有护理</w:t>
            </w:r>
            <w:r>
              <w:rPr>
                <w:rFonts w:hint="cs" w:ascii="PMingLiU" w:hAnsi="PMingLiU" w:cs="宋体"/>
                <w:color w:val="000000"/>
                <w:kern w:val="0"/>
                <w:sz w:val="20"/>
                <w:szCs w:val="20"/>
              </w:rPr>
              <w:t>专业</w:t>
            </w:r>
            <w:r>
              <w:rPr>
                <w:rFonts w:hint="eastAsia" w:ascii="宋体" w:hAnsi="宋体" w:cs="宋体"/>
                <w:color w:val="000000"/>
                <w:kern w:val="0"/>
                <w:sz w:val="20"/>
                <w:szCs w:val="20"/>
              </w:rPr>
              <w:t>基础理论</w:t>
            </w:r>
            <w:r>
              <w:rPr>
                <w:rFonts w:hint="eastAsia" w:ascii="PMingLiU" w:hAnsi="PMingLiU" w:cs="宋体"/>
                <w:color w:val="000000"/>
                <w:kern w:val="0"/>
                <w:sz w:val="20"/>
                <w:szCs w:val="20"/>
              </w:rPr>
              <w:t>知</w:t>
            </w:r>
            <w:r>
              <w:rPr>
                <w:rFonts w:hint="cs" w:ascii="PMingLiU" w:hAnsi="PMingLiU" w:cs="宋体"/>
                <w:color w:val="000000"/>
                <w:kern w:val="0"/>
                <w:sz w:val="20"/>
                <w:szCs w:val="20"/>
              </w:rPr>
              <w:t>识</w:t>
            </w:r>
            <w:r>
              <w:rPr>
                <w:rFonts w:hint="eastAsia" w:ascii="PMingLiU" w:hAnsi="PMingLiU" w:eastAsia="PMingLiU" w:cs="宋体"/>
                <w:color w:val="000000"/>
                <w:kern w:val="0"/>
                <w:sz w:val="20"/>
                <w:szCs w:val="20"/>
              </w:rPr>
              <w:t>。</w:t>
            </w:r>
          </w:p>
        </w:tc>
        <w:tc>
          <w:tcPr>
            <w:tcW w:w="688" w:type="dxa"/>
          </w:tcPr>
          <w:p>
            <w:pPr>
              <w:widowControl/>
              <w:rPr>
                <w:rFonts w:ascii="宋体" w:hAnsi="宋体" w:cs="宋体"/>
                <w:color w:val="000000"/>
                <w:kern w:val="0"/>
                <w:sz w:val="20"/>
                <w:szCs w:val="20"/>
              </w:rPr>
            </w:pPr>
            <w:r>
              <w:rPr>
                <w:rFonts w:hint="eastAsia" w:ascii="宋体" w:hAnsi="宋体" w:cs="仿宋"/>
                <w:color w:val="000000"/>
                <w:kern w:val="0"/>
                <w:sz w:val="20"/>
                <w:szCs w:val="20"/>
              </w:rPr>
              <w:t>●</w:t>
            </w:r>
          </w:p>
        </w:tc>
      </w:tr>
      <w:tr>
        <w:trPr>
          <w:trHeight w:val="132" w:hRule="atLeast"/>
        </w:trPr>
        <w:tc>
          <w:tcPr>
            <w:tcW w:w="1696" w:type="dxa"/>
            <w:vMerge w:val="continue"/>
          </w:tcPr>
          <w:p>
            <w:pPr>
              <w:rPr>
                <w:rFonts w:ascii="宋体" w:hAnsi="宋体" w:cs="宋体"/>
                <w:color w:val="000000"/>
                <w:kern w:val="0"/>
                <w:sz w:val="20"/>
                <w:szCs w:val="20"/>
              </w:rPr>
            </w:pPr>
          </w:p>
        </w:tc>
        <w:tc>
          <w:tcPr>
            <w:tcW w:w="5393" w:type="dxa"/>
          </w:tcPr>
          <w:p>
            <w:pPr>
              <w:widowControl/>
              <w:rPr>
                <w:rFonts w:ascii="宋体" w:hAnsi="宋体" w:cs="宋体"/>
                <w:color w:val="000000"/>
                <w:kern w:val="0"/>
                <w:sz w:val="20"/>
                <w:szCs w:val="20"/>
              </w:rPr>
            </w:pPr>
            <w:r>
              <w:rPr>
                <w:rFonts w:ascii="Times New Roman" w:hAnsi="Times New Roman"/>
                <w:color w:val="000000"/>
                <w:kern w:val="0"/>
                <w:sz w:val="20"/>
                <w:szCs w:val="20"/>
              </w:rPr>
              <w:t>LO3</w:t>
            </w:r>
            <w:r>
              <w:rPr>
                <w:rFonts w:ascii="Times New Roman" w:hAnsi="Times New Roman" w:eastAsia="PMingLiU"/>
                <w:color w:val="000000"/>
                <w:kern w:val="0"/>
                <w:sz w:val="20"/>
                <w:szCs w:val="20"/>
              </w:rPr>
              <w:t>3</w:t>
            </w:r>
            <w:r>
              <w:rPr>
                <w:rFonts w:hint="eastAsia" w:ascii="宋体" w:hAnsi="宋体" w:cs="宋体"/>
                <w:color w:val="000000"/>
                <w:kern w:val="0"/>
                <w:sz w:val="20"/>
                <w:szCs w:val="20"/>
              </w:rPr>
              <w:t>具有</w:t>
            </w:r>
            <w:r>
              <w:rPr>
                <w:rFonts w:hint="eastAsia" w:ascii="PMingLiU" w:hAnsi="PMingLiU" w:cs="宋体"/>
                <w:color w:val="000000"/>
                <w:kern w:val="0"/>
                <w:sz w:val="20"/>
                <w:szCs w:val="20"/>
              </w:rPr>
              <w:t>各科护理技能操作，并协助医疗处理健康问题</w:t>
            </w:r>
            <w:r>
              <w:rPr>
                <w:rFonts w:hint="eastAsia" w:ascii="PMingLiU" w:hAnsi="PMingLiU" w:eastAsia="PMingLiU" w:cs="宋体"/>
                <w:color w:val="000000"/>
                <w:kern w:val="0"/>
                <w:sz w:val="20"/>
                <w:szCs w:val="20"/>
              </w:rPr>
              <w:t>。</w:t>
            </w:r>
          </w:p>
        </w:tc>
        <w:tc>
          <w:tcPr>
            <w:tcW w:w="688" w:type="dxa"/>
          </w:tcPr>
          <w:p>
            <w:pPr>
              <w:widowControl/>
              <w:rPr>
                <w:rFonts w:ascii="宋体" w:hAnsi="宋体" w:cs="仿宋"/>
                <w:color w:val="000000"/>
                <w:kern w:val="0"/>
                <w:sz w:val="20"/>
                <w:szCs w:val="20"/>
              </w:rPr>
            </w:pPr>
          </w:p>
        </w:tc>
      </w:tr>
      <w:tr>
        <w:trPr>
          <w:trHeight w:val="169" w:hRule="atLeast"/>
        </w:trPr>
        <w:tc>
          <w:tcPr>
            <w:tcW w:w="1696" w:type="dxa"/>
            <w:vMerge w:val="continue"/>
          </w:tcPr>
          <w:p>
            <w:pPr>
              <w:rPr>
                <w:rFonts w:ascii="宋体" w:hAnsi="宋体" w:cs="宋体"/>
                <w:color w:val="000000"/>
                <w:kern w:val="0"/>
                <w:sz w:val="20"/>
                <w:szCs w:val="20"/>
              </w:rPr>
            </w:pPr>
          </w:p>
        </w:tc>
        <w:tc>
          <w:tcPr>
            <w:tcW w:w="5393" w:type="dxa"/>
          </w:tcPr>
          <w:p>
            <w:pPr>
              <w:widowControl/>
              <w:rPr>
                <w:rFonts w:ascii="宋体" w:hAnsi="宋体" w:cs="宋体"/>
                <w:color w:val="000000"/>
                <w:kern w:val="0"/>
                <w:sz w:val="20"/>
                <w:szCs w:val="20"/>
              </w:rPr>
            </w:pPr>
            <w:r>
              <w:rPr>
                <w:rFonts w:ascii="Times New Roman" w:hAnsi="Times New Roman"/>
                <w:color w:val="000000"/>
                <w:kern w:val="0"/>
                <w:sz w:val="20"/>
                <w:szCs w:val="20"/>
              </w:rPr>
              <w:t>LO3</w:t>
            </w:r>
            <w:r>
              <w:rPr>
                <w:rFonts w:ascii="Times New Roman" w:hAnsi="Times New Roman" w:eastAsia="PMingLiU"/>
                <w:color w:val="000000"/>
                <w:kern w:val="0"/>
                <w:sz w:val="20"/>
                <w:szCs w:val="20"/>
              </w:rPr>
              <w:t>4</w:t>
            </w:r>
            <w:r>
              <w:rPr>
                <w:rFonts w:hint="eastAsia" w:ascii="宋体" w:hAnsi="宋体" w:cs="宋体"/>
                <w:color w:val="000000"/>
                <w:kern w:val="0"/>
                <w:sz w:val="20"/>
                <w:szCs w:val="20"/>
              </w:rPr>
              <w:t>具有运用多学科知识进行护理评估，</w:t>
            </w:r>
            <w:r>
              <w:rPr>
                <w:rFonts w:hint="cs" w:ascii="PMingLiU" w:hAnsi="PMingLiU" w:cs="宋体"/>
                <w:color w:val="000000"/>
                <w:kern w:val="0"/>
                <w:sz w:val="20"/>
                <w:szCs w:val="20"/>
              </w:rPr>
              <w:t>拟</w:t>
            </w:r>
            <w:r>
              <w:rPr>
                <w:rFonts w:hint="eastAsia" w:ascii="宋体" w:hAnsi="宋体" w:cs="宋体"/>
                <w:color w:val="000000"/>
                <w:kern w:val="0"/>
                <w:sz w:val="20"/>
                <w:szCs w:val="20"/>
              </w:rPr>
              <w:t>定护理计划并对</w:t>
            </w:r>
            <w:r>
              <w:rPr>
                <w:rFonts w:hint="cs" w:ascii="PMingLiU" w:hAnsi="PMingLiU" w:cs="宋体"/>
                <w:color w:val="000000"/>
                <w:kern w:val="0"/>
                <w:sz w:val="20"/>
                <w:szCs w:val="20"/>
              </w:rPr>
              <w:t>个</w:t>
            </w:r>
            <w:r>
              <w:rPr>
                <w:rFonts w:hint="eastAsia" w:ascii="PMingLiU" w:hAnsi="PMingLiU" w:cs="宋体"/>
                <w:color w:val="000000"/>
                <w:kern w:val="0"/>
                <w:sz w:val="20"/>
                <w:szCs w:val="20"/>
              </w:rPr>
              <w:t>案</w:t>
            </w:r>
            <w:r>
              <w:rPr>
                <w:rFonts w:hint="cs" w:ascii="PMingLiU" w:hAnsi="PMingLiU" w:cs="宋体"/>
                <w:color w:val="000000"/>
                <w:kern w:val="0"/>
                <w:sz w:val="20"/>
                <w:szCs w:val="20"/>
              </w:rPr>
              <w:t>进</w:t>
            </w:r>
            <w:r>
              <w:rPr>
                <w:rFonts w:hint="eastAsia" w:ascii="PMingLiU" w:hAnsi="PMingLiU" w:cs="宋体"/>
                <w:color w:val="000000"/>
                <w:kern w:val="0"/>
                <w:sz w:val="20"/>
                <w:szCs w:val="20"/>
              </w:rPr>
              <w:t>行</w:t>
            </w:r>
            <w:r>
              <w:rPr>
                <w:rFonts w:hint="cs" w:ascii="PMingLiU" w:hAnsi="PMingLiU" w:cs="宋体"/>
                <w:color w:val="000000"/>
                <w:kern w:val="0"/>
                <w:sz w:val="20"/>
                <w:szCs w:val="20"/>
              </w:rPr>
              <w:t>个别</w:t>
            </w:r>
            <w:r>
              <w:rPr>
                <w:rFonts w:hint="eastAsia" w:ascii="PMingLiU" w:hAnsi="PMingLiU" w:cs="宋体"/>
                <w:color w:val="000000"/>
                <w:kern w:val="0"/>
                <w:sz w:val="20"/>
                <w:szCs w:val="20"/>
              </w:rPr>
              <w:t>性</w:t>
            </w:r>
            <w:r>
              <w:rPr>
                <w:rFonts w:hint="cs" w:ascii="PMingLiU" w:hAnsi="PMingLiU" w:cs="宋体"/>
                <w:color w:val="000000"/>
                <w:kern w:val="0"/>
                <w:sz w:val="20"/>
                <w:szCs w:val="20"/>
              </w:rPr>
              <w:t>护</w:t>
            </w:r>
            <w:r>
              <w:rPr>
                <w:rFonts w:hint="eastAsia" w:ascii="PMingLiU" w:hAnsi="PMingLiU" w:cs="宋体"/>
                <w:color w:val="000000"/>
                <w:kern w:val="0"/>
                <w:sz w:val="20"/>
                <w:szCs w:val="20"/>
              </w:rPr>
              <w:t>理措施。</w:t>
            </w:r>
          </w:p>
        </w:tc>
        <w:tc>
          <w:tcPr>
            <w:tcW w:w="688" w:type="dxa"/>
          </w:tcPr>
          <w:p>
            <w:pPr>
              <w:widowControl/>
              <w:rPr>
                <w:rFonts w:ascii="宋体" w:hAnsi="宋体" w:cs="宋体"/>
                <w:color w:val="000000"/>
                <w:kern w:val="0"/>
                <w:sz w:val="20"/>
                <w:szCs w:val="20"/>
              </w:rPr>
            </w:pPr>
            <w:r>
              <w:rPr>
                <w:rFonts w:hint="eastAsia" w:ascii="宋体" w:hAnsi="宋体" w:cs="仿宋"/>
                <w:color w:val="000000"/>
                <w:kern w:val="0"/>
                <w:sz w:val="20"/>
                <w:szCs w:val="20"/>
              </w:rPr>
              <w:t>●</w:t>
            </w:r>
          </w:p>
        </w:tc>
      </w:tr>
      <w:tr>
        <w:trPr>
          <w:trHeight w:val="169" w:hRule="atLeast"/>
        </w:trPr>
        <w:tc>
          <w:tcPr>
            <w:tcW w:w="1696" w:type="dxa"/>
            <w:vMerge w:val="continue"/>
          </w:tcPr>
          <w:p>
            <w:pPr>
              <w:rPr>
                <w:rFonts w:ascii="宋体" w:hAnsi="宋体" w:cs="宋体"/>
                <w:color w:val="000000"/>
                <w:kern w:val="0"/>
                <w:sz w:val="20"/>
                <w:szCs w:val="20"/>
              </w:rPr>
            </w:pPr>
          </w:p>
        </w:tc>
        <w:tc>
          <w:tcPr>
            <w:tcW w:w="5393" w:type="dxa"/>
          </w:tcPr>
          <w:p>
            <w:pPr>
              <w:widowControl/>
              <w:rPr>
                <w:rFonts w:ascii="宋体" w:hAnsi="宋体" w:cs="宋体"/>
                <w:color w:val="000000"/>
                <w:kern w:val="0"/>
                <w:sz w:val="20"/>
                <w:szCs w:val="20"/>
              </w:rPr>
            </w:pPr>
            <w:r>
              <w:rPr>
                <w:rFonts w:ascii="Times New Roman" w:hAnsi="Times New Roman" w:eastAsia="PMingLiU"/>
                <w:color w:val="000000"/>
                <w:kern w:val="0"/>
                <w:sz w:val="20"/>
                <w:szCs w:val="20"/>
              </w:rPr>
              <w:t>LO35</w:t>
            </w:r>
            <w:r>
              <w:rPr>
                <w:rFonts w:hint="eastAsia" w:ascii="PMingLiU" w:hAnsi="PMingLiU" w:cs="宋体"/>
                <w:color w:val="000000"/>
                <w:kern w:val="0"/>
                <w:sz w:val="20"/>
                <w:szCs w:val="20"/>
              </w:rPr>
              <w:t>具有批判性思考能力</w:t>
            </w:r>
            <w:r>
              <w:rPr>
                <w:rFonts w:hint="eastAsia" w:ascii="PMingLiU" w:hAnsi="PMingLiU" w:eastAsia="PMingLiU" w:cs="宋体"/>
                <w:color w:val="000000"/>
                <w:kern w:val="0"/>
                <w:sz w:val="20"/>
                <w:szCs w:val="20"/>
              </w:rPr>
              <w:t>，</w:t>
            </w:r>
            <w:r>
              <w:rPr>
                <w:rFonts w:hint="cs" w:ascii="PMingLiU" w:hAnsi="PMingLiU" w:cs="宋体"/>
                <w:color w:val="000000"/>
                <w:kern w:val="0"/>
                <w:sz w:val="20"/>
                <w:szCs w:val="20"/>
              </w:rPr>
              <w:t>应</w:t>
            </w:r>
            <w:r>
              <w:rPr>
                <w:rFonts w:hint="eastAsia" w:ascii="PMingLiU" w:hAnsi="PMingLiU" w:cs="宋体"/>
                <w:color w:val="000000"/>
                <w:kern w:val="0"/>
                <w:sz w:val="20"/>
                <w:szCs w:val="20"/>
              </w:rPr>
              <w:t>用于</w:t>
            </w:r>
            <w:r>
              <w:rPr>
                <w:rFonts w:hint="cs" w:ascii="PMingLiU" w:hAnsi="PMingLiU" w:cs="宋体"/>
                <w:color w:val="000000"/>
                <w:kern w:val="0"/>
                <w:sz w:val="20"/>
                <w:szCs w:val="20"/>
              </w:rPr>
              <w:t>护</w:t>
            </w:r>
            <w:r>
              <w:rPr>
                <w:rFonts w:hint="eastAsia" w:ascii="PMingLiU" w:hAnsi="PMingLiU" w:cs="宋体"/>
                <w:color w:val="000000"/>
                <w:kern w:val="0"/>
                <w:sz w:val="20"/>
                <w:szCs w:val="20"/>
              </w:rPr>
              <w:t>理</w:t>
            </w:r>
            <w:r>
              <w:rPr>
                <w:rFonts w:hint="cs" w:ascii="PMingLiU" w:hAnsi="PMingLiU" w:cs="宋体"/>
                <w:color w:val="000000"/>
                <w:kern w:val="0"/>
                <w:sz w:val="20"/>
                <w:szCs w:val="20"/>
              </w:rPr>
              <w:t>过</w:t>
            </w:r>
            <w:r>
              <w:rPr>
                <w:rFonts w:hint="eastAsia" w:ascii="PMingLiU" w:hAnsi="PMingLiU" w:cs="宋体"/>
                <w:color w:val="000000"/>
                <w:kern w:val="0"/>
                <w:sz w:val="20"/>
                <w:szCs w:val="20"/>
              </w:rPr>
              <w:t>程中</w:t>
            </w:r>
            <w:r>
              <w:rPr>
                <w:rFonts w:hint="eastAsia" w:ascii="PMingLiU" w:hAnsi="PMingLiU" w:eastAsia="PMingLiU" w:cs="宋体"/>
                <w:color w:val="000000"/>
                <w:kern w:val="0"/>
                <w:sz w:val="20"/>
                <w:szCs w:val="20"/>
              </w:rPr>
              <w:t>。</w:t>
            </w:r>
          </w:p>
        </w:tc>
        <w:tc>
          <w:tcPr>
            <w:tcW w:w="688" w:type="dxa"/>
          </w:tcPr>
          <w:p>
            <w:pPr>
              <w:widowControl/>
              <w:rPr>
                <w:rFonts w:ascii="宋体" w:hAnsi="宋体" w:cs="宋体"/>
                <w:color w:val="000000"/>
                <w:kern w:val="0"/>
                <w:sz w:val="20"/>
                <w:szCs w:val="20"/>
              </w:rPr>
            </w:pPr>
          </w:p>
        </w:tc>
      </w:tr>
      <w:tr>
        <w:trPr>
          <w:trHeight w:val="696" w:hRule="atLeast"/>
        </w:trPr>
        <w:tc>
          <w:tcPr>
            <w:tcW w:w="1696" w:type="dxa"/>
            <w:vMerge w:val="continue"/>
          </w:tcPr>
          <w:p>
            <w:pPr>
              <w:rPr>
                <w:rFonts w:ascii="宋体" w:hAnsi="宋体" w:cs="宋体"/>
                <w:color w:val="000000"/>
                <w:kern w:val="0"/>
                <w:sz w:val="20"/>
                <w:szCs w:val="20"/>
              </w:rPr>
            </w:pPr>
          </w:p>
        </w:tc>
        <w:tc>
          <w:tcPr>
            <w:tcW w:w="5393" w:type="dxa"/>
          </w:tcPr>
          <w:p>
            <w:pPr>
              <w:widowControl/>
              <w:rPr>
                <w:rFonts w:ascii="宋体" w:hAnsi="宋体" w:cs="宋体"/>
                <w:color w:val="000000"/>
                <w:kern w:val="0"/>
                <w:sz w:val="20"/>
                <w:szCs w:val="20"/>
              </w:rPr>
            </w:pPr>
            <w:r>
              <w:rPr>
                <w:rFonts w:ascii="Times New Roman" w:hAnsi="Times New Roman" w:eastAsia="PMingLiU"/>
                <w:color w:val="000000"/>
                <w:kern w:val="0"/>
                <w:sz w:val="20"/>
                <w:szCs w:val="20"/>
              </w:rPr>
              <w:t>LO36</w:t>
            </w:r>
            <w:r>
              <w:rPr>
                <w:rFonts w:hint="eastAsia" w:ascii="宋体" w:hAnsi="宋体" w:cs="宋体"/>
                <w:color w:val="000000"/>
                <w:kern w:val="0"/>
                <w:sz w:val="20"/>
                <w:szCs w:val="20"/>
              </w:rPr>
              <w:t>具有急危重症护理对象的护理知识及配合急危重症的抢救和突发事件的应急救护的初步能力。</w:t>
            </w:r>
          </w:p>
        </w:tc>
        <w:tc>
          <w:tcPr>
            <w:tcW w:w="688" w:type="dxa"/>
          </w:tcPr>
          <w:p>
            <w:pPr>
              <w:widowControl/>
              <w:rPr>
                <w:rFonts w:ascii="宋体" w:hAnsi="宋体" w:cs="宋体"/>
                <w:color w:val="000000"/>
                <w:kern w:val="0"/>
                <w:sz w:val="20"/>
                <w:szCs w:val="20"/>
              </w:rPr>
            </w:pPr>
          </w:p>
        </w:tc>
      </w:tr>
      <w:tr>
        <w:trPr>
          <w:trHeight w:val="157" w:hRule="atLeast"/>
        </w:trPr>
        <w:tc>
          <w:tcPr>
            <w:tcW w:w="1696" w:type="dxa"/>
            <w:vMerge w:val="restart"/>
          </w:tcPr>
          <w:p>
            <w:pPr>
              <w:widowControl/>
              <w:rPr>
                <w:rFonts w:ascii="宋体" w:hAnsi="宋体"/>
                <w:kern w:val="0"/>
                <w:sz w:val="20"/>
                <w:szCs w:val="20"/>
              </w:rPr>
            </w:pPr>
            <w:r>
              <w:rPr>
                <w:rFonts w:ascii="Times New Roman" w:hAnsi="Times New Roman"/>
                <w:color w:val="000000"/>
                <w:kern w:val="0"/>
                <w:sz w:val="20"/>
                <w:szCs w:val="20"/>
              </w:rPr>
              <w:t>LO4</w:t>
            </w:r>
            <w:r>
              <w:rPr>
                <w:rFonts w:ascii="宋体" w:hAnsi="宋体" w:cs="宋体"/>
                <w:color w:val="000000"/>
                <w:kern w:val="0"/>
                <w:sz w:val="20"/>
                <w:szCs w:val="20"/>
              </w:rPr>
              <w:t>尽责抗压</w:t>
            </w:r>
          </w:p>
        </w:tc>
        <w:tc>
          <w:tcPr>
            <w:tcW w:w="5393"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Times New Roman" w:hAnsi="Times New Roman"/>
                <w:color w:val="000000"/>
                <w:sz w:val="20"/>
                <w:szCs w:val="20"/>
              </w:rPr>
              <w:t>L</w:t>
            </w:r>
            <w:r>
              <w:rPr>
                <w:rFonts w:ascii="Times New Roman" w:hAnsi="Times New Roman" w:eastAsia="PMingLiU"/>
                <w:color w:val="000000"/>
                <w:sz w:val="20"/>
                <w:szCs w:val="20"/>
              </w:rPr>
              <w:t>O</w:t>
            </w:r>
            <w:r>
              <w:rPr>
                <w:rFonts w:ascii="Times New Roman" w:hAnsi="Times New Roman"/>
                <w:color w:val="000000"/>
                <w:sz w:val="20"/>
                <w:szCs w:val="20"/>
              </w:rPr>
              <w:t>41</w:t>
            </w:r>
            <w:r>
              <w:rPr>
                <w:rFonts w:ascii="宋体" w:hAnsi="宋体" w:cs="宋体"/>
                <w:color w:val="000000"/>
                <w:sz w:val="20"/>
                <w:szCs w:val="20"/>
              </w:rPr>
              <w:t xml:space="preserve"> </w:t>
            </w:r>
            <w:r>
              <w:rPr>
                <w:rFonts w:hint="eastAsia" w:ascii="宋体" w:hAnsi="宋体" w:cs="宋体"/>
                <w:color w:val="000000"/>
                <w:sz w:val="20"/>
                <w:szCs w:val="20"/>
              </w:rPr>
              <w:t>遵纪守法：遵守校纪校规，具备法律意识。</w:t>
            </w:r>
          </w:p>
        </w:tc>
        <w:tc>
          <w:tcPr>
            <w:tcW w:w="688" w:type="dxa"/>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trPr>
        <w:tc>
          <w:tcPr>
            <w:tcW w:w="1696" w:type="dxa"/>
            <w:vMerge w:val="continue"/>
          </w:tcPr>
          <w:p>
            <w:pPr>
              <w:widowControl/>
              <w:rPr>
                <w:rFonts w:ascii="宋体" w:hAnsi="宋体" w:cs="宋体"/>
                <w:color w:val="000000"/>
                <w:kern w:val="0"/>
                <w:sz w:val="20"/>
                <w:szCs w:val="20"/>
              </w:rPr>
            </w:pPr>
          </w:p>
        </w:tc>
        <w:tc>
          <w:tcPr>
            <w:tcW w:w="5393"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Times New Roman" w:hAnsi="Times New Roman"/>
                <w:color w:val="000000"/>
                <w:sz w:val="20"/>
                <w:szCs w:val="20"/>
              </w:rPr>
              <w:t>L</w:t>
            </w:r>
            <w:r>
              <w:rPr>
                <w:rFonts w:ascii="Times New Roman" w:hAnsi="Times New Roman" w:eastAsia="PMingLiU"/>
                <w:color w:val="000000"/>
                <w:sz w:val="20"/>
                <w:szCs w:val="20"/>
              </w:rPr>
              <w:t>O</w:t>
            </w:r>
            <w:r>
              <w:rPr>
                <w:rFonts w:ascii="Times New Roman" w:hAnsi="Times New Roman"/>
                <w:color w:val="000000"/>
                <w:sz w:val="20"/>
                <w:szCs w:val="20"/>
              </w:rPr>
              <w:t>42</w:t>
            </w:r>
            <w:r>
              <w:rPr>
                <w:rFonts w:hint="eastAsia" w:ascii="宋体" w:hAnsi="宋体" w:cs="宋体"/>
                <w:color w:val="000000"/>
                <w:sz w:val="20"/>
                <w:szCs w:val="20"/>
              </w:rPr>
              <w:t xml:space="preserve"> 诚实守信：为人诚实，信守承诺，尽职尽责。</w:t>
            </w:r>
          </w:p>
        </w:tc>
        <w:tc>
          <w:tcPr>
            <w:tcW w:w="688" w:type="dxa"/>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 w:hRule="atLeast"/>
        </w:trPr>
        <w:tc>
          <w:tcPr>
            <w:tcW w:w="1696" w:type="dxa"/>
            <w:vMerge w:val="continue"/>
          </w:tcPr>
          <w:p>
            <w:pPr>
              <w:widowControl/>
              <w:rPr>
                <w:rFonts w:ascii="宋体" w:hAnsi="宋体" w:cs="宋体"/>
                <w:color w:val="000000"/>
                <w:kern w:val="0"/>
                <w:sz w:val="20"/>
                <w:szCs w:val="20"/>
              </w:rPr>
            </w:pPr>
          </w:p>
        </w:tc>
        <w:tc>
          <w:tcPr>
            <w:tcW w:w="5393"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Times New Roman" w:hAnsi="Times New Roman"/>
                <w:color w:val="000000"/>
                <w:sz w:val="20"/>
                <w:szCs w:val="20"/>
              </w:rPr>
              <w:t>L</w:t>
            </w:r>
            <w:r>
              <w:rPr>
                <w:rFonts w:ascii="Times New Roman" w:hAnsi="Times New Roman" w:eastAsia="PMingLiU"/>
                <w:color w:val="000000"/>
                <w:sz w:val="20"/>
                <w:szCs w:val="20"/>
              </w:rPr>
              <w:t>O</w:t>
            </w:r>
            <w:r>
              <w:rPr>
                <w:rFonts w:ascii="Times New Roman" w:hAnsi="Times New Roman"/>
                <w:color w:val="000000"/>
                <w:sz w:val="20"/>
                <w:szCs w:val="20"/>
              </w:rPr>
              <w:t>43</w:t>
            </w:r>
            <w:r>
              <w:rPr>
                <w:rFonts w:hint="eastAsia" w:ascii="宋体" w:hAnsi="宋体" w:cs="宋体"/>
                <w:color w:val="000000"/>
                <w:sz w:val="20"/>
                <w:szCs w:val="20"/>
              </w:rPr>
              <w:t xml:space="preserve"> 爱岗敬业：了解与专业相关的法律法规，充分认识本专业就业岗位在社会经济中的作用和地位，</w:t>
            </w:r>
            <w:r>
              <w:rPr>
                <w:rFonts w:hint="eastAsia" w:ascii="PMingLiU" w:hAnsi="PMingLiU" w:cs="宋体"/>
                <w:color w:val="000000"/>
                <w:sz w:val="20"/>
                <w:szCs w:val="20"/>
              </w:rPr>
              <w:t>并</w:t>
            </w:r>
            <w:r>
              <w:rPr>
                <w:rFonts w:hint="eastAsia" w:ascii="宋体" w:hAnsi="宋体" w:cs="宋体"/>
                <w:color w:val="000000"/>
                <w:sz w:val="20"/>
                <w:szCs w:val="20"/>
              </w:rPr>
              <w:t>学习和社会实践中遵守职业规范，具备职业道德操守。</w:t>
            </w:r>
          </w:p>
        </w:tc>
        <w:tc>
          <w:tcPr>
            <w:tcW w:w="688" w:type="dxa"/>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8" w:hRule="atLeast"/>
        </w:trPr>
        <w:tc>
          <w:tcPr>
            <w:tcW w:w="1696" w:type="dxa"/>
            <w:vMerge w:val="continue"/>
          </w:tcPr>
          <w:p>
            <w:pPr>
              <w:widowControl/>
              <w:rPr>
                <w:rFonts w:ascii="宋体" w:hAnsi="宋体" w:cs="宋体"/>
                <w:color w:val="000000"/>
                <w:kern w:val="0"/>
                <w:sz w:val="20"/>
                <w:szCs w:val="20"/>
              </w:rPr>
            </w:pPr>
          </w:p>
        </w:tc>
        <w:tc>
          <w:tcPr>
            <w:tcW w:w="5393"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Times New Roman" w:hAnsi="Times New Roman"/>
                <w:color w:val="000000"/>
                <w:sz w:val="20"/>
                <w:szCs w:val="20"/>
              </w:rPr>
              <w:t>L</w:t>
            </w:r>
            <w:r>
              <w:rPr>
                <w:rFonts w:ascii="Times New Roman" w:hAnsi="Times New Roman" w:eastAsia="PMingLiU"/>
                <w:color w:val="000000"/>
                <w:sz w:val="20"/>
                <w:szCs w:val="20"/>
              </w:rPr>
              <w:t>O</w:t>
            </w:r>
            <w:r>
              <w:rPr>
                <w:rFonts w:ascii="Times New Roman" w:hAnsi="Times New Roman"/>
                <w:color w:val="000000"/>
                <w:sz w:val="20"/>
                <w:szCs w:val="20"/>
              </w:rPr>
              <w:t>44</w:t>
            </w:r>
            <w:r>
              <w:rPr>
                <w:rFonts w:hint="eastAsia" w:ascii="宋体" w:hAnsi="宋体" w:cs="宋体"/>
                <w:color w:val="000000"/>
                <w:sz w:val="20"/>
                <w:szCs w:val="20"/>
              </w:rPr>
              <w:t xml:space="preserve"> 身心健康，能承受学习和生活中的压力。</w:t>
            </w:r>
          </w:p>
        </w:tc>
        <w:tc>
          <w:tcPr>
            <w:tcW w:w="688" w:type="dxa"/>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1696" w:type="dxa"/>
            <w:vMerge w:val="restart"/>
          </w:tcPr>
          <w:p>
            <w:pPr>
              <w:widowControl/>
              <w:rPr>
                <w:rFonts w:ascii="宋体" w:hAnsi="宋体"/>
                <w:kern w:val="0"/>
                <w:sz w:val="20"/>
                <w:szCs w:val="20"/>
              </w:rPr>
            </w:pPr>
            <w:r>
              <w:rPr>
                <w:rFonts w:ascii="Times New Roman" w:hAnsi="Times New Roman"/>
                <w:color w:val="000000"/>
                <w:kern w:val="0"/>
                <w:sz w:val="20"/>
                <w:szCs w:val="20"/>
              </w:rPr>
              <w:t>L</w:t>
            </w:r>
            <w:r>
              <w:rPr>
                <w:rFonts w:ascii="Times New Roman" w:hAnsi="Times New Roman" w:eastAsia="PMingLiU"/>
                <w:color w:val="000000"/>
                <w:kern w:val="0"/>
                <w:sz w:val="20"/>
                <w:szCs w:val="20"/>
                <w:lang w:eastAsia="zh-TW"/>
              </w:rPr>
              <w:t>O</w:t>
            </w:r>
            <w:r>
              <w:rPr>
                <w:rFonts w:ascii="Times New Roman" w:hAnsi="Times New Roman"/>
                <w:color w:val="000000"/>
                <w:kern w:val="0"/>
                <w:sz w:val="20"/>
                <w:szCs w:val="20"/>
              </w:rPr>
              <w:t>5</w:t>
            </w:r>
            <w:r>
              <w:rPr>
                <w:rFonts w:hint="eastAsia" w:ascii="宋体" w:hAnsi="宋体" w:cs="宋体"/>
                <w:color w:val="000000"/>
                <w:kern w:val="0"/>
                <w:sz w:val="20"/>
                <w:szCs w:val="20"/>
              </w:rPr>
              <w:t>协同创新</w:t>
            </w:r>
          </w:p>
        </w:tc>
        <w:tc>
          <w:tcPr>
            <w:tcW w:w="5393" w:type="dxa"/>
          </w:tcPr>
          <w:p>
            <w:pPr>
              <w:widowControl/>
              <w:rPr>
                <w:rFonts w:ascii="宋体" w:hAnsi="宋体" w:cs="宋体"/>
                <w:color w:val="000000"/>
                <w:kern w:val="0"/>
                <w:sz w:val="20"/>
                <w:szCs w:val="20"/>
              </w:rPr>
            </w:pPr>
            <w:r>
              <w:rPr>
                <w:rFonts w:ascii="Times New Roman" w:hAnsi="Times New Roman"/>
                <w:color w:val="000000"/>
                <w:kern w:val="0"/>
                <w:sz w:val="20"/>
                <w:szCs w:val="20"/>
              </w:rPr>
              <w:t>L</w:t>
            </w:r>
            <w:r>
              <w:rPr>
                <w:rFonts w:ascii="Times New Roman" w:hAnsi="Times New Roman" w:eastAsia="PMingLiU"/>
                <w:color w:val="000000"/>
                <w:kern w:val="0"/>
                <w:sz w:val="20"/>
                <w:szCs w:val="20"/>
              </w:rPr>
              <w:t>O</w:t>
            </w:r>
            <w:r>
              <w:rPr>
                <w:rFonts w:ascii="Times New Roman" w:hAnsi="Times New Roman"/>
                <w:color w:val="000000"/>
                <w:kern w:val="0"/>
                <w:sz w:val="20"/>
                <w:szCs w:val="20"/>
              </w:rPr>
              <w:t>51</w:t>
            </w:r>
            <w:r>
              <w:rPr>
                <w:rFonts w:hint="eastAsia" w:ascii="宋体" w:hAnsi="宋体" w:cs="宋体"/>
                <w:color w:val="000000"/>
                <w:kern w:val="0"/>
                <w:sz w:val="20"/>
                <w:szCs w:val="20"/>
              </w:rPr>
              <w:t xml:space="preserve"> 尊重</w:t>
            </w:r>
            <w:r>
              <w:rPr>
                <w:rFonts w:hint="eastAsia" w:ascii="PMingLiU" w:hAnsi="PMingLiU" w:cs="宋体"/>
                <w:color w:val="000000"/>
                <w:kern w:val="0"/>
                <w:sz w:val="20"/>
                <w:szCs w:val="20"/>
              </w:rPr>
              <w:t>各</w:t>
            </w:r>
            <w:r>
              <w:rPr>
                <w:rFonts w:hint="cs" w:ascii="PMingLiU" w:hAnsi="PMingLiU" w:cs="宋体"/>
                <w:color w:val="000000"/>
                <w:kern w:val="0"/>
                <w:sz w:val="20"/>
                <w:szCs w:val="20"/>
              </w:rPr>
              <w:t>医疗团队</w:t>
            </w:r>
            <w:r>
              <w:rPr>
                <w:rFonts w:hint="eastAsia" w:ascii="PMingLiU" w:hAnsi="PMingLiU" w:cs="宋体"/>
                <w:color w:val="000000"/>
                <w:kern w:val="0"/>
                <w:sz w:val="20"/>
                <w:szCs w:val="20"/>
              </w:rPr>
              <w:t>的</w:t>
            </w:r>
            <w:r>
              <w:rPr>
                <w:rFonts w:hint="cs" w:ascii="PMingLiU" w:hAnsi="PMingLiU" w:cs="宋体"/>
                <w:color w:val="000000"/>
                <w:kern w:val="0"/>
                <w:sz w:val="20"/>
                <w:szCs w:val="20"/>
              </w:rPr>
              <w:t>专业</w:t>
            </w:r>
            <w:r>
              <w:rPr>
                <w:rFonts w:hint="eastAsia" w:ascii="PMingLiU" w:hAnsi="PMingLiU" w:cs="宋体"/>
                <w:color w:val="000000"/>
                <w:kern w:val="0"/>
                <w:sz w:val="20"/>
                <w:szCs w:val="20"/>
              </w:rPr>
              <w:t>，具有良好的</w:t>
            </w:r>
            <w:r>
              <w:rPr>
                <w:rFonts w:hint="cs" w:ascii="PMingLiU" w:hAnsi="PMingLiU" w:cs="宋体"/>
                <w:color w:val="000000"/>
                <w:kern w:val="0"/>
                <w:sz w:val="20"/>
                <w:szCs w:val="20"/>
              </w:rPr>
              <w:t>团队</w:t>
            </w:r>
            <w:r>
              <w:rPr>
                <w:rFonts w:hint="eastAsia" w:ascii="PMingLiU" w:hAnsi="PMingLiU" w:cs="宋体"/>
                <w:color w:val="000000"/>
                <w:kern w:val="0"/>
                <w:sz w:val="20"/>
                <w:szCs w:val="20"/>
              </w:rPr>
              <w:t>精神和跨</w:t>
            </w:r>
            <w:r>
              <w:rPr>
                <w:rFonts w:hint="cs" w:ascii="PMingLiU" w:hAnsi="PMingLiU" w:cs="宋体"/>
                <w:color w:val="000000"/>
                <w:kern w:val="0"/>
                <w:sz w:val="20"/>
                <w:szCs w:val="20"/>
              </w:rPr>
              <w:t>学</w:t>
            </w:r>
            <w:r>
              <w:rPr>
                <w:rFonts w:hint="eastAsia" w:ascii="PMingLiU" w:hAnsi="PMingLiU" w:cs="宋体"/>
                <w:color w:val="000000"/>
                <w:kern w:val="0"/>
                <w:sz w:val="20"/>
                <w:szCs w:val="20"/>
              </w:rPr>
              <w:t>科合作的意</w:t>
            </w:r>
            <w:r>
              <w:rPr>
                <w:rFonts w:hint="cs" w:ascii="PMingLiU" w:hAnsi="PMingLiU" w:cs="宋体"/>
                <w:color w:val="000000"/>
                <w:kern w:val="0"/>
                <w:sz w:val="20"/>
                <w:szCs w:val="20"/>
              </w:rPr>
              <w:t>识</w:t>
            </w:r>
            <w:r>
              <w:rPr>
                <w:rFonts w:hint="eastAsia" w:ascii="PMingLiU" w:hAnsi="PMingLiU" w:eastAsia="PMingLiU" w:cs="宋体"/>
                <w:color w:val="000000"/>
                <w:kern w:val="0"/>
                <w:sz w:val="20"/>
                <w:szCs w:val="20"/>
              </w:rPr>
              <w:t>。</w:t>
            </w:r>
          </w:p>
        </w:tc>
        <w:tc>
          <w:tcPr>
            <w:tcW w:w="688" w:type="dxa"/>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 w:hRule="atLeast"/>
        </w:trPr>
        <w:tc>
          <w:tcPr>
            <w:tcW w:w="1696" w:type="dxa"/>
            <w:vMerge w:val="continue"/>
          </w:tcPr>
          <w:p>
            <w:pPr>
              <w:widowControl/>
              <w:rPr>
                <w:rFonts w:ascii="宋体" w:hAnsi="宋体" w:cs="宋体"/>
                <w:color w:val="000000"/>
                <w:kern w:val="0"/>
                <w:sz w:val="20"/>
                <w:szCs w:val="20"/>
              </w:rPr>
            </w:pPr>
          </w:p>
        </w:tc>
        <w:tc>
          <w:tcPr>
            <w:tcW w:w="5393"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Times New Roman" w:hAnsi="Times New Roman"/>
                <w:color w:val="000000"/>
                <w:sz w:val="20"/>
                <w:szCs w:val="20"/>
              </w:rPr>
              <w:t>L</w:t>
            </w:r>
            <w:r>
              <w:rPr>
                <w:rFonts w:ascii="Times New Roman" w:hAnsi="Times New Roman" w:eastAsia="PMingLiU"/>
                <w:color w:val="000000"/>
                <w:sz w:val="20"/>
                <w:szCs w:val="20"/>
              </w:rPr>
              <w:t>O</w:t>
            </w:r>
            <w:r>
              <w:rPr>
                <w:rFonts w:ascii="Times New Roman" w:hAnsi="Times New Roman"/>
                <w:color w:val="000000"/>
                <w:sz w:val="20"/>
                <w:szCs w:val="20"/>
              </w:rPr>
              <w:t>52</w:t>
            </w:r>
            <w:r>
              <w:rPr>
                <w:rFonts w:hint="eastAsia" w:ascii="宋体" w:hAnsi="宋体" w:cs="宋体"/>
                <w:color w:val="000000"/>
                <w:sz w:val="20"/>
                <w:szCs w:val="20"/>
              </w:rPr>
              <w:t xml:space="preserve"> 有质疑精神，能有逻辑的分析与批判。</w:t>
            </w:r>
          </w:p>
        </w:tc>
        <w:tc>
          <w:tcPr>
            <w:tcW w:w="688" w:type="dxa"/>
          </w:tcPr>
          <w:p>
            <w:pPr>
              <w:widowControl/>
              <w:rPr>
                <w:rFonts w:ascii="宋体" w:hAnsi="宋体" w:cs="宋体"/>
                <w:color w:val="000000"/>
                <w:kern w:val="0"/>
                <w:sz w:val="20"/>
                <w:szCs w:val="20"/>
              </w:rPr>
            </w:pPr>
            <w:r>
              <w:rPr>
                <w:rFonts w:hint="eastAsia" w:ascii="宋体" w:hAnsi="宋体"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 w:hRule="atLeast"/>
        </w:trPr>
        <w:tc>
          <w:tcPr>
            <w:tcW w:w="1696" w:type="dxa"/>
            <w:vMerge w:val="continue"/>
          </w:tcPr>
          <w:p>
            <w:pPr>
              <w:widowControl/>
              <w:rPr>
                <w:rFonts w:ascii="宋体" w:hAnsi="宋体" w:cs="宋体"/>
                <w:color w:val="000000"/>
                <w:kern w:val="0"/>
                <w:sz w:val="20"/>
                <w:szCs w:val="20"/>
              </w:rPr>
            </w:pPr>
          </w:p>
        </w:tc>
        <w:tc>
          <w:tcPr>
            <w:tcW w:w="5393"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Times New Roman" w:hAnsi="Times New Roman"/>
                <w:color w:val="000000"/>
                <w:sz w:val="20"/>
                <w:szCs w:val="20"/>
              </w:rPr>
              <w:t>L</w:t>
            </w:r>
            <w:r>
              <w:rPr>
                <w:rFonts w:ascii="Times New Roman" w:hAnsi="Times New Roman" w:eastAsia="PMingLiU"/>
                <w:color w:val="000000"/>
                <w:sz w:val="20"/>
                <w:szCs w:val="20"/>
              </w:rPr>
              <w:t>O</w:t>
            </w:r>
            <w:r>
              <w:rPr>
                <w:rFonts w:ascii="Times New Roman" w:hAnsi="Times New Roman"/>
                <w:color w:val="000000"/>
                <w:sz w:val="20"/>
                <w:szCs w:val="20"/>
              </w:rPr>
              <w:t>53</w:t>
            </w:r>
            <w:r>
              <w:rPr>
                <w:rFonts w:hint="eastAsia" w:ascii="宋体" w:hAnsi="宋体" w:cs="宋体"/>
                <w:color w:val="000000"/>
                <w:sz w:val="20"/>
                <w:szCs w:val="20"/>
              </w:rPr>
              <w:t xml:space="preserve"> 能</w:t>
            </w:r>
            <w:r>
              <w:rPr>
                <w:rFonts w:hint="eastAsia" w:ascii="PMingLiU" w:hAnsi="PMingLiU" w:cs="宋体"/>
                <w:color w:val="000000"/>
                <w:sz w:val="20"/>
                <w:szCs w:val="20"/>
              </w:rPr>
              <w:t>透</w:t>
            </w:r>
            <w:r>
              <w:rPr>
                <w:rFonts w:hint="cs" w:ascii="PMingLiU" w:hAnsi="PMingLiU" w:cs="宋体"/>
                <w:color w:val="000000"/>
                <w:sz w:val="20"/>
                <w:szCs w:val="20"/>
              </w:rPr>
              <w:t>过</w:t>
            </w:r>
            <w:r>
              <w:rPr>
                <w:rFonts w:hint="eastAsia" w:ascii="PMingLiU" w:hAnsi="PMingLiU" w:cs="宋体"/>
                <w:color w:val="000000"/>
                <w:sz w:val="20"/>
                <w:szCs w:val="20"/>
              </w:rPr>
              <w:t>反思</w:t>
            </w:r>
            <w:r>
              <w:rPr>
                <w:rFonts w:hint="cs" w:ascii="PMingLiU" w:hAnsi="PMingLiU" w:cs="宋体"/>
                <w:color w:val="000000"/>
                <w:sz w:val="20"/>
                <w:szCs w:val="20"/>
              </w:rPr>
              <w:t>过</w:t>
            </w:r>
            <w:r>
              <w:rPr>
                <w:rFonts w:hint="eastAsia" w:ascii="PMingLiU" w:hAnsi="PMingLiU" w:cs="宋体"/>
                <w:color w:val="000000"/>
                <w:sz w:val="20"/>
                <w:szCs w:val="20"/>
              </w:rPr>
              <w:t>程中，提出</w:t>
            </w:r>
            <w:r>
              <w:rPr>
                <w:rFonts w:hint="cs" w:ascii="PMingLiU" w:hAnsi="PMingLiU" w:cs="宋体"/>
                <w:color w:val="000000"/>
                <w:sz w:val="20"/>
                <w:szCs w:val="20"/>
              </w:rPr>
              <w:t>对</w:t>
            </w:r>
            <w:r>
              <w:rPr>
                <w:rFonts w:hint="eastAsia" w:ascii="PMingLiU" w:hAnsi="PMingLiU" w:cs="宋体"/>
                <w:color w:val="000000"/>
                <w:sz w:val="20"/>
                <w:szCs w:val="20"/>
              </w:rPr>
              <w:t>事情或</w:t>
            </w:r>
            <w:r>
              <w:rPr>
                <w:rFonts w:hint="cs" w:ascii="PMingLiU" w:hAnsi="PMingLiU" w:cs="宋体"/>
                <w:color w:val="000000"/>
                <w:sz w:val="20"/>
                <w:szCs w:val="20"/>
              </w:rPr>
              <w:t>临</w:t>
            </w:r>
            <w:r>
              <w:rPr>
                <w:rFonts w:hint="eastAsia" w:ascii="PMingLiU" w:hAnsi="PMingLiU" w:cs="宋体"/>
                <w:color w:val="000000"/>
                <w:sz w:val="20"/>
                <w:szCs w:val="20"/>
              </w:rPr>
              <w:t>床照</w:t>
            </w:r>
            <w:r>
              <w:rPr>
                <w:rFonts w:hint="cs" w:ascii="PMingLiU" w:hAnsi="PMingLiU" w:cs="宋体"/>
                <w:color w:val="000000"/>
                <w:sz w:val="20"/>
                <w:szCs w:val="20"/>
              </w:rPr>
              <w:t>护</w:t>
            </w:r>
            <w:r>
              <w:rPr>
                <w:rFonts w:hint="eastAsia" w:ascii="PMingLiU" w:hAnsi="PMingLiU" w:cs="宋体"/>
                <w:color w:val="000000"/>
                <w:sz w:val="20"/>
                <w:szCs w:val="20"/>
              </w:rPr>
              <w:t>新的想法</w:t>
            </w:r>
            <w:r>
              <w:rPr>
                <w:rFonts w:hint="eastAsia" w:ascii="PMingLiU" w:hAnsi="PMingLiU" w:eastAsia="PMingLiU" w:cs="宋体"/>
                <w:color w:val="000000"/>
                <w:sz w:val="20"/>
                <w:szCs w:val="20"/>
              </w:rPr>
              <w:t>。</w:t>
            </w:r>
          </w:p>
        </w:tc>
        <w:tc>
          <w:tcPr>
            <w:tcW w:w="688" w:type="dxa"/>
          </w:tcPr>
          <w:p>
            <w:pPr>
              <w:widowControl/>
              <w:rPr>
                <w:rFonts w:ascii="宋体" w:hAnsi="宋体" w:cs="宋体"/>
                <w:color w:val="000000"/>
                <w:kern w:val="0"/>
                <w:sz w:val="20"/>
                <w:szCs w:val="20"/>
              </w:rPr>
            </w:pPr>
          </w:p>
        </w:tc>
      </w:tr>
      <w:tr>
        <w:trPr>
          <w:trHeight w:val="324" w:hRule="atLeast"/>
        </w:trPr>
        <w:tc>
          <w:tcPr>
            <w:tcW w:w="1696" w:type="dxa"/>
            <w:vMerge w:val="restart"/>
          </w:tcPr>
          <w:p>
            <w:pPr>
              <w:widowControl/>
              <w:rPr>
                <w:rFonts w:ascii="宋体" w:hAnsi="宋体"/>
                <w:kern w:val="0"/>
                <w:sz w:val="20"/>
                <w:szCs w:val="20"/>
              </w:rPr>
            </w:pPr>
            <w:r>
              <w:rPr>
                <w:rFonts w:ascii="Times New Roman" w:hAnsi="Times New Roman"/>
                <w:color w:val="000000"/>
                <w:kern w:val="0"/>
                <w:sz w:val="20"/>
                <w:szCs w:val="20"/>
              </w:rPr>
              <w:t>LO6</w:t>
            </w:r>
            <w:r>
              <w:rPr>
                <w:rFonts w:hint="eastAsia" w:ascii="宋体" w:hAnsi="宋体" w:cs="宋体"/>
                <w:color w:val="000000"/>
                <w:kern w:val="0"/>
                <w:sz w:val="20"/>
                <w:szCs w:val="20"/>
              </w:rPr>
              <w:t>信息应用</w:t>
            </w:r>
          </w:p>
        </w:tc>
        <w:tc>
          <w:tcPr>
            <w:tcW w:w="5393" w:type="dxa"/>
          </w:tcPr>
          <w:p>
            <w:pPr>
              <w:rPr>
                <w:rFonts w:ascii="宋体" w:hAnsi="宋体" w:cs="宋体"/>
                <w:color w:val="000000"/>
                <w:kern w:val="0"/>
                <w:sz w:val="20"/>
                <w:szCs w:val="20"/>
              </w:rPr>
            </w:pPr>
            <w:r>
              <w:rPr>
                <w:rFonts w:ascii="Times New Roman" w:hAnsi="Times New Roman"/>
                <w:color w:val="000000"/>
                <w:kern w:val="0"/>
                <w:sz w:val="20"/>
                <w:szCs w:val="20"/>
              </w:rPr>
              <w:t>LO61</w:t>
            </w:r>
            <w:r>
              <w:rPr>
                <w:rFonts w:hint="eastAsia" w:ascii="宋体" w:hAnsi="宋体" w:cs="宋体"/>
                <w:color w:val="000000"/>
                <w:kern w:val="0"/>
                <w:sz w:val="20"/>
                <w:szCs w:val="20"/>
              </w:rPr>
              <w:t>能根据</w:t>
            </w:r>
            <w:r>
              <w:rPr>
                <w:rFonts w:hint="cs" w:ascii="PMingLiU" w:hAnsi="PMingLiU" w:cs="宋体"/>
                <w:color w:val="000000"/>
                <w:kern w:val="0"/>
                <w:sz w:val="20"/>
                <w:szCs w:val="20"/>
              </w:rPr>
              <w:t>护</w:t>
            </w:r>
            <w:r>
              <w:rPr>
                <w:rFonts w:hint="eastAsia" w:ascii="PMingLiU" w:hAnsi="PMingLiU" w:cs="宋体"/>
                <w:color w:val="000000"/>
                <w:kern w:val="0"/>
                <w:sz w:val="20"/>
                <w:szCs w:val="20"/>
              </w:rPr>
              <w:t>理需求</w:t>
            </w:r>
            <w:r>
              <w:rPr>
                <w:rFonts w:hint="eastAsia" w:ascii="宋体" w:hAnsi="宋体" w:cs="宋体"/>
                <w:color w:val="000000"/>
                <w:kern w:val="0"/>
                <w:sz w:val="20"/>
                <w:szCs w:val="20"/>
              </w:rPr>
              <w:t>进行专业文献检索</w:t>
            </w:r>
            <w:r>
              <w:rPr>
                <w:rFonts w:hint="eastAsia" w:ascii="PMingLiU" w:hAnsi="PMingLiU" w:cs="宋体"/>
                <w:color w:val="000000"/>
                <w:kern w:val="0"/>
                <w:sz w:val="20"/>
                <w:szCs w:val="20"/>
              </w:rPr>
              <w:t>，并</w:t>
            </w:r>
            <w:r>
              <w:rPr>
                <w:rFonts w:hint="eastAsia" w:ascii="宋体" w:hAnsi="宋体" w:cs="宋体"/>
                <w:color w:val="000000"/>
                <w:kern w:val="0"/>
                <w:sz w:val="20"/>
                <w:szCs w:val="20"/>
              </w:rPr>
              <w:t>使用适合的工具来搜集信息，对</w:t>
            </w:r>
            <w:r>
              <w:rPr>
                <w:rFonts w:hint="eastAsia" w:ascii="PMingLiU" w:hAnsi="PMingLiU" w:cs="宋体"/>
                <w:color w:val="000000"/>
                <w:kern w:val="0"/>
                <w:sz w:val="20"/>
                <w:szCs w:val="20"/>
              </w:rPr>
              <w:t>其</w:t>
            </w:r>
            <w:r>
              <w:rPr>
                <w:rFonts w:hint="eastAsia" w:ascii="宋体" w:hAnsi="宋体" w:cs="宋体"/>
                <w:color w:val="000000"/>
                <w:kern w:val="0"/>
                <w:sz w:val="20"/>
                <w:szCs w:val="20"/>
              </w:rPr>
              <w:t>信息加以分析、鉴别、判断与整合。</w:t>
            </w:r>
          </w:p>
        </w:tc>
        <w:tc>
          <w:tcPr>
            <w:tcW w:w="688" w:type="dxa"/>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1696" w:type="dxa"/>
            <w:vMerge w:val="continue"/>
          </w:tcPr>
          <w:p>
            <w:pPr>
              <w:widowControl/>
              <w:rPr>
                <w:rFonts w:ascii="宋体" w:hAnsi="宋体" w:cs="宋体"/>
                <w:color w:val="000000"/>
                <w:kern w:val="0"/>
                <w:sz w:val="20"/>
                <w:szCs w:val="20"/>
              </w:rPr>
            </w:pPr>
          </w:p>
        </w:tc>
        <w:tc>
          <w:tcPr>
            <w:tcW w:w="5393" w:type="dxa"/>
            <w:vAlign w:val="center"/>
          </w:tcPr>
          <w:p>
            <w:pPr>
              <w:adjustRightInd w:val="0"/>
              <w:snapToGrid w:val="0"/>
              <w:spacing w:line="264" w:lineRule="auto"/>
              <w:outlineLvl w:val="1"/>
              <w:rPr>
                <w:rFonts w:ascii="宋体" w:hAnsi="宋体" w:cs="宋体"/>
                <w:color w:val="000000"/>
                <w:sz w:val="20"/>
                <w:szCs w:val="20"/>
              </w:rPr>
            </w:pPr>
            <w:r>
              <w:rPr>
                <w:rFonts w:ascii="Times New Roman" w:hAnsi="Times New Roman"/>
                <w:color w:val="000000"/>
                <w:sz w:val="20"/>
                <w:szCs w:val="20"/>
              </w:rPr>
              <w:t>LO63</w:t>
            </w:r>
            <w:r>
              <w:rPr>
                <w:rFonts w:hint="eastAsia" w:ascii="宋体" w:hAnsi="宋体" w:cs="宋体"/>
                <w:color w:val="000000"/>
                <w:sz w:val="20"/>
                <w:szCs w:val="20"/>
              </w:rPr>
              <w:t>熟练使用计算机，掌握常用办公软件。</w:t>
            </w:r>
          </w:p>
        </w:tc>
        <w:tc>
          <w:tcPr>
            <w:tcW w:w="688" w:type="dxa"/>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trPr>
        <w:tc>
          <w:tcPr>
            <w:tcW w:w="1696" w:type="dxa"/>
            <w:vMerge w:val="restart"/>
          </w:tcPr>
          <w:p>
            <w:pPr>
              <w:widowControl/>
              <w:rPr>
                <w:rFonts w:ascii="宋体" w:hAnsi="宋体"/>
                <w:kern w:val="0"/>
                <w:sz w:val="20"/>
                <w:szCs w:val="20"/>
              </w:rPr>
            </w:pPr>
            <w:r>
              <w:rPr>
                <w:rFonts w:ascii="Times New Roman" w:hAnsi="Times New Roman"/>
                <w:color w:val="000000"/>
                <w:kern w:val="0"/>
                <w:sz w:val="20"/>
                <w:szCs w:val="20"/>
              </w:rPr>
              <w:t>LO7</w:t>
            </w:r>
            <w:r>
              <w:rPr>
                <w:rFonts w:ascii="宋体" w:hAnsi="宋体" w:cs="宋体"/>
                <w:color w:val="000000"/>
                <w:kern w:val="0"/>
                <w:sz w:val="20"/>
                <w:szCs w:val="20"/>
              </w:rPr>
              <w:t>服务关爱</w:t>
            </w:r>
          </w:p>
        </w:tc>
        <w:tc>
          <w:tcPr>
            <w:tcW w:w="5393" w:type="dxa"/>
          </w:tcPr>
          <w:p>
            <w:pPr>
              <w:widowControl/>
              <w:rPr>
                <w:rFonts w:ascii="宋体" w:hAnsi="宋体" w:cs="宋体"/>
                <w:color w:val="000000"/>
                <w:kern w:val="0"/>
                <w:sz w:val="20"/>
                <w:szCs w:val="20"/>
              </w:rPr>
            </w:pPr>
            <w:r>
              <w:rPr>
                <w:rFonts w:ascii="Times New Roman" w:hAnsi="Times New Roman"/>
                <w:color w:val="000000"/>
                <w:kern w:val="0"/>
                <w:sz w:val="20"/>
                <w:szCs w:val="20"/>
              </w:rPr>
              <w:t>LO7</w:t>
            </w:r>
            <w:r>
              <w:rPr>
                <w:rFonts w:ascii="Times New Roman" w:hAnsi="Times New Roman" w:eastAsia="PMingLiU"/>
                <w:color w:val="000000"/>
                <w:kern w:val="0"/>
                <w:sz w:val="20"/>
                <w:szCs w:val="20"/>
              </w:rPr>
              <w:t>1</w:t>
            </w:r>
            <w:r>
              <w:rPr>
                <w:rFonts w:ascii="宋体" w:hAnsi="宋体" w:cs="宋体"/>
                <w:color w:val="000000"/>
                <w:kern w:val="0"/>
                <w:sz w:val="20"/>
                <w:szCs w:val="20"/>
              </w:rPr>
              <w:t>树立科学的世界观和人生观，热爱祖国，忠于人民，初步形成以维护和促进人类健康为己任的专业价值观。</w:t>
            </w:r>
          </w:p>
        </w:tc>
        <w:tc>
          <w:tcPr>
            <w:tcW w:w="688" w:type="dxa"/>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3" w:hRule="atLeast"/>
        </w:trPr>
        <w:tc>
          <w:tcPr>
            <w:tcW w:w="1696" w:type="dxa"/>
            <w:vMerge w:val="continue"/>
          </w:tcPr>
          <w:p>
            <w:pPr>
              <w:widowControl/>
              <w:rPr>
                <w:rFonts w:ascii="宋体" w:hAnsi="宋体" w:cs="宋体"/>
                <w:color w:val="000000"/>
                <w:kern w:val="0"/>
                <w:sz w:val="20"/>
                <w:szCs w:val="20"/>
              </w:rPr>
            </w:pPr>
          </w:p>
        </w:tc>
        <w:tc>
          <w:tcPr>
            <w:tcW w:w="5393" w:type="dxa"/>
          </w:tcPr>
          <w:p>
            <w:pPr>
              <w:widowControl/>
              <w:rPr>
                <w:rFonts w:ascii="宋体" w:hAnsi="宋体" w:cs="宋体"/>
                <w:color w:val="000000"/>
                <w:kern w:val="0"/>
                <w:sz w:val="20"/>
                <w:szCs w:val="20"/>
              </w:rPr>
            </w:pPr>
            <w:r>
              <w:rPr>
                <w:rFonts w:ascii="Times New Roman" w:hAnsi="Times New Roman"/>
                <w:color w:val="000000"/>
                <w:kern w:val="0"/>
                <w:sz w:val="20"/>
                <w:szCs w:val="20"/>
              </w:rPr>
              <w:t>LO72</w:t>
            </w:r>
            <w:r>
              <w:rPr>
                <w:rFonts w:ascii="宋体" w:hAnsi="宋体" w:cs="宋体"/>
                <w:color w:val="000000"/>
                <w:kern w:val="0"/>
                <w:sz w:val="20"/>
                <w:szCs w:val="20"/>
              </w:rPr>
              <w:t>关爱生命，平等、博爱，</w:t>
            </w:r>
            <w:r>
              <w:rPr>
                <w:rFonts w:hint="eastAsia" w:ascii="PMingLiU" w:hAnsi="PMingLiU" w:cs="宋体"/>
                <w:color w:val="000000"/>
                <w:kern w:val="0"/>
                <w:sz w:val="20"/>
                <w:szCs w:val="20"/>
              </w:rPr>
              <w:t>提供</w:t>
            </w:r>
            <w:r>
              <w:rPr>
                <w:rFonts w:hint="cs" w:ascii="PMingLiU" w:hAnsi="PMingLiU" w:cs="宋体"/>
                <w:color w:val="000000"/>
                <w:kern w:val="0"/>
                <w:sz w:val="20"/>
                <w:szCs w:val="20"/>
              </w:rPr>
              <w:t>个别</w:t>
            </w:r>
            <w:r>
              <w:rPr>
                <w:rFonts w:hint="eastAsia" w:ascii="PMingLiU" w:hAnsi="PMingLiU" w:cs="宋体"/>
                <w:color w:val="000000"/>
                <w:kern w:val="0"/>
                <w:sz w:val="20"/>
                <w:szCs w:val="20"/>
              </w:rPr>
              <w:t>性</w:t>
            </w:r>
            <w:r>
              <w:rPr>
                <w:rFonts w:hint="eastAsia" w:ascii="宋体" w:hAnsi="宋体" w:cs="宋体"/>
                <w:color w:val="000000"/>
                <w:kern w:val="0"/>
                <w:sz w:val="20"/>
                <w:szCs w:val="20"/>
              </w:rPr>
              <w:t>和</w:t>
            </w:r>
            <w:r>
              <w:rPr>
                <w:rFonts w:ascii="宋体" w:hAnsi="宋体" w:cs="宋体"/>
                <w:color w:val="000000"/>
                <w:kern w:val="0"/>
                <w:sz w:val="20"/>
                <w:szCs w:val="20"/>
              </w:rPr>
              <w:t>全心全意为护理对象服务</w:t>
            </w:r>
            <w:r>
              <w:rPr>
                <w:rFonts w:hint="eastAsia" w:ascii="PMingLiU" w:hAnsi="PMingLiU" w:eastAsia="PMingLiU" w:cs="宋体"/>
                <w:color w:val="000000"/>
                <w:kern w:val="0"/>
                <w:sz w:val="20"/>
                <w:szCs w:val="20"/>
              </w:rPr>
              <w:t>的</w:t>
            </w:r>
            <w:r>
              <w:rPr>
                <w:rFonts w:ascii="宋体" w:hAnsi="宋体" w:cs="宋体"/>
                <w:color w:val="000000"/>
                <w:kern w:val="0"/>
                <w:sz w:val="20"/>
                <w:szCs w:val="20"/>
              </w:rPr>
              <w:t>专业精神。</w:t>
            </w:r>
          </w:p>
        </w:tc>
        <w:tc>
          <w:tcPr>
            <w:tcW w:w="688" w:type="dxa"/>
          </w:tcPr>
          <w:p>
            <w:pPr>
              <w:widowControl/>
              <w:rPr>
                <w:rFonts w:ascii="宋体" w:hAnsi="宋体" w:cs="宋体"/>
                <w:color w:val="000000"/>
                <w:kern w:val="0"/>
                <w:sz w:val="20"/>
                <w:szCs w:val="20"/>
              </w:rPr>
            </w:pPr>
            <w:r>
              <w:rPr>
                <w:rFonts w:hint="eastAsia" w:ascii="宋体" w:hAnsi="宋体" w:cs="仿宋"/>
                <w:color w:val="000000"/>
                <w:kern w:val="0"/>
                <w:sz w:val="20"/>
                <w:szCs w:val="20"/>
              </w:rPr>
              <w:t>●</w:t>
            </w:r>
          </w:p>
        </w:tc>
      </w:tr>
      <w:tr>
        <w:trPr>
          <w:trHeight w:val="189" w:hRule="atLeast"/>
        </w:trPr>
        <w:tc>
          <w:tcPr>
            <w:tcW w:w="1696" w:type="dxa"/>
            <w:vMerge w:val="restart"/>
          </w:tcPr>
          <w:p>
            <w:pPr>
              <w:widowControl/>
              <w:rPr>
                <w:rFonts w:ascii="宋体" w:hAnsi="宋体"/>
                <w:kern w:val="0"/>
                <w:sz w:val="20"/>
                <w:szCs w:val="20"/>
              </w:rPr>
            </w:pPr>
            <w:r>
              <w:rPr>
                <w:rFonts w:ascii="Times New Roman" w:hAnsi="Times New Roman"/>
                <w:color w:val="000000"/>
                <w:kern w:val="0"/>
                <w:sz w:val="20"/>
                <w:szCs w:val="20"/>
              </w:rPr>
              <w:t>LO8</w:t>
            </w:r>
            <w:r>
              <w:rPr>
                <w:rFonts w:ascii="宋体" w:hAnsi="宋体" w:cs="宋体"/>
                <w:color w:val="000000"/>
                <w:kern w:val="0"/>
                <w:sz w:val="20"/>
                <w:szCs w:val="20"/>
              </w:rPr>
              <w:t>国际视野</w:t>
            </w:r>
          </w:p>
        </w:tc>
        <w:tc>
          <w:tcPr>
            <w:tcW w:w="5393" w:type="dxa"/>
          </w:tcPr>
          <w:p>
            <w:pPr>
              <w:widowControl/>
              <w:rPr>
                <w:rFonts w:ascii="宋体" w:hAnsi="宋体" w:cs="宋体"/>
                <w:color w:val="000000"/>
                <w:kern w:val="0"/>
                <w:sz w:val="20"/>
                <w:szCs w:val="20"/>
              </w:rPr>
            </w:pPr>
            <w:r>
              <w:rPr>
                <w:rFonts w:ascii="Times New Roman" w:hAnsi="Times New Roman"/>
                <w:color w:val="000000"/>
                <w:kern w:val="0"/>
                <w:sz w:val="20"/>
                <w:szCs w:val="20"/>
              </w:rPr>
              <w:t>LO81</w:t>
            </w:r>
            <w:r>
              <w:rPr>
                <w:rFonts w:ascii="宋体" w:hAnsi="宋体" w:cs="宋体"/>
                <w:color w:val="000000"/>
                <w:kern w:val="0"/>
                <w:sz w:val="20"/>
                <w:szCs w:val="20"/>
              </w:rPr>
              <w:t>具有运用一门外语阅读护理学文献和简单的会话能力。</w:t>
            </w:r>
          </w:p>
        </w:tc>
        <w:tc>
          <w:tcPr>
            <w:tcW w:w="688" w:type="dxa"/>
          </w:tcPr>
          <w:p>
            <w:pPr>
              <w:widowControl/>
              <w:rPr>
                <w:rFonts w:ascii="宋体" w:hAnsi="宋体" w:cs="宋体"/>
                <w:color w:val="000000"/>
                <w:kern w:val="0"/>
                <w:sz w:val="20"/>
                <w:szCs w:val="20"/>
              </w:rPr>
            </w:pPr>
          </w:p>
        </w:tc>
      </w:tr>
      <w:tr>
        <w:trPr>
          <w:trHeight w:val="143" w:hRule="atLeast"/>
        </w:trPr>
        <w:tc>
          <w:tcPr>
            <w:tcW w:w="1696" w:type="dxa"/>
            <w:vMerge w:val="continue"/>
          </w:tcPr>
          <w:p>
            <w:pPr>
              <w:widowControl/>
              <w:rPr>
                <w:rFonts w:ascii="宋体" w:hAnsi="宋体" w:cs="宋体"/>
                <w:color w:val="000000"/>
                <w:kern w:val="0"/>
                <w:sz w:val="20"/>
                <w:szCs w:val="20"/>
              </w:rPr>
            </w:pPr>
          </w:p>
        </w:tc>
        <w:tc>
          <w:tcPr>
            <w:tcW w:w="5393" w:type="dxa"/>
          </w:tcPr>
          <w:p>
            <w:pPr>
              <w:widowControl/>
              <w:rPr>
                <w:rFonts w:ascii="宋体" w:hAnsi="宋体" w:cs="宋体"/>
                <w:color w:val="000000"/>
                <w:kern w:val="0"/>
                <w:sz w:val="20"/>
                <w:szCs w:val="20"/>
              </w:rPr>
            </w:pPr>
            <w:r>
              <w:rPr>
                <w:rFonts w:ascii="Times New Roman" w:hAnsi="Times New Roman"/>
                <w:color w:val="000000"/>
                <w:kern w:val="0"/>
                <w:sz w:val="20"/>
                <w:szCs w:val="20"/>
              </w:rPr>
              <w:t>LO82</w:t>
            </w:r>
            <w:r>
              <w:rPr>
                <w:rFonts w:ascii="宋体" w:hAnsi="宋体" w:cs="宋体"/>
                <w:color w:val="000000"/>
                <w:kern w:val="0"/>
                <w:sz w:val="20"/>
                <w:szCs w:val="20"/>
              </w:rPr>
              <w:t xml:space="preserve"> </w:t>
            </w:r>
            <w:r>
              <w:rPr>
                <w:rFonts w:hint="eastAsia" w:ascii="PMingLiU" w:hAnsi="PMingLiU" w:cs="宋体"/>
                <w:color w:val="000000"/>
                <w:kern w:val="0"/>
                <w:sz w:val="20"/>
                <w:szCs w:val="20"/>
              </w:rPr>
              <w:t>了</w:t>
            </w:r>
            <w:r>
              <w:rPr>
                <w:rFonts w:hint="eastAsia" w:ascii="宋体" w:hAnsi="宋体" w:cs="宋体"/>
                <w:color w:val="000000"/>
                <w:sz w:val="20"/>
                <w:szCs w:val="20"/>
              </w:rPr>
              <w:t>解其他国家</w:t>
            </w:r>
            <w:r>
              <w:rPr>
                <w:rFonts w:hint="eastAsia" w:ascii="PMingLiU" w:hAnsi="PMingLiU" w:cs="宋体"/>
                <w:color w:val="000000"/>
                <w:sz w:val="20"/>
                <w:szCs w:val="20"/>
              </w:rPr>
              <w:t>的</w:t>
            </w:r>
            <w:r>
              <w:rPr>
                <w:rFonts w:hint="cs" w:ascii="PMingLiU" w:hAnsi="PMingLiU" w:cs="宋体"/>
                <w:color w:val="000000"/>
                <w:sz w:val="20"/>
                <w:szCs w:val="20"/>
              </w:rPr>
              <w:t>护</w:t>
            </w:r>
            <w:r>
              <w:rPr>
                <w:rFonts w:hint="eastAsia" w:ascii="PMingLiU" w:hAnsi="PMingLiU" w:cs="宋体"/>
                <w:color w:val="000000"/>
                <w:sz w:val="20"/>
                <w:szCs w:val="20"/>
              </w:rPr>
              <w:t>理</w:t>
            </w:r>
            <w:r>
              <w:rPr>
                <w:rFonts w:hint="eastAsia" w:ascii="宋体" w:hAnsi="宋体" w:cs="宋体"/>
                <w:color w:val="000000"/>
                <w:sz w:val="20"/>
                <w:szCs w:val="20"/>
              </w:rPr>
              <w:t>文化，</w:t>
            </w:r>
            <w:r>
              <w:rPr>
                <w:rFonts w:hint="eastAsia" w:ascii="PMingLiU" w:hAnsi="PMingLiU" w:cs="宋体"/>
                <w:color w:val="000000"/>
                <w:sz w:val="20"/>
                <w:szCs w:val="20"/>
              </w:rPr>
              <w:t>具</w:t>
            </w:r>
            <w:r>
              <w:rPr>
                <w:rFonts w:hint="eastAsia" w:ascii="宋体" w:hAnsi="宋体" w:cs="宋体"/>
                <w:color w:val="000000"/>
                <w:sz w:val="20"/>
                <w:szCs w:val="20"/>
              </w:rPr>
              <w:t>跨文化交流能力</w:t>
            </w:r>
          </w:p>
        </w:tc>
        <w:tc>
          <w:tcPr>
            <w:tcW w:w="688" w:type="dxa"/>
          </w:tcPr>
          <w:p>
            <w:pPr>
              <w:widowControl/>
              <w:rPr>
                <w:rFonts w:ascii="宋体" w:hAnsi="宋体" w:cs="宋体"/>
                <w:color w:val="000000"/>
                <w:kern w:val="0"/>
                <w:sz w:val="20"/>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645"/>
        <w:gridCol w:w="132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3645"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1321"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5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6" w:hRule="atLeast"/>
        </w:trPr>
        <w:tc>
          <w:tcPr>
            <w:tcW w:w="535" w:type="dxa"/>
            <w:shd w:val="clear" w:color="auto" w:fill="auto"/>
            <w:vAlign w:val="center"/>
          </w:tcPr>
          <w:p>
            <w:pPr>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175" w:type="dxa"/>
            <w:shd w:val="clear" w:color="auto" w:fill="auto"/>
            <w:vAlign w:val="center"/>
          </w:tcPr>
          <w:p>
            <w:pPr>
              <w:jc w:val="center"/>
              <w:rPr>
                <w:rFonts w:ascii="Times New Roman" w:hAnsi="Times New Roman" w:eastAsia="PMingLiU"/>
                <w:color w:val="000000"/>
                <w:kern w:val="0"/>
                <w:sz w:val="20"/>
                <w:szCs w:val="20"/>
                <w:lang w:eastAsia="zh-TW"/>
              </w:rPr>
            </w:pPr>
            <w:r>
              <w:rPr>
                <w:rFonts w:ascii="Times New Roman" w:hAnsi="Times New Roman" w:eastAsia="PMingLiU"/>
                <w:color w:val="000000"/>
                <w:kern w:val="0"/>
                <w:sz w:val="20"/>
                <w:szCs w:val="20"/>
                <w:lang w:eastAsia="zh-TW"/>
              </w:rPr>
              <w:t>LO2</w:t>
            </w:r>
            <w:r>
              <w:rPr>
                <w:rFonts w:hint="eastAsia" w:ascii="Times New Roman" w:hAnsi="Times New Roman" w:eastAsia="PMingLiU"/>
                <w:color w:val="000000"/>
                <w:kern w:val="0"/>
                <w:sz w:val="20"/>
                <w:szCs w:val="20"/>
                <w:lang w:eastAsia="zh-TW"/>
              </w:rPr>
              <w:t>2</w:t>
            </w:r>
          </w:p>
          <w:p>
            <w:pPr>
              <w:jc w:val="center"/>
              <w:rPr>
                <w:rFonts w:ascii="Times New Roman" w:hAnsi="Times New Roman"/>
                <w:color w:val="000000"/>
                <w:kern w:val="0"/>
                <w:sz w:val="20"/>
                <w:szCs w:val="20"/>
              </w:rPr>
            </w:pPr>
            <w:r>
              <w:rPr>
                <w:rFonts w:hint="eastAsia" w:ascii="宋体" w:hAnsi="宋体" w:cs="宋体"/>
                <w:color w:val="000000"/>
                <w:kern w:val="0"/>
                <w:sz w:val="20"/>
                <w:szCs w:val="20"/>
              </w:rPr>
              <w:t>自主学习</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ascii="PMingLiU" w:hAnsi="PMingLiU" w:cs="宋体"/>
                <w:color w:val="000000"/>
                <w:kern w:val="0"/>
                <w:sz w:val="20"/>
                <w:szCs w:val="20"/>
              </w:rPr>
              <w:t>1.</w:t>
            </w:r>
            <w:r>
              <w:rPr>
                <w:rFonts w:hint="eastAsia" w:ascii="PMingLiU" w:hAnsi="PMingLiU" w:cs="宋体"/>
                <w:color w:val="000000"/>
                <w:kern w:val="0"/>
                <w:sz w:val="20"/>
                <w:szCs w:val="20"/>
              </w:rPr>
              <w:t>能自主</w:t>
            </w:r>
            <w:r>
              <w:rPr>
                <w:rFonts w:hint="cs" w:ascii="PMingLiU" w:hAnsi="PMingLiU" w:cs="宋体"/>
                <w:color w:val="000000"/>
                <w:kern w:val="0"/>
                <w:sz w:val="20"/>
                <w:szCs w:val="20"/>
              </w:rPr>
              <w:t>学习</w:t>
            </w:r>
            <w:r>
              <w:rPr>
                <w:rFonts w:hint="eastAsia" w:ascii="PMingLiU" w:hAnsi="PMingLiU" w:cs="宋体"/>
                <w:color w:val="000000"/>
                <w:kern w:val="0"/>
                <w:sz w:val="20"/>
                <w:szCs w:val="20"/>
              </w:rPr>
              <w:t>老年人的健康</w:t>
            </w:r>
            <w:r>
              <w:rPr>
                <w:rFonts w:hint="cs" w:ascii="PMingLiU" w:hAnsi="PMingLiU" w:cs="宋体"/>
                <w:color w:val="000000"/>
                <w:kern w:val="0"/>
                <w:sz w:val="20"/>
                <w:szCs w:val="20"/>
              </w:rPr>
              <w:t>评</w:t>
            </w:r>
            <w:r>
              <w:rPr>
                <w:rFonts w:hint="eastAsia" w:ascii="PMingLiU" w:hAnsi="PMingLiU" w:cs="宋体"/>
                <w:color w:val="000000"/>
                <w:kern w:val="0"/>
                <w:sz w:val="20"/>
                <w:szCs w:val="20"/>
              </w:rPr>
              <w:t>估相</w:t>
            </w:r>
            <w:r>
              <w:rPr>
                <w:rFonts w:hint="cs" w:ascii="PMingLiU" w:hAnsi="PMingLiU" w:cs="宋体"/>
                <w:color w:val="000000"/>
                <w:kern w:val="0"/>
                <w:sz w:val="20"/>
                <w:szCs w:val="20"/>
              </w:rPr>
              <w:t>关</w:t>
            </w:r>
            <w:r>
              <w:rPr>
                <w:rFonts w:hint="eastAsia" w:ascii="PMingLiU" w:hAnsi="PMingLiU" w:cs="宋体"/>
                <w:color w:val="000000"/>
                <w:kern w:val="0"/>
                <w:sz w:val="20"/>
                <w:szCs w:val="20"/>
              </w:rPr>
              <w:t>量表。</w:t>
            </w:r>
          </w:p>
          <w:p>
            <w:pPr>
              <w:snapToGrid w:val="0"/>
              <w:spacing w:line="288" w:lineRule="auto"/>
              <w:jc w:val="left"/>
              <w:rPr>
                <w:rFonts w:ascii="宋体" w:hAnsi="宋体" w:cs="宋体"/>
                <w:color w:val="000000"/>
                <w:kern w:val="0"/>
                <w:sz w:val="20"/>
                <w:szCs w:val="20"/>
              </w:rPr>
            </w:pPr>
            <w:r>
              <w:rPr>
                <w:rFonts w:hint="eastAsia" w:ascii="PMingLiU" w:hAnsi="PMingLiU" w:eastAsia="PMingLiU" w:cs="宋体"/>
                <w:bCs/>
                <w:color w:val="262626"/>
                <w:sz w:val="20"/>
                <w:szCs w:val="20"/>
              </w:rPr>
              <w:t>2.</w:t>
            </w:r>
            <w:r>
              <w:rPr>
                <w:rFonts w:hint="eastAsia" w:ascii="宋体" w:hAnsi="宋体" w:cs="宋体"/>
                <w:bCs/>
                <w:color w:val="262626"/>
                <w:sz w:val="20"/>
                <w:szCs w:val="20"/>
              </w:rPr>
              <w:t>能结合专业知识和岗位技能需求，多途径获取学习资源，实施学习计划、反思学习效果并持续改进，达到学习目标</w:t>
            </w:r>
          </w:p>
        </w:tc>
        <w:tc>
          <w:tcPr>
            <w:tcW w:w="1321" w:type="dxa"/>
            <w:shd w:val="clear" w:color="auto" w:fill="auto"/>
          </w:tcPr>
          <w:p>
            <w:pPr>
              <w:snapToGrid w:val="0"/>
              <w:spacing w:line="288" w:lineRule="auto"/>
              <w:jc w:val="center"/>
              <w:rPr>
                <w:rFonts w:ascii="宋体" w:hAnsi="宋体" w:cs="宋体"/>
                <w:color w:val="000000"/>
                <w:kern w:val="0"/>
                <w:sz w:val="20"/>
                <w:szCs w:val="20"/>
              </w:rPr>
            </w:pPr>
            <w:r>
              <w:rPr>
                <w:rFonts w:hint="eastAsia" w:ascii="PMingLiU" w:hAnsi="PMingLiU" w:cs="宋体"/>
                <w:color w:val="000000"/>
                <w:kern w:val="0"/>
                <w:sz w:val="20"/>
                <w:szCs w:val="20"/>
              </w:rPr>
              <w:t>翻</w:t>
            </w:r>
            <w:r>
              <w:rPr>
                <w:rFonts w:hint="cs" w:ascii="PMingLiU" w:hAnsi="PMingLiU" w:cs="宋体"/>
                <w:color w:val="000000"/>
                <w:kern w:val="0"/>
                <w:sz w:val="20"/>
                <w:szCs w:val="20"/>
              </w:rPr>
              <w:t>转</w:t>
            </w:r>
            <w:r>
              <w:rPr>
                <w:rFonts w:hint="eastAsia" w:ascii="PMingLiU" w:hAnsi="PMingLiU" w:cs="宋体"/>
                <w:color w:val="000000"/>
                <w:kern w:val="0"/>
                <w:sz w:val="20"/>
                <w:szCs w:val="20"/>
              </w:rPr>
              <w:t>教堂</w:t>
            </w:r>
          </w:p>
          <w:p>
            <w:pPr>
              <w:snapToGrid w:val="0"/>
              <w:spacing w:line="288" w:lineRule="auto"/>
              <w:jc w:val="center"/>
              <w:rPr>
                <w:rFonts w:ascii="宋体" w:hAnsi="宋体" w:cs="宋体"/>
                <w:color w:val="000000"/>
                <w:kern w:val="0"/>
                <w:sz w:val="20"/>
                <w:szCs w:val="20"/>
              </w:rPr>
            </w:pPr>
            <w:r>
              <w:rPr>
                <w:rFonts w:hint="eastAsia" w:ascii="PMingLiU" w:hAnsi="PMingLiU" w:cs="宋体"/>
                <w:color w:val="000000"/>
                <w:kern w:val="0"/>
                <w:sz w:val="20"/>
                <w:szCs w:val="20"/>
              </w:rPr>
              <w:t>自主</w:t>
            </w:r>
            <w:r>
              <w:rPr>
                <w:rFonts w:hint="cs" w:ascii="PMingLiU" w:hAnsi="PMingLiU" w:cs="宋体"/>
                <w:color w:val="000000"/>
                <w:kern w:val="0"/>
                <w:sz w:val="20"/>
                <w:szCs w:val="20"/>
              </w:rPr>
              <w:t>学习</w:t>
            </w:r>
          </w:p>
        </w:tc>
        <w:tc>
          <w:tcPr>
            <w:tcW w:w="1250" w:type="dxa"/>
            <w:shd w:val="clear" w:color="auto" w:fill="auto"/>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口头评价</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175" w:type="dxa"/>
            <w:shd w:val="clear" w:color="auto" w:fill="auto"/>
            <w:vAlign w:val="center"/>
          </w:tcPr>
          <w:p>
            <w:pPr>
              <w:jc w:val="center"/>
              <w:rPr>
                <w:rFonts w:ascii="Times New Roman" w:hAnsi="Times New Roman"/>
                <w:color w:val="000000"/>
                <w:kern w:val="0"/>
                <w:sz w:val="20"/>
                <w:szCs w:val="20"/>
              </w:rPr>
            </w:pPr>
            <w:r>
              <w:rPr>
                <w:rFonts w:ascii="Times New Roman" w:hAnsi="Times New Roman" w:eastAsia="PMingLiU"/>
                <w:color w:val="000000"/>
                <w:kern w:val="0"/>
                <w:sz w:val="20"/>
                <w:szCs w:val="20"/>
                <w:lang w:eastAsia="zh-TW"/>
              </w:rPr>
              <w:t>LO32</w:t>
            </w:r>
          </w:p>
          <w:p>
            <w:pPr>
              <w:jc w:val="center"/>
              <w:rPr>
                <w:rFonts w:ascii="Times New Roman" w:hAnsi="Times New Roman"/>
                <w:color w:val="000000"/>
                <w:kern w:val="0"/>
                <w:sz w:val="20"/>
                <w:szCs w:val="20"/>
              </w:rPr>
            </w:pPr>
            <w:r>
              <w:rPr>
                <w:rFonts w:ascii="Times New Roman" w:hAnsi="Times New Roman" w:eastAsia="PMingLiU"/>
                <w:color w:val="000000"/>
                <w:kern w:val="0"/>
                <w:sz w:val="20"/>
                <w:szCs w:val="20"/>
                <w:lang w:eastAsia="zh-TW"/>
              </w:rPr>
              <w:t>LO34</w:t>
            </w:r>
          </w:p>
          <w:p>
            <w:pPr>
              <w:jc w:val="center"/>
              <w:rPr>
                <w:rFonts w:ascii="宋体" w:hAnsi="宋体" w:cs="宋体"/>
                <w:color w:val="000000"/>
                <w:kern w:val="0"/>
                <w:sz w:val="20"/>
                <w:szCs w:val="20"/>
              </w:rPr>
            </w:pPr>
            <w:r>
              <w:rPr>
                <w:rFonts w:hint="eastAsia" w:ascii="宋体" w:hAnsi="宋体" w:cs="宋体"/>
                <w:color w:val="000000"/>
                <w:kern w:val="0"/>
                <w:sz w:val="20"/>
                <w:szCs w:val="20"/>
              </w:rPr>
              <w:t>专业能力</w:t>
            </w:r>
          </w:p>
        </w:tc>
        <w:tc>
          <w:tcPr>
            <w:tcW w:w="3645" w:type="dxa"/>
            <w:shd w:val="clear" w:color="auto" w:fill="auto"/>
          </w:tcPr>
          <w:p>
            <w:pPr>
              <w:rPr>
                <w:rFonts w:ascii="宋体" w:hAnsi="宋体" w:cs="宋体"/>
                <w:color w:val="000000"/>
                <w:kern w:val="0"/>
                <w:sz w:val="20"/>
                <w:szCs w:val="20"/>
              </w:rPr>
            </w:pPr>
            <w:r>
              <w:rPr>
                <w:rFonts w:hint="eastAsia" w:ascii="PMingLiU" w:hAnsi="PMingLiU" w:cs="宋体"/>
                <w:color w:val="000000"/>
                <w:kern w:val="0"/>
                <w:sz w:val="20"/>
                <w:szCs w:val="20"/>
              </w:rPr>
              <w:t>通</w:t>
            </w:r>
            <w:r>
              <w:rPr>
                <w:rFonts w:hint="cs" w:ascii="PMingLiU" w:hAnsi="PMingLiU" w:cs="宋体"/>
                <w:color w:val="000000"/>
                <w:kern w:val="0"/>
                <w:sz w:val="20"/>
                <w:szCs w:val="20"/>
              </w:rPr>
              <w:t>过</w:t>
            </w:r>
            <w:r>
              <w:rPr>
                <w:rFonts w:hint="eastAsia" w:ascii="PMingLiU" w:hAnsi="PMingLiU" w:cs="宋体"/>
                <w:color w:val="000000"/>
                <w:kern w:val="0"/>
                <w:sz w:val="20"/>
                <w:szCs w:val="20"/>
              </w:rPr>
              <w:t>老年</w:t>
            </w:r>
            <w:r>
              <w:rPr>
                <w:rFonts w:hint="cs" w:ascii="PMingLiU" w:hAnsi="PMingLiU" w:cs="宋体"/>
                <w:color w:val="000000"/>
                <w:kern w:val="0"/>
                <w:sz w:val="20"/>
                <w:szCs w:val="20"/>
              </w:rPr>
              <w:t>护</w:t>
            </w:r>
            <w:r>
              <w:rPr>
                <w:rFonts w:hint="eastAsia" w:ascii="PMingLiU" w:hAnsi="PMingLiU" w:cs="宋体"/>
                <w:color w:val="000000"/>
                <w:kern w:val="0"/>
                <w:sz w:val="20"/>
                <w:szCs w:val="20"/>
              </w:rPr>
              <w:t>理</w:t>
            </w:r>
            <w:r>
              <w:rPr>
                <w:rFonts w:hint="cs" w:ascii="PMingLiU" w:hAnsi="PMingLiU" w:cs="宋体"/>
                <w:color w:val="000000"/>
                <w:kern w:val="0"/>
                <w:sz w:val="20"/>
                <w:szCs w:val="20"/>
              </w:rPr>
              <w:t>学</w:t>
            </w:r>
            <w:r>
              <w:rPr>
                <w:rFonts w:hint="eastAsia" w:ascii="PMingLiU" w:hAnsi="PMingLiU" w:cs="宋体"/>
                <w:color w:val="000000"/>
                <w:kern w:val="0"/>
                <w:sz w:val="20"/>
                <w:szCs w:val="20"/>
              </w:rPr>
              <w:t>相</w:t>
            </w:r>
            <w:r>
              <w:rPr>
                <w:rFonts w:hint="cs" w:ascii="PMingLiU" w:hAnsi="PMingLiU" w:cs="宋体"/>
                <w:color w:val="000000"/>
                <w:kern w:val="0"/>
                <w:sz w:val="20"/>
                <w:szCs w:val="20"/>
              </w:rPr>
              <w:t>关</w:t>
            </w:r>
            <w:r>
              <w:rPr>
                <w:rFonts w:hint="eastAsia" w:ascii="PMingLiU" w:hAnsi="PMingLiU" w:cs="宋体"/>
                <w:color w:val="000000"/>
                <w:kern w:val="0"/>
                <w:sz w:val="20"/>
                <w:szCs w:val="20"/>
              </w:rPr>
              <w:t>理</w:t>
            </w:r>
            <w:r>
              <w:rPr>
                <w:rFonts w:hint="cs" w:ascii="PMingLiU" w:hAnsi="PMingLiU" w:cs="宋体"/>
                <w:color w:val="000000"/>
                <w:kern w:val="0"/>
                <w:sz w:val="20"/>
                <w:szCs w:val="20"/>
              </w:rPr>
              <w:t>论</w:t>
            </w:r>
            <w:r>
              <w:rPr>
                <w:rFonts w:hint="eastAsia" w:ascii="PMingLiU" w:hAnsi="PMingLiU" w:cs="宋体"/>
                <w:color w:val="000000"/>
                <w:kern w:val="0"/>
                <w:sz w:val="20"/>
                <w:szCs w:val="20"/>
              </w:rPr>
              <w:t>、知</w:t>
            </w:r>
            <w:r>
              <w:rPr>
                <w:rFonts w:hint="cs" w:ascii="PMingLiU" w:hAnsi="PMingLiU" w:cs="宋体"/>
                <w:color w:val="000000"/>
                <w:kern w:val="0"/>
                <w:sz w:val="20"/>
                <w:szCs w:val="20"/>
              </w:rPr>
              <w:t>识学习</w:t>
            </w:r>
            <w:r>
              <w:rPr>
                <w:rFonts w:hint="eastAsia" w:ascii="PMingLiU" w:hAnsi="PMingLiU" w:cs="宋体"/>
                <w:color w:val="000000"/>
                <w:kern w:val="0"/>
                <w:sz w:val="20"/>
                <w:szCs w:val="20"/>
              </w:rPr>
              <w:t>，掌握老年人生、心理</w:t>
            </w:r>
            <w:r>
              <w:rPr>
                <w:rFonts w:hint="cs" w:ascii="PMingLiU" w:hAnsi="PMingLiU" w:cs="宋体"/>
                <w:color w:val="000000"/>
                <w:kern w:val="0"/>
                <w:sz w:val="20"/>
                <w:szCs w:val="20"/>
              </w:rPr>
              <w:t>变</w:t>
            </w:r>
            <w:r>
              <w:rPr>
                <w:rFonts w:hint="eastAsia" w:ascii="PMingLiU" w:hAnsi="PMingLiU" w:cs="宋体"/>
                <w:color w:val="000000"/>
                <w:kern w:val="0"/>
                <w:sz w:val="20"/>
                <w:szCs w:val="20"/>
              </w:rPr>
              <w:t>化</w:t>
            </w:r>
            <w:r>
              <w:rPr>
                <w:rFonts w:hint="cs" w:ascii="PMingLiU" w:hAnsi="PMingLiU" w:cs="宋体"/>
                <w:color w:val="000000"/>
                <w:kern w:val="0"/>
                <w:sz w:val="20"/>
                <w:szCs w:val="20"/>
              </w:rPr>
              <w:t>导</w:t>
            </w:r>
            <w:r>
              <w:rPr>
                <w:rFonts w:hint="eastAsia" w:ascii="PMingLiU" w:hAnsi="PMingLiU" w:cs="宋体"/>
                <w:color w:val="000000"/>
                <w:kern w:val="0"/>
                <w:sz w:val="20"/>
                <w:szCs w:val="20"/>
              </w:rPr>
              <w:t>致的健康</w:t>
            </w:r>
            <w:r>
              <w:rPr>
                <w:rFonts w:hint="cs" w:ascii="PMingLiU" w:hAnsi="PMingLiU" w:cs="宋体"/>
                <w:color w:val="000000"/>
                <w:kern w:val="0"/>
                <w:sz w:val="20"/>
                <w:szCs w:val="20"/>
              </w:rPr>
              <w:t>问题</w:t>
            </w:r>
            <w:r>
              <w:rPr>
                <w:rFonts w:hint="eastAsia" w:ascii="PMingLiU" w:hAnsi="PMingLiU" w:cs="宋体"/>
                <w:color w:val="000000"/>
                <w:kern w:val="0"/>
                <w:sz w:val="20"/>
                <w:szCs w:val="20"/>
              </w:rPr>
              <w:t>、疾病</w:t>
            </w:r>
            <w:r>
              <w:rPr>
                <w:rFonts w:hint="cs" w:ascii="PMingLiU" w:hAnsi="PMingLiU" w:cs="宋体"/>
                <w:color w:val="000000"/>
                <w:kern w:val="0"/>
                <w:sz w:val="20"/>
                <w:szCs w:val="20"/>
              </w:rPr>
              <w:t>问题</w:t>
            </w:r>
            <w:r>
              <w:rPr>
                <w:rFonts w:hint="eastAsia" w:ascii="PMingLiU" w:hAnsi="PMingLiU" w:cs="宋体"/>
                <w:color w:val="000000"/>
                <w:kern w:val="0"/>
                <w:sz w:val="20"/>
                <w:szCs w:val="20"/>
              </w:rPr>
              <w:t>，能透</w:t>
            </w:r>
            <w:r>
              <w:rPr>
                <w:rFonts w:hint="cs" w:ascii="PMingLiU" w:hAnsi="PMingLiU" w:cs="宋体"/>
                <w:color w:val="000000"/>
                <w:kern w:val="0"/>
                <w:sz w:val="20"/>
                <w:szCs w:val="20"/>
              </w:rPr>
              <w:t>过</w:t>
            </w:r>
            <w:r>
              <w:rPr>
                <w:rFonts w:hint="eastAsia" w:ascii="PMingLiU" w:hAnsi="PMingLiU" w:cs="宋体"/>
                <w:color w:val="000000"/>
                <w:kern w:val="0"/>
                <w:sz w:val="20"/>
                <w:szCs w:val="20"/>
              </w:rPr>
              <w:t>功能性</w:t>
            </w:r>
            <w:r>
              <w:rPr>
                <w:rFonts w:hint="cs" w:ascii="PMingLiU" w:hAnsi="PMingLiU" w:cs="宋体"/>
                <w:color w:val="000000"/>
                <w:kern w:val="0"/>
                <w:sz w:val="20"/>
                <w:szCs w:val="20"/>
              </w:rPr>
              <w:t>评</w:t>
            </w:r>
            <w:r>
              <w:rPr>
                <w:rFonts w:hint="eastAsia" w:ascii="PMingLiU" w:hAnsi="PMingLiU" w:cs="宋体"/>
                <w:color w:val="000000"/>
                <w:kern w:val="0"/>
                <w:sz w:val="20"/>
                <w:szCs w:val="20"/>
              </w:rPr>
              <w:t>估、</w:t>
            </w:r>
            <w:r>
              <w:rPr>
                <w:rFonts w:hint="cs" w:ascii="PMingLiU" w:hAnsi="PMingLiU" w:cs="宋体"/>
                <w:color w:val="000000"/>
                <w:kern w:val="0"/>
                <w:sz w:val="20"/>
                <w:szCs w:val="20"/>
              </w:rPr>
              <w:t>拟</w:t>
            </w:r>
            <w:r>
              <w:rPr>
                <w:rFonts w:hint="eastAsia" w:ascii="PMingLiU" w:hAnsi="PMingLiU" w:cs="宋体"/>
                <w:color w:val="000000"/>
                <w:kern w:val="0"/>
                <w:sz w:val="20"/>
                <w:szCs w:val="20"/>
              </w:rPr>
              <w:t>定具</w:t>
            </w:r>
            <w:r>
              <w:rPr>
                <w:rFonts w:hint="cs" w:ascii="PMingLiU" w:hAnsi="PMingLiU" w:cs="宋体"/>
                <w:color w:val="000000"/>
                <w:kern w:val="0"/>
                <w:sz w:val="20"/>
                <w:szCs w:val="20"/>
              </w:rPr>
              <w:t>个别</w:t>
            </w:r>
            <w:r>
              <w:rPr>
                <w:rFonts w:hint="eastAsia" w:ascii="PMingLiU" w:hAnsi="PMingLiU" w:cs="宋体"/>
                <w:color w:val="000000"/>
                <w:kern w:val="0"/>
                <w:sz w:val="20"/>
                <w:szCs w:val="20"/>
              </w:rPr>
              <w:t>性照</w:t>
            </w:r>
            <w:r>
              <w:rPr>
                <w:rFonts w:hint="cs" w:ascii="PMingLiU" w:hAnsi="PMingLiU" w:cs="宋体"/>
                <w:color w:val="000000"/>
                <w:kern w:val="0"/>
                <w:sz w:val="20"/>
                <w:szCs w:val="20"/>
              </w:rPr>
              <w:t>护计</w:t>
            </w:r>
            <w:r>
              <w:rPr>
                <w:rFonts w:hint="eastAsia" w:ascii="PMingLiU" w:hAnsi="PMingLiU" w:cs="宋体"/>
                <w:color w:val="000000"/>
                <w:kern w:val="0"/>
                <w:sz w:val="20"/>
                <w:szCs w:val="20"/>
              </w:rPr>
              <w:t>划、照</w:t>
            </w:r>
            <w:r>
              <w:rPr>
                <w:rFonts w:hint="cs" w:ascii="PMingLiU" w:hAnsi="PMingLiU" w:cs="宋体"/>
                <w:color w:val="000000"/>
                <w:kern w:val="0"/>
                <w:sz w:val="20"/>
                <w:szCs w:val="20"/>
              </w:rPr>
              <w:t>护</w:t>
            </w:r>
            <w:r>
              <w:rPr>
                <w:rFonts w:hint="eastAsia" w:ascii="PMingLiU" w:hAnsi="PMingLiU" w:cs="宋体"/>
                <w:color w:val="000000"/>
                <w:kern w:val="0"/>
                <w:sz w:val="20"/>
                <w:szCs w:val="20"/>
              </w:rPr>
              <w:t>措施、</w:t>
            </w:r>
            <w:r>
              <w:rPr>
                <w:rFonts w:hint="cs" w:ascii="PMingLiU" w:hAnsi="PMingLiU" w:cs="宋体"/>
                <w:color w:val="000000"/>
                <w:kern w:val="0"/>
                <w:sz w:val="20"/>
                <w:szCs w:val="20"/>
              </w:rPr>
              <w:t>评</w:t>
            </w:r>
            <w:r>
              <w:rPr>
                <w:rFonts w:hint="eastAsia" w:ascii="PMingLiU" w:hAnsi="PMingLiU" w:cs="宋体"/>
                <w:color w:val="000000"/>
                <w:kern w:val="0"/>
                <w:sz w:val="20"/>
                <w:szCs w:val="20"/>
              </w:rPr>
              <w:t>值。</w:t>
            </w:r>
          </w:p>
        </w:tc>
        <w:tc>
          <w:tcPr>
            <w:tcW w:w="1321"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理论讲授</w:t>
            </w:r>
          </w:p>
          <w:p>
            <w:pPr>
              <w:snapToGrid w:val="0"/>
              <w:rPr>
                <w:rFonts w:ascii="宋体" w:hAnsi="宋体" w:cs="宋体"/>
                <w:bCs/>
                <w:color w:val="000000"/>
                <w:sz w:val="20"/>
                <w:szCs w:val="20"/>
              </w:rPr>
            </w:pPr>
            <w:r>
              <w:rPr>
                <w:rFonts w:hint="eastAsia" w:ascii="宋体" w:hAnsi="宋体" w:cs="宋体"/>
                <w:bCs/>
                <w:color w:val="000000"/>
                <w:sz w:val="20"/>
                <w:szCs w:val="20"/>
              </w:rPr>
              <w:t>案例分析</w:t>
            </w:r>
          </w:p>
          <w:p>
            <w:pPr>
              <w:snapToGrid w:val="0"/>
              <w:rPr>
                <w:rFonts w:ascii="宋体" w:hAnsi="宋体" w:cs="宋体"/>
                <w:bCs/>
                <w:color w:val="000000"/>
                <w:sz w:val="20"/>
                <w:szCs w:val="20"/>
              </w:rPr>
            </w:pPr>
            <w:r>
              <w:rPr>
                <w:rFonts w:hint="eastAsia" w:ascii="宋体" w:hAnsi="宋体" w:cs="宋体"/>
                <w:bCs/>
                <w:color w:val="000000"/>
                <w:sz w:val="20"/>
                <w:szCs w:val="20"/>
              </w:rPr>
              <w:t>小组讨论</w:t>
            </w:r>
          </w:p>
        </w:tc>
        <w:tc>
          <w:tcPr>
            <w:tcW w:w="1250"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理论考试</w:t>
            </w:r>
          </w:p>
          <w:p>
            <w:pPr>
              <w:snapToGrid w:val="0"/>
              <w:rPr>
                <w:rFonts w:ascii="宋体" w:hAnsi="宋体" w:cs="宋体"/>
                <w:bCs/>
                <w:color w:val="000000"/>
                <w:sz w:val="20"/>
                <w:szCs w:val="20"/>
              </w:rPr>
            </w:pPr>
            <w:r>
              <w:rPr>
                <w:rFonts w:hint="eastAsia" w:ascii="宋体" w:hAnsi="宋体" w:cs="宋体"/>
                <w:bCs/>
                <w:color w:val="000000"/>
                <w:sz w:val="20"/>
                <w:szCs w:val="20"/>
              </w:rPr>
              <w:t>课堂表现</w:t>
            </w:r>
          </w:p>
          <w:p>
            <w:pPr>
              <w:snapToGrid w:val="0"/>
              <w:spacing w:line="288" w:lineRule="auto"/>
              <w:rPr>
                <w:rFonts w:ascii="宋体" w:hAnsi="宋体" w:cs="宋体"/>
                <w:sz w:val="20"/>
                <w:szCs w:val="20"/>
              </w:rPr>
            </w:pPr>
            <w:r>
              <w:rPr>
                <w:rFonts w:hint="eastAsia" w:ascii="宋体" w:hAnsi="宋体" w:cs="宋体"/>
                <w:bCs/>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ascii="Times New Roman" w:hAnsi="Times New Roman"/>
                <w:color w:val="000000"/>
                <w:kern w:val="0"/>
                <w:sz w:val="20"/>
                <w:szCs w:val="20"/>
              </w:rPr>
            </w:pPr>
            <w:r>
              <w:rPr>
                <w:rFonts w:ascii="Times New Roman" w:hAnsi="Times New Roman" w:eastAsia="PMingLiU"/>
                <w:color w:val="000000"/>
                <w:kern w:val="0"/>
                <w:sz w:val="20"/>
                <w:szCs w:val="20"/>
                <w:lang w:eastAsia="zh-TW"/>
              </w:rPr>
              <w:t>3</w:t>
            </w:r>
          </w:p>
        </w:tc>
        <w:tc>
          <w:tcPr>
            <w:tcW w:w="1175" w:type="dxa"/>
            <w:shd w:val="clear" w:color="auto" w:fill="auto"/>
            <w:vAlign w:val="center"/>
          </w:tcPr>
          <w:p>
            <w:pPr>
              <w:jc w:val="center"/>
              <w:rPr>
                <w:rFonts w:ascii="Times New Roman" w:hAnsi="Times New Roman" w:eastAsia="PMingLiU"/>
                <w:color w:val="000000"/>
                <w:kern w:val="0"/>
                <w:sz w:val="20"/>
                <w:szCs w:val="20"/>
                <w:lang w:eastAsia="zh-TW"/>
              </w:rPr>
            </w:pPr>
            <w:r>
              <w:rPr>
                <w:rFonts w:hint="eastAsia" w:ascii="Times New Roman" w:hAnsi="Times New Roman" w:eastAsia="PMingLiU"/>
                <w:color w:val="000000"/>
                <w:kern w:val="0"/>
                <w:sz w:val="20"/>
                <w:szCs w:val="20"/>
                <w:lang w:eastAsia="zh-TW"/>
              </w:rPr>
              <w:t>LO52</w:t>
            </w:r>
          </w:p>
          <w:p>
            <w:pPr>
              <w:jc w:val="center"/>
              <w:rPr>
                <w:rFonts w:ascii="Times New Roman" w:hAnsi="Times New Roman" w:eastAsia="PMingLiU"/>
                <w:color w:val="000000"/>
                <w:kern w:val="0"/>
                <w:sz w:val="20"/>
                <w:szCs w:val="20"/>
                <w:lang w:eastAsia="zh-TW"/>
              </w:rPr>
            </w:pPr>
            <w:r>
              <w:rPr>
                <w:rFonts w:hint="eastAsia" w:ascii="宋体" w:hAnsi="宋体" w:cs="宋体"/>
                <w:color w:val="000000"/>
                <w:kern w:val="0"/>
                <w:sz w:val="20"/>
                <w:szCs w:val="20"/>
              </w:rPr>
              <w:t>协同创新</w:t>
            </w:r>
          </w:p>
        </w:tc>
        <w:tc>
          <w:tcPr>
            <w:tcW w:w="3645" w:type="dxa"/>
            <w:shd w:val="clear" w:color="auto" w:fill="auto"/>
          </w:tcPr>
          <w:p>
            <w:pPr>
              <w:rPr>
                <w:rFonts w:ascii="PMingLiU" w:hAnsi="PMingLiU" w:cs="宋体"/>
                <w:color w:val="000000"/>
                <w:kern w:val="0"/>
                <w:sz w:val="20"/>
                <w:szCs w:val="20"/>
              </w:rPr>
            </w:pPr>
            <w:r>
              <w:rPr>
                <w:rFonts w:hint="cs" w:ascii="PMingLiU" w:hAnsi="PMingLiU" w:cs="宋体"/>
                <w:color w:val="000000"/>
                <w:kern w:val="0"/>
                <w:sz w:val="20"/>
                <w:szCs w:val="20"/>
              </w:rPr>
              <w:t>针对课</w:t>
            </w:r>
            <w:r>
              <w:rPr>
                <w:rFonts w:hint="eastAsia" w:ascii="PMingLiU" w:hAnsi="PMingLiU" w:cs="宋体"/>
                <w:color w:val="000000"/>
                <w:kern w:val="0"/>
                <w:sz w:val="20"/>
                <w:szCs w:val="20"/>
              </w:rPr>
              <w:t>堂</w:t>
            </w:r>
            <w:r>
              <w:rPr>
                <w:rFonts w:hint="cs" w:ascii="PMingLiU" w:hAnsi="PMingLiU" w:cs="宋体"/>
                <w:color w:val="000000"/>
                <w:kern w:val="0"/>
                <w:sz w:val="20"/>
                <w:szCs w:val="20"/>
              </w:rPr>
              <w:t>传</w:t>
            </w:r>
            <w:r>
              <w:rPr>
                <w:rFonts w:hint="eastAsia" w:ascii="PMingLiU" w:hAnsi="PMingLiU" w:cs="宋体"/>
                <w:color w:val="000000"/>
                <w:kern w:val="0"/>
                <w:sz w:val="20"/>
                <w:szCs w:val="20"/>
              </w:rPr>
              <w:t>授的知</w:t>
            </w:r>
            <w:r>
              <w:rPr>
                <w:rFonts w:hint="cs" w:ascii="PMingLiU" w:hAnsi="PMingLiU" w:cs="宋体"/>
                <w:color w:val="000000"/>
                <w:kern w:val="0"/>
                <w:sz w:val="20"/>
                <w:szCs w:val="20"/>
              </w:rPr>
              <w:t>识点</w:t>
            </w:r>
            <w:r>
              <w:rPr>
                <w:rFonts w:hint="eastAsia" w:ascii="PMingLiU" w:hAnsi="PMingLiU" w:eastAsia="PMingLiU" w:cs="宋体"/>
                <w:color w:val="000000"/>
                <w:kern w:val="0"/>
                <w:sz w:val="20"/>
                <w:szCs w:val="20"/>
              </w:rPr>
              <w:t>，小組報告，能</w:t>
            </w:r>
            <w:r>
              <w:rPr>
                <w:rFonts w:hint="eastAsia" w:ascii="宋体" w:hAnsi="宋体" w:cs="宋体"/>
                <w:color w:val="000000"/>
                <w:sz w:val="20"/>
                <w:szCs w:val="20"/>
              </w:rPr>
              <w:t>有质疑精神，能有逻辑的分析与批判</w:t>
            </w:r>
          </w:p>
        </w:tc>
        <w:tc>
          <w:tcPr>
            <w:tcW w:w="1321"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理论讲授</w:t>
            </w:r>
          </w:p>
          <w:p>
            <w:pPr>
              <w:snapToGrid w:val="0"/>
              <w:rPr>
                <w:rFonts w:ascii="宋体" w:hAnsi="宋体" w:cs="宋体"/>
                <w:bCs/>
                <w:color w:val="000000"/>
                <w:sz w:val="20"/>
                <w:szCs w:val="20"/>
              </w:rPr>
            </w:pPr>
            <w:r>
              <w:rPr>
                <w:rFonts w:hint="eastAsia" w:ascii="宋体" w:hAnsi="宋体" w:cs="宋体"/>
                <w:bCs/>
                <w:color w:val="000000"/>
                <w:sz w:val="20"/>
                <w:szCs w:val="20"/>
              </w:rPr>
              <w:t>案例分析</w:t>
            </w:r>
          </w:p>
          <w:p>
            <w:pPr>
              <w:snapToGrid w:val="0"/>
              <w:rPr>
                <w:rFonts w:ascii="宋体" w:hAnsi="宋体" w:cs="宋体"/>
                <w:bCs/>
                <w:color w:val="000000"/>
                <w:sz w:val="20"/>
                <w:szCs w:val="20"/>
              </w:rPr>
            </w:pPr>
            <w:r>
              <w:rPr>
                <w:rFonts w:hint="eastAsia" w:ascii="宋体" w:hAnsi="宋体" w:cs="宋体"/>
                <w:bCs/>
                <w:color w:val="000000"/>
                <w:sz w:val="20"/>
                <w:szCs w:val="20"/>
              </w:rPr>
              <w:t>小组讨论</w:t>
            </w:r>
          </w:p>
        </w:tc>
        <w:tc>
          <w:tcPr>
            <w:tcW w:w="1250"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课堂表现</w:t>
            </w:r>
          </w:p>
          <w:p>
            <w:pPr>
              <w:snapToGrid w:val="0"/>
              <w:rPr>
                <w:rFonts w:ascii="宋体" w:hAnsi="宋体" w:cs="宋体"/>
                <w:bCs/>
                <w:color w:val="000000"/>
                <w:sz w:val="20"/>
                <w:szCs w:val="20"/>
                <w:lang w:eastAsia="zh-TW"/>
              </w:rPr>
            </w:pPr>
            <w:r>
              <w:rPr>
                <w:rFonts w:hint="eastAsia" w:ascii="宋体" w:hAnsi="宋体" w:cs="宋体"/>
                <w:bCs/>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jc w:val="center"/>
              <w:rPr>
                <w:rFonts w:ascii="Times New Roman" w:hAnsi="Times New Roman" w:eastAsia="PMingLiU"/>
                <w:color w:val="000000"/>
                <w:kern w:val="0"/>
                <w:sz w:val="20"/>
                <w:szCs w:val="20"/>
                <w:lang w:eastAsia="zh-TW"/>
              </w:rPr>
            </w:pPr>
            <w:r>
              <w:rPr>
                <w:rFonts w:ascii="Times New Roman" w:hAnsi="Times New Roman" w:eastAsia="PMingLiU"/>
                <w:color w:val="000000"/>
                <w:kern w:val="0"/>
                <w:sz w:val="20"/>
                <w:szCs w:val="20"/>
                <w:lang w:eastAsia="zh-TW"/>
              </w:rPr>
              <w:t>4</w:t>
            </w:r>
          </w:p>
        </w:tc>
        <w:tc>
          <w:tcPr>
            <w:tcW w:w="1175" w:type="dxa"/>
            <w:shd w:val="clear" w:color="auto" w:fill="auto"/>
            <w:vAlign w:val="center"/>
          </w:tcPr>
          <w:p>
            <w:pPr>
              <w:jc w:val="center"/>
              <w:rPr>
                <w:rFonts w:ascii="Times New Roman" w:hAnsi="Times New Roman" w:eastAsia="PMingLiU"/>
                <w:color w:val="000000"/>
                <w:kern w:val="0"/>
                <w:sz w:val="20"/>
                <w:szCs w:val="20"/>
                <w:lang w:eastAsia="zh-TW"/>
              </w:rPr>
            </w:pPr>
            <w:r>
              <w:rPr>
                <w:rFonts w:hint="eastAsia" w:ascii="Times New Roman" w:hAnsi="Times New Roman" w:eastAsia="PMingLiU"/>
                <w:color w:val="000000"/>
                <w:kern w:val="0"/>
                <w:sz w:val="20"/>
                <w:szCs w:val="20"/>
                <w:lang w:eastAsia="zh-TW"/>
              </w:rPr>
              <w:t>LO72</w:t>
            </w:r>
          </w:p>
          <w:p>
            <w:pPr>
              <w:jc w:val="center"/>
              <w:rPr>
                <w:rFonts w:ascii="Times New Roman" w:hAnsi="Times New Roman" w:eastAsia="PMingLiU"/>
                <w:color w:val="000000"/>
                <w:kern w:val="0"/>
                <w:sz w:val="20"/>
                <w:szCs w:val="20"/>
                <w:lang w:eastAsia="zh-TW"/>
              </w:rPr>
            </w:pPr>
            <w:r>
              <w:rPr>
                <w:rFonts w:ascii="宋体" w:hAnsi="宋体" w:cs="宋体"/>
                <w:color w:val="000000"/>
                <w:kern w:val="0"/>
                <w:sz w:val="20"/>
                <w:szCs w:val="20"/>
              </w:rPr>
              <w:t>服务关爱</w:t>
            </w:r>
          </w:p>
        </w:tc>
        <w:tc>
          <w:tcPr>
            <w:tcW w:w="3645" w:type="dxa"/>
            <w:shd w:val="clear" w:color="auto" w:fill="auto"/>
          </w:tcPr>
          <w:p>
            <w:pPr>
              <w:rPr>
                <w:rFonts w:ascii="PMingLiU" w:hAnsi="PMingLiU" w:cs="宋体"/>
                <w:color w:val="000000"/>
                <w:kern w:val="0"/>
                <w:sz w:val="20"/>
                <w:szCs w:val="20"/>
              </w:rPr>
            </w:pPr>
            <w:r>
              <w:rPr>
                <w:rFonts w:ascii="宋体" w:hAnsi="宋体" w:cs="宋体"/>
                <w:color w:val="000000"/>
                <w:kern w:val="0"/>
                <w:sz w:val="20"/>
                <w:szCs w:val="20"/>
              </w:rPr>
              <w:t>关爱生命，平等、博爱，</w:t>
            </w:r>
            <w:r>
              <w:rPr>
                <w:rFonts w:hint="eastAsia" w:ascii="PMingLiU" w:hAnsi="PMingLiU" w:cs="宋体"/>
                <w:color w:val="000000"/>
                <w:kern w:val="0"/>
                <w:sz w:val="20"/>
                <w:szCs w:val="20"/>
              </w:rPr>
              <w:t>提供</w:t>
            </w:r>
            <w:r>
              <w:rPr>
                <w:rFonts w:hint="cs" w:ascii="PMingLiU" w:hAnsi="PMingLiU" w:cs="宋体"/>
                <w:color w:val="000000"/>
                <w:kern w:val="0"/>
                <w:sz w:val="20"/>
                <w:szCs w:val="20"/>
              </w:rPr>
              <w:t>个别</w:t>
            </w:r>
            <w:r>
              <w:rPr>
                <w:rFonts w:hint="eastAsia" w:ascii="PMingLiU" w:hAnsi="PMingLiU" w:cs="宋体"/>
                <w:color w:val="000000"/>
                <w:kern w:val="0"/>
                <w:sz w:val="20"/>
                <w:szCs w:val="20"/>
              </w:rPr>
              <w:t>性</w:t>
            </w:r>
            <w:r>
              <w:rPr>
                <w:rFonts w:hint="eastAsia" w:ascii="宋体" w:hAnsi="宋体" w:cs="宋体"/>
                <w:color w:val="000000"/>
                <w:kern w:val="0"/>
                <w:sz w:val="20"/>
                <w:szCs w:val="20"/>
              </w:rPr>
              <w:t>和</w:t>
            </w:r>
            <w:r>
              <w:rPr>
                <w:rFonts w:ascii="宋体" w:hAnsi="宋体" w:cs="宋体"/>
                <w:color w:val="000000"/>
                <w:kern w:val="0"/>
                <w:sz w:val="20"/>
                <w:szCs w:val="20"/>
              </w:rPr>
              <w:t>全心全意为护理对象服务</w:t>
            </w:r>
            <w:r>
              <w:rPr>
                <w:rFonts w:hint="eastAsia" w:ascii="PMingLiU" w:hAnsi="PMingLiU" w:eastAsia="PMingLiU" w:cs="宋体"/>
                <w:color w:val="000000"/>
                <w:kern w:val="0"/>
                <w:sz w:val="20"/>
                <w:szCs w:val="20"/>
              </w:rPr>
              <w:t>的</w:t>
            </w:r>
            <w:r>
              <w:rPr>
                <w:rFonts w:ascii="宋体" w:hAnsi="宋体" w:cs="宋体"/>
                <w:color w:val="000000"/>
                <w:kern w:val="0"/>
                <w:sz w:val="20"/>
                <w:szCs w:val="20"/>
              </w:rPr>
              <w:t>专业精神。</w:t>
            </w:r>
          </w:p>
        </w:tc>
        <w:tc>
          <w:tcPr>
            <w:tcW w:w="1321"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理论讲授</w:t>
            </w:r>
          </w:p>
          <w:p>
            <w:pPr>
              <w:snapToGrid w:val="0"/>
              <w:rPr>
                <w:rFonts w:ascii="宋体" w:hAnsi="宋体" w:cs="宋体"/>
                <w:bCs/>
                <w:color w:val="000000"/>
                <w:sz w:val="20"/>
                <w:szCs w:val="20"/>
              </w:rPr>
            </w:pPr>
            <w:r>
              <w:rPr>
                <w:rFonts w:hint="eastAsia" w:ascii="宋体" w:hAnsi="宋体" w:cs="宋体"/>
                <w:bCs/>
                <w:color w:val="000000"/>
                <w:sz w:val="20"/>
                <w:szCs w:val="20"/>
              </w:rPr>
              <w:t>案例分析</w:t>
            </w:r>
          </w:p>
        </w:tc>
        <w:tc>
          <w:tcPr>
            <w:tcW w:w="1250"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课堂表现</w:t>
            </w:r>
          </w:p>
          <w:p>
            <w:pPr>
              <w:snapToGrid w:val="0"/>
              <w:rPr>
                <w:rFonts w:ascii="宋体" w:hAnsi="宋体" w:cs="宋体"/>
                <w:bCs/>
                <w:color w:val="000000"/>
                <w:sz w:val="20"/>
                <w:szCs w:val="20"/>
              </w:rPr>
            </w:pPr>
            <w:r>
              <w:rPr>
                <w:rFonts w:hint="eastAsia" w:ascii="宋体" w:hAnsi="宋体" w:cs="宋体"/>
                <w:bCs/>
                <w:color w:val="000000"/>
                <w:sz w:val="20"/>
                <w:szCs w:val="20"/>
              </w:rPr>
              <w:t>观察评价</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59"/>
        <w:gridCol w:w="1812"/>
        <w:gridCol w:w="1674"/>
        <w:gridCol w:w="1312"/>
        <w:gridCol w:w="1312"/>
        <w:gridCol w:w="418"/>
        <w:gridCol w:w="366"/>
        <w:gridCol w:w="418"/>
      </w:tblGrid>
      <w:tr>
        <w:trPr>
          <w:cantSplit/>
          <w:trHeight w:val="1134" w:hRule="atLeast"/>
          <w:jc w:val="center"/>
        </w:trPr>
        <w:tc>
          <w:tcPr>
            <w:tcW w:w="44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759"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8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67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1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366"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rPr>
          <w:trHeight w:val="503" w:hRule="atLeast"/>
          <w:jc w:val="center"/>
        </w:trPr>
        <w:tc>
          <w:tcPr>
            <w:tcW w:w="448"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759" w:type="dxa"/>
            <w:vAlign w:val="center"/>
          </w:tcPr>
          <w:p>
            <w:pPr>
              <w:snapToGrid w:val="0"/>
              <w:spacing w:line="288" w:lineRule="auto"/>
              <w:jc w:val="center"/>
              <w:rPr>
                <w:rFonts w:ascii="宋体"/>
                <w:color w:val="000000"/>
                <w:sz w:val="20"/>
                <w:szCs w:val="20"/>
              </w:rPr>
            </w:pPr>
            <w:r>
              <w:rPr>
                <w:rFonts w:ascii="宋体" w:hAnsi="宋体"/>
                <w:color w:val="000000"/>
                <w:sz w:val="20"/>
                <w:szCs w:val="20"/>
              </w:rPr>
              <w:t>绪论</w:t>
            </w:r>
            <w:r>
              <w:rPr>
                <w:rFonts w:hint="eastAsia" w:ascii="宋体" w:hAnsi="宋体"/>
                <w:color w:val="000000"/>
                <w:sz w:val="20"/>
                <w:szCs w:val="20"/>
              </w:rPr>
              <w:t>与</w:t>
            </w:r>
            <w:r>
              <w:rPr>
                <w:rFonts w:ascii="宋体" w:hAnsi="宋体"/>
                <w:color w:val="000000"/>
                <w:sz w:val="20"/>
                <w:szCs w:val="20"/>
              </w:rPr>
              <w:t>老化相关理论</w:t>
            </w:r>
          </w:p>
        </w:tc>
        <w:tc>
          <w:tcPr>
            <w:tcW w:w="1812" w:type="dxa"/>
          </w:tcPr>
          <w:p>
            <w:pPr>
              <w:snapToGrid w:val="0"/>
              <w:spacing w:line="288" w:lineRule="auto"/>
              <w:jc w:val="left"/>
              <w:rPr>
                <w:rFonts w:ascii="PMingLiU" w:hAnsi="PMingLiU" w:eastAsia="PMingLiU"/>
                <w:color w:val="000000"/>
                <w:sz w:val="20"/>
                <w:szCs w:val="20"/>
              </w:rPr>
            </w:pPr>
            <w:r>
              <w:rPr>
                <w:rFonts w:ascii="PMingLiU" w:hAnsi="PMingLiU"/>
                <w:color w:val="000000"/>
                <w:sz w:val="20"/>
                <w:szCs w:val="20"/>
              </w:rPr>
              <w:t>1.</w:t>
            </w:r>
            <w:r>
              <w:rPr>
                <w:rFonts w:hint="eastAsia" w:ascii="PMingLiU" w:hAnsi="PMingLiU"/>
                <w:color w:val="000000"/>
                <w:sz w:val="20"/>
                <w:szCs w:val="20"/>
              </w:rPr>
              <w:t>认识老化概念、定义与理论</w:t>
            </w:r>
            <w:r>
              <w:rPr>
                <w:rFonts w:ascii="PMingLiU" w:hAnsi="PMingLiU"/>
                <w:color w:val="000000"/>
                <w:sz w:val="20"/>
                <w:szCs w:val="20"/>
              </w:rPr>
              <w:t>(</w:t>
            </w:r>
            <w:r>
              <w:rPr>
                <w:rFonts w:hint="eastAsia" w:ascii="PMingLiU" w:hAnsi="PMingLiU"/>
                <w:color w:val="000000"/>
                <w:sz w:val="20"/>
                <w:szCs w:val="20"/>
              </w:rPr>
              <w:t>生物、心理、社会</w:t>
            </w:r>
            <w:r>
              <w:rPr>
                <w:rFonts w:ascii="PMingLiU" w:hAnsi="PMingLiU"/>
                <w:color w:val="000000"/>
                <w:sz w:val="20"/>
                <w:szCs w:val="20"/>
              </w:rPr>
              <w:t>)</w:t>
            </w:r>
          </w:p>
          <w:p>
            <w:pPr>
              <w:snapToGrid w:val="0"/>
              <w:spacing w:line="288" w:lineRule="auto"/>
              <w:jc w:val="left"/>
              <w:rPr>
                <w:rFonts w:ascii="PMingLiU" w:hAnsi="PMingLiU" w:eastAsia="PMingLiU"/>
                <w:color w:val="000000"/>
                <w:sz w:val="20"/>
                <w:szCs w:val="20"/>
              </w:rPr>
            </w:pPr>
            <w:r>
              <w:rPr>
                <w:rFonts w:ascii="PMingLiU" w:hAnsi="PMingLiU"/>
                <w:color w:val="000000"/>
                <w:sz w:val="20"/>
                <w:szCs w:val="20"/>
              </w:rPr>
              <w:t>2.</w:t>
            </w:r>
            <w:r>
              <w:rPr>
                <w:rFonts w:hint="eastAsia" w:ascii="PMingLiU" w:hAnsi="PMingLiU"/>
                <w:color w:val="000000"/>
                <w:sz w:val="20"/>
                <w:szCs w:val="20"/>
              </w:rPr>
              <w:t>了解人口老龄化的特点及主要影响</w:t>
            </w:r>
          </w:p>
          <w:p>
            <w:pPr>
              <w:snapToGrid w:val="0"/>
              <w:spacing w:line="288" w:lineRule="auto"/>
              <w:jc w:val="left"/>
              <w:rPr>
                <w:rFonts w:ascii="宋体" w:hAnsi="宋体"/>
                <w:color w:val="000000"/>
                <w:sz w:val="20"/>
                <w:szCs w:val="20"/>
              </w:rPr>
            </w:pPr>
            <w:r>
              <w:rPr>
                <w:rFonts w:ascii="PMingLiU" w:hAnsi="PMingLiU"/>
                <w:color w:val="000000"/>
                <w:sz w:val="20"/>
                <w:szCs w:val="20"/>
              </w:rPr>
              <w:t>3.</w:t>
            </w:r>
            <w:r>
              <w:rPr>
                <w:rFonts w:hint="eastAsia" w:ascii="PMingLiU" w:hAnsi="PMingLiU"/>
                <w:color w:val="000000"/>
                <w:sz w:val="20"/>
                <w:szCs w:val="20"/>
              </w:rPr>
              <w:t>比较各国老年护理发展特点，</w:t>
            </w:r>
          </w:p>
        </w:tc>
        <w:tc>
          <w:tcPr>
            <w:tcW w:w="1674" w:type="dxa"/>
          </w:tcPr>
          <w:p>
            <w:pPr>
              <w:snapToGrid w:val="0"/>
              <w:spacing w:line="288" w:lineRule="auto"/>
              <w:jc w:val="left"/>
              <w:rPr>
                <w:rFonts w:ascii="PMingLiU" w:hAnsi="PMingLiU" w:eastAsia="PMingLiU"/>
                <w:color w:val="000000"/>
                <w:sz w:val="20"/>
                <w:szCs w:val="20"/>
              </w:rPr>
            </w:pPr>
            <w:r>
              <w:rPr>
                <w:rFonts w:ascii="PMingLiU" w:hAnsi="PMingLiU"/>
                <w:color w:val="000000"/>
                <w:sz w:val="20"/>
                <w:szCs w:val="20"/>
              </w:rPr>
              <w:t>1.</w:t>
            </w:r>
            <w:r>
              <w:rPr>
                <w:rFonts w:hint="eastAsia" w:ascii="PMingLiU" w:hAnsi="PMingLiU"/>
                <w:color w:val="000000"/>
                <w:sz w:val="20"/>
                <w:szCs w:val="20"/>
              </w:rPr>
              <w:t>能说出</w:t>
            </w:r>
            <w:r>
              <w:rPr>
                <w:rFonts w:ascii="PMingLiU" w:hAnsi="PMingLiU"/>
                <w:color w:val="000000"/>
                <w:sz w:val="20"/>
                <w:szCs w:val="20"/>
              </w:rPr>
              <w:t>WHO</w:t>
            </w:r>
            <w:r>
              <w:rPr>
                <w:rFonts w:hint="eastAsia" w:ascii="PMingLiU" w:hAnsi="PMingLiU"/>
                <w:color w:val="000000"/>
                <w:sz w:val="20"/>
                <w:szCs w:val="20"/>
              </w:rPr>
              <w:t>对老龄化社会的划分标准至少</w:t>
            </w:r>
            <w:r>
              <w:rPr>
                <w:rFonts w:ascii="PMingLiU" w:hAnsi="PMingLiU"/>
                <w:color w:val="000000"/>
                <w:sz w:val="20"/>
                <w:szCs w:val="20"/>
              </w:rPr>
              <w:t>3</w:t>
            </w:r>
            <w:r>
              <w:rPr>
                <w:rFonts w:hint="eastAsia" w:ascii="PMingLiU" w:hAnsi="PMingLiU"/>
                <w:color w:val="000000"/>
                <w:sz w:val="20"/>
                <w:szCs w:val="20"/>
              </w:rPr>
              <w:t>项。</w:t>
            </w:r>
          </w:p>
          <w:p>
            <w:pPr>
              <w:snapToGrid w:val="0"/>
              <w:spacing w:line="288" w:lineRule="auto"/>
              <w:jc w:val="left"/>
              <w:rPr>
                <w:rFonts w:ascii="PMingLiU" w:hAnsi="PMingLiU" w:eastAsia="PMingLiU"/>
                <w:color w:val="000000"/>
                <w:sz w:val="20"/>
                <w:szCs w:val="20"/>
              </w:rPr>
            </w:pPr>
            <w:r>
              <w:rPr>
                <w:rFonts w:ascii="PMingLiU" w:hAnsi="PMingLiU"/>
                <w:color w:val="000000"/>
                <w:sz w:val="20"/>
                <w:szCs w:val="20"/>
              </w:rPr>
              <w:t>2.</w:t>
            </w:r>
            <w:r>
              <w:rPr>
                <w:rFonts w:hint="eastAsia" w:ascii="PMingLiU" w:hAnsi="PMingLiU"/>
                <w:color w:val="000000"/>
                <w:sz w:val="20"/>
                <w:szCs w:val="20"/>
              </w:rPr>
              <w:t>说出老年护理目标</w:t>
            </w:r>
          </w:p>
          <w:p>
            <w:pPr>
              <w:snapToGrid w:val="0"/>
              <w:spacing w:line="288" w:lineRule="auto"/>
              <w:jc w:val="left"/>
              <w:rPr>
                <w:rFonts w:ascii="宋体" w:hAnsi="Times New Roman"/>
                <w:b/>
                <w:color w:val="000000"/>
                <w:sz w:val="20"/>
                <w:szCs w:val="20"/>
              </w:rPr>
            </w:pPr>
            <w:r>
              <w:rPr>
                <w:rFonts w:hint="eastAsia" w:ascii="PMingLiU" w:hAnsi="PMingLiU" w:eastAsia="PMingLiU"/>
                <w:color w:val="000000"/>
                <w:sz w:val="20"/>
                <w:szCs w:val="20"/>
              </w:rPr>
              <w:t>3.</w:t>
            </w:r>
            <w:r>
              <w:rPr>
                <w:rFonts w:hint="eastAsia"/>
              </w:rPr>
              <w:t xml:space="preserve"> </w:t>
            </w:r>
            <w:r>
              <w:rPr>
                <w:rFonts w:hint="eastAsia" w:ascii="PMingLiU" w:hAnsi="PMingLiU"/>
              </w:rPr>
              <w:t>举例说明</w:t>
            </w:r>
            <w:r>
              <w:rPr>
                <w:rFonts w:hint="eastAsia" w:ascii="PMingLiU" w:hAnsi="PMingLiU"/>
                <w:color w:val="000000"/>
                <w:sz w:val="20"/>
                <w:szCs w:val="20"/>
              </w:rPr>
              <w:t>艾里克森的心理社会发展理论</w:t>
            </w:r>
            <w:r>
              <w:rPr>
                <w:rFonts w:ascii="PMingLiU" w:hAnsi="PMingLiU"/>
                <w:color w:val="000000"/>
                <w:sz w:val="20"/>
                <w:szCs w:val="20"/>
              </w:rPr>
              <w:t>-</w:t>
            </w:r>
            <w:r>
              <w:rPr>
                <w:rFonts w:hint="eastAsia" w:ascii="PMingLiU" w:hAnsi="PMingLiU"/>
                <w:color w:val="000000"/>
                <w:sz w:val="20"/>
                <w:szCs w:val="20"/>
              </w:rPr>
              <w:t>老年期发展任务与危机</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PMingLiU" w:hAnsi="PMingLiU" w:eastAsia="PMingLiU"/>
                <w:color w:val="000000"/>
                <w:sz w:val="20"/>
                <w:szCs w:val="20"/>
              </w:rPr>
            </w:pPr>
            <w:r>
              <w:rPr>
                <w:rFonts w:hint="eastAsia" w:ascii="PMingLiU" w:hAnsi="PMingLiU"/>
                <w:color w:val="000000"/>
                <w:sz w:val="20"/>
                <w:szCs w:val="20"/>
              </w:rPr>
              <w:t>重点</w:t>
            </w:r>
            <w:r>
              <w:rPr>
                <w:rFonts w:ascii="PMingLiU" w:hAnsi="PMingLiU"/>
                <w:color w:val="000000"/>
                <w:sz w:val="20"/>
                <w:szCs w:val="20"/>
              </w:rPr>
              <w:t>:</w:t>
            </w:r>
            <w:r>
              <w:rPr>
                <w:rFonts w:hint="eastAsia" w:ascii="PMingLiU" w:hAnsi="PMingLiU"/>
                <w:color w:val="000000"/>
                <w:sz w:val="20"/>
                <w:szCs w:val="20"/>
              </w:rPr>
              <w:t>人口老龄化概念、老年护理的目标</w:t>
            </w:r>
          </w:p>
          <w:p>
            <w:pPr>
              <w:snapToGrid w:val="0"/>
              <w:spacing w:line="288" w:lineRule="auto"/>
              <w:jc w:val="left"/>
              <w:rPr>
                <w:rFonts w:ascii="宋体" w:hAnsi="宋体"/>
                <w:color w:val="000000"/>
                <w:sz w:val="20"/>
                <w:szCs w:val="20"/>
              </w:rPr>
            </w:pPr>
            <w:r>
              <w:rPr>
                <w:rFonts w:hint="eastAsia" w:ascii="PMingLiU" w:hAnsi="PMingLiU"/>
                <w:color w:val="000000"/>
                <w:sz w:val="20"/>
                <w:szCs w:val="20"/>
              </w:rPr>
              <w:t>难点</w:t>
            </w:r>
            <w:r>
              <w:rPr>
                <w:rFonts w:ascii="PMingLiU" w:hAnsi="PMingLiU"/>
                <w:color w:val="000000"/>
                <w:sz w:val="20"/>
                <w:szCs w:val="20"/>
              </w:rPr>
              <w:t>:</w:t>
            </w:r>
            <w:r>
              <w:rPr>
                <w:rFonts w:ascii="宋体" w:hAnsi="宋体"/>
                <w:color w:val="000000"/>
                <w:sz w:val="20"/>
                <w:szCs w:val="20"/>
              </w:rPr>
              <w:t xml:space="preserve"> </w:t>
            </w:r>
            <w:r>
              <w:rPr>
                <w:rFonts w:hint="eastAsia" w:ascii="宋体" w:hAnsi="宋体"/>
                <w:color w:val="000000"/>
                <w:sz w:val="20"/>
                <w:szCs w:val="20"/>
              </w:rPr>
              <w:t>艾里克森的心理社会发展理论在老年护理中的应用价值</w:t>
            </w:r>
          </w:p>
        </w:tc>
        <w:tc>
          <w:tcPr>
            <w:tcW w:w="418"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366"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418"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老年人常见健康问题与护理</w:t>
            </w:r>
          </w:p>
        </w:tc>
        <w:tc>
          <w:tcPr>
            <w:tcW w:w="1812" w:type="dxa"/>
          </w:tcPr>
          <w:p>
            <w:pPr>
              <w:snapToGrid w:val="0"/>
              <w:spacing w:line="288" w:lineRule="auto"/>
              <w:jc w:val="left"/>
              <w:rPr>
                <w:rFonts w:ascii="宋体" w:hAnsi="宋体"/>
                <w:color w:val="000000"/>
                <w:sz w:val="20"/>
                <w:szCs w:val="20"/>
              </w:rPr>
            </w:pPr>
            <w:r>
              <w:rPr>
                <w:rFonts w:ascii="PMingLiU" w:hAnsi="PMingLiU"/>
                <w:color w:val="000000"/>
                <w:sz w:val="20"/>
                <w:szCs w:val="20"/>
              </w:rPr>
              <w:t>1.</w:t>
            </w:r>
            <w:r>
              <w:rPr>
                <w:rFonts w:hint="eastAsia" w:ascii="PMingLiU" w:hAnsi="PMingLiU"/>
                <w:color w:val="000000"/>
                <w:sz w:val="20"/>
                <w:szCs w:val="20"/>
              </w:rPr>
              <w:t>认识老年人生理变化</w:t>
            </w:r>
          </w:p>
          <w:p>
            <w:pPr>
              <w:snapToGrid w:val="0"/>
              <w:spacing w:line="288" w:lineRule="auto"/>
              <w:jc w:val="left"/>
              <w:rPr>
                <w:rFonts w:ascii="PMingLiU" w:hAnsi="PMingLiU" w:eastAsia="PMingLiU"/>
                <w:color w:val="000000"/>
                <w:sz w:val="20"/>
                <w:szCs w:val="20"/>
                <w:lang w:eastAsia="zh-TW"/>
              </w:rPr>
            </w:pPr>
            <w:r>
              <w:rPr>
                <w:rFonts w:ascii="PMingLiU" w:hAnsi="PMingLiU"/>
                <w:color w:val="000000"/>
                <w:sz w:val="20"/>
                <w:szCs w:val="20"/>
              </w:rPr>
              <w:t>2.</w:t>
            </w:r>
            <w:r>
              <w:rPr>
                <w:rFonts w:hint="eastAsia" w:ascii="PMingLiU" w:hAnsi="PMingLiU"/>
                <w:color w:val="000000"/>
                <w:sz w:val="20"/>
                <w:szCs w:val="20"/>
              </w:rPr>
              <w:t>了解生理变化所带来的健康问题及护理评估</w:t>
            </w:r>
          </w:p>
          <w:p>
            <w:pPr>
              <w:snapToGrid w:val="0"/>
              <w:spacing w:line="288" w:lineRule="auto"/>
              <w:jc w:val="left"/>
              <w:rPr>
                <w:rFonts w:hint="eastAsia" w:ascii="宋体" w:hAnsi="宋体"/>
                <w:color w:val="000000"/>
                <w:sz w:val="20"/>
                <w:szCs w:val="20"/>
              </w:rPr>
            </w:pPr>
            <w:r>
              <w:rPr>
                <w:rFonts w:ascii="PMingLiU" w:hAnsi="PMingLiU"/>
                <w:color w:val="000000"/>
                <w:sz w:val="20"/>
                <w:szCs w:val="20"/>
              </w:rPr>
              <w:t>3.</w:t>
            </w:r>
            <w:r>
              <w:rPr>
                <w:rFonts w:hint="eastAsia" w:ascii="宋体" w:hAnsi="宋体"/>
                <w:color w:val="000000"/>
                <w:sz w:val="20"/>
                <w:szCs w:val="20"/>
              </w:rPr>
              <w:t xml:space="preserve"> 老年人常见健康问题</w:t>
            </w:r>
            <w:r>
              <w:rPr>
                <w:rFonts w:hint="eastAsia" w:ascii="PMingLiU" w:hAnsi="PMingLiU" w:eastAsia="PMingLiU"/>
                <w:color w:val="000000"/>
                <w:sz w:val="20"/>
                <w:szCs w:val="20"/>
                <w:lang w:eastAsia="zh-TW"/>
              </w:rPr>
              <w:t>的</w:t>
            </w:r>
            <w:r>
              <w:rPr>
                <w:rFonts w:hint="eastAsia" w:ascii="PMingLiU" w:hAnsi="PMingLiU"/>
                <w:color w:val="000000"/>
                <w:sz w:val="20"/>
                <w:szCs w:val="20"/>
              </w:rPr>
              <w:t>护理措施。</w:t>
            </w:r>
          </w:p>
        </w:tc>
        <w:tc>
          <w:tcPr>
            <w:tcW w:w="1674" w:type="dxa"/>
          </w:tcPr>
          <w:p>
            <w:pPr>
              <w:snapToGrid w:val="0"/>
              <w:spacing w:line="288" w:lineRule="auto"/>
              <w:jc w:val="left"/>
              <w:rPr>
                <w:rFonts w:hint="eastAsia" w:ascii="宋体" w:hAnsi="宋体"/>
                <w:color w:val="000000"/>
                <w:sz w:val="20"/>
                <w:szCs w:val="20"/>
              </w:rPr>
            </w:pPr>
            <w:r>
              <w:rPr>
                <w:rFonts w:hint="eastAsia" w:ascii="PMingLiU" w:hAnsi="PMingLiU"/>
                <w:color w:val="000000"/>
                <w:sz w:val="20"/>
                <w:szCs w:val="20"/>
              </w:rPr>
              <w:t>针对老年人常见的生理健康问题，制定相应的护理措施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PMingLiU" w:hAnsi="PMingLiU"/>
                <w:color w:val="000000"/>
                <w:sz w:val="20"/>
                <w:szCs w:val="20"/>
              </w:rPr>
              <w:t>重点</w:t>
            </w:r>
            <w:r>
              <w:rPr>
                <w:rFonts w:ascii="PMingLiU" w:hAnsi="PMingLiU"/>
                <w:color w:val="000000"/>
                <w:sz w:val="20"/>
                <w:szCs w:val="20"/>
              </w:rPr>
              <w:t>:11</w:t>
            </w:r>
            <w:r>
              <w:rPr>
                <w:rFonts w:hint="eastAsia" w:ascii="PMingLiU" w:hAnsi="PMingLiU"/>
                <w:color w:val="000000"/>
                <w:sz w:val="20"/>
                <w:szCs w:val="20"/>
              </w:rPr>
              <w:t>类老年人常见健康问题及护理</w:t>
            </w:r>
          </w:p>
          <w:p>
            <w:pPr>
              <w:snapToGrid w:val="0"/>
              <w:spacing w:line="288" w:lineRule="auto"/>
              <w:jc w:val="left"/>
              <w:rPr>
                <w:rFonts w:hint="eastAsia" w:ascii="宋体" w:hAnsi="宋体"/>
                <w:color w:val="000000"/>
                <w:sz w:val="20"/>
                <w:szCs w:val="20"/>
              </w:rPr>
            </w:pPr>
            <w:r>
              <w:rPr>
                <w:rFonts w:hint="eastAsia" w:ascii="PMingLiU" w:hAnsi="PMingLiU"/>
                <w:color w:val="000000"/>
                <w:sz w:val="20"/>
                <w:szCs w:val="20"/>
              </w:rPr>
              <w:t>难点</w:t>
            </w:r>
            <w:r>
              <w:rPr>
                <w:rFonts w:ascii="PMingLiU" w:hAnsi="PMingLiU"/>
                <w:color w:val="000000"/>
                <w:sz w:val="20"/>
                <w:szCs w:val="20"/>
              </w:rPr>
              <w:t>:</w:t>
            </w:r>
            <w:r>
              <w:rPr>
                <w:rFonts w:hint="eastAsia" w:ascii="PMingLiU" w:hAnsi="PMingLiU"/>
                <w:color w:val="000000"/>
                <w:sz w:val="20"/>
                <w:szCs w:val="20"/>
              </w:rPr>
              <w:t>老年综合症</w:t>
            </w:r>
            <w:r>
              <w:rPr>
                <w:rFonts w:hint="eastAsia" w:ascii="PMingLiU" w:hAnsi="PMingLiU" w:eastAsia="PMingLiU"/>
                <w:color w:val="000000"/>
                <w:sz w:val="20"/>
                <w:szCs w:val="20"/>
                <w:lang w:eastAsia="zh-TW"/>
              </w:rPr>
              <w:t>(Ge</w:t>
            </w:r>
            <w:r>
              <w:rPr>
                <w:rFonts w:ascii="PMingLiU" w:hAnsi="PMingLiU" w:eastAsia="PMingLiU"/>
                <w:color w:val="000000"/>
                <w:sz w:val="20"/>
                <w:szCs w:val="20"/>
                <w:lang w:eastAsia="zh-TW"/>
              </w:rPr>
              <w:t>riatric syndrome</w:t>
            </w:r>
            <w:r>
              <w:rPr>
                <w:rFonts w:hint="eastAsia" w:ascii="PMingLiU" w:hAnsi="PMingLiU" w:eastAsia="PMingLiU"/>
                <w:color w:val="000000"/>
                <w:sz w:val="20"/>
                <w:szCs w:val="20"/>
                <w:lang w:eastAsia="zh-TW"/>
              </w:rPr>
              <w:t>)</w:t>
            </w:r>
          </w:p>
        </w:tc>
        <w:tc>
          <w:tcPr>
            <w:tcW w:w="418" w:type="dxa"/>
          </w:tcPr>
          <w:p>
            <w:pPr>
              <w:snapToGrid w:val="0"/>
              <w:spacing w:line="288" w:lineRule="auto"/>
              <w:jc w:val="left"/>
              <w:rPr>
                <w:rFonts w:hint="default" w:ascii="Times New Roman" w:hAnsi="Times New Roman" w:eastAsia="PMingLiU" w:cs="Times New Roman"/>
                <w:color w:val="000000"/>
                <w:sz w:val="20"/>
                <w:szCs w:val="20"/>
                <w:lang w:eastAsia="zh-TW"/>
              </w:rPr>
            </w:pPr>
            <w:r>
              <w:rPr>
                <w:rFonts w:hint="default" w:ascii="Times New Roman" w:hAnsi="Times New Roman" w:eastAsia="PMingLiU" w:cs="Times New Roman"/>
                <w:color w:val="000000"/>
                <w:sz w:val="20"/>
                <w:szCs w:val="20"/>
                <w:lang w:eastAsia="zh-TW"/>
              </w:rPr>
              <w:t>2</w:t>
            </w:r>
          </w:p>
        </w:tc>
        <w:tc>
          <w:tcPr>
            <w:tcW w:w="366"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default" w:ascii="Times New Roman" w:hAnsi="Times New Roman" w:eastAsia="PMingLiU" w:cs="Times New Roman"/>
                <w:color w:val="000000"/>
                <w:sz w:val="20"/>
                <w:szCs w:val="20"/>
                <w:lang w:val="en-US" w:eastAsia="zh-TW"/>
              </w:rPr>
              <w:t>2</w:t>
            </w:r>
          </w:p>
        </w:tc>
        <w:tc>
          <w:tcPr>
            <w:tcW w:w="418"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default" w:ascii="Times New Roman" w:hAnsi="Times New Roman" w:eastAsia="PMingLiU" w:cs="Times New Roman"/>
                <w:color w:val="000000"/>
                <w:sz w:val="20"/>
                <w:szCs w:val="20"/>
                <w:lang w:val="en-US" w:eastAsia="zh-TW"/>
              </w:rPr>
              <w:t>4</w:t>
            </w:r>
          </w:p>
        </w:tc>
      </w:tr>
      <w:tr>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759" w:type="dxa"/>
            <w:vAlign w:val="center"/>
          </w:tcPr>
          <w:p>
            <w:pPr>
              <w:snapToGrid w:val="0"/>
              <w:spacing w:line="288" w:lineRule="auto"/>
              <w:jc w:val="center"/>
              <w:rPr>
                <w:rFonts w:ascii="宋体" w:hAnsi="宋体"/>
                <w:color w:val="000000"/>
                <w:sz w:val="20"/>
                <w:szCs w:val="20"/>
              </w:rPr>
            </w:pPr>
            <w:r>
              <w:rPr>
                <w:rFonts w:hint="eastAsia" w:ascii="PMingLiU" w:hAnsi="PMingLiU"/>
                <w:color w:val="000000"/>
                <w:sz w:val="20"/>
                <w:szCs w:val="20"/>
              </w:rPr>
              <w:t>老年人的心理卫生</w:t>
            </w:r>
          </w:p>
        </w:tc>
        <w:tc>
          <w:tcPr>
            <w:tcW w:w="1812" w:type="dxa"/>
          </w:tcPr>
          <w:p>
            <w:pPr>
              <w:snapToGrid w:val="0"/>
              <w:spacing w:line="288" w:lineRule="auto"/>
              <w:jc w:val="left"/>
              <w:rPr>
                <w:rFonts w:hint="eastAsia" w:ascii="宋体" w:hAnsi="宋体" w:eastAsia="PMingLiU"/>
                <w:color w:val="000000"/>
                <w:sz w:val="20"/>
                <w:szCs w:val="20"/>
                <w:lang w:eastAsia="zh-TW"/>
              </w:rPr>
            </w:pPr>
            <w:r>
              <w:rPr>
                <w:rFonts w:ascii="宋体" w:hAnsi="宋体" w:eastAsia="PMingLiU"/>
                <w:color w:val="000000"/>
                <w:sz w:val="20"/>
                <w:szCs w:val="20"/>
                <w:lang w:eastAsia="zh-TW"/>
              </w:rPr>
              <w:t>1.</w:t>
            </w:r>
            <w:r>
              <w:rPr>
                <w:rFonts w:hint="eastAsia" w:ascii="宋体" w:hAnsi="宋体"/>
                <w:color w:val="000000"/>
                <w:sz w:val="20"/>
                <w:szCs w:val="20"/>
              </w:rPr>
              <w:t>了解</w:t>
            </w:r>
            <w:r>
              <w:rPr>
                <w:rFonts w:ascii="宋体" w:hAnsi="宋体"/>
                <w:color w:val="000000"/>
                <w:sz w:val="20"/>
                <w:szCs w:val="20"/>
              </w:rPr>
              <w:t>老年人心理变化</w:t>
            </w:r>
            <w:r>
              <w:rPr>
                <w:rFonts w:hint="eastAsia" w:ascii="宋体" w:hAnsi="宋体"/>
                <w:color w:val="000000"/>
                <w:sz w:val="20"/>
                <w:szCs w:val="20"/>
              </w:rPr>
              <w:t>、</w:t>
            </w:r>
            <w:r>
              <w:rPr>
                <w:rFonts w:ascii="宋体" w:hAnsi="宋体"/>
                <w:color w:val="000000"/>
                <w:sz w:val="20"/>
                <w:szCs w:val="20"/>
              </w:rPr>
              <w:t>常见心理问题</w:t>
            </w:r>
          </w:p>
          <w:p>
            <w:pPr>
              <w:snapToGrid w:val="0"/>
              <w:spacing w:line="288" w:lineRule="auto"/>
              <w:jc w:val="left"/>
              <w:rPr>
                <w:rFonts w:ascii="宋体" w:hAnsi="宋体" w:eastAsia="PMingLiU"/>
                <w:color w:val="000000"/>
                <w:sz w:val="20"/>
                <w:szCs w:val="20"/>
                <w:lang w:eastAsia="zh-TW"/>
              </w:rPr>
            </w:pPr>
            <w:r>
              <w:rPr>
                <w:rFonts w:ascii="宋体" w:hAnsi="宋体"/>
                <w:color w:val="000000"/>
                <w:sz w:val="20"/>
                <w:szCs w:val="20"/>
              </w:rPr>
              <w:t>2.认识心理评估</w:t>
            </w:r>
            <w:r>
              <w:rPr>
                <w:rFonts w:hint="eastAsia" w:ascii="宋体" w:hAnsi="宋体"/>
                <w:color w:val="000000"/>
                <w:sz w:val="20"/>
                <w:szCs w:val="20"/>
              </w:rPr>
              <w:t>工具</w:t>
            </w:r>
          </w:p>
          <w:p>
            <w:pPr>
              <w:snapToGrid w:val="0"/>
              <w:spacing w:line="288" w:lineRule="auto"/>
              <w:jc w:val="left"/>
              <w:rPr>
                <w:rFonts w:hint="eastAsia" w:ascii="宋体" w:hAnsi="宋体" w:eastAsia="PMingLiU"/>
                <w:color w:val="000000"/>
                <w:sz w:val="20"/>
                <w:szCs w:val="20"/>
                <w:lang w:eastAsia="zh-TW"/>
              </w:rPr>
            </w:pPr>
            <w:r>
              <w:rPr>
                <w:rFonts w:ascii="宋体" w:hAnsi="宋体"/>
                <w:color w:val="000000"/>
                <w:sz w:val="20"/>
                <w:szCs w:val="20"/>
              </w:rPr>
              <w:t>3.</w:t>
            </w:r>
            <w:r>
              <w:rPr>
                <w:rFonts w:hint="eastAsia" w:ascii="宋体" w:hAnsi="宋体"/>
                <w:color w:val="000000"/>
                <w:sz w:val="20"/>
                <w:szCs w:val="20"/>
              </w:rPr>
              <w:t>掌握老年人</w:t>
            </w:r>
            <w:r>
              <w:rPr>
                <w:rFonts w:ascii="宋体" w:hAnsi="宋体"/>
                <w:color w:val="000000"/>
                <w:sz w:val="20"/>
                <w:szCs w:val="20"/>
              </w:rPr>
              <w:t>心理健康问题的因应措施</w:t>
            </w:r>
          </w:p>
          <w:p>
            <w:pPr>
              <w:snapToGrid w:val="0"/>
              <w:spacing w:line="288" w:lineRule="auto"/>
              <w:jc w:val="left"/>
              <w:rPr>
                <w:rFonts w:hint="eastAsia" w:ascii="宋体" w:hAnsi="宋体" w:eastAsia="PMingLiU"/>
                <w:color w:val="000000"/>
                <w:sz w:val="20"/>
                <w:szCs w:val="20"/>
                <w:lang w:eastAsia="zh-TW"/>
              </w:rPr>
            </w:pPr>
          </w:p>
        </w:tc>
        <w:tc>
          <w:tcPr>
            <w:tcW w:w="1674" w:type="dxa"/>
          </w:tcPr>
          <w:p>
            <w:pPr>
              <w:snapToGrid w:val="0"/>
              <w:spacing w:line="288" w:lineRule="auto"/>
              <w:jc w:val="left"/>
              <w:rPr>
                <w:rFonts w:hint="eastAsia" w:ascii="宋体" w:hAnsi="宋体"/>
                <w:color w:val="000000"/>
                <w:sz w:val="20"/>
                <w:szCs w:val="20"/>
              </w:rPr>
            </w:pPr>
            <w:r>
              <w:rPr>
                <w:rFonts w:hint="eastAsia" w:ascii="PMingLiU" w:hAnsi="PMingLiU"/>
                <w:color w:val="000000"/>
                <w:sz w:val="20"/>
                <w:szCs w:val="20"/>
              </w:rPr>
              <w:t>针对老年人常见的心理健康问题，制定相应的护理措施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PMingLiU" w:hAnsi="PMingLiU"/>
                <w:color w:val="000000"/>
                <w:sz w:val="20"/>
                <w:szCs w:val="20"/>
              </w:rPr>
              <w:t>重点</w:t>
            </w:r>
            <w:r>
              <w:rPr>
                <w:rFonts w:ascii="PMingLiU" w:hAnsi="PMingLiU"/>
                <w:color w:val="000000"/>
                <w:sz w:val="20"/>
                <w:szCs w:val="20"/>
              </w:rPr>
              <w:t>:</w:t>
            </w:r>
            <w:r>
              <w:rPr>
                <w:rFonts w:hint="eastAsia" w:ascii="PMingLiU" w:hAnsi="PMingLiU"/>
                <w:color w:val="000000"/>
                <w:sz w:val="20"/>
                <w:szCs w:val="20"/>
              </w:rPr>
              <w:t>老年人常见心理问题的主要表现</w:t>
            </w:r>
          </w:p>
          <w:p>
            <w:pPr>
              <w:snapToGrid w:val="0"/>
              <w:spacing w:line="288" w:lineRule="auto"/>
              <w:jc w:val="left"/>
              <w:rPr>
                <w:rFonts w:ascii="宋体" w:hAnsi="宋体"/>
                <w:color w:val="000000"/>
                <w:sz w:val="20"/>
                <w:szCs w:val="20"/>
              </w:rPr>
            </w:pPr>
            <w:r>
              <w:rPr>
                <w:rFonts w:hint="eastAsia" w:ascii="PMingLiU" w:hAnsi="PMingLiU"/>
                <w:color w:val="000000"/>
                <w:sz w:val="20"/>
                <w:szCs w:val="20"/>
              </w:rPr>
              <w:t>难点</w:t>
            </w:r>
            <w:r>
              <w:rPr>
                <w:rFonts w:ascii="PMingLiU" w:hAnsi="PMingLiU"/>
                <w:color w:val="000000"/>
                <w:sz w:val="20"/>
                <w:szCs w:val="20"/>
              </w:rPr>
              <w:t>:</w:t>
            </w:r>
            <w:r>
              <w:rPr>
                <w:rFonts w:hint="eastAsia" w:ascii="PMingLiU" w:hAnsi="PMingLiU"/>
                <w:color w:val="000000"/>
                <w:sz w:val="20"/>
                <w:szCs w:val="20"/>
              </w:rPr>
              <w:t>老年抑郁症</w:t>
            </w:r>
          </w:p>
        </w:tc>
        <w:tc>
          <w:tcPr>
            <w:tcW w:w="418"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366"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418"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759" w:type="dxa"/>
            <w:vAlign w:val="center"/>
          </w:tcPr>
          <w:p>
            <w:pPr>
              <w:snapToGrid w:val="0"/>
              <w:spacing w:line="288" w:lineRule="auto"/>
              <w:jc w:val="center"/>
              <w:rPr>
                <w:rFonts w:ascii="宋体" w:hAnsi="宋体"/>
                <w:color w:val="000000"/>
                <w:sz w:val="20"/>
                <w:szCs w:val="20"/>
              </w:rPr>
            </w:pPr>
            <w:r>
              <w:rPr>
                <w:rFonts w:hint="eastAsia" w:ascii="PMingLiU" w:hAnsi="PMingLiU"/>
                <w:color w:val="000000"/>
                <w:sz w:val="20"/>
                <w:szCs w:val="20"/>
              </w:rPr>
              <w:t>老年人的日常生活护理</w:t>
            </w:r>
          </w:p>
        </w:tc>
        <w:tc>
          <w:tcPr>
            <w:tcW w:w="1812" w:type="dxa"/>
          </w:tcPr>
          <w:p>
            <w:pPr>
              <w:snapToGrid w:val="0"/>
              <w:spacing w:line="288" w:lineRule="auto"/>
              <w:jc w:val="left"/>
              <w:rPr>
                <w:rFonts w:hint="eastAsia" w:ascii="宋体" w:hAnsi="宋体" w:eastAsia="PMingLiU"/>
                <w:color w:val="000000"/>
                <w:sz w:val="20"/>
                <w:szCs w:val="20"/>
                <w:lang w:eastAsia="zh-TW"/>
              </w:rPr>
            </w:pPr>
            <w:r>
              <w:rPr>
                <w:rFonts w:ascii="宋体" w:hAnsi="宋体" w:eastAsia="PMingLiU"/>
                <w:color w:val="000000"/>
                <w:sz w:val="20"/>
                <w:szCs w:val="20"/>
                <w:lang w:eastAsia="zh-TW"/>
              </w:rPr>
              <w:t>1.</w:t>
            </w:r>
            <w:r>
              <w:rPr>
                <w:rFonts w:hint="eastAsia" w:ascii="宋体" w:hAnsi="宋体"/>
                <w:color w:val="000000"/>
                <w:sz w:val="20"/>
                <w:szCs w:val="20"/>
                <w:lang w:eastAsia="zh-TW"/>
              </w:rPr>
              <w:t>了解</w:t>
            </w:r>
            <w:r>
              <w:rPr>
                <w:rFonts w:ascii="宋体" w:hAnsi="宋体"/>
                <w:color w:val="000000"/>
                <w:sz w:val="20"/>
                <w:szCs w:val="20"/>
                <w:lang w:eastAsia="zh-TW"/>
              </w:rPr>
              <w:t>老年人</w:t>
            </w:r>
            <w:r>
              <w:rPr>
                <w:rFonts w:hint="eastAsia" w:ascii="PMingLiU" w:hAnsi="PMingLiU"/>
                <w:color w:val="000000"/>
                <w:sz w:val="20"/>
                <w:szCs w:val="20"/>
              </w:rPr>
              <w:t>营养不良及相关问题、老年人睡眠障碍型态、老年常见沟通问题</w:t>
            </w:r>
          </w:p>
          <w:p>
            <w:pPr>
              <w:snapToGrid w:val="0"/>
              <w:spacing w:line="288" w:lineRule="auto"/>
              <w:jc w:val="left"/>
              <w:rPr>
                <w:rFonts w:hint="eastAsia" w:ascii="宋体" w:hAnsi="宋体" w:eastAsia="PMingLiU"/>
                <w:color w:val="000000"/>
                <w:sz w:val="20"/>
                <w:szCs w:val="20"/>
              </w:rPr>
            </w:pPr>
            <w:r>
              <w:rPr>
                <w:rFonts w:ascii="宋体" w:hAnsi="宋体"/>
                <w:color w:val="000000"/>
                <w:sz w:val="20"/>
                <w:szCs w:val="20"/>
              </w:rPr>
              <w:t>2.</w:t>
            </w:r>
            <w:r>
              <w:rPr>
                <w:rFonts w:hint="eastAsia" w:ascii="宋体" w:hAnsi="宋体"/>
                <w:color w:val="000000"/>
                <w:sz w:val="20"/>
                <w:szCs w:val="20"/>
              </w:rPr>
              <w:t>认识</w:t>
            </w:r>
            <w:r>
              <w:rPr>
                <w:rFonts w:hint="eastAsia" w:ascii="PMingLiU" w:hAnsi="PMingLiU"/>
                <w:color w:val="000000"/>
                <w:sz w:val="20"/>
                <w:szCs w:val="20"/>
              </w:rPr>
              <w:t>营养与排泄的护理评估、老年人睡眠障碍的护理评估及影响老年人沟通的因素</w:t>
            </w:r>
          </w:p>
          <w:p>
            <w:pPr>
              <w:snapToGrid w:val="0"/>
              <w:spacing w:line="288" w:lineRule="auto"/>
              <w:jc w:val="left"/>
              <w:rPr>
                <w:rFonts w:ascii="宋体" w:hAnsi="宋体" w:eastAsia="PMingLiU"/>
                <w:color w:val="000000"/>
                <w:sz w:val="20"/>
                <w:szCs w:val="20"/>
                <w:lang w:eastAsia="zh-TW"/>
              </w:rPr>
            </w:pPr>
            <w:r>
              <w:rPr>
                <w:rFonts w:ascii="宋体" w:hAnsi="宋体"/>
                <w:color w:val="000000"/>
                <w:sz w:val="20"/>
                <w:szCs w:val="20"/>
                <w:lang w:eastAsia="zh-TW"/>
              </w:rPr>
              <w:t>3.</w:t>
            </w:r>
            <w:r>
              <w:rPr>
                <w:rFonts w:hint="eastAsia" w:ascii="宋体" w:hAnsi="宋体"/>
                <w:color w:val="000000"/>
                <w:sz w:val="20"/>
                <w:szCs w:val="20"/>
              </w:rPr>
              <w:t>掌握老年人</w:t>
            </w:r>
            <w:r>
              <w:rPr>
                <w:rFonts w:hint="eastAsia" w:ascii="PMingLiU" w:hAnsi="PMingLiU"/>
                <w:color w:val="000000"/>
                <w:sz w:val="20"/>
                <w:szCs w:val="20"/>
              </w:rPr>
              <w:t>生理</w:t>
            </w:r>
            <w:r>
              <w:rPr>
                <w:rFonts w:ascii="PMingLiU" w:hAnsi="PMingLiU"/>
                <w:color w:val="000000"/>
                <w:sz w:val="20"/>
                <w:szCs w:val="20"/>
              </w:rPr>
              <w:t>(</w:t>
            </w:r>
            <w:r>
              <w:rPr>
                <w:rFonts w:hint="eastAsia" w:ascii="PMingLiU" w:hAnsi="PMingLiU"/>
                <w:color w:val="000000"/>
                <w:sz w:val="20"/>
                <w:szCs w:val="20"/>
              </w:rPr>
              <w:t>营养与排泄、休息与活动</w:t>
            </w:r>
            <w:r>
              <w:rPr>
                <w:rFonts w:ascii="PMingLiU" w:hAnsi="PMingLiU"/>
                <w:color w:val="000000"/>
                <w:sz w:val="20"/>
                <w:szCs w:val="20"/>
              </w:rPr>
              <w:t>)</w:t>
            </w:r>
            <w:r>
              <w:rPr>
                <w:rFonts w:hint="eastAsia" w:ascii="宋体" w:hAnsi="宋体"/>
                <w:color w:val="000000"/>
                <w:sz w:val="20"/>
                <w:szCs w:val="20"/>
              </w:rPr>
              <w:t>健康问题的</w:t>
            </w:r>
            <w:r>
              <w:rPr>
                <w:rFonts w:hint="eastAsia" w:ascii="PMingLiU" w:hAnsi="PMingLiU"/>
                <w:color w:val="000000"/>
                <w:sz w:val="20"/>
                <w:szCs w:val="20"/>
              </w:rPr>
              <w:t>护理措施</w:t>
            </w:r>
            <w:r>
              <w:rPr>
                <w:rFonts w:hint="eastAsia" w:ascii="宋体" w:hAnsi="宋体"/>
                <w:color w:val="000000"/>
                <w:sz w:val="20"/>
                <w:szCs w:val="20"/>
              </w:rPr>
              <w:t>措施</w:t>
            </w:r>
          </w:p>
          <w:p>
            <w:pPr>
              <w:snapToGrid w:val="0"/>
              <w:spacing w:line="288" w:lineRule="auto"/>
              <w:jc w:val="left"/>
              <w:rPr>
                <w:rFonts w:hint="eastAsia" w:ascii="宋体" w:hAnsi="宋体" w:eastAsia="PMingLiU"/>
                <w:color w:val="000000"/>
                <w:sz w:val="20"/>
                <w:szCs w:val="20"/>
                <w:lang w:eastAsia="zh-TW"/>
              </w:rPr>
            </w:pPr>
            <w:r>
              <w:rPr>
                <w:rFonts w:hint="eastAsia" w:ascii="宋体" w:hAnsi="宋体" w:eastAsia="PMingLiU"/>
                <w:color w:val="000000"/>
                <w:sz w:val="20"/>
                <w:szCs w:val="20"/>
                <w:lang w:eastAsia="zh-TW"/>
              </w:rPr>
              <w:t>4.</w:t>
            </w:r>
            <w:r>
              <w:rPr>
                <w:rFonts w:ascii="宋体" w:hAnsi="宋体"/>
                <w:color w:val="000000"/>
                <w:sz w:val="20"/>
                <w:szCs w:val="20"/>
              </w:rPr>
              <w:t>掌握与老年人有效沟通的方法</w:t>
            </w:r>
          </w:p>
          <w:p>
            <w:pPr>
              <w:snapToGrid w:val="0"/>
              <w:spacing w:line="288" w:lineRule="auto"/>
              <w:jc w:val="left"/>
              <w:rPr>
                <w:rFonts w:ascii="宋体" w:hAnsi="宋体"/>
                <w:color w:val="000000"/>
                <w:sz w:val="20"/>
                <w:szCs w:val="20"/>
                <w:lang w:eastAsia="zh-TW"/>
              </w:rPr>
            </w:pP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1.能运用本章相关知识为老年人提供饮食护理、睡眠护理及活动指导。</w:t>
            </w:r>
          </w:p>
          <w:p>
            <w:pPr>
              <w:snapToGrid w:val="0"/>
              <w:spacing w:line="288" w:lineRule="auto"/>
              <w:jc w:val="left"/>
              <w:rPr>
                <w:rFonts w:hint="eastAsia" w:ascii="宋体" w:hAnsi="宋体"/>
                <w:color w:val="000000"/>
                <w:sz w:val="20"/>
                <w:szCs w:val="20"/>
                <w:lang w:eastAsia="zh-TW"/>
              </w:rPr>
            </w:pPr>
            <w:r>
              <w:rPr>
                <w:rFonts w:ascii="PMingLiU" w:hAnsi="PMingLiU"/>
                <w:color w:val="000000"/>
                <w:sz w:val="20"/>
                <w:szCs w:val="20"/>
              </w:rPr>
              <w:t>2.</w:t>
            </w:r>
            <w:r>
              <w:rPr>
                <w:rFonts w:hint="eastAsia" w:ascii="PMingLiU" w:hAnsi="PMingLiU"/>
                <w:color w:val="000000"/>
                <w:sz w:val="20"/>
                <w:szCs w:val="20"/>
              </w:rPr>
              <w:t>举例解释老年人语言和非语言的沟通原则</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hint="eastAsia"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rPr>
              <w:t>重点:</w:t>
            </w:r>
            <w:r>
              <w:rPr>
                <w:rFonts w:hint="eastAsia" w:asciiTheme="minorEastAsia" w:hAnsiTheme="minorEastAsia" w:eastAsiaTheme="minorEastAsia" w:cstheme="minorEastAsia"/>
                <w:color w:val="000000"/>
                <w:sz w:val="20"/>
                <w:szCs w:val="20"/>
                <w:lang w:eastAsia="zh-TW"/>
              </w:rPr>
              <w:t>老年人日常生活护理的注意事项</w:t>
            </w:r>
          </w:p>
          <w:p>
            <w:pPr>
              <w:snapToGrid w:val="0"/>
              <w:spacing w:line="288" w:lineRule="auto"/>
              <w:jc w:val="left"/>
              <w:rPr>
                <w:rFonts w:hint="eastAsia"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rPr>
              <w:t>难点:</w:t>
            </w:r>
            <w:r>
              <w:rPr>
                <w:rFonts w:hint="eastAsia" w:asciiTheme="minorEastAsia" w:hAnsiTheme="minorEastAsia" w:eastAsiaTheme="minorEastAsia" w:cstheme="minorEastAsia"/>
                <w:color w:val="000000"/>
                <w:sz w:val="20"/>
                <w:szCs w:val="20"/>
                <w:lang w:eastAsia="zh-TW"/>
              </w:rPr>
              <w:t>老年人沟通技巧</w:t>
            </w:r>
          </w:p>
        </w:tc>
        <w:tc>
          <w:tcPr>
            <w:tcW w:w="418"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366"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418"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759" w:type="dxa"/>
            <w:vAlign w:val="center"/>
          </w:tcPr>
          <w:p>
            <w:pPr>
              <w:snapToGrid w:val="0"/>
              <w:spacing w:line="288" w:lineRule="auto"/>
              <w:jc w:val="center"/>
              <w:rPr>
                <w:rFonts w:ascii="宋体" w:hAnsi="宋体"/>
                <w:color w:val="000000"/>
                <w:sz w:val="20"/>
                <w:szCs w:val="20"/>
              </w:rPr>
            </w:pPr>
            <w:r>
              <w:rPr>
                <w:rFonts w:ascii="宋体" w:hAnsi="宋体" w:eastAsia="宋体"/>
                <w:color w:val="000000"/>
                <w:sz w:val="20"/>
                <w:szCs w:val="20"/>
                <w:lang w:eastAsia="zh-CN"/>
              </w:rPr>
              <w:t>老年人的健康评估</w:t>
            </w:r>
          </w:p>
        </w:tc>
        <w:tc>
          <w:tcPr>
            <w:tcW w:w="1812" w:type="dxa"/>
          </w:tcPr>
          <w:p>
            <w:pPr>
              <w:numPr>
                <w:ilvl w:val="0"/>
                <w:numId w:val="1"/>
              </w:numPr>
              <w:snapToGrid w:val="0"/>
              <w:spacing w:line="288" w:lineRule="auto"/>
              <w:jc w:val="left"/>
              <w:rPr>
                <w:rFonts w:hint="eastAsia" w:ascii="宋体" w:hAnsi="宋体" w:eastAsia="宋体" w:cs="宋体"/>
                <w:color w:val="000000"/>
                <w:sz w:val="20"/>
                <w:szCs w:val="20"/>
                <w:lang w:val="en-US" w:eastAsia="zh-TW"/>
              </w:rPr>
            </w:pPr>
            <w:r>
              <w:rPr>
                <w:rFonts w:hint="eastAsia" w:ascii="宋体" w:hAnsi="宋体" w:eastAsia="宋体" w:cs="宋体"/>
                <w:color w:val="000000"/>
                <w:sz w:val="20"/>
                <w:szCs w:val="20"/>
                <w:lang w:val="en-US" w:eastAsia="zh-TW"/>
              </w:rPr>
              <w:t>认识老年综合健康评估</w:t>
            </w:r>
          </w:p>
          <w:p>
            <w:pPr>
              <w:numPr>
                <w:ilvl w:val="0"/>
                <w:numId w:val="1"/>
              </w:numPr>
              <w:snapToGrid w:val="0"/>
              <w:spacing w:line="288" w:lineRule="auto"/>
              <w:jc w:val="left"/>
              <w:rPr>
                <w:rFonts w:hint="eastAsia" w:ascii="宋体" w:hAnsi="宋体" w:eastAsia="宋体" w:cs="宋体"/>
                <w:color w:val="000000"/>
                <w:sz w:val="20"/>
                <w:szCs w:val="20"/>
                <w:lang w:val="en-US" w:eastAsia="zh-TW"/>
              </w:rPr>
            </w:pPr>
            <w:r>
              <w:rPr>
                <w:rFonts w:hint="eastAsia" w:ascii="宋体" w:hAnsi="宋体" w:eastAsia="宋体" w:cs="宋体"/>
                <w:color w:val="000000"/>
                <w:sz w:val="20"/>
                <w:szCs w:val="20"/>
                <w:lang w:val="en-US" w:eastAsia="zh-TW"/>
              </w:rPr>
              <w:t>了解老年健康评估工具</w:t>
            </w:r>
          </w:p>
          <w:p>
            <w:pPr>
              <w:numPr>
                <w:ilvl w:val="0"/>
                <w:numId w:val="1"/>
              </w:numPr>
              <w:snapToGrid w:val="0"/>
              <w:spacing w:line="288" w:lineRule="auto"/>
              <w:jc w:val="left"/>
              <w:rPr>
                <w:rFonts w:hint="default" w:ascii="宋体" w:hAnsi="宋体" w:eastAsia="PMingLiU"/>
                <w:color w:val="000000"/>
                <w:sz w:val="20"/>
                <w:szCs w:val="20"/>
                <w:lang w:val="en-US" w:eastAsia="zh-TW"/>
              </w:rPr>
            </w:pPr>
            <w:r>
              <w:rPr>
                <w:rFonts w:hint="eastAsia" w:ascii="宋体" w:hAnsi="宋体" w:eastAsia="宋体" w:cs="宋体"/>
                <w:color w:val="000000"/>
                <w:sz w:val="20"/>
                <w:szCs w:val="20"/>
                <w:lang w:val="en-US" w:eastAsia="zh-TW"/>
              </w:rPr>
              <w:t>掌握老年健康评估的注意事项</w:t>
            </w:r>
          </w:p>
        </w:tc>
        <w:tc>
          <w:tcPr>
            <w:tcW w:w="1674" w:type="dxa"/>
          </w:tcPr>
          <w:p>
            <w:pPr>
              <w:snapToGrid w:val="0"/>
              <w:spacing w:line="288" w:lineRule="auto"/>
              <w:jc w:val="left"/>
              <w:rPr>
                <w:rFonts w:hint="default" w:ascii="宋体" w:hAnsi="宋体" w:eastAsia="PMingLiU"/>
                <w:color w:val="000000"/>
                <w:sz w:val="20"/>
                <w:szCs w:val="20"/>
                <w:lang w:val="en-US" w:eastAsia="zh-TW"/>
              </w:rPr>
            </w:pPr>
            <w:r>
              <w:rPr>
                <w:rFonts w:hint="eastAsia" w:ascii="宋体" w:hAnsi="宋体" w:eastAsia="宋体" w:cs="宋体"/>
                <w:color w:val="000000"/>
                <w:sz w:val="20"/>
                <w:szCs w:val="20"/>
                <w:lang w:val="en-US" w:eastAsia="zh-TW"/>
              </w:rPr>
              <w:t>针对不同健康问题的老年人，能进行系统全面的健康评估</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hint="eastAsia" w:ascii="宋体" w:hAnsi="宋体" w:eastAsia="宋体" w:cs="宋体"/>
                <w:color w:val="000000"/>
                <w:sz w:val="20"/>
                <w:szCs w:val="20"/>
                <w:lang w:eastAsia="zh-TW"/>
              </w:rPr>
            </w:pPr>
            <w:r>
              <w:rPr>
                <w:rFonts w:hint="eastAsia" w:ascii="宋体" w:hAnsi="宋体" w:eastAsia="宋体" w:cs="宋体"/>
                <w:color w:val="000000"/>
                <w:sz w:val="20"/>
                <w:szCs w:val="20"/>
                <w:lang w:eastAsia="zh-TW"/>
              </w:rPr>
              <w:t>重点:老年人的整合评估范围</w:t>
            </w:r>
          </w:p>
          <w:p>
            <w:pPr>
              <w:snapToGrid w:val="0"/>
              <w:spacing w:line="288" w:lineRule="auto"/>
              <w:jc w:val="left"/>
              <w:rPr>
                <w:rFonts w:hint="default" w:ascii="宋体" w:hAnsi="宋体" w:eastAsia="PMingLiU"/>
                <w:color w:val="000000"/>
                <w:sz w:val="20"/>
                <w:szCs w:val="20"/>
                <w:lang w:val="en-US" w:eastAsia="zh-TW"/>
              </w:rPr>
            </w:pPr>
            <w:r>
              <w:rPr>
                <w:rFonts w:hint="eastAsia" w:ascii="宋体" w:hAnsi="宋体" w:eastAsia="宋体" w:cs="宋体"/>
                <w:color w:val="000000"/>
                <w:sz w:val="20"/>
                <w:szCs w:val="20"/>
                <w:lang w:eastAsia="zh-TW"/>
              </w:rPr>
              <w:t>难点:老年综合评估</w:t>
            </w:r>
            <w:r>
              <w:rPr>
                <w:rFonts w:hint="default" w:ascii="Times New Roman" w:hAnsi="Times New Roman" w:eastAsia="PMingLiU" w:cs="Times New Roman"/>
                <w:color w:val="000000"/>
                <w:sz w:val="20"/>
                <w:szCs w:val="20"/>
                <w:lang w:val="en-US" w:eastAsia="zh-TW"/>
              </w:rPr>
              <w:t>(Comprehensive geriatric assessment,CGA)</w:t>
            </w:r>
          </w:p>
        </w:tc>
        <w:tc>
          <w:tcPr>
            <w:tcW w:w="418"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366"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default" w:ascii="Times New Roman" w:hAnsi="Times New Roman" w:eastAsia="PMingLiU" w:cs="Times New Roman"/>
                <w:color w:val="000000"/>
                <w:sz w:val="20"/>
                <w:szCs w:val="20"/>
                <w:lang w:val="en-US" w:eastAsia="zh-TW"/>
              </w:rPr>
              <w:t>2</w:t>
            </w:r>
          </w:p>
        </w:tc>
        <w:tc>
          <w:tcPr>
            <w:tcW w:w="418"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default" w:ascii="Times New Roman" w:hAnsi="Times New Roman" w:eastAsia="PMingLiU" w:cs="Times New Roman"/>
                <w:color w:val="000000"/>
                <w:sz w:val="20"/>
                <w:szCs w:val="20"/>
                <w:lang w:val="en-US" w:eastAsia="zh-TW"/>
              </w:rPr>
              <w:t>4</w:t>
            </w:r>
          </w:p>
        </w:tc>
      </w:tr>
      <w:tr>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759" w:type="dxa"/>
            <w:vAlign w:val="center"/>
          </w:tcPr>
          <w:p>
            <w:pPr>
              <w:snapToGrid w:val="0"/>
              <w:spacing w:line="288" w:lineRule="auto"/>
              <w:jc w:val="center"/>
              <w:rPr>
                <w:rFonts w:ascii="宋体" w:hAnsi="宋体"/>
                <w:color w:val="000000"/>
                <w:sz w:val="20"/>
                <w:szCs w:val="20"/>
              </w:rPr>
            </w:pPr>
            <w:r>
              <w:rPr>
                <w:rFonts w:hint="eastAsia" w:ascii="PMingLiU" w:hAnsi="PMingLiU" w:eastAsia="宋体"/>
                <w:color w:val="000000"/>
                <w:sz w:val="20"/>
                <w:szCs w:val="20"/>
                <w:lang w:eastAsia="zh-CN"/>
              </w:rPr>
              <w:t>老年人的安全用药与护理</w:t>
            </w:r>
          </w:p>
        </w:tc>
        <w:tc>
          <w:tcPr>
            <w:tcW w:w="1812" w:type="dxa"/>
          </w:tcPr>
          <w:p>
            <w:pPr>
              <w:numPr>
                <w:ilvl w:val="0"/>
                <w:numId w:val="2"/>
              </w:numPr>
              <w:snapToGrid w:val="0"/>
              <w:spacing w:line="288" w:lineRule="auto"/>
              <w:jc w:val="left"/>
              <w:rPr>
                <w:rFonts w:hint="eastAsia" w:asciiTheme="minorEastAsia" w:hAnsiTheme="minorEastAsia" w:eastAsiaTheme="minorEastAsia" w:cstheme="minorEastAsia"/>
                <w:color w:val="000000"/>
                <w:sz w:val="20"/>
                <w:szCs w:val="20"/>
                <w:lang w:val="en-US" w:eastAsia="zh-TW"/>
              </w:rPr>
            </w:pPr>
            <w:r>
              <w:rPr>
                <w:rFonts w:hint="eastAsia" w:asciiTheme="minorEastAsia" w:hAnsiTheme="minorEastAsia" w:eastAsiaTheme="minorEastAsia" w:cstheme="minorEastAsia"/>
                <w:color w:val="000000"/>
                <w:sz w:val="20"/>
                <w:szCs w:val="20"/>
                <w:lang w:val="en-US" w:eastAsia="zh-TW"/>
              </w:rPr>
              <w:t>认识老年人常见用药</w:t>
            </w:r>
          </w:p>
          <w:p>
            <w:pPr>
              <w:numPr>
                <w:ilvl w:val="0"/>
                <w:numId w:val="2"/>
              </w:numPr>
              <w:snapToGrid w:val="0"/>
              <w:spacing w:line="288" w:lineRule="auto"/>
              <w:jc w:val="left"/>
              <w:rPr>
                <w:rFonts w:hint="eastAsia" w:asciiTheme="minorEastAsia" w:hAnsiTheme="minorEastAsia" w:eastAsiaTheme="minorEastAsia" w:cstheme="minorEastAsia"/>
                <w:color w:val="000000"/>
                <w:sz w:val="20"/>
                <w:szCs w:val="20"/>
                <w:lang w:val="en-US" w:eastAsia="zh-TW"/>
              </w:rPr>
            </w:pPr>
            <w:r>
              <w:rPr>
                <w:rFonts w:hint="eastAsia" w:asciiTheme="minorEastAsia" w:hAnsiTheme="minorEastAsia" w:eastAsiaTheme="minorEastAsia" w:cstheme="minorEastAsia"/>
                <w:color w:val="000000"/>
                <w:sz w:val="20"/>
                <w:szCs w:val="20"/>
                <w:lang w:val="en-US" w:eastAsia="zh-TW"/>
              </w:rPr>
              <w:t>了解老化对于药物使用的影响</w:t>
            </w:r>
          </w:p>
          <w:p>
            <w:pPr>
              <w:numPr>
                <w:ilvl w:val="0"/>
                <w:numId w:val="2"/>
              </w:numPr>
              <w:snapToGrid w:val="0"/>
              <w:spacing w:line="288" w:lineRule="auto"/>
              <w:jc w:val="left"/>
              <w:rPr>
                <w:rFonts w:hint="default" w:ascii="宋体" w:hAnsi="宋体" w:eastAsia="PMingLiU"/>
                <w:color w:val="000000"/>
                <w:sz w:val="20"/>
                <w:szCs w:val="20"/>
                <w:lang w:val="en-US" w:eastAsia="zh-TW"/>
              </w:rPr>
            </w:pPr>
            <w:r>
              <w:rPr>
                <w:rFonts w:hint="eastAsia" w:asciiTheme="minorEastAsia" w:hAnsiTheme="minorEastAsia" w:eastAsiaTheme="minorEastAsia" w:cstheme="minorEastAsia"/>
                <w:color w:val="000000"/>
                <w:sz w:val="20"/>
                <w:szCs w:val="20"/>
                <w:lang w:val="en-US" w:eastAsia="zh-TW"/>
              </w:rPr>
              <w:t>掌握老年人用药常见的问题及照护措施</w:t>
            </w:r>
          </w:p>
        </w:tc>
        <w:tc>
          <w:tcPr>
            <w:tcW w:w="1674" w:type="dxa"/>
          </w:tcPr>
          <w:p>
            <w:pPr>
              <w:snapToGrid w:val="0"/>
              <w:spacing w:line="288" w:lineRule="auto"/>
              <w:jc w:val="left"/>
              <w:rPr>
                <w:rFonts w:hint="eastAsia" w:ascii="宋体" w:hAnsi="宋体" w:eastAsia="PMingLiU"/>
                <w:color w:val="000000"/>
                <w:sz w:val="20"/>
                <w:szCs w:val="20"/>
                <w:lang w:eastAsia="zh-TW"/>
              </w:rPr>
            </w:pPr>
            <w:r>
              <w:rPr>
                <w:rFonts w:hint="eastAsia" w:ascii="宋体" w:hAnsi="宋体" w:eastAsia="宋体" w:cs="宋体"/>
                <w:color w:val="000000"/>
                <w:sz w:val="20"/>
                <w:szCs w:val="20"/>
                <w:lang w:eastAsia="zh-TW"/>
              </w:rPr>
              <w:t>針對老年人的用藥問題，制定安全用藥護理計劃</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hint="eastAsia" w:ascii="宋体" w:hAnsi="宋体" w:eastAsia="宋体" w:cs="宋体"/>
                <w:color w:val="000000"/>
                <w:sz w:val="20"/>
                <w:szCs w:val="20"/>
                <w:lang w:eastAsia="zh-TW"/>
              </w:rPr>
            </w:pPr>
            <w:r>
              <w:rPr>
                <w:rFonts w:hint="eastAsia" w:ascii="宋体" w:hAnsi="宋体" w:eastAsia="宋体" w:cs="宋体"/>
                <w:color w:val="000000"/>
                <w:sz w:val="20"/>
                <w:szCs w:val="20"/>
                <w:lang w:eastAsia="zh-TW"/>
              </w:rPr>
              <w:t>重点:</w:t>
            </w:r>
            <w:r>
              <w:rPr>
                <w:rFonts w:hint="eastAsia" w:ascii="宋体" w:hAnsi="宋体" w:cs="宋体"/>
                <w:color w:val="000000"/>
                <w:sz w:val="20"/>
                <w:szCs w:val="20"/>
                <w:lang w:eastAsia="zh-TW"/>
              </w:rPr>
              <w:t>老年人安全用药的护理</w:t>
            </w:r>
          </w:p>
          <w:p>
            <w:pPr>
              <w:snapToGrid w:val="0"/>
              <w:spacing w:line="288" w:lineRule="auto"/>
              <w:jc w:val="left"/>
              <w:rPr>
                <w:rFonts w:ascii="宋体" w:hAnsi="宋体"/>
                <w:color w:val="000000"/>
                <w:sz w:val="20"/>
                <w:szCs w:val="20"/>
              </w:rPr>
            </w:pPr>
            <w:r>
              <w:rPr>
                <w:rFonts w:hint="eastAsia" w:ascii="宋体" w:hAnsi="宋体" w:eastAsia="宋体" w:cs="宋体"/>
                <w:color w:val="000000"/>
                <w:sz w:val="20"/>
                <w:szCs w:val="20"/>
                <w:lang w:eastAsia="zh-TW"/>
              </w:rPr>
              <w:t>难点:</w:t>
            </w:r>
            <w:r>
              <w:rPr>
                <w:rFonts w:hint="eastAsia" w:ascii="宋体" w:hAnsi="宋体" w:cs="宋体"/>
                <w:color w:val="000000"/>
                <w:sz w:val="20"/>
                <w:szCs w:val="20"/>
                <w:lang w:eastAsia="zh-TW"/>
              </w:rPr>
              <w:t>多重用药</w:t>
            </w:r>
          </w:p>
        </w:tc>
        <w:tc>
          <w:tcPr>
            <w:tcW w:w="418"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366"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w:t>
            </w:r>
          </w:p>
        </w:tc>
        <w:tc>
          <w:tcPr>
            <w:tcW w:w="418"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 w:hRule="atLeast"/>
          <w:jc w:val="center"/>
        </w:trPr>
        <w:tc>
          <w:tcPr>
            <w:tcW w:w="448" w:type="dxa"/>
            <w:vAlign w:val="center"/>
          </w:tcPr>
          <w:p>
            <w:pPr>
              <w:snapToGrid w:val="0"/>
              <w:spacing w:line="288" w:lineRule="auto"/>
              <w:jc w:val="center"/>
              <w:rPr>
                <w:rFonts w:hint="eastAsia" w:ascii="宋体" w:hAnsi="宋体" w:eastAsia="PMingLiU"/>
                <w:color w:val="000000"/>
                <w:sz w:val="20"/>
                <w:szCs w:val="20"/>
                <w:lang w:val="en-US" w:eastAsia="zh-TW"/>
              </w:rPr>
            </w:pPr>
            <w:r>
              <w:rPr>
                <w:rFonts w:hint="eastAsia" w:ascii="宋体" w:hAnsi="宋体" w:eastAsia="PMingLiU"/>
                <w:color w:val="000000"/>
                <w:sz w:val="20"/>
                <w:szCs w:val="20"/>
                <w:lang w:val="en-US" w:eastAsia="zh-TW"/>
              </w:rPr>
              <w:t>7</w:t>
            </w:r>
          </w:p>
        </w:tc>
        <w:tc>
          <w:tcPr>
            <w:tcW w:w="759" w:type="dxa"/>
            <w:vAlign w:val="center"/>
          </w:tcPr>
          <w:p>
            <w:pPr>
              <w:snapToGrid w:val="0"/>
              <w:spacing w:line="288" w:lineRule="auto"/>
              <w:jc w:val="center"/>
              <w:rPr>
                <w:rFonts w:ascii="宋体" w:hAnsi="宋体"/>
                <w:color w:val="000000"/>
                <w:sz w:val="20"/>
                <w:szCs w:val="20"/>
              </w:rPr>
            </w:pPr>
            <w:r>
              <w:rPr>
                <w:rFonts w:hint="eastAsia" w:ascii="PMingLiU" w:hAnsi="PMingLiU" w:eastAsia="宋体" w:cs="Arial"/>
                <w:kern w:val="0"/>
                <w:sz w:val="20"/>
                <w:szCs w:val="20"/>
                <w:lang w:eastAsia="zh-CN"/>
              </w:rPr>
              <w:t>认知症</w:t>
            </w:r>
            <w:r>
              <w:rPr>
                <w:rFonts w:ascii="PMingLiU" w:hAnsi="PMingLiU" w:eastAsia="宋体" w:cs="Arial"/>
                <w:kern w:val="0"/>
                <w:sz w:val="20"/>
                <w:szCs w:val="20"/>
                <w:lang w:eastAsia="zh-CN"/>
              </w:rPr>
              <w:t>(</w:t>
            </w:r>
            <w:r>
              <w:rPr>
                <w:rFonts w:hint="eastAsia" w:ascii="PMingLiU" w:hAnsi="PMingLiU" w:eastAsia="宋体" w:cs="Arial"/>
                <w:kern w:val="0"/>
                <w:sz w:val="20"/>
                <w:szCs w:val="20"/>
                <w:lang w:eastAsia="zh-CN"/>
              </w:rPr>
              <w:t>前称老年痴呆症</w:t>
            </w:r>
            <w:r>
              <w:rPr>
                <w:rFonts w:ascii="PMingLiU" w:hAnsi="PMingLiU" w:eastAsia="宋体" w:cs="Arial"/>
                <w:kern w:val="0"/>
                <w:sz w:val="20"/>
                <w:szCs w:val="20"/>
                <w:lang w:eastAsia="zh-CN"/>
              </w:rPr>
              <w:t>)</w:t>
            </w:r>
            <w:r>
              <w:rPr>
                <w:rFonts w:hint="eastAsia" w:ascii="PMingLiU" w:hAnsi="PMingLiU" w:eastAsia="宋体" w:cs="Arial"/>
                <w:kern w:val="0"/>
                <w:sz w:val="20"/>
                <w:szCs w:val="20"/>
                <w:lang w:eastAsia="zh-CN"/>
              </w:rPr>
              <w:t>照护</w:t>
            </w:r>
          </w:p>
        </w:tc>
        <w:tc>
          <w:tcPr>
            <w:tcW w:w="1812" w:type="dxa"/>
          </w:tcPr>
          <w:p>
            <w:pPr>
              <w:numPr>
                <w:ilvl w:val="0"/>
                <w:numId w:val="3"/>
              </w:numPr>
              <w:snapToGrid w:val="0"/>
              <w:spacing w:line="288" w:lineRule="auto"/>
              <w:jc w:val="left"/>
              <w:rPr>
                <w:rFonts w:hint="eastAsia" w:asciiTheme="minorEastAsia" w:hAnsiTheme="minorEastAsia" w:eastAsiaTheme="minorEastAsia" w:cstheme="minorEastAsia"/>
                <w:color w:val="000000"/>
                <w:sz w:val="20"/>
                <w:szCs w:val="20"/>
                <w:lang w:val="en-US" w:eastAsia="zh-TW"/>
              </w:rPr>
            </w:pPr>
            <w:r>
              <w:rPr>
                <w:rFonts w:hint="eastAsia" w:asciiTheme="minorEastAsia" w:hAnsiTheme="minorEastAsia" w:eastAsiaTheme="minorEastAsia" w:cstheme="minorEastAsia"/>
                <w:color w:val="000000"/>
                <w:sz w:val="20"/>
                <w:szCs w:val="20"/>
                <w:lang w:val="en-US" w:eastAsia="zh-TW"/>
              </w:rPr>
              <w:t>认识认知症类型与分期</w:t>
            </w:r>
          </w:p>
          <w:p>
            <w:pPr>
              <w:numPr>
                <w:ilvl w:val="0"/>
                <w:numId w:val="3"/>
              </w:numPr>
              <w:snapToGrid w:val="0"/>
              <w:spacing w:line="288" w:lineRule="auto"/>
              <w:jc w:val="left"/>
              <w:rPr>
                <w:rFonts w:hint="eastAsia" w:asciiTheme="minorEastAsia" w:hAnsiTheme="minorEastAsia" w:eastAsiaTheme="minorEastAsia" w:cstheme="minorEastAsia"/>
                <w:color w:val="000000"/>
                <w:sz w:val="20"/>
                <w:szCs w:val="20"/>
                <w:lang w:val="en-US" w:eastAsia="zh-TW"/>
              </w:rPr>
            </w:pPr>
            <w:r>
              <w:rPr>
                <w:rFonts w:hint="eastAsia" w:asciiTheme="minorEastAsia" w:hAnsiTheme="minorEastAsia" w:eastAsiaTheme="minorEastAsia" w:cstheme="minorEastAsia"/>
                <w:color w:val="000000"/>
                <w:sz w:val="20"/>
                <w:szCs w:val="20"/>
                <w:lang w:val="en-US" w:eastAsia="zh-TW"/>
              </w:rPr>
              <w:t>了解认知症评估工具</w:t>
            </w:r>
          </w:p>
          <w:p>
            <w:pPr>
              <w:numPr>
                <w:ilvl w:val="0"/>
                <w:numId w:val="3"/>
              </w:numPr>
              <w:snapToGrid w:val="0"/>
              <w:spacing w:line="288" w:lineRule="auto"/>
              <w:jc w:val="left"/>
              <w:rPr>
                <w:rFonts w:hint="default" w:ascii="宋体" w:hAnsi="宋体" w:eastAsia="PMingLiU"/>
                <w:color w:val="000000"/>
                <w:sz w:val="20"/>
                <w:szCs w:val="20"/>
                <w:lang w:val="en-US" w:eastAsia="zh-TW"/>
              </w:rPr>
            </w:pPr>
            <w:r>
              <w:rPr>
                <w:rFonts w:hint="eastAsia" w:asciiTheme="minorEastAsia" w:hAnsiTheme="minorEastAsia" w:eastAsiaTheme="minorEastAsia" w:cstheme="minorEastAsia"/>
                <w:color w:val="000000"/>
                <w:sz w:val="20"/>
                <w:szCs w:val="20"/>
                <w:lang w:val="en-US" w:eastAsia="zh-TW"/>
              </w:rPr>
              <w:t>掌握认知症的护理措施及预防措施</w:t>
            </w:r>
          </w:p>
          <w:p>
            <w:pPr>
              <w:numPr>
                <w:ilvl w:val="0"/>
                <w:numId w:val="3"/>
              </w:numPr>
              <w:snapToGrid w:val="0"/>
              <w:spacing w:line="288" w:lineRule="auto"/>
              <w:jc w:val="left"/>
              <w:rPr>
                <w:rFonts w:hint="default" w:ascii="宋体" w:hAnsi="宋体" w:eastAsia="PMingLiU"/>
                <w:color w:val="000000"/>
                <w:sz w:val="20"/>
                <w:szCs w:val="20"/>
                <w:lang w:val="en-US" w:eastAsia="zh-TW"/>
              </w:rPr>
            </w:pPr>
            <w:r>
              <w:rPr>
                <w:rFonts w:hint="eastAsia" w:asciiTheme="minorEastAsia" w:hAnsiTheme="minorEastAsia" w:eastAsiaTheme="minorEastAsia" w:cstheme="minorEastAsia"/>
                <w:color w:val="000000"/>
                <w:sz w:val="20"/>
                <w:szCs w:val="20"/>
                <w:lang w:val="en-US" w:eastAsia="zh-TW"/>
              </w:rPr>
              <w:t>阐释各国目前在认知症照护上的政策</w:t>
            </w:r>
          </w:p>
        </w:tc>
        <w:tc>
          <w:tcPr>
            <w:tcW w:w="1674" w:type="dxa"/>
          </w:tcPr>
          <w:p>
            <w:pPr>
              <w:numPr>
                <w:ilvl w:val="0"/>
                <w:numId w:val="4"/>
              </w:numPr>
              <w:snapToGrid w:val="0"/>
              <w:spacing w:line="288" w:lineRule="auto"/>
              <w:jc w:val="left"/>
              <w:rPr>
                <w:rFonts w:hint="eastAsia" w:asciiTheme="minorEastAsia" w:hAnsiTheme="minorEastAsia" w:eastAsiaTheme="minorEastAsia" w:cstheme="minorEastAsia"/>
                <w:color w:val="000000"/>
                <w:sz w:val="20"/>
                <w:szCs w:val="20"/>
                <w:lang w:val="en-US" w:eastAsia="zh-TW"/>
              </w:rPr>
            </w:pPr>
            <w:r>
              <w:rPr>
                <w:rFonts w:hint="eastAsia" w:asciiTheme="minorEastAsia" w:hAnsiTheme="minorEastAsia" w:eastAsiaTheme="minorEastAsia" w:cstheme="minorEastAsia"/>
                <w:color w:val="000000"/>
                <w:sz w:val="20"/>
                <w:szCs w:val="20"/>
                <w:lang w:val="en-US" w:eastAsia="zh-TW"/>
              </w:rPr>
              <w:t>能说出认知症的分期与种类</w:t>
            </w:r>
          </w:p>
          <w:p>
            <w:pPr>
              <w:numPr>
                <w:ilvl w:val="0"/>
                <w:numId w:val="4"/>
              </w:numPr>
              <w:snapToGrid w:val="0"/>
              <w:spacing w:line="288" w:lineRule="auto"/>
              <w:jc w:val="left"/>
              <w:rPr>
                <w:rFonts w:hint="default" w:ascii="宋体" w:hAnsi="宋体" w:eastAsia="PMingLiU"/>
                <w:color w:val="000000"/>
                <w:sz w:val="20"/>
                <w:szCs w:val="20"/>
                <w:lang w:val="en-US" w:eastAsia="zh-TW"/>
              </w:rPr>
            </w:pPr>
            <w:r>
              <w:rPr>
                <w:rFonts w:hint="eastAsia" w:asciiTheme="minorEastAsia" w:hAnsiTheme="minorEastAsia" w:eastAsiaTheme="minorEastAsia" w:cstheme="minorEastAsia"/>
                <w:color w:val="000000"/>
                <w:sz w:val="20"/>
                <w:szCs w:val="20"/>
                <w:lang w:val="en-US" w:eastAsia="zh-TW"/>
              </w:rPr>
              <w:t>能解释以人为本的照护</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hint="eastAsia" w:ascii="宋体" w:hAnsi="宋体" w:eastAsia="宋体" w:cs="宋体"/>
                <w:color w:val="000000"/>
                <w:sz w:val="20"/>
                <w:szCs w:val="20"/>
                <w:lang w:eastAsia="zh-TW"/>
              </w:rPr>
            </w:pPr>
            <w:r>
              <w:rPr>
                <w:rFonts w:hint="eastAsia" w:ascii="宋体" w:hAnsi="宋体" w:eastAsia="宋体" w:cs="宋体"/>
                <w:color w:val="000000"/>
                <w:sz w:val="20"/>
                <w:szCs w:val="20"/>
                <w:lang w:eastAsia="zh-TW"/>
              </w:rPr>
              <w:t>重点:认知症的类型、分期、临床表现</w:t>
            </w:r>
          </w:p>
          <w:p>
            <w:pPr>
              <w:snapToGrid w:val="0"/>
              <w:spacing w:line="288" w:lineRule="auto"/>
              <w:jc w:val="left"/>
              <w:rPr>
                <w:rFonts w:hint="eastAsia" w:ascii="宋体" w:hAnsi="宋体" w:eastAsia="PMingLiU"/>
                <w:color w:val="000000"/>
                <w:sz w:val="20"/>
                <w:szCs w:val="20"/>
                <w:lang w:eastAsia="zh-TW"/>
              </w:rPr>
            </w:pPr>
            <w:r>
              <w:rPr>
                <w:rFonts w:hint="eastAsia" w:ascii="宋体" w:hAnsi="宋体" w:eastAsia="宋体" w:cs="宋体"/>
                <w:color w:val="000000"/>
                <w:sz w:val="20"/>
                <w:szCs w:val="20"/>
                <w:lang w:eastAsia="zh-TW"/>
              </w:rPr>
              <w:t>难点:以人为本的照护</w:t>
            </w:r>
          </w:p>
        </w:tc>
        <w:tc>
          <w:tcPr>
            <w:tcW w:w="418"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default" w:ascii="Times New Roman" w:hAnsi="Times New Roman" w:eastAsia="PMingLiU" w:cs="Times New Roman"/>
                <w:color w:val="000000"/>
                <w:sz w:val="20"/>
                <w:szCs w:val="20"/>
                <w:lang w:val="en-US" w:eastAsia="zh-TW"/>
              </w:rPr>
              <w:t>4</w:t>
            </w:r>
          </w:p>
        </w:tc>
        <w:tc>
          <w:tcPr>
            <w:tcW w:w="366"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default" w:ascii="Times New Roman" w:hAnsi="Times New Roman" w:eastAsia="PMingLiU" w:cs="Times New Roman"/>
                <w:color w:val="000000"/>
                <w:sz w:val="20"/>
                <w:szCs w:val="20"/>
                <w:lang w:val="en-US" w:eastAsia="zh-TW"/>
              </w:rPr>
              <w:t>2</w:t>
            </w:r>
          </w:p>
        </w:tc>
        <w:tc>
          <w:tcPr>
            <w:tcW w:w="418"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default" w:ascii="Times New Roman" w:hAnsi="Times New Roman" w:eastAsia="PMingLiU" w:cs="Times New Roman"/>
                <w:color w:val="000000"/>
                <w:sz w:val="20"/>
                <w:szCs w:val="20"/>
                <w:lang w:val="en-US" w:eastAsia="zh-TW"/>
              </w:rPr>
              <w:t>6</w:t>
            </w:r>
          </w:p>
        </w:tc>
      </w:tr>
      <w:tr>
        <w:trPr>
          <w:trHeight w:val="503" w:hRule="atLeast"/>
          <w:jc w:val="center"/>
        </w:trPr>
        <w:tc>
          <w:tcPr>
            <w:tcW w:w="448" w:type="dxa"/>
            <w:vAlign w:val="center"/>
          </w:tcPr>
          <w:p>
            <w:pPr>
              <w:snapToGrid w:val="0"/>
              <w:spacing w:line="288" w:lineRule="auto"/>
              <w:jc w:val="center"/>
              <w:rPr>
                <w:rFonts w:hint="eastAsia" w:ascii="宋体" w:hAnsi="宋体" w:eastAsia="PMingLiU"/>
                <w:color w:val="000000"/>
                <w:sz w:val="20"/>
                <w:szCs w:val="20"/>
                <w:lang w:val="en-US" w:eastAsia="zh-TW"/>
              </w:rPr>
            </w:pPr>
            <w:r>
              <w:rPr>
                <w:rFonts w:hint="eastAsia" w:ascii="宋体" w:hAnsi="宋体" w:eastAsia="PMingLiU"/>
                <w:color w:val="000000"/>
                <w:sz w:val="20"/>
                <w:szCs w:val="20"/>
                <w:lang w:val="en-US" w:eastAsia="zh-TW"/>
              </w:rPr>
              <w:t>8</w:t>
            </w:r>
          </w:p>
        </w:tc>
        <w:tc>
          <w:tcPr>
            <w:tcW w:w="759" w:type="dxa"/>
            <w:vAlign w:val="center"/>
          </w:tcPr>
          <w:p>
            <w:pPr>
              <w:snapToGrid w:val="0"/>
              <w:spacing w:line="288" w:lineRule="auto"/>
              <w:jc w:val="center"/>
              <w:rPr>
                <w:rFonts w:ascii="宋体" w:hAnsi="宋体"/>
                <w:color w:val="000000"/>
                <w:sz w:val="20"/>
                <w:szCs w:val="20"/>
              </w:rPr>
            </w:pPr>
            <w:r>
              <w:rPr>
                <w:rFonts w:hint="eastAsia" w:ascii="PMingLiU" w:hAnsi="PMingLiU" w:eastAsia="宋体" w:cs="Arial"/>
                <w:kern w:val="0"/>
                <w:sz w:val="20"/>
                <w:szCs w:val="20"/>
                <w:lang w:eastAsia="zh-CN"/>
              </w:rPr>
              <w:t>帕金森氏症照护</w:t>
            </w:r>
          </w:p>
        </w:tc>
        <w:tc>
          <w:tcPr>
            <w:tcW w:w="1812" w:type="dxa"/>
          </w:tcPr>
          <w:p>
            <w:pPr>
              <w:numPr>
                <w:ilvl w:val="0"/>
                <w:numId w:val="5"/>
              </w:numPr>
              <w:snapToGrid w:val="0"/>
              <w:spacing w:line="288" w:lineRule="auto"/>
              <w:jc w:val="left"/>
              <w:rPr>
                <w:rFonts w:hint="eastAsia"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认识帕金森氏症的临床表现</w:t>
            </w:r>
          </w:p>
          <w:p>
            <w:pPr>
              <w:numPr>
                <w:ilvl w:val="0"/>
                <w:numId w:val="5"/>
              </w:numPr>
              <w:snapToGrid w:val="0"/>
              <w:spacing w:line="288" w:lineRule="auto"/>
              <w:jc w:val="left"/>
              <w:rPr>
                <w:rFonts w:hint="eastAsia" w:asciiTheme="minorEastAsia" w:hAnsiTheme="minorEastAsia" w:eastAsiaTheme="minorEastAsia" w:cstheme="minorEastAsia"/>
                <w:color w:val="000000"/>
                <w:sz w:val="20"/>
                <w:szCs w:val="20"/>
                <w:lang w:eastAsia="zh-TW"/>
              </w:rPr>
            </w:pPr>
            <w:r>
              <w:rPr>
                <w:rFonts w:hint="eastAsia" w:asciiTheme="minorEastAsia" w:hAnsiTheme="minorEastAsia" w:eastAsiaTheme="minorEastAsia" w:cstheme="minorEastAsia"/>
                <w:color w:val="000000"/>
                <w:sz w:val="20"/>
                <w:szCs w:val="20"/>
                <w:lang w:eastAsia="zh-TW"/>
              </w:rPr>
              <w:t>了解帕金森氏症诊断标准</w:t>
            </w:r>
          </w:p>
          <w:p>
            <w:pPr>
              <w:numPr>
                <w:ilvl w:val="0"/>
                <w:numId w:val="5"/>
              </w:numPr>
              <w:snapToGrid w:val="0"/>
              <w:spacing w:line="288" w:lineRule="auto"/>
              <w:jc w:val="left"/>
              <w:rPr>
                <w:rFonts w:hint="eastAsia" w:ascii="宋体" w:hAnsi="宋体" w:eastAsia="PMingLiU"/>
                <w:color w:val="000000"/>
                <w:sz w:val="20"/>
                <w:szCs w:val="20"/>
                <w:lang w:eastAsia="zh-TW"/>
              </w:rPr>
            </w:pPr>
            <w:r>
              <w:rPr>
                <w:rFonts w:hint="eastAsia" w:asciiTheme="minorEastAsia" w:hAnsiTheme="minorEastAsia" w:eastAsiaTheme="minorEastAsia" w:cstheme="minorEastAsia"/>
                <w:color w:val="000000"/>
                <w:sz w:val="20"/>
                <w:szCs w:val="20"/>
                <w:lang w:eastAsia="zh-TW"/>
              </w:rPr>
              <w:t>掌握帕金森氏症的护理措施</w:t>
            </w:r>
          </w:p>
        </w:tc>
        <w:tc>
          <w:tcPr>
            <w:tcW w:w="1674" w:type="dxa"/>
          </w:tcPr>
          <w:p>
            <w:pPr>
              <w:snapToGrid w:val="0"/>
              <w:spacing w:line="288" w:lineRule="auto"/>
              <w:jc w:val="left"/>
              <w:rPr>
                <w:rFonts w:hint="eastAsia" w:ascii="宋体" w:hAnsi="宋体" w:eastAsia="PMingLiU"/>
                <w:color w:val="000000"/>
                <w:sz w:val="20"/>
                <w:szCs w:val="20"/>
                <w:lang w:eastAsia="zh-TW"/>
              </w:rPr>
            </w:pPr>
            <w:r>
              <w:rPr>
                <w:rFonts w:hint="eastAsia" w:ascii="宋体" w:hAnsi="宋体" w:eastAsia="宋体" w:cs="宋体"/>
                <w:color w:val="000000"/>
                <w:sz w:val="20"/>
                <w:szCs w:val="20"/>
                <w:lang w:eastAsia="zh-TW"/>
              </w:rPr>
              <w:t>能解释帕金森氏症的临床表现，并制定相应的护理措施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hint="default" w:ascii="宋体" w:hAnsi="宋体" w:eastAsia="宋体" w:cs="宋体"/>
                <w:color w:val="000000"/>
                <w:sz w:val="20"/>
                <w:szCs w:val="20"/>
                <w:lang w:val="en-US" w:eastAsia="zh-TW"/>
              </w:rPr>
            </w:pPr>
            <w:r>
              <w:rPr>
                <w:rFonts w:hint="eastAsia" w:ascii="宋体" w:hAnsi="宋体" w:eastAsia="宋体" w:cs="宋体"/>
                <w:color w:val="000000"/>
                <w:sz w:val="20"/>
                <w:szCs w:val="20"/>
                <w:lang w:eastAsia="zh-TW"/>
              </w:rPr>
              <w:t>重点:</w:t>
            </w:r>
            <w:r>
              <w:rPr>
                <w:rFonts w:hint="eastAsia" w:ascii="宋体" w:hAnsi="宋体" w:cs="宋体"/>
                <w:color w:val="000000"/>
                <w:sz w:val="20"/>
                <w:szCs w:val="20"/>
                <w:lang w:eastAsia="zh-TW"/>
              </w:rPr>
              <w:t>帕金森氏症的护理措施</w:t>
            </w:r>
          </w:p>
          <w:p>
            <w:pPr>
              <w:snapToGrid w:val="0"/>
              <w:spacing w:line="288" w:lineRule="auto"/>
              <w:jc w:val="left"/>
              <w:rPr>
                <w:rFonts w:ascii="宋体" w:hAnsi="宋体"/>
                <w:color w:val="000000"/>
                <w:sz w:val="20"/>
                <w:szCs w:val="20"/>
              </w:rPr>
            </w:pPr>
            <w:r>
              <w:rPr>
                <w:rFonts w:hint="eastAsia" w:ascii="宋体" w:hAnsi="宋体" w:eastAsia="宋体" w:cs="宋体"/>
                <w:color w:val="000000"/>
                <w:sz w:val="20"/>
                <w:szCs w:val="20"/>
                <w:lang w:eastAsia="zh-TW"/>
              </w:rPr>
              <w:t>难点:</w:t>
            </w:r>
            <w:r>
              <w:rPr>
                <w:rFonts w:hint="eastAsia" w:ascii="宋体" w:hAnsi="宋体" w:cs="宋体"/>
                <w:color w:val="000000"/>
                <w:sz w:val="20"/>
                <w:szCs w:val="20"/>
                <w:lang w:eastAsia="zh-TW"/>
              </w:rPr>
              <w:t>帕金森氏症的临床表现</w:t>
            </w:r>
          </w:p>
        </w:tc>
        <w:tc>
          <w:tcPr>
            <w:tcW w:w="418"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366"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default" w:ascii="Times New Roman" w:hAnsi="Times New Roman" w:eastAsia="PMingLiU" w:cs="Times New Roman"/>
                <w:color w:val="000000"/>
                <w:sz w:val="20"/>
                <w:szCs w:val="20"/>
                <w:lang w:val="en-US" w:eastAsia="zh-TW"/>
              </w:rPr>
              <w:t>0</w:t>
            </w:r>
          </w:p>
        </w:tc>
        <w:tc>
          <w:tcPr>
            <w:tcW w:w="418"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default" w:ascii="Times New Roman" w:hAnsi="Times New Roman" w:eastAsia="PMingLiU" w:cs="Times New Roman"/>
                <w:color w:val="000000"/>
                <w:sz w:val="20"/>
                <w:szCs w:val="20"/>
                <w:lang w:val="en-US" w:eastAsia="zh-TW"/>
              </w:rPr>
              <w:t>2</w:t>
            </w:r>
          </w:p>
        </w:tc>
      </w:tr>
      <w:tr>
        <w:trPr>
          <w:trHeight w:val="503" w:hRule="atLeast"/>
          <w:jc w:val="center"/>
        </w:trPr>
        <w:tc>
          <w:tcPr>
            <w:tcW w:w="448" w:type="dxa"/>
            <w:vAlign w:val="center"/>
          </w:tcPr>
          <w:p>
            <w:pPr>
              <w:snapToGrid w:val="0"/>
              <w:spacing w:line="288" w:lineRule="auto"/>
              <w:jc w:val="center"/>
              <w:rPr>
                <w:rFonts w:hint="eastAsia" w:ascii="宋体" w:hAnsi="宋体" w:eastAsia="PMingLiU"/>
                <w:color w:val="000000"/>
                <w:sz w:val="20"/>
                <w:szCs w:val="20"/>
                <w:lang w:val="en-US" w:eastAsia="zh-TW"/>
              </w:rPr>
            </w:pPr>
            <w:r>
              <w:rPr>
                <w:rFonts w:hint="eastAsia" w:ascii="宋体" w:hAnsi="宋体" w:eastAsia="PMingLiU"/>
                <w:color w:val="000000"/>
                <w:sz w:val="20"/>
                <w:szCs w:val="20"/>
                <w:lang w:val="en-US" w:eastAsia="zh-TW"/>
              </w:rPr>
              <w:t>9</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老年人的临终护理</w:t>
            </w:r>
          </w:p>
        </w:tc>
        <w:tc>
          <w:tcPr>
            <w:tcW w:w="1812" w:type="dxa"/>
          </w:tcPr>
          <w:p>
            <w:pPr>
              <w:numPr>
                <w:ilvl w:val="0"/>
                <w:numId w:val="6"/>
              </w:numPr>
              <w:snapToGrid w:val="0"/>
              <w:spacing w:line="288" w:lineRule="auto"/>
              <w:jc w:val="left"/>
              <w:rPr>
                <w:rFonts w:hint="eastAsia" w:ascii="宋体" w:hAnsi="宋体" w:eastAsia="宋体" w:cs="宋体"/>
                <w:color w:val="000000"/>
                <w:sz w:val="20"/>
                <w:szCs w:val="20"/>
                <w:lang w:val="en-US" w:eastAsia="zh-TW"/>
              </w:rPr>
            </w:pPr>
            <w:r>
              <w:rPr>
                <w:rFonts w:hint="eastAsia" w:ascii="宋体" w:hAnsi="宋体" w:eastAsia="宋体" w:cs="宋体"/>
                <w:color w:val="000000"/>
                <w:sz w:val="20"/>
                <w:szCs w:val="20"/>
                <w:lang w:val="en-US" w:eastAsia="zh-TW"/>
              </w:rPr>
              <w:t>了解国内外临终关怀史</w:t>
            </w:r>
          </w:p>
          <w:p>
            <w:pPr>
              <w:numPr>
                <w:ilvl w:val="0"/>
                <w:numId w:val="6"/>
              </w:numPr>
              <w:snapToGrid w:val="0"/>
              <w:spacing w:line="288" w:lineRule="auto"/>
              <w:jc w:val="left"/>
              <w:rPr>
                <w:rFonts w:hint="eastAsia" w:ascii="宋体" w:hAnsi="宋体" w:eastAsia="宋体" w:cs="宋体"/>
                <w:color w:val="000000"/>
                <w:sz w:val="20"/>
                <w:szCs w:val="20"/>
                <w:lang w:val="en-US" w:eastAsia="zh-TW"/>
              </w:rPr>
            </w:pPr>
            <w:r>
              <w:rPr>
                <w:rFonts w:hint="eastAsia" w:ascii="宋体" w:hAnsi="宋体" w:eastAsia="宋体" w:cs="宋体"/>
                <w:color w:val="000000"/>
                <w:sz w:val="20"/>
                <w:szCs w:val="20"/>
                <w:lang w:val="en-US" w:eastAsia="zh-TW"/>
              </w:rPr>
              <w:t>认识临终关怀与姑息照护的定义</w:t>
            </w:r>
          </w:p>
          <w:p>
            <w:pPr>
              <w:numPr>
                <w:ilvl w:val="0"/>
                <w:numId w:val="6"/>
              </w:numPr>
              <w:snapToGrid w:val="0"/>
              <w:spacing w:line="288" w:lineRule="auto"/>
              <w:jc w:val="left"/>
              <w:rPr>
                <w:rFonts w:hint="eastAsia" w:ascii="宋体" w:hAnsi="宋体" w:eastAsia="宋体" w:cs="宋体"/>
                <w:color w:val="000000"/>
                <w:sz w:val="20"/>
                <w:szCs w:val="20"/>
                <w:lang w:val="en-US" w:eastAsia="zh-TW"/>
              </w:rPr>
            </w:pPr>
            <w:r>
              <w:rPr>
                <w:rFonts w:hint="eastAsia" w:ascii="宋体" w:hAnsi="宋体" w:eastAsia="宋体" w:cs="宋体"/>
                <w:color w:val="000000"/>
                <w:sz w:val="20"/>
                <w:szCs w:val="20"/>
                <w:lang w:val="en-US" w:eastAsia="zh-TW"/>
              </w:rPr>
              <w:t>掌握临终护理措施</w:t>
            </w:r>
          </w:p>
          <w:p>
            <w:pPr>
              <w:numPr>
                <w:ilvl w:val="0"/>
                <w:numId w:val="6"/>
              </w:numPr>
              <w:snapToGrid w:val="0"/>
              <w:spacing w:line="288" w:lineRule="auto"/>
              <w:jc w:val="left"/>
              <w:rPr>
                <w:rFonts w:hint="eastAsia" w:ascii="宋体" w:hAnsi="宋体" w:eastAsia="宋体" w:cs="宋体"/>
                <w:color w:val="000000"/>
                <w:sz w:val="20"/>
                <w:szCs w:val="20"/>
                <w:lang w:val="en-US" w:eastAsia="zh-TW"/>
              </w:rPr>
            </w:pPr>
            <w:r>
              <w:rPr>
                <w:rFonts w:hint="eastAsia" w:ascii="宋体" w:hAnsi="宋体" w:eastAsia="宋体" w:cs="宋体"/>
                <w:color w:val="000000"/>
                <w:sz w:val="20"/>
                <w:szCs w:val="20"/>
                <w:lang w:val="en-US" w:eastAsia="zh-TW"/>
              </w:rPr>
              <w:t>阐释护理人员的调适与生死教育的推广</w:t>
            </w:r>
          </w:p>
          <w:p>
            <w:pPr>
              <w:numPr>
                <w:ilvl w:val="0"/>
                <w:numId w:val="0"/>
              </w:numPr>
              <w:snapToGrid w:val="0"/>
              <w:spacing w:line="288" w:lineRule="auto"/>
              <w:jc w:val="left"/>
              <w:rPr>
                <w:rFonts w:hint="default" w:ascii="宋体" w:hAnsi="宋体" w:eastAsia="PMingLiU"/>
                <w:color w:val="000000"/>
                <w:sz w:val="20"/>
                <w:szCs w:val="20"/>
                <w:lang w:val="en-US" w:eastAsia="zh-TW"/>
              </w:rPr>
            </w:pPr>
          </w:p>
        </w:tc>
        <w:tc>
          <w:tcPr>
            <w:tcW w:w="1674" w:type="dxa"/>
          </w:tcPr>
          <w:p>
            <w:pPr>
              <w:snapToGrid w:val="0"/>
              <w:spacing w:line="288" w:lineRule="auto"/>
              <w:jc w:val="left"/>
              <w:rPr>
                <w:rFonts w:hint="eastAsia" w:ascii="宋体" w:hAnsi="宋体" w:eastAsia="宋体" w:cs="宋体"/>
                <w:color w:val="000000"/>
                <w:sz w:val="20"/>
                <w:szCs w:val="20"/>
                <w:lang w:eastAsia="zh-TW"/>
              </w:rPr>
            </w:pPr>
            <w:r>
              <w:rPr>
                <w:rFonts w:hint="eastAsia" w:ascii="宋体" w:hAnsi="宋体" w:eastAsia="宋体" w:cs="宋体"/>
                <w:color w:val="000000"/>
                <w:sz w:val="20"/>
                <w:szCs w:val="20"/>
                <w:lang w:val="en-US" w:eastAsia="zh-TW"/>
              </w:rPr>
              <w:t>1.</w:t>
            </w:r>
            <w:r>
              <w:rPr>
                <w:rFonts w:hint="eastAsia" w:ascii="宋体" w:hAnsi="宋体" w:eastAsia="宋体" w:cs="宋体"/>
                <w:color w:val="000000"/>
                <w:sz w:val="20"/>
                <w:szCs w:val="20"/>
                <w:lang w:eastAsia="zh-TW"/>
              </w:rPr>
              <w:t>能举例说明临终关怀与姑息照护的定义</w:t>
            </w:r>
          </w:p>
          <w:p>
            <w:pPr>
              <w:snapToGrid w:val="0"/>
              <w:spacing w:line="288" w:lineRule="auto"/>
              <w:jc w:val="left"/>
              <w:rPr>
                <w:rFonts w:hint="default" w:ascii="宋体" w:hAnsi="宋体" w:eastAsia="PMingLiU"/>
                <w:color w:val="000000"/>
                <w:sz w:val="20"/>
                <w:szCs w:val="20"/>
                <w:lang w:val="en-US" w:eastAsia="zh-TW"/>
              </w:rPr>
            </w:pPr>
            <w:r>
              <w:rPr>
                <w:rFonts w:hint="eastAsia" w:ascii="宋体" w:hAnsi="宋体" w:eastAsia="宋体" w:cs="宋体"/>
                <w:color w:val="000000"/>
                <w:sz w:val="20"/>
                <w:szCs w:val="20"/>
                <w:lang w:val="en-US" w:eastAsia="zh-TW"/>
              </w:rPr>
              <w:t>2.能说出护理人员的调适技巧</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hint="default" w:ascii="宋体" w:hAnsi="宋体" w:eastAsia="宋体" w:cs="宋体"/>
                <w:color w:val="000000"/>
                <w:sz w:val="20"/>
                <w:szCs w:val="20"/>
                <w:lang w:val="en-US" w:eastAsia="zh-TW"/>
              </w:rPr>
            </w:pPr>
            <w:r>
              <w:rPr>
                <w:rFonts w:hint="eastAsia" w:ascii="宋体" w:hAnsi="宋体" w:eastAsia="宋体" w:cs="宋体"/>
                <w:color w:val="000000"/>
                <w:sz w:val="20"/>
                <w:szCs w:val="20"/>
                <w:lang w:eastAsia="zh-TW"/>
              </w:rPr>
              <w:t>重点:</w:t>
            </w:r>
            <w:r>
              <w:rPr>
                <w:rFonts w:hint="eastAsia" w:ascii="宋体" w:hAnsi="宋体" w:cs="宋体"/>
                <w:color w:val="000000"/>
                <w:sz w:val="20"/>
                <w:szCs w:val="20"/>
                <w:lang w:eastAsia="zh-TW"/>
              </w:rPr>
              <w:t>临终护理措施</w:t>
            </w:r>
          </w:p>
          <w:p>
            <w:pPr>
              <w:snapToGrid w:val="0"/>
              <w:spacing w:line="288" w:lineRule="auto"/>
              <w:jc w:val="left"/>
              <w:rPr>
                <w:rFonts w:ascii="宋体" w:hAnsi="宋体"/>
                <w:color w:val="000000"/>
                <w:sz w:val="20"/>
                <w:szCs w:val="20"/>
              </w:rPr>
            </w:pPr>
            <w:r>
              <w:rPr>
                <w:rFonts w:hint="eastAsia" w:ascii="宋体" w:hAnsi="宋体" w:eastAsia="宋体" w:cs="宋体"/>
                <w:color w:val="000000"/>
                <w:sz w:val="20"/>
                <w:szCs w:val="20"/>
                <w:lang w:eastAsia="zh-TW"/>
              </w:rPr>
              <w:t>难点:</w:t>
            </w:r>
            <w:r>
              <w:rPr>
                <w:rFonts w:hint="eastAsia" w:ascii="宋体" w:hAnsi="宋体" w:cs="宋体"/>
                <w:color w:val="000000"/>
                <w:sz w:val="20"/>
                <w:szCs w:val="20"/>
                <w:lang w:eastAsia="zh-TW"/>
              </w:rPr>
              <w:t>临终关怀与姑息照护的关系</w:t>
            </w:r>
          </w:p>
        </w:tc>
        <w:tc>
          <w:tcPr>
            <w:tcW w:w="418"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366"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default" w:ascii="Times New Roman" w:hAnsi="Times New Roman" w:eastAsia="PMingLiU" w:cs="Times New Roman"/>
                <w:color w:val="000000"/>
                <w:sz w:val="20"/>
                <w:szCs w:val="20"/>
                <w:lang w:val="en-US" w:eastAsia="zh-TW"/>
              </w:rPr>
              <w:t>2</w:t>
            </w:r>
          </w:p>
        </w:tc>
        <w:tc>
          <w:tcPr>
            <w:tcW w:w="418"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default" w:ascii="Times New Roman" w:hAnsi="Times New Roman" w:eastAsia="PMingLiU" w:cs="Times New Roman"/>
                <w:color w:val="000000"/>
                <w:sz w:val="20"/>
                <w:szCs w:val="20"/>
                <w:lang w:val="en-US" w:eastAsia="zh-TW"/>
              </w:rPr>
              <w:t>4</w:t>
            </w:r>
          </w:p>
        </w:tc>
      </w:tr>
      <w:tr>
        <w:trPr>
          <w:trHeight w:val="503" w:hRule="atLeast"/>
          <w:jc w:val="center"/>
        </w:trPr>
        <w:tc>
          <w:tcPr>
            <w:tcW w:w="448" w:type="dxa"/>
            <w:vAlign w:val="center"/>
          </w:tcPr>
          <w:p>
            <w:pPr>
              <w:snapToGrid w:val="0"/>
              <w:spacing w:line="288" w:lineRule="auto"/>
              <w:jc w:val="center"/>
              <w:rPr>
                <w:rFonts w:hint="eastAsia" w:ascii="宋体" w:hAnsi="宋体" w:eastAsia="PMingLiU"/>
                <w:color w:val="000000"/>
                <w:sz w:val="20"/>
                <w:szCs w:val="20"/>
                <w:lang w:val="en-US" w:eastAsia="zh-TW"/>
              </w:rPr>
            </w:pPr>
            <w:r>
              <w:rPr>
                <w:rFonts w:hint="eastAsia" w:ascii="宋体" w:hAnsi="宋体"/>
                <w:color w:val="000000"/>
                <w:sz w:val="20"/>
                <w:szCs w:val="20"/>
              </w:rPr>
              <w:t>1</w:t>
            </w:r>
            <w:r>
              <w:rPr>
                <w:rFonts w:hint="eastAsia" w:ascii="宋体" w:hAnsi="宋体" w:eastAsia="PMingLiU"/>
                <w:color w:val="000000"/>
                <w:sz w:val="20"/>
                <w:szCs w:val="20"/>
                <w:lang w:val="en-US" w:eastAsia="zh-TW"/>
              </w:rPr>
              <w:t>0</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老年人虐待问题与老年人权益保障</w:t>
            </w:r>
          </w:p>
        </w:tc>
        <w:tc>
          <w:tcPr>
            <w:tcW w:w="1812" w:type="dxa"/>
          </w:tcPr>
          <w:p>
            <w:pPr>
              <w:numPr>
                <w:ilvl w:val="0"/>
                <w:numId w:val="7"/>
              </w:numPr>
              <w:snapToGrid w:val="0"/>
              <w:spacing w:line="288" w:lineRule="auto"/>
              <w:jc w:val="left"/>
              <w:rPr>
                <w:rFonts w:hint="eastAsia" w:ascii="宋体" w:hAnsi="宋体" w:eastAsia="宋体" w:cs="宋体"/>
                <w:color w:val="000000"/>
                <w:sz w:val="20"/>
                <w:szCs w:val="20"/>
                <w:lang w:val="en-US" w:eastAsia="zh-TW"/>
              </w:rPr>
            </w:pPr>
            <w:r>
              <w:rPr>
                <w:rFonts w:hint="eastAsia" w:ascii="宋体" w:hAnsi="宋体" w:eastAsia="宋体" w:cs="宋体"/>
                <w:color w:val="000000"/>
                <w:sz w:val="20"/>
                <w:szCs w:val="20"/>
                <w:lang w:val="en-US" w:eastAsia="zh-TW"/>
              </w:rPr>
              <w:t>认识老人虐待定义与种类</w:t>
            </w:r>
          </w:p>
          <w:p>
            <w:pPr>
              <w:numPr>
                <w:ilvl w:val="0"/>
                <w:numId w:val="7"/>
              </w:numPr>
              <w:snapToGrid w:val="0"/>
              <w:spacing w:line="288" w:lineRule="auto"/>
              <w:jc w:val="left"/>
              <w:rPr>
                <w:rFonts w:hint="eastAsia" w:ascii="宋体" w:hAnsi="宋体" w:eastAsia="宋体" w:cs="宋体"/>
                <w:color w:val="000000"/>
                <w:sz w:val="20"/>
                <w:szCs w:val="20"/>
                <w:lang w:val="en-US" w:eastAsia="zh-TW"/>
              </w:rPr>
            </w:pPr>
            <w:r>
              <w:rPr>
                <w:rFonts w:hint="eastAsia" w:ascii="宋体" w:hAnsi="宋体" w:eastAsia="宋体" w:cs="宋体"/>
                <w:color w:val="000000"/>
                <w:sz w:val="20"/>
                <w:szCs w:val="20"/>
                <w:lang w:val="en-US" w:eastAsia="zh-TW"/>
              </w:rPr>
              <w:t>掌握老人虐待问题的预防与干预</w:t>
            </w:r>
          </w:p>
          <w:p>
            <w:pPr>
              <w:numPr>
                <w:ilvl w:val="0"/>
                <w:numId w:val="7"/>
              </w:numPr>
              <w:snapToGrid w:val="0"/>
              <w:spacing w:line="288" w:lineRule="auto"/>
              <w:jc w:val="left"/>
              <w:rPr>
                <w:rFonts w:hint="default" w:ascii="宋体" w:hAnsi="宋体" w:eastAsia="PMingLiU"/>
                <w:color w:val="000000"/>
                <w:sz w:val="20"/>
                <w:szCs w:val="20"/>
                <w:lang w:val="en-US" w:eastAsia="zh-TW"/>
              </w:rPr>
            </w:pPr>
            <w:r>
              <w:rPr>
                <w:rFonts w:hint="eastAsia" w:ascii="宋体" w:hAnsi="宋体" w:eastAsia="宋体" w:cs="宋体"/>
                <w:color w:val="000000"/>
                <w:sz w:val="20"/>
                <w:szCs w:val="20"/>
                <w:lang w:val="en-US" w:eastAsia="zh-TW"/>
              </w:rPr>
              <w:t>阐释老年人的权益保障</w:t>
            </w:r>
          </w:p>
        </w:tc>
        <w:tc>
          <w:tcPr>
            <w:tcW w:w="1674" w:type="dxa"/>
          </w:tcPr>
          <w:p>
            <w:pPr>
              <w:snapToGrid w:val="0"/>
              <w:spacing w:line="288" w:lineRule="auto"/>
              <w:jc w:val="left"/>
              <w:rPr>
                <w:rFonts w:hint="eastAsia" w:ascii="宋体" w:hAnsi="宋体" w:eastAsia="PMingLiU"/>
                <w:color w:val="000000"/>
                <w:sz w:val="20"/>
                <w:szCs w:val="20"/>
                <w:lang w:eastAsia="zh-TW"/>
              </w:rPr>
            </w:pPr>
            <w:r>
              <w:rPr>
                <w:rFonts w:hint="eastAsia" w:ascii="宋体" w:hAnsi="宋体" w:eastAsia="宋体" w:cs="宋体"/>
                <w:color w:val="000000"/>
                <w:sz w:val="20"/>
                <w:szCs w:val="20"/>
                <w:lang w:eastAsia="zh-TW"/>
              </w:rPr>
              <w:t>能举例说出老年人受虐后的因应措施至少三个</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hint="default" w:ascii="宋体" w:hAnsi="宋体" w:eastAsia="宋体" w:cs="宋体"/>
                <w:color w:val="000000"/>
                <w:sz w:val="20"/>
                <w:szCs w:val="20"/>
                <w:lang w:val="en-US" w:eastAsia="zh-TW"/>
              </w:rPr>
            </w:pPr>
            <w:r>
              <w:rPr>
                <w:rFonts w:hint="eastAsia" w:ascii="宋体" w:hAnsi="宋体" w:eastAsia="宋体" w:cs="宋体"/>
                <w:color w:val="000000"/>
                <w:sz w:val="20"/>
                <w:szCs w:val="20"/>
                <w:lang w:eastAsia="zh-TW"/>
              </w:rPr>
              <w:t>重点:</w:t>
            </w:r>
            <w:r>
              <w:rPr>
                <w:rFonts w:hint="eastAsia" w:ascii="宋体" w:hAnsi="宋体" w:cs="宋体"/>
                <w:color w:val="000000"/>
                <w:sz w:val="20"/>
                <w:szCs w:val="20"/>
                <w:lang w:eastAsia="zh-TW"/>
              </w:rPr>
              <w:t>老人虐待的定义与种类</w:t>
            </w:r>
          </w:p>
          <w:p>
            <w:pPr>
              <w:snapToGrid w:val="0"/>
              <w:spacing w:line="288" w:lineRule="auto"/>
              <w:jc w:val="left"/>
              <w:rPr>
                <w:rFonts w:ascii="宋体" w:hAnsi="宋体"/>
                <w:color w:val="000000"/>
                <w:sz w:val="20"/>
                <w:szCs w:val="20"/>
              </w:rPr>
            </w:pPr>
            <w:r>
              <w:rPr>
                <w:rFonts w:hint="eastAsia" w:ascii="宋体" w:hAnsi="宋体" w:eastAsia="宋体" w:cs="宋体"/>
                <w:color w:val="000000"/>
                <w:sz w:val="20"/>
                <w:szCs w:val="20"/>
                <w:lang w:eastAsia="zh-TW"/>
              </w:rPr>
              <w:t>难点:</w:t>
            </w:r>
            <w:r>
              <w:rPr>
                <w:rFonts w:hint="eastAsia" w:ascii="宋体" w:hAnsi="宋体" w:cs="宋体"/>
                <w:color w:val="000000"/>
                <w:sz w:val="20"/>
                <w:szCs w:val="20"/>
                <w:lang w:eastAsia="zh-TW"/>
              </w:rPr>
              <w:t>老人虐待问题的预防与干预</w:t>
            </w:r>
          </w:p>
        </w:tc>
        <w:tc>
          <w:tcPr>
            <w:tcW w:w="418"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366"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default" w:ascii="Times New Roman" w:hAnsi="Times New Roman" w:eastAsia="PMingLiU" w:cs="Times New Roman"/>
                <w:color w:val="000000"/>
                <w:sz w:val="20"/>
                <w:szCs w:val="20"/>
                <w:lang w:val="en-US" w:eastAsia="zh-TW"/>
              </w:rPr>
              <w:t>0</w:t>
            </w:r>
          </w:p>
        </w:tc>
        <w:tc>
          <w:tcPr>
            <w:tcW w:w="418" w:type="dxa"/>
          </w:tcPr>
          <w:p>
            <w:pPr>
              <w:snapToGrid w:val="0"/>
              <w:spacing w:line="288" w:lineRule="auto"/>
              <w:jc w:val="left"/>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r>
      <w:tr>
        <w:trPr>
          <w:trHeight w:val="503" w:hRule="atLeast"/>
          <w:jc w:val="center"/>
        </w:trPr>
        <w:tc>
          <w:tcPr>
            <w:tcW w:w="448" w:type="dxa"/>
            <w:vAlign w:val="center"/>
          </w:tcPr>
          <w:p>
            <w:pPr>
              <w:snapToGrid w:val="0"/>
              <w:spacing w:line="288" w:lineRule="auto"/>
              <w:jc w:val="center"/>
              <w:rPr>
                <w:rFonts w:hint="default" w:ascii="宋体" w:hAnsi="宋体" w:eastAsia="PMingLiU"/>
                <w:color w:val="000000"/>
                <w:sz w:val="20"/>
                <w:szCs w:val="20"/>
                <w:lang w:val="en-US" w:eastAsia="zh-TW"/>
              </w:rPr>
            </w:pPr>
            <w:r>
              <w:rPr>
                <w:rFonts w:hint="eastAsia" w:ascii="宋体" w:hAnsi="宋体" w:eastAsia="PMingLiU"/>
                <w:color w:val="000000"/>
                <w:sz w:val="20"/>
                <w:szCs w:val="20"/>
                <w:lang w:val="en-US" w:eastAsia="zh-TW"/>
              </w:rPr>
              <w:t>11</w:t>
            </w:r>
          </w:p>
        </w:tc>
        <w:tc>
          <w:tcPr>
            <w:tcW w:w="759" w:type="dxa"/>
            <w:vAlign w:val="center"/>
          </w:tcPr>
          <w:p>
            <w:pPr>
              <w:snapToGrid w:val="0"/>
              <w:spacing w:line="288" w:lineRule="auto"/>
              <w:jc w:val="center"/>
              <w:rPr>
                <w:rFonts w:hint="default" w:ascii="宋体" w:hAnsi="宋体" w:eastAsia="PMingLiU"/>
                <w:color w:val="000000"/>
                <w:sz w:val="20"/>
                <w:szCs w:val="20"/>
                <w:lang w:val="en-US" w:eastAsia="zh-TW"/>
              </w:rPr>
            </w:pPr>
            <w:r>
              <w:rPr>
                <w:rFonts w:hint="eastAsia" w:ascii="宋体" w:hAnsi="宋体" w:eastAsia="宋体" w:cs="宋体"/>
                <w:color w:val="000000"/>
                <w:sz w:val="20"/>
                <w:szCs w:val="20"/>
                <w:lang w:val="en-US" w:eastAsia="zh-TW"/>
              </w:rPr>
              <w:t>老年人的健康保健与养老照顾</w:t>
            </w:r>
          </w:p>
        </w:tc>
        <w:tc>
          <w:tcPr>
            <w:tcW w:w="1812" w:type="dxa"/>
          </w:tcPr>
          <w:p>
            <w:pPr>
              <w:numPr>
                <w:ilvl w:val="0"/>
                <w:numId w:val="8"/>
              </w:numPr>
              <w:snapToGrid w:val="0"/>
              <w:spacing w:line="288" w:lineRule="auto"/>
              <w:jc w:val="left"/>
              <w:rPr>
                <w:rFonts w:hint="eastAsia" w:ascii="宋体" w:hAnsi="宋体" w:cs="宋体"/>
                <w:color w:val="000000"/>
                <w:sz w:val="20"/>
                <w:szCs w:val="20"/>
                <w:lang w:val="en-US" w:eastAsia="zh-TW"/>
              </w:rPr>
            </w:pPr>
            <w:r>
              <w:rPr>
                <w:rFonts w:hint="eastAsia" w:ascii="宋体" w:hAnsi="宋体" w:cs="宋体"/>
                <w:color w:val="000000"/>
                <w:sz w:val="20"/>
                <w:szCs w:val="20"/>
                <w:lang w:val="en-US" w:eastAsia="zh-TW"/>
              </w:rPr>
              <w:t>认识老年保健、养老与照顾的定义</w:t>
            </w:r>
          </w:p>
          <w:p>
            <w:pPr>
              <w:numPr>
                <w:ilvl w:val="0"/>
                <w:numId w:val="8"/>
              </w:numPr>
              <w:snapToGrid w:val="0"/>
              <w:spacing w:line="288" w:lineRule="auto"/>
              <w:jc w:val="left"/>
              <w:rPr>
                <w:rFonts w:hint="default" w:ascii="宋体" w:hAnsi="宋体" w:cs="宋体"/>
                <w:color w:val="000000"/>
                <w:sz w:val="20"/>
                <w:szCs w:val="20"/>
                <w:lang w:val="en-US" w:eastAsia="zh-TW"/>
              </w:rPr>
            </w:pPr>
            <w:r>
              <w:rPr>
                <w:rFonts w:hint="eastAsia" w:ascii="宋体" w:hAnsi="宋体" w:cs="宋体"/>
                <w:color w:val="000000"/>
                <w:sz w:val="20"/>
                <w:szCs w:val="20"/>
                <w:lang w:val="en-US" w:eastAsia="zh-TW"/>
              </w:rPr>
              <w:t>掌握老年保健的策略与措施</w:t>
            </w:r>
          </w:p>
          <w:p>
            <w:pPr>
              <w:numPr>
                <w:ilvl w:val="0"/>
                <w:numId w:val="8"/>
              </w:numPr>
              <w:snapToGrid w:val="0"/>
              <w:spacing w:line="288" w:lineRule="auto"/>
              <w:jc w:val="left"/>
              <w:rPr>
                <w:rFonts w:hint="default" w:ascii="宋体" w:hAnsi="宋体" w:cs="宋体"/>
                <w:color w:val="000000"/>
                <w:sz w:val="20"/>
                <w:szCs w:val="20"/>
                <w:lang w:val="en-US" w:eastAsia="zh-TW"/>
              </w:rPr>
            </w:pPr>
            <w:r>
              <w:rPr>
                <w:rFonts w:hint="eastAsia" w:ascii="宋体" w:hAnsi="宋体" w:cs="宋体"/>
                <w:color w:val="000000"/>
                <w:sz w:val="20"/>
                <w:szCs w:val="20"/>
                <w:lang w:val="en-US" w:eastAsia="zh-TW"/>
              </w:rPr>
              <w:t>阐述我国与其他国家的养老模式</w:t>
            </w:r>
          </w:p>
        </w:tc>
        <w:tc>
          <w:tcPr>
            <w:tcW w:w="1674" w:type="dxa"/>
          </w:tcPr>
          <w:p>
            <w:pPr>
              <w:snapToGrid w:val="0"/>
              <w:spacing w:line="288" w:lineRule="auto"/>
              <w:jc w:val="left"/>
              <w:rPr>
                <w:rFonts w:hint="eastAsia" w:ascii="宋体" w:hAnsi="宋体" w:eastAsia="宋体" w:cs="宋体"/>
                <w:color w:val="000000"/>
                <w:sz w:val="20"/>
                <w:szCs w:val="20"/>
                <w:lang w:eastAsia="zh-TW"/>
              </w:rPr>
            </w:pPr>
            <w:r>
              <w:rPr>
                <w:rFonts w:hint="eastAsia" w:ascii="宋体" w:hAnsi="宋体" w:cs="宋体"/>
                <w:color w:val="000000"/>
                <w:sz w:val="20"/>
                <w:szCs w:val="20"/>
                <w:lang w:eastAsia="zh-TW"/>
              </w:rPr>
              <w:t>能举例说明老年保健的策略与措施至少三项</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hint="eastAsia"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hint="default" w:ascii="宋体" w:hAnsi="宋体" w:eastAsia="宋体" w:cs="宋体"/>
                <w:color w:val="000000"/>
                <w:sz w:val="20"/>
                <w:szCs w:val="20"/>
                <w:lang w:val="en-US" w:eastAsia="zh-TW"/>
              </w:rPr>
            </w:pPr>
            <w:r>
              <w:rPr>
                <w:rFonts w:hint="eastAsia" w:ascii="宋体" w:hAnsi="宋体" w:eastAsia="宋体" w:cs="宋体"/>
                <w:color w:val="000000"/>
                <w:sz w:val="20"/>
                <w:szCs w:val="20"/>
                <w:lang w:eastAsia="zh-TW"/>
              </w:rPr>
              <w:t>重点</w:t>
            </w:r>
            <w:r>
              <w:rPr>
                <w:rFonts w:hint="eastAsia" w:ascii="宋体" w:hAnsi="宋体" w:cs="宋体"/>
                <w:color w:val="000000"/>
                <w:sz w:val="20"/>
                <w:szCs w:val="20"/>
                <w:lang w:val="en-US" w:eastAsia="zh-TW"/>
              </w:rPr>
              <w:t>:老年保健的策略与措施</w:t>
            </w:r>
          </w:p>
          <w:p>
            <w:pPr>
              <w:snapToGrid w:val="0"/>
              <w:spacing w:line="288" w:lineRule="auto"/>
              <w:jc w:val="left"/>
              <w:rPr>
                <w:rFonts w:hint="eastAsia" w:ascii="宋体" w:hAnsi="宋体" w:eastAsia="宋体" w:cs="宋体"/>
                <w:color w:val="000000"/>
                <w:sz w:val="20"/>
                <w:szCs w:val="20"/>
                <w:lang w:eastAsia="zh-TW"/>
              </w:rPr>
            </w:pPr>
            <w:r>
              <w:rPr>
                <w:rFonts w:hint="eastAsia" w:ascii="宋体" w:hAnsi="宋体" w:eastAsia="宋体" w:cs="宋体"/>
                <w:color w:val="000000"/>
                <w:sz w:val="20"/>
                <w:szCs w:val="20"/>
                <w:lang w:eastAsia="zh-TW"/>
              </w:rPr>
              <w:t>难点:</w:t>
            </w:r>
            <w:r>
              <w:rPr>
                <w:rFonts w:hint="eastAsia" w:ascii="宋体" w:hAnsi="宋体" w:cs="宋体"/>
                <w:color w:val="000000"/>
                <w:sz w:val="20"/>
                <w:szCs w:val="20"/>
                <w:lang w:eastAsia="zh-TW"/>
              </w:rPr>
              <w:t>我国的养老模式</w:t>
            </w:r>
          </w:p>
        </w:tc>
        <w:tc>
          <w:tcPr>
            <w:tcW w:w="418"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default" w:ascii="Times New Roman" w:hAnsi="Times New Roman" w:eastAsia="PMingLiU" w:cs="Times New Roman"/>
                <w:color w:val="000000"/>
                <w:sz w:val="20"/>
                <w:szCs w:val="20"/>
                <w:lang w:val="en-US" w:eastAsia="zh-TW"/>
              </w:rPr>
              <w:t>2</w:t>
            </w:r>
          </w:p>
        </w:tc>
        <w:tc>
          <w:tcPr>
            <w:tcW w:w="366"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default" w:ascii="Times New Roman" w:hAnsi="Times New Roman" w:eastAsia="PMingLiU" w:cs="Times New Roman"/>
                <w:color w:val="000000"/>
                <w:sz w:val="20"/>
                <w:szCs w:val="20"/>
                <w:lang w:val="en-US" w:eastAsia="zh-TW"/>
              </w:rPr>
              <w:t>0</w:t>
            </w:r>
          </w:p>
        </w:tc>
        <w:tc>
          <w:tcPr>
            <w:tcW w:w="418"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default" w:ascii="Times New Roman" w:hAnsi="Times New Roman" w:eastAsia="PMingLiU" w:cs="Times New Roman"/>
                <w:color w:val="000000"/>
                <w:sz w:val="20"/>
                <w:szCs w:val="20"/>
                <w:lang w:val="en-US" w:eastAsia="zh-TW"/>
              </w:rPr>
              <w:t>2</w:t>
            </w:r>
          </w:p>
        </w:tc>
      </w:tr>
      <w:tr>
        <w:trPr>
          <w:trHeight w:val="503" w:hRule="atLeast"/>
          <w:jc w:val="center"/>
        </w:trPr>
        <w:tc>
          <w:tcPr>
            <w:tcW w:w="448" w:type="dxa"/>
            <w:vAlign w:val="center"/>
          </w:tcPr>
          <w:p>
            <w:pPr>
              <w:snapToGrid w:val="0"/>
              <w:spacing w:line="288" w:lineRule="auto"/>
              <w:jc w:val="center"/>
              <w:rPr>
                <w:rFonts w:hint="default" w:ascii="宋体" w:hAnsi="宋体" w:eastAsia="PMingLiU"/>
                <w:color w:val="000000"/>
                <w:sz w:val="20"/>
                <w:szCs w:val="20"/>
                <w:lang w:val="en-US" w:eastAsia="zh-TW"/>
              </w:rPr>
            </w:pPr>
            <w:r>
              <w:rPr>
                <w:rFonts w:hint="eastAsia" w:ascii="宋体" w:hAnsi="宋体" w:eastAsia="宋体" w:cs="宋体"/>
                <w:b/>
                <w:bCs/>
                <w:color w:val="000000"/>
                <w:sz w:val="20"/>
                <w:szCs w:val="20"/>
                <w:lang w:val="en-US" w:eastAsia="zh-TW"/>
              </w:rPr>
              <w:t>合计</w:t>
            </w:r>
          </w:p>
        </w:tc>
        <w:tc>
          <w:tcPr>
            <w:tcW w:w="759" w:type="dxa"/>
            <w:vAlign w:val="center"/>
          </w:tcPr>
          <w:p>
            <w:pPr>
              <w:snapToGrid w:val="0"/>
              <w:spacing w:line="288" w:lineRule="auto"/>
              <w:jc w:val="center"/>
              <w:rPr>
                <w:rFonts w:hint="eastAsia" w:ascii="宋体" w:hAnsi="宋体" w:eastAsia="宋体" w:cs="宋体"/>
                <w:color w:val="000000"/>
                <w:sz w:val="20"/>
                <w:szCs w:val="20"/>
                <w:lang w:val="en-US" w:eastAsia="zh-TW"/>
              </w:rPr>
            </w:pPr>
          </w:p>
        </w:tc>
        <w:tc>
          <w:tcPr>
            <w:tcW w:w="1812" w:type="dxa"/>
          </w:tcPr>
          <w:p>
            <w:pPr>
              <w:numPr>
                <w:ilvl w:val="0"/>
                <w:numId w:val="0"/>
              </w:numPr>
              <w:snapToGrid w:val="0"/>
              <w:spacing w:line="288" w:lineRule="auto"/>
              <w:jc w:val="left"/>
              <w:rPr>
                <w:rFonts w:hint="eastAsia" w:ascii="宋体" w:hAnsi="宋体" w:cs="宋体"/>
                <w:color w:val="000000"/>
                <w:sz w:val="20"/>
                <w:szCs w:val="20"/>
                <w:lang w:val="en-US" w:eastAsia="zh-TW"/>
              </w:rPr>
            </w:pPr>
          </w:p>
        </w:tc>
        <w:tc>
          <w:tcPr>
            <w:tcW w:w="1674" w:type="dxa"/>
          </w:tcPr>
          <w:p>
            <w:pPr>
              <w:snapToGrid w:val="0"/>
              <w:spacing w:line="288" w:lineRule="auto"/>
              <w:jc w:val="left"/>
              <w:rPr>
                <w:rFonts w:hint="eastAsia" w:ascii="宋体" w:hAnsi="宋体" w:cs="宋体"/>
                <w:color w:val="000000"/>
                <w:sz w:val="20"/>
                <w:szCs w:val="20"/>
                <w:lang w:eastAsia="zh-TW"/>
              </w:rPr>
            </w:pPr>
          </w:p>
        </w:tc>
        <w:tc>
          <w:tcPr>
            <w:tcW w:w="1312" w:type="dxa"/>
          </w:tcPr>
          <w:p>
            <w:pPr>
              <w:snapToGrid w:val="0"/>
              <w:spacing w:line="288" w:lineRule="auto"/>
              <w:jc w:val="left"/>
              <w:rPr>
                <w:rFonts w:hint="eastAsia" w:ascii="宋体" w:hAnsi="宋体"/>
                <w:color w:val="000000"/>
                <w:sz w:val="20"/>
                <w:szCs w:val="20"/>
              </w:rPr>
            </w:pPr>
          </w:p>
        </w:tc>
        <w:tc>
          <w:tcPr>
            <w:tcW w:w="1312" w:type="dxa"/>
          </w:tcPr>
          <w:p>
            <w:pPr>
              <w:snapToGrid w:val="0"/>
              <w:spacing w:line="288" w:lineRule="auto"/>
              <w:jc w:val="left"/>
              <w:rPr>
                <w:rFonts w:hint="eastAsia" w:ascii="宋体" w:hAnsi="宋体" w:eastAsia="宋体" w:cs="宋体"/>
                <w:color w:val="000000"/>
                <w:sz w:val="20"/>
                <w:szCs w:val="20"/>
                <w:lang w:eastAsia="zh-TW"/>
              </w:rPr>
            </w:pPr>
          </w:p>
        </w:tc>
        <w:tc>
          <w:tcPr>
            <w:tcW w:w="418"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eastAsia" w:ascii="Times New Roman" w:hAnsi="Times New Roman" w:eastAsia="PMingLiU" w:cs="Times New Roman"/>
                <w:color w:val="000000"/>
                <w:sz w:val="20"/>
                <w:szCs w:val="20"/>
                <w:lang w:val="en-US" w:eastAsia="zh-TW"/>
              </w:rPr>
              <w:t>24</w:t>
            </w:r>
          </w:p>
        </w:tc>
        <w:tc>
          <w:tcPr>
            <w:tcW w:w="366"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eastAsia" w:ascii="Times New Roman" w:hAnsi="Times New Roman" w:eastAsia="PMingLiU" w:cs="Times New Roman"/>
                <w:color w:val="000000"/>
                <w:sz w:val="20"/>
                <w:szCs w:val="20"/>
                <w:lang w:val="en-US" w:eastAsia="zh-TW"/>
              </w:rPr>
              <w:t>8</w:t>
            </w:r>
          </w:p>
        </w:tc>
        <w:tc>
          <w:tcPr>
            <w:tcW w:w="418" w:type="dxa"/>
          </w:tcPr>
          <w:p>
            <w:pPr>
              <w:snapToGrid w:val="0"/>
              <w:spacing w:line="288" w:lineRule="auto"/>
              <w:jc w:val="left"/>
              <w:rPr>
                <w:rFonts w:hint="default" w:ascii="Times New Roman" w:hAnsi="Times New Roman" w:eastAsia="PMingLiU" w:cs="Times New Roman"/>
                <w:color w:val="000000"/>
                <w:sz w:val="20"/>
                <w:szCs w:val="20"/>
                <w:lang w:val="en-US" w:eastAsia="zh-TW"/>
              </w:rPr>
            </w:pPr>
            <w:r>
              <w:rPr>
                <w:rFonts w:hint="eastAsia" w:ascii="Times New Roman" w:hAnsi="Times New Roman" w:eastAsia="PMingLiU" w:cs="Times New Roman"/>
                <w:color w:val="000000"/>
                <w:sz w:val="20"/>
                <w:szCs w:val="20"/>
                <w:lang w:val="en-US" w:eastAsia="zh-TW"/>
              </w:rPr>
              <w:t>32</w:t>
            </w:r>
          </w:p>
        </w:tc>
      </w:tr>
    </w:tbl>
    <w:p>
      <w:pPr>
        <w:snapToGrid w:val="0"/>
        <w:spacing w:line="288" w:lineRule="auto"/>
        <w:ind w:right="26"/>
        <w:rPr>
          <w:sz w:val="20"/>
          <w:szCs w:val="20"/>
        </w:rPr>
      </w:pPr>
    </w:p>
    <w:p>
      <w:pPr>
        <w:widowControl/>
        <w:numPr>
          <w:ilvl w:val="0"/>
          <w:numId w:val="9"/>
        </w:numPr>
        <w:spacing w:before="156" w:beforeLines="50" w:after="156" w:afterLines="50" w:line="288" w:lineRule="auto"/>
        <w:ind w:firstLine="360" w:firstLineChars="150"/>
        <w:jc w:val="left"/>
        <w:rPr>
          <w:rFonts w:hint="eastAsia" w:ascii="黑体" w:hAnsi="宋体" w:eastAsia="黑体"/>
          <w:sz w:val="24"/>
        </w:rPr>
      </w:pPr>
      <w:r>
        <w:rPr>
          <w:rFonts w:hint="eastAsia" w:ascii="黑体" w:hAnsi="宋体" w:eastAsia="黑体"/>
          <w:sz w:val="24"/>
        </w:rPr>
        <w:t>课内实验名称及基本要求</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16"/>
        <w:gridCol w:w="2929"/>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宋体" w:hAnsi="宋体" w:eastAsia="宋体" w:cs="宋体"/>
                <w:color w:val="000000"/>
                <w:sz w:val="20"/>
                <w:szCs w:val="20"/>
                <w:lang w:val="en-US" w:eastAsia="zh-TW"/>
              </w:rPr>
            </w:pPr>
            <w:r>
              <w:rPr>
                <w:rFonts w:hint="eastAsia" w:ascii="宋体" w:hAnsi="宋体" w:eastAsia="宋体" w:cs="宋体"/>
                <w:color w:val="000000"/>
                <w:sz w:val="20"/>
                <w:szCs w:val="20"/>
                <w:lang w:val="en-US" w:eastAsia="zh-TW"/>
              </w:rPr>
              <w:t>专题报告:</w:t>
            </w:r>
          </w:p>
          <w:p>
            <w:pPr>
              <w:snapToGrid w:val="0"/>
              <w:spacing w:line="240" w:lineRule="auto"/>
              <w:jc w:val="center"/>
              <w:rPr>
                <w:rFonts w:hint="eastAsia" w:ascii="宋体" w:hAnsi="宋体" w:eastAsia="宋体" w:cs="宋体"/>
                <w:color w:val="000000"/>
                <w:sz w:val="20"/>
                <w:szCs w:val="20"/>
                <w:lang w:val="en-US" w:eastAsia="zh-TW"/>
              </w:rPr>
            </w:pPr>
            <w:r>
              <w:rPr>
                <w:rFonts w:hint="eastAsia" w:ascii="宋体" w:hAnsi="宋体" w:eastAsia="宋体" w:cs="宋体"/>
                <w:color w:val="000000"/>
                <w:sz w:val="20"/>
                <w:szCs w:val="20"/>
                <w:lang w:eastAsia="zh-CN"/>
              </w:rPr>
              <w:t>老年人的健康评估</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宋体" w:hAnsi="宋体" w:eastAsia="宋体" w:cs="宋体"/>
                <w:color w:val="000000"/>
                <w:sz w:val="20"/>
                <w:szCs w:val="20"/>
                <w:lang w:val="en-US" w:eastAsia="zh-TW"/>
              </w:rPr>
            </w:pPr>
            <w:r>
              <w:rPr>
                <w:rFonts w:hint="eastAsia" w:ascii="宋体" w:hAnsi="宋体" w:eastAsia="宋体" w:cs="宋体"/>
                <w:color w:val="000000"/>
                <w:sz w:val="20"/>
                <w:szCs w:val="20"/>
                <w:lang w:val="en-US" w:eastAsia="zh-TW"/>
              </w:rPr>
              <w:t>评估工具的介绍</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lang w:eastAsia="zh-TW"/>
              </w:rPr>
              <w:t>专题报告</w:t>
            </w:r>
            <w:r>
              <w:rPr>
                <w:rFonts w:hint="eastAsia" w:ascii="宋体" w:hAnsi="宋体" w:eastAsia="宋体" w:cs="宋体"/>
                <w:sz w:val="20"/>
                <w:szCs w:val="20"/>
              </w:rPr>
              <w:t>：</w:t>
            </w:r>
          </w:p>
          <w:p>
            <w:pPr>
              <w:snapToGrid w:val="0"/>
              <w:spacing w:line="240"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rPr>
              <w:t>老年人常见健康问题与护理</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宋体" w:hAnsi="宋体" w:eastAsia="宋体" w:cs="宋体"/>
                <w:color w:val="000000"/>
                <w:sz w:val="20"/>
                <w:szCs w:val="20"/>
              </w:rPr>
            </w:pPr>
            <w:r>
              <w:rPr>
                <w:rFonts w:hint="eastAsia" w:ascii="宋体" w:hAnsi="宋体" w:eastAsia="宋体" w:cs="宋体"/>
                <w:color w:val="000000"/>
                <w:sz w:val="20"/>
                <w:szCs w:val="20"/>
                <w:lang w:eastAsia="zh-TW"/>
              </w:rPr>
              <w:t>跌倒护理</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宋体" w:hAnsi="宋体" w:eastAsia="宋体" w:cs="宋体"/>
                <w:sz w:val="20"/>
                <w:szCs w:val="20"/>
              </w:rPr>
            </w:pPr>
            <w:r>
              <w:rPr>
                <w:rFonts w:hint="eastAsia" w:ascii="宋体" w:hAnsi="宋体" w:eastAsia="宋体" w:cs="宋体"/>
                <w:sz w:val="20"/>
                <w:szCs w:val="20"/>
                <w:lang w:eastAsia="zh-TW"/>
              </w:rPr>
              <w:t>项目报告</w:t>
            </w:r>
            <w:r>
              <w:rPr>
                <w:rFonts w:hint="eastAsia" w:ascii="宋体" w:hAnsi="宋体" w:eastAsia="宋体" w:cs="宋体"/>
                <w:sz w:val="20"/>
                <w:szCs w:val="20"/>
              </w:rPr>
              <w:t>：</w:t>
            </w:r>
          </w:p>
          <w:p>
            <w:pPr>
              <w:snapToGrid w:val="0"/>
              <w:spacing w:line="240" w:lineRule="auto"/>
              <w:jc w:val="center"/>
              <w:rPr>
                <w:rFonts w:hint="eastAsia" w:ascii="宋体" w:hAnsi="宋体" w:eastAsia="宋体" w:cs="宋体"/>
                <w:sz w:val="20"/>
                <w:szCs w:val="20"/>
                <w:lang w:val="en-US" w:eastAsia="zh-TW"/>
              </w:rPr>
            </w:pPr>
            <w:r>
              <w:rPr>
                <w:rFonts w:hint="eastAsia" w:ascii="宋体" w:hAnsi="宋体" w:eastAsia="宋体" w:cs="宋体"/>
                <w:sz w:val="20"/>
                <w:szCs w:val="20"/>
                <w:lang w:val="en-US" w:eastAsia="zh-TW"/>
              </w:rPr>
              <w:t>认知症照护</w:t>
            </w:r>
          </w:p>
          <w:p>
            <w:pPr>
              <w:snapToGrid w:val="0"/>
              <w:spacing w:line="240" w:lineRule="auto"/>
              <w:jc w:val="center"/>
              <w:rPr>
                <w:rFonts w:hint="eastAsia" w:ascii="宋体" w:hAnsi="宋体" w:eastAsia="宋体" w:cs="宋体"/>
                <w:color w:val="000000"/>
                <w:sz w:val="20"/>
                <w:szCs w:val="20"/>
              </w:rPr>
            </w:pP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宋体" w:hAnsi="宋体" w:eastAsia="宋体" w:cs="宋体"/>
                <w:color w:val="000000"/>
                <w:sz w:val="20"/>
                <w:szCs w:val="20"/>
                <w:lang w:eastAsia="zh-TW"/>
              </w:rPr>
            </w:pPr>
            <w:r>
              <w:rPr>
                <w:rFonts w:hint="eastAsia" w:ascii="宋体" w:hAnsi="宋体" w:eastAsia="宋体" w:cs="宋体"/>
                <w:color w:val="000000"/>
                <w:sz w:val="20"/>
                <w:szCs w:val="20"/>
                <w:lang w:eastAsia="zh-TW"/>
              </w:rPr>
              <w:t>老人谵妄与认知症比较</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imes New Roman" w:hAnsi="Times New Roman" w:cs="Times New Roman"/>
                <w:color w:val="000000"/>
                <w:sz w:val="20"/>
                <w:szCs w:val="20"/>
              </w:rPr>
            </w:pPr>
            <w:r>
              <w:rPr>
                <w:rFonts w:hint="default" w:ascii="Times New Roman" w:hAnsi="Times New Roman" w:eastAsia="PMingLiU" w:cs="Times New Roman"/>
                <w:color w:val="000000"/>
                <w:sz w:val="20"/>
                <w:szCs w:val="20"/>
                <w:lang w:eastAsia="zh-TW"/>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PMingLiU" w:hAnsi="PMingLiU" w:eastAsia="PMingLiU"/>
                <w:color w:val="000000"/>
                <w:sz w:val="20"/>
                <w:szCs w:val="20"/>
                <w:lang w:eastAsia="zh-TW"/>
              </w:rPr>
              <w:t>4</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40" w:lineRule="auto"/>
              <w:jc w:val="center"/>
              <w:rPr>
                <w:rFonts w:hint="eastAsia" w:ascii="宋体" w:hAnsi="宋体" w:eastAsia="宋体" w:cs="宋体"/>
                <w:color w:val="000000"/>
                <w:sz w:val="20"/>
                <w:szCs w:val="20"/>
                <w:lang w:eastAsia="zh-TW"/>
              </w:rPr>
            </w:pPr>
            <w:r>
              <w:rPr>
                <w:rFonts w:hint="eastAsia" w:ascii="宋体" w:hAnsi="宋体" w:eastAsia="宋体" w:cs="宋体"/>
                <w:color w:val="000000"/>
                <w:sz w:val="20"/>
                <w:szCs w:val="20"/>
                <w:lang w:eastAsia="zh-TW"/>
              </w:rPr>
              <w:t>项目报告:</w:t>
            </w:r>
          </w:p>
          <w:p>
            <w:pPr>
              <w:snapToGrid w:val="0"/>
              <w:spacing w:line="240" w:lineRule="auto"/>
              <w:jc w:val="center"/>
              <w:rPr>
                <w:rFonts w:hint="eastAsia" w:ascii="宋体" w:hAnsi="宋体" w:eastAsia="宋体" w:cs="宋体"/>
                <w:sz w:val="20"/>
                <w:szCs w:val="20"/>
              </w:rPr>
            </w:pPr>
            <w:r>
              <w:rPr>
                <w:rFonts w:hint="eastAsia" w:ascii="宋体" w:hAnsi="宋体" w:eastAsia="宋体" w:cs="宋体"/>
                <w:color w:val="000000"/>
                <w:sz w:val="20"/>
                <w:szCs w:val="20"/>
              </w:rPr>
              <w:t>老年人的临终护理</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eastAsia" w:ascii="宋体" w:hAnsi="宋体" w:eastAsia="宋体" w:cs="宋体"/>
                <w:color w:val="000000"/>
                <w:sz w:val="20"/>
                <w:szCs w:val="20"/>
                <w:lang w:eastAsia="zh-TW"/>
              </w:rPr>
            </w:pPr>
            <w:r>
              <w:rPr>
                <w:rFonts w:hint="eastAsia" w:ascii="宋体" w:hAnsi="宋体" w:eastAsia="宋体" w:cs="宋体"/>
                <w:color w:val="000000"/>
                <w:sz w:val="20"/>
                <w:szCs w:val="20"/>
                <w:lang w:eastAsia="zh-TW"/>
              </w:rPr>
              <w:t>老年人的生死教育</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hint="default" w:ascii="Times New Roman" w:hAnsi="Times New Roman" w:cs="Times New Roman"/>
                <w:color w:val="000000"/>
                <w:sz w:val="20"/>
                <w:szCs w:val="20"/>
              </w:rPr>
            </w:pPr>
            <w:r>
              <w:rPr>
                <w:rFonts w:hint="default" w:ascii="Times New Roman" w:hAnsi="Times New Roman" w:eastAsia="PMingLiU" w:cs="Times New Roman"/>
                <w:color w:val="000000"/>
                <w:sz w:val="20"/>
                <w:szCs w:val="20"/>
                <w:lang w:eastAsia="zh-TW"/>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5"/>
        <w:tblpPr w:leftFromText="180" w:rightFromText="180" w:vertAnchor="text" w:horzAnchor="page" w:tblpXSpec="center" w:tblpY="187"/>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103" w:type="dxa"/>
            <w:shd w:val="clear" w:color="auto" w:fill="auto"/>
          </w:tcPr>
          <w:p>
            <w:pPr>
              <w:snapToGrid w:val="0"/>
              <w:spacing w:before="156" w:beforeLines="50" w:after="156" w:afterLines="50"/>
              <w:jc w:val="center"/>
              <w:rPr>
                <w:rFonts w:hint="eastAsia" w:ascii="宋体" w:hAnsi="宋体" w:eastAsia="宋体" w:cs="宋体"/>
                <w:bCs/>
                <w:color w:val="000000"/>
                <w:sz w:val="21"/>
                <w:szCs w:val="21"/>
                <w:lang w:val="en-US" w:eastAsia="zh-TW"/>
              </w:rPr>
            </w:pPr>
            <w:r>
              <w:rPr>
                <w:rFonts w:hint="eastAsia" w:ascii="宋体" w:hAnsi="宋体" w:eastAsia="宋体" w:cs="宋体"/>
                <w:sz w:val="21"/>
                <w:szCs w:val="21"/>
              </w:rPr>
              <w:t>期末</w:t>
            </w:r>
            <w:r>
              <w:rPr>
                <w:rFonts w:hint="eastAsia" w:ascii="宋体" w:hAnsi="宋体" w:eastAsia="宋体" w:cs="宋体"/>
                <w:sz w:val="21"/>
                <w:szCs w:val="21"/>
                <w:lang w:eastAsia="zh-TW"/>
              </w:rPr>
              <w:t>考</w:t>
            </w:r>
          </w:p>
        </w:tc>
        <w:tc>
          <w:tcPr>
            <w:tcW w:w="1843" w:type="dxa"/>
            <w:shd w:val="clear" w:color="auto" w:fill="auto"/>
          </w:tcPr>
          <w:p>
            <w:pPr>
              <w:snapToGrid w:val="0"/>
              <w:spacing w:before="156" w:beforeLines="50" w:after="156" w:afterLines="50"/>
              <w:jc w:val="center"/>
              <w:rPr>
                <w:rFonts w:hint="default" w:ascii="Times New Roman" w:hAnsi="Times New Roman" w:cs="Times New Roman"/>
                <w:bCs/>
                <w:color w:val="000000"/>
                <w:sz w:val="20"/>
                <w:szCs w:val="20"/>
              </w:rPr>
            </w:pPr>
            <w:r>
              <w:rPr>
                <w:rFonts w:hint="default" w:ascii="Times New Roman" w:hAnsi="Times New Roman" w:eastAsia="PMingLiU" w:cs="Times New Roman"/>
                <w:bCs/>
                <w:color w:val="000000"/>
                <w:sz w:val="20"/>
                <w:szCs w:val="20"/>
                <w:lang w:val="en-US" w:eastAsia="zh-TW"/>
              </w:rPr>
              <w:t>5</w:t>
            </w:r>
            <w:r>
              <w:rPr>
                <w:rFonts w:hint="default" w:ascii="Times New Roman" w:hAnsi="Times New Roman" w:cs="Times New Roman" w:eastAsiaTheme="minorEastAsia"/>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103" w:type="dxa"/>
            <w:shd w:val="clear" w:color="auto" w:fill="auto"/>
          </w:tcPr>
          <w:p>
            <w:pPr>
              <w:snapToGrid w:val="0"/>
              <w:spacing w:before="156" w:beforeLines="50" w:after="156" w:afterLines="50"/>
              <w:jc w:val="center"/>
              <w:rPr>
                <w:rFonts w:hint="eastAsia" w:ascii="宋体" w:hAnsi="宋体" w:eastAsia="宋体" w:cs="宋体"/>
                <w:bCs/>
                <w:color w:val="000000"/>
                <w:sz w:val="21"/>
                <w:szCs w:val="21"/>
                <w:lang w:val="en-US" w:eastAsia="zh-TW"/>
              </w:rPr>
            </w:pPr>
            <w:r>
              <w:rPr>
                <w:rFonts w:hint="eastAsia" w:ascii="宋体" w:hAnsi="宋体" w:eastAsia="宋体" w:cs="宋体"/>
                <w:bCs/>
                <w:color w:val="000000"/>
                <w:sz w:val="21"/>
                <w:szCs w:val="21"/>
                <w:lang w:val="en-US" w:eastAsia="zh-TW"/>
              </w:rPr>
              <w:t>平时作业</w:t>
            </w:r>
          </w:p>
        </w:tc>
        <w:tc>
          <w:tcPr>
            <w:tcW w:w="1843" w:type="dxa"/>
            <w:shd w:val="clear" w:color="auto" w:fill="auto"/>
          </w:tcPr>
          <w:p>
            <w:pPr>
              <w:snapToGrid w:val="0"/>
              <w:spacing w:before="156" w:beforeLines="50" w:after="156" w:afterLines="50"/>
              <w:jc w:val="center"/>
              <w:rPr>
                <w:rFonts w:hint="default" w:ascii="Times New Roman" w:hAnsi="Times New Roman" w:cs="Times New Roman"/>
                <w:bCs/>
                <w:color w:val="000000"/>
                <w:sz w:val="20"/>
                <w:szCs w:val="20"/>
              </w:rPr>
            </w:pPr>
            <w:r>
              <w:rPr>
                <w:rFonts w:hint="default" w:ascii="Times New Roman" w:hAnsi="Times New Roman" w:eastAsia="PMingLiU" w:cs="Times New Roman"/>
                <w:bCs/>
                <w:color w:val="000000"/>
                <w:sz w:val="20"/>
                <w:szCs w:val="20"/>
                <w:lang w:val="en-US" w:eastAsia="zh-TW"/>
              </w:rPr>
              <w:t>2</w:t>
            </w:r>
            <w:r>
              <w:rPr>
                <w:rFonts w:hint="default" w:ascii="Times New Roman" w:hAnsi="Times New Roman" w:cs="Times New Roman" w:eastAsiaTheme="minorEastAsia"/>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103" w:type="dxa"/>
            <w:shd w:val="clear" w:color="auto" w:fill="auto"/>
          </w:tcPr>
          <w:p>
            <w:pPr>
              <w:snapToGrid w:val="0"/>
              <w:spacing w:before="156" w:beforeLines="50" w:after="156" w:afterLines="50"/>
              <w:jc w:val="center"/>
              <w:rPr>
                <w:rFonts w:hint="eastAsia" w:ascii="宋体" w:hAnsi="宋体" w:eastAsia="宋体" w:cs="宋体"/>
                <w:bCs/>
                <w:color w:val="000000"/>
                <w:sz w:val="21"/>
                <w:szCs w:val="21"/>
                <w:lang w:val="en-US" w:eastAsia="zh-TW"/>
              </w:rPr>
            </w:pPr>
            <w:r>
              <w:rPr>
                <w:rFonts w:hint="eastAsia" w:ascii="宋体" w:hAnsi="宋体" w:eastAsia="宋体" w:cs="宋体"/>
                <w:bCs/>
                <w:color w:val="000000"/>
                <w:sz w:val="21"/>
                <w:szCs w:val="21"/>
                <w:lang w:eastAsia="zh-TW"/>
              </w:rPr>
              <w:t>课堂表现</w:t>
            </w:r>
          </w:p>
        </w:tc>
        <w:tc>
          <w:tcPr>
            <w:tcW w:w="1843" w:type="dxa"/>
            <w:shd w:val="clear" w:color="auto" w:fill="auto"/>
          </w:tcPr>
          <w:p>
            <w:pPr>
              <w:snapToGrid w:val="0"/>
              <w:spacing w:before="156" w:beforeLines="50" w:after="156" w:afterLines="50"/>
              <w:jc w:val="center"/>
              <w:rPr>
                <w:rFonts w:hint="default" w:ascii="Times New Roman" w:hAnsi="Times New Roman" w:cs="Times New Roman"/>
                <w:bCs/>
                <w:color w:val="000000"/>
                <w:sz w:val="20"/>
                <w:szCs w:val="20"/>
              </w:rPr>
            </w:pPr>
            <w:r>
              <w:rPr>
                <w:rFonts w:hint="default" w:ascii="Times New Roman" w:hAnsi="Times New Roman" w:eastAsia="PMingLiU" w:cs="Times New Roman"/>
                <w:bCs/>
                <w:color w:val="000000"/>
                <w:sz w:val="20"/>
                <w:szCs w:val="20"/>
                <w:lang w:val="en-US" w:eastAsia="zh-TW"/>
              </w:rPr>
              <w:t>2</w:t>
            </w:r>
            <w:r>
              <w:rPr>
                <w:rFonts w:hint="default" w:ascii="Times New Roman" w:hAnsi="Times New Roman" w:cs="Times New Roman" w:eastAsiaTheme="minorEastAsia"/>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103" w:type="dxa"/>
            <w:shd w:val="clear" w:color="auto" w:fill="auto"/>
          </w:tcPr>
          <w:p>
            <w:pPr>
              <w:snapToGrid w:val="0"/>
              <w:spacing w:before="156" w:beforeLines="50" w:after="156" w:afterLines="50"/>
              <w:jc w:val="center"/>
              <w:rPr>
                <w:rFonts w:hint="eastAsia" w:ascii="宋体" w:hAnsi="宋体" w:eastAsia="宋体" w:cs="宋体"/>
                <w:bCs/>
                <w:color w:val="000000"/>
                <w:sz w:val="21"/>
                <w:szCs w:val="21"/>
                <w:lang w:val="en-US" w:eastAsia="zh-TW"/>
              </w:rPr>
            </w:pPr>
            <w:r>
              <w:rPr>
                <w:rFonts w:hint="eastAsia" w:ascii="宋体" w:hAnsi="宋体" w:eastAsia="宋体" w:cs="宋体"/>
                <w:bCs/>
                <w:color w:val="000000"/>
                <w:sz w:val="21"/>
                <w:szCs w:val="21"/>
                <w:lang w:val="en-US" w:eastAsia="zh-TW"/>
              </w:rPr>
              <w:t>出缺勤率</w:t>
            </w:r>
          </w:p>
        </w:tc>
        <w:tc>
          <w:tcPr>
            <w:tcW w:w="1843" w:type="dxa"/>
            <w:shd w:val="clear" w:color="auto" w:fill="auto"/>
          </w:tcPr>
          <w:p>
            <w:pPr>
              <w:snapToGrid w:val="0"/>
              <w:spacing w:before="156" w:beforeLines="50" w:after="156" w:afterLines="50"/>
              <w:jc w:val="center"/>
              <w:rPr>
                <w:rFonts w:hint="default" w:ascii="Times New Roman" w:hAnsi="Times New Roman" w:cs="Times New Roman"/>
                <w:bCs/>
                <w:color w:val="000000"/>
                <w:sz w:val="20"/>
                <w:szCs w:val="20"/>
              </w:rPr>
            </w:pPr>
            <w:r>
              <w:rPr>
                <w:rFonts w:hint="default" w:ascii="Times New Roman" w:hAnsi="Times New Roman" w:eastAsia="PMingLiU" w:cs="Times New Roman"/>
                <w:bCs/>
                <w:color w:val="000000"/>
                <w:sz w:val="20"/>
                <w:szCs w:val="20"/>
                <w:lang w:val="en-US" w:eastAsia="zh-TW"/>
              </w:rPr>
              <w:t>1</w:t>
            </w:r>
            <w:r>
              <w:rPr>
                <w:rFonts w:hint="default" w:ascii="Times New Roman" w:hAnsi="Times New Roman" w:cs="Times New Roman" w:eastAsiaTheme="minorEastAsia"/>
                <w:bCs/>
                <w:color w:val="000000"/>
                <w:sz w:val="20"/>
                <w:szCs w:val="20"/>
              </w:rPr>
              <w:t>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lang w:eastAsia="zh-TW"/>
        </w:rPr>
        <w:drawing>
          <wp:anchor distT="0" distB="0" distL="114300" distR="114300" simplePos="0" relativeHeight="251660288" behindDoc="0" locked="1" layoutInCell="1" allowOverlap="1">
            <wp:simplePos x="0" y="0"/>
            <wp:positionH relativeFrom="column">
              <wp:posOffset>1193800</wp:posOffset>
            </wp:positionH>
            <wp:positionV relativeFrom="paragraph">
              <wp:posOffset>-151765</wp:posOffset>
            </wp:positionV>
            <wp:extent cx="774065" cy="403225"/>
            <wp:effectExtent l="0" t="0" r="635" b="317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74065" cy="403225"/>
                    </a:xfrm>
                    <a:prstGeom prst="rect">
                      <a:avLst/>
                    </a:prstGeom>
                    <a:noFill/>
                  </pic:spPr>
                </pic:pic>
              </a:graphicData>
            </a:graphic>
          </wp:anchor>
        </w:drawing>
      </w:r>
      <w:r>
        <w:rPr>
          <w:rFonts w:hint="eastAsia"/>
          <w:sz w:val="28"/>
          <w:szCs w:val="28"/>
        </w:rPr>
        <w:t xml:space="preserve">         </w:t>
      </w:r>
      <w:r>
        <w:rPr>
          <w:rFonts w:hint="default"/>
          <w:sz w:val="28"/>
          <w:szCs w:val="28"/>
        </w:rPr>
        <w:t xml:space="preserve">      </w:t>
      </w:r>
      <w:bookmarkStart w:id="1" w:name="_GoBack"/>
      <w:bookmarkEnd w:id="1"/>
      <w:r>
        <w:rPr>
          <w:rFonts w:hint="eastAsia"/>
          <w:sz w:val="28"/>
          <w:szCs w:val="28"/>
        </w:rPr>
        <w:t xml:space="preserve"> 系主任审核签名：</w:t>
      </w:r>
      <w:r>
        <w:rPr>
          <w:sz w:val="28"/>
          <w:szCs w:val="28"/>
        </w:rPr>
        <w:drawing>
          <wp:inline distT="0" distB="0" distL="114300" distR="114300">
            <wp:extent cx="718185" cy="309245"/>
            <wp:effectExtent l="0" t="0" r="18415" b="20955"/>
            <wp:docPr id="3" name="图片 3"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黄海英"/>
                    <pic:cNvPicPr>
                      <a:picLocks noChangeAspect="1"/>
                    </pic:cNvPicPr>
                  </pic:nvPicPr>
                  <pic:blipFill>
                    <a:blip r:embed="rId5"/>
                    <a:stretch>
                      <a:fillRect/>
                    </a:stretch>
                  </pic:blipFill>
                  <pic:spPr>
                    <a:xfrm>
                      <a:off x="0" y="0"/>
                      <a:ext cx="718185" cy="309245"/>
                    </a:xfrm>
                    <a:prstGeom prst="rect">
                      <a:avLst/>
                    </a:prstGeom>
                  </pic:spPr>
                </pic:pic>
              </a:graphicData>
            </a:graphic>
          </wp:inline>
        </w:drawing>
      </w:r>
    </w:p>
    <w:p>
      <w:pPr>
        <w:snapToGrid w:val="0"/>
        <w:spacing w:line="288" w:lineRule="auto"/>
        <w:ind w:firstLine="840" w:firstLineChars="300"/>
        <w:jc w:val="right"/>
        <w:rPr>
          <w:sz w:val="28"/>
          <w:szCs w:val="28"/>
        </w:rPr>
      </w:pPr>
      <w:r>
        <w:rPr>
          <w:rFonts w:hint="eastAsia"/>
          <w:sz w:val="28"/>
          <w:szCs w:val="28"/>
        </w:rPr>
        <w:t>审核时间： 202</w:t>
      </w:r>
      <w:r>
        <w:rPr>
          <w:rFonts w:hint="eastAsia" w:eastAsia="PMingLiU"/>
          <w:sz w:val="28"/>
          <w:szCs w:val="28"/>
          <w:lang w:val="en-US" w:eastAsia="zh-TW"/>
        </w:rPr>
        <w:t>2</w:t>
      </w:r>
      <w:r>
        <w:rPr>
          <w:rFonts w:hint="eastAsia"/>
          <w:sz w:val="28"/>
          <w:szCs w:val="28"/>
        </w:rPr>
        <w:t xml:space="preserve">年 9月 </w:t>
      </w:r>
      <w:r>
        <w:rPr>
          <w:rFonts w:hint="default"/>
          <w:sz w:val="28"/>
          <w:szCs w:val="28"/>
        </w:rPr>
        <w:t>1</w:t>
      </w:r>
      <w:r>
        <w:rPr>
          <w:rFonts w:hint="eastAsia" w:eastAsia="PMingLiU"/>
          <w:sz w:val="28"/>
          <w:szCs w:val="28"/>
          <w:lang w:val="en-US" w:eastAsia="zh-TW"/>
        </w:rPr>
        <w:t>6</w:t>
      </w:r>
      <w:r>
        <w:rPr>
          <w:rFonts w:hint="eastAsia"/>
          <w:sz w:val="28"/>
          <w:szCs w:val="28"/>
        </w:rPr>
        <w:t xml:space="preserve">日                      </w:t>
      </w:r>
    </w:p>
    <w:p/>
    <w:p>
      <w:pPr>
        <w:snapToGrid w:val="0"/>
        <w:spacing w:before="120" w:after="120" w:line="288" w:lineRule="auto"/>
        <w:ind w:firstLine="400" w:firstLineChars="200"/>
        <w:rPr>
          <w:rFonts w:ascii="宋体" w:hAnsi="宋体"/>
          <w:sz w:val="20"/>
          <w:szCs w:val="20"/>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0000000000000000000"/>
    <w:charset w:val="86"/>
    <w:family w:val="script"/>
    <w:pitch w:val="default"/>
    <w:sig w:usb0="00000000" w:usb1="00000000" w:usb2="0000000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Arial">
    <w:panose1 w:val="020B0604020202090204"/>
    <w:charset w:val="00"/>
    <w:family w:val="swiss"/>
    <w:pitch w:val="default"/>
    <w:sig w:usb0="E0000AFF" w:usb1="00007843" w:usb2="00000001" w:usb3="00000000" w:csb0="400001BF" w:csb1="DFF70000"/>
  </w:font>
  <w:font w:name="PMingLiU">
    <w:altName w:val="宋体-繁"/>
    <w:panose1 w:val="02020500000000000000"/>
    <w:charset w:val="88"/>
    <w:family w:val="roman"/>
    <w:pitch w:val="default"/>
    <w:sig w:usb0="00000000" w:usb1="00000000" w:usb2="00000016" w:usb3="00000000" w:csb0="00100001" w:csb1="00000000"/>
  </w:font>
  <w:font w:name="仿宋">
    <w:altName w:val="方正仿宋_GBK"/>
    <w:panose1 w:val="02010609060101010101"/>
    <w:charset w:val="86"/>
    <w:family w:val="modern"/>
    <w:pitch w:val="default"/>
    <w:sig w:usb0="00000000" w:usb1="00000000" w:usb2="00000016" w:usb3="00000000" w:csb0="00040001" w:csb1="00000000"/>
  </w:font>
  <w:font w:name="MingLiU_HKSCS-ExtB">
    <w:altName w:val="苹方-简"/>
    <w:panose1 w:val="02020500000000000000"/>
    <w:charset w:val="88"/>
    <w:family w:val="auto"/>
    <w:pitch w:val="default"/>
    <w:sig w:usb0="00000000" w:usb1="00000000" w:usb2="00000000" w:usb3="00000000" w:csb0="00100001" w:csb1="00000000"/>
  </w:font>
  <w:font w:name="MingLiU_HKSCS">
    <w:altName w:val="宋体-繁"/>
    <w:panose1 w:val="02020500000000000000"/>
    <w:charset w:val="88"/>
    <w:family w:val="auto"/>
    <w:pitch w:val="default"/>
    <w:sig w:usb0="00000000" w:usb1="00000000" w:usb2="00000016" w:usb3="00000000" w:csb0="00100001" w:csb1="00000000"/>
  </w:font>
  <w:font w:name="Tahoma">
    <w:panose1 w:val="020B0804030504040204"/>
    <w:charset w:val="00"/>
    <w:family w:val="auto"/>
    <w:pitch w:val="default"/>
    <w:sig w:usb0="E1002AFF" w:usb1="C000605B" w:usb2="00000029" w:usb3="00000000" w:csb0="200101FF" w:csb1="20280000"/>
  </w:font>
  <w:font w:name="SimSun-ExtB">
    <w:altName w:val="华文宋体"/>
    <w:panose1 w:val="02010609060101010101"/>
    <w:charset w:val="86"/>
    <w:family w:val="auto"/>
    <w:pitch w:val="default"/>
    <w:sig w:usb0="00000000" w:usb1="00000000" w:usb2="00000000" w:usb3="00000000" w:csb0="00040001" w:csb1="00000000"/>
  </w:font>
  <w:font w:name="MS Gothic">
    <w:altName w:val="冬青黑体简体中文"/>
    <w:panose1 w:val="020B0609070205080204"/>
    <w:charset w:val="80"/>
    <w:family w:val="auto"/>
    <w:pitch w:val="default"/>
    <w:sig w:usb0="00000000" w:usb1="00000000" w:usb2="08000012" w:usb3="00000000" w:csb0="4002009F" w:csb1="DFD70000"/>
  </w:font>
  <w:font w:name="MS PGothic">
    <w:altName w:val="Hiragino Sans"/>
    <w:panose1 w:val="020B0600070205080204"/>
    <w:charset w:val="80"/>
    <w:family w:val="auto"/>
    <w:pitch w:val="default"/>
    <w:sig w:usb0="00000000" w:usb1="00000000" w:usb2="08000012" w:usb3="00000000" w:csb0="4002009F" w:csb1="DFD70000"/>
  </w:font>
  <w:font w:name="汉仪中黑KW">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 w:name="Yu Gothic UI Semibold">
    <w:altName w:val="Hiragino Sans"/>
    <w:panose1 w:val="020B0700000000000000"/>
    <w:charset w:val="80"/>
    <w:family w:val="auto"/>
    <w:pitch w:val="default"/>
    <w:sig w:usb0="00000000" w:usb1="00000000" w:usb2="00000016" w:usb3="00000000" w:csb0="2002009F" w:csb1="00000000"/>
  </w:font>
  <w:font w:name="方正仿宋_GBK">
    <w:panose1 w:val="02000000000000000000"/>
    <w:charset w:val="86"/>
    <w:family w:val="auto"/>
    <w:pitch w:val="default"/>
    <w:sig w:usb0="A00002BF" w:usb1="38CF7CFA" w:usb2="00082016" w:usb3="00000000" w:csb0="00040001" w:csb1="00000000"/>
  </w:font>
  <w:font w:name="Hiragino Sans">
    <w:panose1 w:val="020B0300000000000000"/>
    <w:charset w:val="80"/>
    <w:family w:val="auto"/>
    <w:pitch w:val="default"/>
    <w:sig w:usb0="E00002FF" w:usb1="7AE7FFFF" w:usb2="00000012" w:usb3="00000000" w:csb0="0002000D" w:csb1="00000000"/>
  </w:font>
  <w:font w:name="Kingsoft Sign">
    <w:panose1 w:val="05050102010706020507"/>
    <w:charset w:val="00"/>
    <w:family w:val="auto"/>
    <w:pitch w:val="default"/>
    <w:sig w:usb0="00000000" w:usb1="10000000" w:usb2="00000000" w:usb3="00000000" w:csb0="00000001" w:csb1="00000000"/>
  </w:font>
  <w:font w:name="汉仪旗黑">
    <w:panose1 w:val="00020600040101010101"/>
    <w:charset w:val="86"/>
    <w:family w:val="auto"/>
    <w:pitch w:val="default"/>
    <w:sig w:usb0="A00002BF" w:usb1="1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C6C73"/>
    <w:multiLevelType w:val="singleLevel"/>
    <w:tmpl w:val="84BC6C73"/>
    <w:lvl w:ilvl="0" w:tentative="0">
      <w:start w:val="1"/>
      <w:numFmt w:val="decimal"/>
      <w:lvlText w:val="%1."/>
      <w:lvlJc w:val="left"/>
      <w:pPr>
        <w:tabs>
          <w:tab w:val="left" w:pos="312"/>
        </w:tabs>
      </w:pPr>
    </w:lvl>
  </w:abstractNum>
  <w:abstractNum w:abstractNumId="1">
    <w:nsid w:val="8A521900"/>
    <w:multiLevelType w:val="singleLevel"/>
    <w:tmpl w:val="8A521900"/>
    <w:lvl w:ilvl="0" w:tentative="0">
      <w:start w:val="1"/>
      <w:numFmt w:val="decimal"/>
      <w:lvlText w:val="%1."/>
      <w:lvlJc w:val="left"/>
      <w:pPr>
        <w:tabs>
          <w:tab w:val="left" w:pos="312"/>
        </w:tabs>
      </w:pPr>
    </w:lvl>
  </w:abstractNum>
  <w:abstractNum w:abstractNumId="2">
    <w:nsid w:val="9A5BE1C7"/>
    <w:multiLevelType w:val="singleLevel"/>
    <w:tmpl w:val="9A5BE1C7"/>
    <w:lvl w:ilvl="0" w:tentative="0">
      <w:start w:val="1"/>
      <w:numFmt w:val="decimal"/>
      <w:lvlText w:val="%1."/>
      <w:lvlJc w:val="left"/>
      <w:pPr>
        <w:tabs>
          <w:tab w:val="left" w:pos="312"/>
        </w:tabs>
      </w:pPr>
    </w:lvl>
  </w:abstractNum>
  <w:abstractNum w:abstractNumId="3">
    <w:nsid w:val="E9AB39D4"/>
    <w:multiLevelType w:val="singleLevel"/>
    <w:tmpl w:val="E9AB39D4"/>
    <w:lvl w:ilvl="0" w:tentative="0">
      <w:start w:val="1"/>
      <w:numFmt w:val="decimal"/>
      <w:lvlText w:val="%1."/>
      <w:lvlJc w:val="left"/>
      <w:pPr>
        <w:tabs>
          <w:tab w:val="left" w:pos="312"/>
        </w:tabs>
      </w:pPr>
    </w:lvl>
  </w:abstractNum>
  <w:abstractNum w:abstractNumId="4">
    <w:nsid w:val="0164C3ED"/>
    <w:multiLevelType w:val="singleLevel"/>
    <w:tmpl w:val="0164C3ED"/>
    <w:lvl w:ilvl="0" w:tentative="0">
      <w:start w:val="1"/>
      <w:numFmt w:val="decimal"/>
      <w:lvlText w:val="%1."/>
      <w:lvlJc w:val="left"/>
      <w:pPr>
        <w:tabs>
          <w:tab w:val="left" w:pos="312"/>
        </w:tabs>
      </w:pPr>
    </w:lvl>
  </w:abstractNum>
  <w:abstractNum w:abstractNumId="5">
    <w:nsid w:val="22FE71DC"/>
    <w:multiLevelType w:val="singleLevel"/>
    <w:tmpl w:val="22FE71DC"/>
    <w:lvl w:ilvl="0" w:tentative="0">
      <w:start w:val="1"/>
      <w:numFmt w:val="decimal"/>
      <w:lvlText w:val="%1."/>
      <w:lvlJc w:val="left"/>
      <w:pPr>
        <w:tabs>
          <w:tab w:val="left" w:pos="312"/>
        </w:tabs>
      </w:pPr>
    </w:lvl>
  </w:abstractNum>
  <w:abstractNum w:abstractNumId="6">
    <w:nsid w:val="357CE9B6"/>
    <w:multiLevelType w:val="singleLevel"/>
    <w:tmpl w:val="357CE9B6"/>
    <w:lvl w:ilvl="0" w:tentative="0">
      <w:start w:val="1"/>
      <w:numFmt w:val="decimal"/>
      <w:lvlText w:val="%1."/>
      <w:lvlJc w:val="left"/>
      <w:pPr>
        <w:tabs>
          <w:tab w:val="left" w:pos="312"/>
        </w:tabs>
      </w:pPr>
    </w:lvl>
  </w:abstractNum>
  <w:abstractNum w:abstractNumId="7">
    <w:nsid w:val="4A8CB5E2"/>
    <w:multiLevelType w:val="singleLevel"/>
    <w:tmpl w:val="4A8CB5E2"/>
    <w:lvl w:ilvl="0" w:tentative="0">
      <w:start w:val="7"/>
      <w:numFmt w:val="chineseCounting"/>
      <w:suff w:val="nothing"/>
      <w:lvlText w:val="%1、"/>
      <w:lvlJc w:val="left"/>
      <w:rPr>
        <w:rFonts w:hint="eastAsia"/>
      </w:rPr>
    </w:lvl>
  </w:abstractNum>
  <w:abstractNum w:abstractNumId="8">
    <w:nsid w:val="4BBA6273"/>
    <w:multiLevelType w:val="singleLevel"/>
    <w:tmpl w:val="4BBA6273"/>
    <w:lvl w:ilvl="0" w:tentative="0">
      <w:start w:val="1"/>
      <w:numFmt w:val="decimal"/>
      <w:lvlText w:val="%1."/>
      <w:lvlJc w:val="left"/>
      <w:pPr>
        <w:tabs>
          <w:tab w:val="left" w:pos="312"/>
        </w:tabs>
      </w:pPr>
    </w:lvl>
  </w:abstractNum>
  <w:num w:numId="1">
    <w:abstractNumId w:val="1"/>
  </w:num>
  <w:num w:numId="2">
    <w:abstractNumId w:val="2"/>
  </w:num>
  <w:num w:numId="3">
    <w:abstractNumId w:val="6"/>
  </w:num>
  <w:num w:numId="4">
    <w:abstractNumId w:val="0"/>
  </w:num>
  <w:num w:numId="5">
    <w:abstractNumId w:val="8"/>
  </w:num>
  <w:num w:numId="6">
    <w:abstractNumId w:val="5"/>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1ZWUyN2JhMTNhYmNkMjA1Y2E2ZTA1ZGQ0N2Y5YTcifQ=="/>
  </w:docVars>
  <w:rsids>
    <w:rsidRoot w:val="00B7651F"/>
    <w:rsid w:val="000272C7"/>
    <w:rsid w:val="000537D5"/>
    <w:rsid w:val="00066D0D"/>
    <w:rsid w:val="000A3A6A"/>
    <w:rsid w:val="000B090B"/>
    <w:rsid w:val="000B21A7"/>
    <w:rsid w:val="000D748B"/>
    <w:rsid w:val="001072BC"/>
    <w:rsid w:val="00141F76"/>
    <w:rsid w:val="00151AD6"/>
    <w:rsid w:val="00161ADC"/>
    <w:rsid w:val="00197502"/>
    <w:rsid w:val="001C7923"/>
    <w:rsid w:val="001E0BB2"/>
    <w:rsid w:val="00206852"/>
    <w:rsid w:val="00214068"/>
    <w:rsid w:val="0022108D"/>
    <w:rsid w:val="00256B39"/>
    <w:rsid w:val="0026033C"/>
    <w:rsid w:val="0027667E"/>
    <w:rsid w:val="002A67C7"/>
    <w:rsid w:val="002E3721"/>
    <w:rsid w:val="002F0B1B"/>
    <w:rsid w:val="00313BBA"/>
    <w:rsid w:val="0032282B"/>
    <w:rsid w:val="0032602E"/>
    <w:rsid w:val="003367AE"/>
    <w:rsid w:val="0036372E"/>
    <w:rsid w:val="003B1258"/>
    <w:rsid w:val="003B5222"/>
    <w:rsid w:val="0040416A"/>
    <w:rsid w:val="004100B0"/>
    <w:rsid w:val="00463F2B"/>
    <w:rsid w:val="0049206D"/>
    <w:rsid w:val="004A5F88"/>
    <w:rsid w:val="005467DC"/>
    <w:rsid w:val="00551439"/>
    <w:rsid w:val="00553D03"/>
    <w:rsid w:val="00574D2E"/>
    <w:rsid w:val="005B2B6D"/>
    <w:rsid w:val="005B2C6E"/>
    <w:rsid w:val="005B4B4E"/>
    <w:rsid w:val="006220F0"/>
    <w:rsid w:val="00624FE1"/>
    <w:rsid w:val="006607DB"/>
    <w:rsid w:val="00675E93"/>
    <w:rsid w:val="00680D38"/>
    <w:rsid w:val="006D0AB9"/>
    <w:rsid w:val="006F5292"/>
    <w:rsid w:val="00712B95"/>
    <w:rsid w:val="007208D6"/>
    <w:rsid w:val="00737659"/>
    <w:rsid w:val="007548CE"/>
    <w:rsid w:val="007B23CD"/>
    <w:rsid w:val="008075C7"/>
    <w:rsid w:val="0081022D"/>
    <w:rsid w:val="00854754"/>
    <w:rsid w:val="00856B95"/>
    <w:rsid w:val="00890BD3"/>
    <w:rsid w:val="008A3176"/>
    <w:rsid w:val="008B397C"/>
    <w:rsid w:val="008B47F4"/>
    <w:rsid w:val="008F4E74"/>
    <w:rsid w:val="00900019"/>
    <w:rsid w:val="00907FEE"/>
    <w:rsid w:val="0096307F"/>
    <w:rsid w:val="0099063E"/>
    <w:rsid w:val="009F5A5B"/>
    <w:rsid w:val="00A24E26"/>
    <w:rsid w:val="00A35633"/>
    <w:rsid w:val="00A40462"/>
    <w:rsid w:val="00A769B1"/>
    <w:rsid w:val="00A837D5"/>
    <w:rsid w:val="00AC4C45"/>
    <w:rsid w:val="00AD2771"/>
    <w:rsid w:val="00B46F21"/>
    <w:rsid w:val="00B511A5"/>
    <w:rsid w:val="00B736A7"/>
    <w:rsid w:val="00B7651F"/>
    <w:rsid w:val="00BB4B4B"/>
    <w:rsid w:val="00BF69E3"/>
    <w:rsid w:val="00C503F4"/>
    <w:rsid w:val="00C56E09"/>
    <w:rsid w:val="00C5732B"/>
    <w:rsid w:val="00CB4EDD"/>
    <w:rsid w:val="00CF096B"/>
    <w:rsid w:val="00CF390A"/>
    <w:rsid w:val="00D16CEE"/>
    <w:rsid w:val="00D36760"/>
    <w:rsid w:val="00D67704"/>
    <w:rsid w:val="00DA3559"/>
    <w:rsid w:val="00DB3595"/>
    <w:rsid w:val="00E16D30"/>
    <w:rsid w:val="00E33169"/>
    <w:rsid w:val="00E5471E"/>
    <w:rsid w:val="00E70904"/>
    <w:rsid w:val="00EA7740"/>
    <w:rsid w:val="00EF44B1"/>
    <w:rsid w:val="00F35AA0"/>
    <w:rsid w:val="00F70870"/>
    <w:rsid w:val="0104040B"/>
    <w:rsid w:val="01231DAC"/>
    <w:rsid w:val="012514DC"/>
    <w:rsid w:val="01625047"/>
    <w:rsid w:val="01667474"/>
    <w:rsid w:val="016E63C2"/>
    <w:rsid w:val="01727B94"/>
    <w:rsid w:val="017A0917"/>
    <w:rsid w:val="017C23EE"/>
    <w:rsid w:val="01C42224"/>
    <w:rsid w:val="01D15A77"/>
    <w:rsid w:val="01E746B2"/>
    <w:rsid w:val="01F05996"/>
    <w:rsid w:val="020D1098"/>
    <w:rsid w:val="02110665"/>
    <w:rsid w:val="02283E26"/>
    <w:rsid w:val="022F1507"/>
    <w:rsid w:val="023F7E34"/>
    <w:rsid w:val="02472AFA"/>
    <w:rsid w:val="024B0C39"/>
    <w:rsid w:val="0273695E"/>
    <w:rsid w:val="02B12FF3"/>
    <w:rsid w:val="02C90BDB"/>
    <w:rsid w:val="02DE588D"/>
    <w:rsid w:val="02EE5BC0"/>
    <w:rsid w:val="03125AFA"/>
    <w:rsid w:val="031A25E6"/>
    <w:rsid w:val="03293A42"/>
    <w:rsid w:val="03440793"/>
    <w:rsid w:val="03497F22"/>
    <w:rsid w:val="034B1CBD"/>
    <w:rsid w:val="03694906"/>
    <w:rsid w:val="03807341"/>
    <w:rsid w:val="040121AE"/>
    <w:rsid w:val="040A75BF"/>
    <w:rsid w:val="04146CD6"/>
    <w:rsid w:val="0433169F"/>
    <w:rsid w:val="044E685A"/>
    <w:rsid w:val="04707843"/>
    <w:rsid w:val="0475486C"/>
    <w:rsid w:val="04761496"/>
    <w:rsid w:val="047B2CEA"/>
    <w:rsid w:val="04934788"/>
    <w:rsid w:val="04A174C8"/>
    <w:rsid w:val="04C2254D"/>
    <w:rsid w:val="04E0453C"/>
    <w:rsid w:val="04E52439"/>
    <w:rsid w:val="04F07784"/>
    <w:rsid w:val="05002E72"/>
    <w:rsid w:val="05194290"/>
    <w:rsid w:val="055A3B03"/>
    <w:rsid w:val="05691E82"/>
    <w:rsid w:val="05C8461C"/>
    <w:rsid w:val="05D12214"/>
    <w:rsid w:val="061545A2"/>
    <w:rsid w:val="061E3484"/>
    <w:rsid w:val="067462BA"/>
    <w:rsid w:val="067936AB"/>
    <w:rsid w:val="06861C92"/>
    <w:rsid w:val="06A71625"/>
    <w:rsid w:val="06B23043"/>
    <w:rsid w:val="06B74A29"/>
    <w:rsid w:val="06BE567E"/>
    <w:rsid w:val="06CB2482"/>
    <w:rsid w:val="06D6307A"/>
    <w:rsid w:val="06EF5702"/>
    <w:rsid w:val="0753027B"/>
    <w:rsid w:val="077867DE"/>
    <w:rsid w:val="077C67F4"/>
    <w:rsid w:val="07854B6B"/>
    <w:rsid w:val="07A51083"/>
    <w:rsid w:val="07B6221F"/>
    <w:rsid w:val="07C21B82"/>
    <w:rsid w:val="07C4732D"/>
    <w:rsid w:val="07C67109"/>
    <w:rsid w:val="07F324B0"/>
    <w:rsid w:val="07F92E4E"/>
    <w:rsid w:val="07FD7098"/>
    <w:rsid w:val="08114077"/>
    <w:rsid w:val="081D27EC"/>
    <w:rsid w:val="08220A5C"/>
    <w:rsid w:val="08647484"/>
    <w:rsid w:val="08716DC3"/>
    <w:rsid w:val="08846442"/>
    <w:rsid w:val="08866EF7"/>
    <w:rsid w:val="08921038"/>
    <w:rsid w:val="08981AF2"/>
    <w:rsid w:val="089C04E8"/>
    <w:rsid w:val="08B03B91"/>
    <w:rsid w:val="08B6741D"/>
    <w:rsid w:val="08DD4FDC"/>
    <w:rsid w:val="08F539CE"/>
    <w:rsid w:val="09055F3A"/>
    <w:rsid w:val="092E4433"/>
    <w:rsid w:val="093F6771"/>
    <w:rsid w:val="094F36A9"/>
    <w:rsid w:val="09580574"/>
    <w:rsid w:val="09594CD8"/>
    <w:rsid w:val="097202B1"/>
    <w:rsid w:val="09750DF0"/>
    <w:rsid w:val="09A67F6A"/>
    <w:rsid w:val="09C006C4"/>
    <w:rsid w:val="09D257E7"/>
    <w:rsid w:val="09DB18EE"/>
    <w:rsid w:val="09DF4F7C"/>
    <w:rsid w:val="09DF732F"/>
    <w:rsid w:val="09E4008D"/>
    <w:rsid w:val="09E86182"/>
    <w:rsid w:val="0A0C3D4E"/>
    <w:rsid w:val="0A156A99"/>
    <w:rsid w:val="0A3E1162"/>
    <w:rsid w:val="0A4849C6"/>
    <w:rsid w:val="0A514AE1"/>
    <w:rsid w:val="0A52306E"/>
    <w:rsid w:val="0A6A3B9C"/>
    <w:rsid w:val="0A7F04BA"/>
    <w:rsid w:val="0A8128A6"/>
    <w:rsid w:val="0A8E2F38"/>
    <w:rsid w:val="0AAF3780"/>
    <w:rsid w:val="0AE90EEC"/>
    <w:rsid w:val="0AF26C16"/>
    <w:rsid w:val="0B091B9C"/>
    <w:rsid w:val="0B1242E8"/>
    <w:rsid w:val="0B834628"/>
    <w:rsid w:val="0BF32A1B"/>
    <w:rsid w:val="0BFB7DC7"/>
    <w:rsid w:val="0BFF3AF7"/>
    <w:rsid w:val="0C0128AF"/>
    <w:rsid w:val="0C0817DC"/>
    <w:rsid w:val="0C14357A"/>
    <w:rsid w:val="0C1E2C21"/>
    <w:rsid w:val="0C2D0D30"/>
    <w:rsid w:val="0C3C573B"/>
    <w:rsid w:val="0C69598C"/>
    <w:rsid w:val="0C6F50C8"/>
    <w:rsid w:val="0CB82BF2"/>
    <w:rsid w:val="0CC30ECD"/>
    <w:rsid w:val="0CEE5687"/>
    <w:rsid w:val="0CEF5A77"/>
    <w:rsid w:val="0CF32CE8"/>
    <w:rsid w:val="0D194F10"/>
    <w:rsid w:val="0D1A23EA"/>
    <w:rsid w:val="0D1C35B3"/>
    <w:rsid w:val="0D286593"/>
    <w:rsid w:val="0D413F10"/>
    <w:rsid w:val="0D747E41"/>
    <w:rsid w:val="0D7F4BEE"/>
    <w:rsid w:val="0D846650"/>
    <w:rsid w:val="0D930BE2"/>
    <w:rsid w:val="0D9F111F"/>
    <w:rsid w:val="0DA74D11"/>
    <w:rsid w:val="0DA81AD9"/>
    <w:rsid w:val="0DA90CDD"/>
    <w:rsid w:val="0DAE3601"/>
    <w:rsid w:val="0DD965C5"/>
    <w:rsid w:val="0DE26FAD"/>
    <w:rsid w:val="0DF50AB4"/>
    <w:rsid w:val="0E1E67E1"/>
    <w:rsid w:val="0E22115B"/>
    <w:rsid w:val="0E3124E9"/>
    <w:rsid w:val="0E3677EF"/>
    <w:rsid w:val="0E3B40D3"/>
    <w:rsid w:val="0E546E89"/>
    <w:rsid w:val="0E605067"/>
    <w:rsid w:val="0E8D130B"/>
    <w:rsid w:val="0E8D2C0F"/>
    <w:rsid w:val="0EA4455B"/>
    <w:rsid w:val="0EC44FC9"/>
    <w:rsid w:val="0ED739A6"/>
    <w:rsid w:val="0EEA5688"/>
    <w:rsid w:val="0EFB2205"/>
    <w:rsid w:val="0F2509DD"/>
    <w:rsid w:val="0F3A39E1"/>
    <w:rsid w:val="0F436FC6"/>
    <w:rsid w:val="0F70727B"/>
    <w:rsid w:val="0F723A11"/>
    <w:rsid w:val="0FE47A80"/>
    <w:rsid w:val="0FF35FCF"/>
    <w:rsid w:val="0FFB3C47"/>
    <w:rsid w:val="0FFB7362"/>
    <w:rsid w:val="102722EE"/>
    <w:rsid w:val="10521951"/>
    <w:rsid w:val="10665D77"/>
    <w:rsid w:val="108A5678"/>
    <w:rsid w:val="10937346"/>
    <w:rsid w:val="10BD2C22"/>
    <w:rsid w:val="10C15AD7"/>
    <w:rsid w:val="10E34313"/>
    <w:rsid w:val="10E97CFC"/>
    <w:rsid w:val="113E2BE3"/>
    <w:rsid w:val="116568DD"/>
    <w:rsid w:val="11712186"/>
    <w:rsid w:val="117443E7"/>
    <w:rsid w:val="11886BA3"/>
    <w:rsid w:val="118C09F2"/>
    <w:rsid w:val="11C26AC2"/>
    <w:rsid w:val="11FA56E8"/>
    <w:rsid w:val="120730A0"/>
    <w:rsid w:val="122837AD"/>
    <w:rsid w:val="122E3583"/>
    <w:rsid w:val="12381FAF"/>
    <w:rsid w:val="12542130"/>
    <w:rsid w:val="12585356"/>
    <w:rsid w:val="125E4B6A"/>
    <w:rsid w:val="126774A8"/>
    <w:rsid w:val="12783EE1"/>
    <w:rsid w:val="129D0A7B"/>
    <w:rsid w:val="12A409A1"/>
    <w:rsid w:val="12DD3146"/>
    <w:rsid w:val="131D5A64"/>
    <w:rsid w:val="136030AD"/>
    <w:rsid w:val="137E3F56"/>
    <w:rsid w:val="138A2B00"/>
    <w:rsid w:val="13A84021"/>
    <w:rsid w:val="13AA3AA6"/>
    <w:rsid w:val="13CB121F"/>
    <w:rsid w:val="13E81AFF"/>
    <w:rsid w:val="140465FF"/>
    <w:rsid w:val="14111F03"/>
    <w:rsid w:val="143B205D"/>
    <w:rsid w:val="144B6CDC"/>
    <w:rsid w:val="14621E34"/>
    <w:rsid w:val="147237D4"/>
    <w:rsid w:val="147B39B0"/>
    <w:rsid w:val="148A4A2A"/>
    <w:rsid w:val="14945406"/>
    <w:rsid w:val="14CB05D3"/>
    <w:rsid w:val="14E30D69"/>
    <w:rsid w:val="14F309CF"/>
    <w:rsid w:val="14F80B7E"/>
    <w:rsid w:val="15081457"/>
    <w:rsid w:val="150A0AAD"/>
    <w:rsid w:val="1523732A"/>
    <w:rsid w:val="15243028"/>
    <w:rsid w:val="154E2738"/>
    <w:rsid w:val="15640D32"/>
    <w:rsid w:val="156A340A"/>
    <w:rsid w:val="15770C7B"/>
    <w:rsid w:val="1593647F"/>
    <w:rsid w:val="15B71F42"/>
    <w:rsid w:val="15D1656B"/>
    <w:rsid w:val="15F629F9"/>
    <w:rsid w:val="15F74E28"/>
    <w:rsid w:val="161434E0"/>
    <w:rsid w:val="16373138"/>
    <w:rsid w:val="163B02E7"/>
    <w:rsid w:val="164A6E49"/>
    <w:rsid w:val="165D1D43"/>
    <w:rsid w:val="16660632"/>
    <w:rsid w:val="1671031E"/>
    <w:rsid w:val="167804EC"/>
    <w:rsid w:val="169A0512"/>
    <w:rsid w:val="16C6071E"/>
    <w:rsid w:val="16CC58F8"/>
    <w:rsid w:val="16D41286"/>
    <w:rsid w:val="16E01287"/>
    <w:rsid w:val="16ED74A9"/>
    <w:rsid w:val="16F934ED"/>
    <w:rsid w:val="17094D46"/>
    <w:rsid w:val="1737648B"/>
    <w:rsid w:val="173A4E72"/>
    <w:rsid w:val="174263F8"/>
    <w:rsid w:val="17D02788"/>
    <w:rsid w:val="17D575C9"/>
    <w:rsid w:val="17DB5D05"/>
    <w:rsid w:val="17E972BA"/>
    <w:rsid w:val="180E15AF"/>
    <w:rsid w:val="182E4BEB"/>
    <w:rsid w:val="18342C9C"/>
    <w:rsid w:val="184629B2"/>
    <w:rsid w:val="18590DED"/>
    <w:rsid w:val="185E6AE9"/>
    <w:rsid w:val="18726592"/>
    <w:rsid w:val="1887664F"/>
    <w:rsid w:val="18D32B79"/>
    <w:rsid w:val="18DC32DA"/>
    <w:rsid w:val="18F02CE1"/>
    <w:rsid w:val="190F0053"/>
    <w:rsid w:val="19257BBA"/>
    <w:rsid w:val="19394A77"/>
    <w:rsid w:val="19572D69"/>
    <w:rsid w:val="19744012"/>
    <w:rsid w:val="198249C4"/>
    <w:rsid w:val="19B45356"/>
    <w:rsid w:val="19F12C6A"/>
    <w:rsid w:val="19F24DA3"/>
    <w:rsid w:val="1A19209A"/>
    <w:rsid w:val="1A467091"/>
    <w:rsid w:val="1A591AB9"/>
    <w:rsid w:val="1A7164CC"/>
    <w:rsid w:val="1A7F6F05"/>
    <w:rsid w:val="1A9F4F06"/>
    <w:rsid w:val="1ACA362B"/>
    <w:rsid w:val="1ACB25B9"/>
    <w:rsid w:val="1ACE2BA4"/>
    <w:rsid w:val="1AD233F6"/>
    <w:rsid w:val="1AF5519A"/>
    <w:rsid w:val="1AF55AF8"/>
    <w:rsid w:val="1B0A5E2F"/>
    <w:rsid w:val="1B0E55E0"/>
    <w:rsid w:val="1B142408"/>
    <w:rsid w:val="1B1B7589"/>
    <w:rsid w:val="1B2303F4"/>
    <w:rsid w:val="1B267864"/>
    <w:rsid w:val="1B295482"/>
    <w:rsid w:val="1B3068F5"/>
    <w:rsid w:val="1B3C47C0"/>
    <w:rsid w:val="1B443D24"/>
    <w:rsid w:val="1BC4622C"/>
    <w:rsid w:val="1BC50885"/>
    <w:rsid w:val="1BD85F9F"/>
    <w:rsid w:val="1BDA15E1"/>
    <w:rsid w:val="1C14179F"/>
    <w:rsid w:val="1C366217"/>
    <w:rsid w:val="1C602201"/>
    <w:rsid w:val="1C6F5F5B"/>
    <w:rsid w:val="1C8731E0"/>
    <w:rsid w:val="1C8D08DE"/>
    <w:rsid w:val="1C9F0C55"/>
    <w:rsid w:val="1D000CBA"/>
    <w:rsid w:val="1D246A87"/>
    <w:rsid w:val="1D3973F7"/>
    <w:rsid w:val="1D5351CD"/>
    <w:rsid w:val="1D8C3A3F"/>
    <w:rsid w:val="1DA71037"/>
    <w:rsid w:val="1DAD7300"/>
    <w:rsid w:val="1DB22C2E"/>
    <w:rsid w:val="1DDF037E"/>
    <w:rsid w:val="1DE04BDC"/>
    <w:rsid w:val="1E1A7FA3"/>
    <w:rsid w:val="1E332380"/>
    <w:rsid w:val="1E466B8C"/>
    <w:rsid w:val="1E4A1A5C"/>
    <w:rsid w:val="1E6F68F7"/>
    <w:rsid w:val="1E7206C3"/>
    <w:rsid w:val="1E7F5BD3"/>
    <w:rsid w:val="1E99331B"/>
    <w:rsid w:val="1ED770C9"/>
    <w:rsid w:val="1EE31F52"/>
    <w:rsid w:val="1EE76B2C"/>
    <w:rsid w:val="1EED25FB"/>
    <w:rsid w:val="1EFB7513"/>
    <w:rsid w:val="1F147360"/>
    <w:rsid w:val="1F20274B"/>
    <w:rsid w:val="1F495206"/>
    <w:rsid w:val="1F733318"/>
    <w:rsid w:val="1F7F38B3"/>
    <w:rsid w:val="1F804FE7"/>
    <w:rsid w:val="1FA57657"/>
    <w:rsid w:val="1FC44BDE"/>
    <w:rsid w:val="1FC6346F"/>
    <w:rsid w:val="1FE172F8"/>
    <w:rsid w:val="1FE334B8"/>
    <w:rsid w:val="1FE63AA5"/>
    <w:rsid w:val="202F3061"/>
    <w:rsid w:val="203839F0"/>
    <w:rsid w:val="205B1F0D"/>
    <w:rsid w:val="207063EF"/>
    <w:rsid w:val="209E4344"/>
    <w:rsid w:val="20B37EC2"/>
    <w:rsid w:val="20E45E57"/>
    <w:rsid w:val="210164FF"/>
    <w:rsid w:val="21203039"/>
    <w:rsid w:val="212F0E31"/>
    <w:rsid w:val="214E6EF6"/>
    <w:rsid w:val="21714B2A"/>
    <w:rsid w:val="2171788D"/>
    <w:rsid w:val="21832E58"/>
    <w:rsid w:val="21985429"/>
    <w:rsid w:val="219C0827"/>
    <w:rsid w:val="21DF2CC7"/>
    <w:rsid w:val="22103241"/>
    <w:rsid w:val="22105472"/>
    <w:rsid w:val="22244E4B"/>
    <w:rsid w:val="228B63E3"/>
    <w:rsid w:val="22987C80"/>
    <w:rsid w:val="22B1729F"/>
    <w:rsid w:val="22B72F27"/>
    <w:rsid w:val="22C91058"/>
    <w:rsid w:val="22FD1EA6"/>
    <w:rsid w:val="23084670"/>
    <w:rsid w:val="233F2ED5"/>
    <w:rsid w:val="235146F4"/>
    <w:rsid w:val="23610BF7"/>
    <w:rsid w:val="236415D3"/>
    <w:rsid w:val="23816C55"/>
    <w:rsid w:val="238A21EB"/>
    <w:rsid w:val="23A11008"/>
    <w:rsid w:val="23B24762"/>
    <w:rsid w:val="23B61036"/>
    <w:rsid w:val="23C40B34"/>
    <w:rsid w:val="23E30554"/>
    <w:rsid w:val="240C6A6E"/>
    <w:rsid w:val="24192CCC"/>
    <w:rsid w:val="2435413A"/>
    <w:rsid w:val="247D756E"/>
    <w:rsid w:val="24844578"/>
    <w:rsid w:val="249B76C6"/>
    <w:rsid w:val="249D6475"/>
    <w:rsid w:val="24A27B89"/>
    <w:rsid w:val="24A36C2A"/>
    <w:rsid w:val="24E317DD"/>
    <w:rsid w:val="2505582A"/>
    <w:rsid w:val="25574908"/>
    <w:rsid w:val="255C077F"/>
    <w:rsid w:val="256B6864"/>
    <w:rsid w:val="2588162D"/>
    <w:rsid w:val="259530F6"/>
    <w:rsid w:val="25A036C2"/>
    <w:rsid w:val="25A55951"/>
    <w:rsid w:val="25C275F9"/>
    <w:rsid w:val="264509D0"/>
    <w:rsid w:val="26490B05"/>
    <w:rsid w:val="2668506B"/>
    <w:rsid w:val="26771561"/>
    <w:rsid w:val="26807C99"/>
    <w:rsid w:val="26844F9B"/>
    <w:rsid w:val="268F6DC3"/>
    <w:rsid w:val="26B010C8"/>
    <w:rsid w:val="26B637C9"/>
    <w:rsid w:val="26BA0F92"/>
    <w:rsid w:val="26D36F55"/>
    <w:rsid w:val="26E24400"/>
    <w:rsid w:val="26F15BDD"/>
    <w:rsid w:val="274D6A46"/>
    <w:rsid w:val="27785CD4"/>
    <w:rsid w:val="2779614F"/>
    <w:rsid w:val="27901A9C"/>
    <w:rsid w:val="27AC20E2"/>
    <w:rsid w:val="28170D78"/>
    <w:rsid w:val="28243546"/>
    <w:rsid w:val="283B519C"/>
    <w:rsid w:val="2846302D"/>
    <w:rsid w:val="2855082E"/>
    <w:rsid w:val="285B63D9"/>
    <w:rsid w:val="28A96B5B"/>
    <w:rsid w:val="29150578"/>
    <w:rsid w:val="293E6618"/>
    <w:rsid w:val="29431576"/>
    <w:rsid w:val="294414C1"/>
    <w:rsid w:val="298455B2"/>
    <w:rsid w:val="2995698F"/>
    <w:rsid w:val="29A44630"/>
    <w:rsid w:val="29AA7A01"/>
    <w:rsid w:val="29C869E1"/>
    <w:rsid w:val="29DA36F3"/>
    <w:rsid w:val="29DE0C77"/>
    <w:rsid w:val="29DE489B"/>
    <w:rsid w:val="29DF7A9D"/>
    <w:rsid w:val="2A1774EF"/>
    <w:rsid w:val="2A1953A4"/>
    <w:rsid w:val="2A3023E7"/>
    <w:rsid w:val="2A392113"/>
    <w:rsid w:val="2A47324B"/>
    <w:rsid w:val="2A843433"/>
    <w:rsid w:val="2A9B7870"/>
    <w:rsid w:val="2A9E7C76"/>
    <w:rsid w:val="2AC90DE1"/>
    <w:rsid w:val="2AE13576"/>
    <w:rsid w:val="2AE97FED"/>
    <w:rsid w:val="2B04781F"/>
    <w:rsid w:val="2B195D8A"/>
    <w:rsid w:val="2B3F2C60"/>
    <w:rsid w:val="2B44691A"/>
    <w:rsid w:val="2B8A0892"/>
    <w:rsid w:val="2BAE7EC7"/>
    <w:rsid w:val="2BC4791E"/>
    <w:rsid w:val="2BC7515F"/>
    <w:rsid w:val="2BDA114F"/>
    <w:rsid w:val="2BDC106F"/>
    <w:rsid w:val="2BF26446"/>
    <w:rsid w:val="2C36549E"/>
    <w:rsid w:val="2C6C5A06"/>
    <w:rsid w:val="2C716382"/>
    <w:rsid w:val="2C871D1D"/>
    <w:rsid w:val="2C9848C0"/>
    <w:rsid w:val="2CA40C82"/>
    <w:rsid w:val="2CB04B70"/>
    <w:rsid w:val="2CD514D4"/>
    <w:rsid w:val="2CD90DC8"/>
    <w:rsid w:val="2CEE484F"/>
    <w:rsid w:val="2CF9023A"/>
    <w:rsid w:val="2D0437C5"/>
    <w:rsid w:val="2D285D9A"/>
    <w:rsid w:val="2D373401"/>
    <w:rsid w:val="2D376C21"/>
    <w:rsid w:val="2D3A3874"/>
    <w:rsid w:val="2D4A68D4"/>
    <w:rsid w:val="2D5357F6"/>
    <w:rsid w:val="2D690B30"/>
    <w:rsid w:val="2D7B5E84"/>
    <w:rsid w:val="2D845740"/>
    <w:rsid w:val="2D855A41"/>
    <w:rsid w:val="2D8901D5"/>
    <w:rsid w:val="2DC6433E"/>
    <w:rsid w:val="2DCA02E4"/>
    <w:rsid w:val="2DDC49D8"/>
    <w:rsid w:val="2DE468E1"/>
    <w:rsid w:val="2E1F21FB"/>
    <w:rsid w:val="2E4B2C14"/>
    <w:rsid w:val="2E5E5C91"/>
    <w:rsid w:val="2E635A35"/>
    <w:rsid w:val="2E780057"/>
    <w:rsid w:val="2EA05E34"/>
    <w:rsid w:val="2EAA4EC7"/>
    <w:rsid w:val="2ED32229"/>
    <w:rsid w:val="2EFC6EA0"/>
    <w:rsid w:val="2F05570A"/>
    <w:rsid w:val="2F15578F"/>
    <w:rsid w:val="2F174AD1"/>
    <w:rsid w:val="2F2C3F7D"/>
    <w:rsid w:val="2F2D7A62"/>
    <w:rsid w:val="2F2F0760"/>
    <w:rsid w:val="2F5727F4"/>
    <w:rsid w:val="2FB75B63"/>
    <w:rsid w:val="2FCF1DBF"/>
    <w:rsid w:val="2FED4B8E"/>
    <w:rsid w:val="30017E07"/>
    <w:rsid w:val="30181086"/>
    <w:rsid w:val="301A1A20"/>
    <w:rsid w:val="301D15E9"/>
    <w:rsid w:val="30241191"/>
    <w:rsid w:val="30444FF2"/>
    <w:rsid w:val="30B15FE4"/>
    <w:rsid w:val="30B25292"/>
    <w:rsid w:val="30E16B2E"/>
    <w:rsid w:val="30FB0743"/>
    <w:rsid w:val="30FC739C"/>
    <w:rsid w:val="3113463B"/>
    <w:rsid w:val="315622E0"/>
    <w:rsid w:val="31913F81"/>
    <w:rsid w:val="31A02413"/>
    <w:rsid w:val="31E247A4"/>
    <w:rsid w:val="31E930E8"/>
    <w:rsid w:val="31EE3AC7"/>
    <w:rsid w:val="31EF4AE2"/>
    <w:rsid w:val="32042D3A"/>
    <w:rsid w:val="32092F28"/>
    <w:rsid w:val="321C2DC1"/>
    <w:rsid w:val="321D13A0"/>
    <w:rsid w:val="32394A0C"/>
    <w:rsid w:val="32397BCE"/>
    <w:rsid w:val="326709FD"/>
    <w:rsid w:val="327632E9"/>
    <w:rsid w:val="32806F50"/>
    <w:rsid w:val="32881B7F"/>
    <w:rsid w:val="32903760"/>
    <w:rsid w:val="32914361"/>
    <w:rsid w:val="32DF56CA"/>
    <w:rsid w:val="32EA7127"/>
    <w:rsid w:val="32F00E4F"/>
    <w:rsid w:val="33023F4C"/>
    <w:rsid w:val="33143437"/>
    <w:rsid w:val="3336088F"/>
    <w:rsid w:val="337B1F13"/>
    <w:rsid w:val="33806E3B"/>
    <w:rsid w:val="33A47D0C"/>
    <w:rsid w:val="33AF618B"/>
    <w:rsid w:val="33C74771"/>
    <w:rsid w:val="33D67A3D"/>
    <w:rsid w:val="33DA557F"/>
    <w:rsid w:val="340E2A37"/>
    <w:rsid w:val="341A6918"/>
    <w:rsid w:val="342333CC"/>
    <w:rsid w:val="34275836"/>
    <w:rsid w:val="34416D1A"/>
    <w:rsid w:val="346E2341"/>
    <w:rsid w:val="34A41240"/>
    <w:rsid w:val="34B40FFE"/>
    <w:rsid w:val="34B96ED4"/>
    <w:rsid w:val="34C36260"/>
    <w:rsid w:val="34D41FCA"/>
    <w:rsid w:val="34D53EBC"/>
    <w:rsid w:val="34D86314"/>
    <w:rsid w:val="34E9585A"/>
    <w:rsid w:val="34EC095D"/>
    <w:rsid w:val="350846D5"/>
    <w:rsid w:val="3509652C"/>
    <w:rsid w:val="350B2285"/>
    <w:rsid w:val="35301430"/>
    <w:rsid w:val="353E5A6D"/>
    <w:rsid w:val="3565798B"/>
    <w:rsid w:val="357E1D70"/>
    <w:rsid w:val="35873E36"/>
    <w:rsid w:val="35895F67"/>
    <w:rsid w:val="35BA7D84"/>
    <w:rsid w:val="35C4234E"/>
    <w:rsid w:val="35CE35E4"/>
    <w:rsid w:val="35CF4D5E"/>
    <w:rsid w:val="35D93923"/>
    <w:rsid w:val="35DD1D63"/>
    <w:rsid w:val="36032070"/>
    <w:rsid w:val="36375C13"/>
    <w:rsid w:val="363D2065"/>
    <w:rsid w:val="363F4291"/>
    <w:rsid w:val="36672E9B"/>
    <w:rsid w:val="366B5545"/>
    <w:rsid w:val="368413EE"/>
    <w:rsid w:val="36867C09"/>
    <w:rsid w:val="369260E1"/>
    <w:rsid w:val="36AB7BBC"/>
    <w:rsid w:val="36AB7C4F"/>
    <w:rsid w:val="36B22BAC"/>
    <w:rsid w:val="36B751BA"/>
    <w:rsid w:val="36EA70B8"/>
    <w:rsid w:val="370D3B14"/>
    <w:rsid w:val="37235F3E"/>
    <w:rsid w:val="37567C01"/>
    <w:rsid w:val="37877610"/>
    <w:rsid w:val="379B2246"/>
    <w:rsid w:val="37B74679"/>
    <w:rsid w:val="37B9152E"/>
    <w:rsid w:val="37CD0323"/>
    <w:rsid w:val="37D72173"/>
    <w:rsid w:val="37E07593"/>
    <w:rsid w:val="37F025EB"/>
    <w:rsid w:val="38180A4E"/>
    <w:rsid w:val="38257115"/>
    <w:rsid w:val="38703AB6"/>
    <w:rsid w:val="38883DF5"/>
    <w:rsid w:val="388C2F20"/>
    <w:rsid w:val="38916622"/>
    <w:rsid w:val="389A5515"/>
    <w:rsid w:val="38BB22DD"/>
    <w:rsid w:val="38C4534A"/>
    <w:rsid w:val="38CC2725"/>
    <w:rsid w:val="38CF63FF"/>
    <w:rsid w:val="38F23352"/>
    <w:rsid w:val="38F75E7F"/>
    <w:rsid w:val="391F2D48"/>
    <w:rsid w:val="3923425B"/>
    <w:rsid w:val="39385EC8"/>
    <w:rsid w:val="39477418"/>
    <w:rsid w:val="394F33C6"/>
    <w:rsid w:val="39537688"/>
    <w:rsid w:val="39711927"/>
    <w:rsid w:val="397C5051"/>
    <w:rsid w:val="397E765A"/>
    <w:rsid w:val="398165BD"/>
    <w:rsid w:val="39A66CD4"/>
    <w:rsid w:val="39DC579F"/>
    <w:rsid w:val="39E30F7C"/>
    <w:rsid w:val="3A1800E6"/>
    <w:rsid w:val="3A2B7AE3"/>
    <w:rsid w:val="3A2D7602"/>
    <w:rsid w:val="3A3737D2"/>
    <w:rsid w:val="3A481DCF"/>
    <w:rsid w:val="3A4C5BB1"/>
    <w:rsid w:val="3A5E5646"/>
    <w:rsid w:val="3A643C22"/>
    <w:rsid w:val="3A737D8B"/>
    <w:rsid w:val="3A755554"/>
    <w:rsid w:val="3A7E75BC"/>
    <w:rsid w:val="3AC44953"/>
    <w:rsid w:val="3ACF10E3"/>
    <w:rsid w:val="3B0424E0"/>
    <w:rsid w:val="3B0903D0"/>
    <w:rsid w:val="3B680794"/>
    <w:rsid w:val="3B731E54"/>
    <w:rsid w:val="3BAA478F"/>
    <w:rsid w:val="3BBB64D0"/>
    <w:rsid w:val="3BBD0EB9"/>
    <w:rsid w:val="3BD34589"/>
    <w:rsid w:val="3BE3445E"/>
    <w:rsid w:val="3C0E2AD8"/>
    <w:rsid w:val="3C271F92"/>
    <w:rsid w:val="3C322BB7"/>
    <w:rsid w:val="3C402741"/>
    <w:rsid w:val="3C83378D"/>
    <w:rsid w:val="3C853E5F"/>
    <w:rsid w:val="3C8B4CB8"/>
    <w:rsid w:val="3C97237D"/>
    <w:rsid w:val="3CBA470A"/>
    <w:rsid w:val="3CCE5275"/>
    <w:rsid w:val="3CD52CE1"/>
    <w:rsid w:val="3CF8483E"/>
    <w:rsid w:val="3D0735D2"/>
    <w:rsid w:val="3D244E6D"/>
    <w:rsid w:val="3D317B97"/>
    <w:rsid w:val="3D4E4DAD"/>
    <w:rsid w:val="3D6362F9"/>
    <w:rsid w:val="3DAB6F09"/>
    <w:rsid w:val="3DEC2877"/>
    <w:rsid w:val="3DFA2D04"/>
    <w:rsid w:val="3E155A6B"/>
    <w:rsid w:val="3E1F60EE"/>
    <w:rsid w:val="3E36696E"/>
    <w:rsid w:val="3E54799D"/>
    <w:rsid w:val="3E642150"/>
    <w:rsid w:val="3E64345F"/>
    <w:rsid w:val="3E7D0F2E"/>
    <w:rsid w:val="3EBA50A8"/>
    <w:rsid w:val="3EFB7DD5"/>
    <w:rsid w:val="3EFF5CF2"/>
    <w:rsid w:val="3F121D8B"/>
    <w:rsid w:val="3F171317"/>
    <w:rsid w:val="3F2A0CC5"/>
    <w:rsid w:val="3F3A3C1D"/>
    <w:rsid w:val="3F4149A8"/>
    <w:rsid w:val="3F6432C4"/>
    <w:rsid w:val="3F967FF1"/>
    <w:rsid w:val="3F973A63"/>
    <w:rsid w:val="3FCC1D5F"/>
    <w:rsid w:val="3FD221AE"/>
    <w:rsid w:val="3FED574A"/>
    <w:rsid w:val="3FFA0CED"/>
    <w:rsid w:val="40086F94"/>
    <w:rsid w:val="40142058"/>
    <w:rsid w:val="40592D05"/>
    <w:rsid w:val="405C6A14"/>
    <w:rsid w:val="40691C1C"/>
    <w:rsid w:val="408D2573"/>
    <w:rsid w:val="409C3DB1"/>
    <w:rsid w:val="40BE1B89"/>
    <w:rsid w:val="40DE25EE"/>
    <w:rsid w:val="410F2E6A"/>
    <w:rsid w:val="410F7D99"/>
    <w:rsid w:val="411D7250"/>
    <w:rsid w:val="411E54DE"/>
    <w:rsid w:val="4153177F"/>
    <w:rsid w:val="41972FC5"/>
    <w:rsid w:val="419A077C"/>
    <w:rsid w:val="41A4586C"/>
    <w:rsid w:val="41B36A6E"/>
    <w:rsid w:val="41C5625C"/>
    <w:rsid w:val="41D30DF5"/>
    <w:rsid w:val="41FF1F9A"/>
    <w:rsid w:val="420B3256"/>
    <w:rsid w:val="421E0FA9"/>
    <w:rsid w:val="421F0BD7"/>
    <w:rsid w:val="42310BA1"/>
    <w:rsid w:val="4276742F"/>
    <w:rsid w:val="4280191E"/>
    <w:rsid w:val="428D491F"/>
    <w:rsid w:val="42A278C9"/>
    <w:rsid w:val="42AD5E83"/>
    <w:rsid w:val="42B9722A"/>
    <w:rsid w:val="42BF405B"/>
    <w:rsid w:val="42D12F45"/>
    <w:rsid w:val="42D56A46"/>
    <w:rsid w:val="42DF632E"/>
    <w:rsid w:val="43007D9A"/>
    <w:rsid w:val="430A41A7"/>
    <w:rsid w:val="4310523C"/>
    <w:rsid w:val="431A7008"/>
    <w:rsid w:val="431B040C"/>
    <w:rsid w:val="434E5551"/>
    <w:rsid w:val="436C229B"/>
    <w:rsid w:val="438F7631"/>
    <w:rsid w:val="43972546"/>
    <w:rsid w:val="43AC08BD"/>
    <w:rsid w:val="43E77761"/>
    <w:rsid w:val="43FC0F93"/>
    <w:rsid w:val="4430136C"/>
    <w:rsid w:val="44437E8F"/>
    <w:rsid w:val="444B2B75"/>
    <w:rsid w:val="44733816"/>
    <w:rsid w:val="44743A58"/>
    <w:rsid w:val="447A3132"/>
    <w:rsid w:val="448510E5"/>
    <w:rsid w:val="448A1134"/>
    <w:rsid w:val="44911CEA"/>
    <w:rsid w:val="44C30742"/>
    <w:rsid w:val="44E33A93"/>
    <w:rsid w:val="45041232"/>
    <w:rsid w:val="4540042F"/>
    <w:rsid w:val="4594110B"/>
    <w:rsid w:val="45B62C82"/>
    <w:rsid w:val="45C70A1D"/>
    <w:rsid w:val="45DC6F1D"/>
    <w:rsid w:val="45EC04E2"/>
    <w:rsid w:val="4603123E"/>
    <w:rsid w:val="46084096"/>
    <w:rsid w:val="46363119"/>
    <w:rsid w:val="464366FC"/>
    <w:rsid w:val="465463B2"/>
    <w:rsid w:val="465F3B1D"/>
    <w:rsid w:val="46630424"/>
    <w:rsid w:val="468545C6"/>
    <w:rsid w:val="46D16D7F"/>
    <w:rsid w:val="46E43A20"/>
    <w:rsid w:val="46F21AFC"/>
    <w:rsid w:val="4703773B"/>
    <w:rsid w:val="471C1A0A"/>
    <w:rsid w:val="47280AD2"/>
    <w:rsid w:val="47362DF8"/>
    <w:rsid w:val="47552916"/>
    <w:rsid w:val="4760505D"/>
    <w:rsid w:val="4773572D"/>
    <w:rsid w:val="47807CE1"/>
    <w:rsid w:val="47AF6733"/>
    <w:rsid w:val="47B85339"/>
    <w:rsid w:val="47FF401E"/>
    <w:rsid w:val="481C5DD4"/>
    <w:rsid w:val="48260563"/>
    <w:rsid w:val="48475982"/>
    <w:rsid w:val="486E0DA4"/>
    <w:rsid w:val="489335B7"/>
    <w:rsid w:val="48A02014"/>
    <w:rsid w:val="48AD1802"/>
    <w:rsid w:val="48C17067"/>
    <w:rsid w:val="48C60E8B"/>
    <w:rsid w:val="48DF4792"/>
    <w:rsid w:val="48EB79DC"/>
    <w:rsid w:val="49080E17"/>
    <w:rsid w:val="4927131B"/>
    <w:rsid w:val="49333C64"/>
    <w:rsid w:val="49515BD4"/>
    <w:rsid w:val="49581C7F"/>
    <w:rsid w:val="496A5409"/>
    <w:rsid w:val="499921B5"/>
    <w:rsid w:val="49A218D4"/>
    <w:rsid w:val="49A97993"/>
    <w:rsid w:val="49D272A9"/>
    <w:rsid w:val="49DC143D"/>
    <w:rsid w:val="49EC0E95"/>
    <w:rsid w:val="49F1537F"/>
    <w:rsid w:val="4A005016"/>
    <w:rsid w:val="4A0C3BD4"/>
    <w:rsid w:val="4A1F0491"/>
    <w:rsid w:val="4A34525F"/>
    <w:rsid w:val="4A3604F6"/>
    <w:rsid w:val="4A7C1AAC"/>
    <w:rsid w:val="4AB0382B"/>
    <w:rsid w:val="4AB51ACD"/>
    <w:rsid w:val="4AC05646"/>
    <w:rsid w:val="4AC15D2C"/>
    <w:rsid w:val="4ACD1211"/>
    <w:rsid w:val="4ADA15A1"/>
    <w:rsid w:val="4AF84842"/>
    <w:rsid w:val="4B00252A"/>
    <w:rsid w:val="4B112C27"/>
    <w:rsid w:val="4B2E7DFE"/>
    <w:rsid w:val="4B4951DD"/>
    <w:rsid w:val="4B7A7A4D"/>
    <w:rsid w:val="4B98061C"/>
    <w:rsid w:val="4B9E2DF2"/>
    <w:rsid w:val="4BB45966"/>
    <w:rsid w:val="4BC629F6"/>
    <w:rsid w:val="4BD93F82"/>
    <w:rsid w:val="4BF64AEA"/>
    <w:rsid w:val="4C3A64B6"/>
    <w:rsid w:val="4CA26A02"/>
    <w:rsid w:val="4CA27482"/>
    <w:rsid w:val="4CA700EB"/>
    <w:rsid w:val="4CCC571F"/>
    <w:rsid w:val="4CEC1CEC"/>
    <w:rsid w:val="4CFF17AD"/>
    <w:rsid w:val="4CFF5A8B"/>
    <w:rsid w:val="4D196851"/>
    <w:rsid w:val="4D2C5A58"/>
    <w:rsid w:val="4D4D5C21"/>
    <w:rsid w:val="4D50083F"/>
    <w:rsid w:val="4D50280A"/>
    <w:rsid w:val="4D51060B"/>
    <w:rsid w:val="4D683643"/>
    <w:rsid w:val="4D774B7E"/>
    <w:rsid w:val="4D880DE1"/>
    <w:rsid w:val="4D9461F8"/>
    <w:rsid w:val="4DA70531"/>
    <w:rsid w:val="4DDC7B15"/>
    <w:rsid w:val="4DF67525"/>
    <w:rsid w:val="4DFE7AA5"/>
    <w:rsid w:val="4E032388"/>
    <w:rsid w:val="4E3A0053"/>
    <w:rsid w:val="4E3E78D7"/>
    <w:rsid w:val="4E426F08"/>
    <w:rsid w:val="4E503938"/>
    <w:rsid w:val="4E6034DC"/>
    <w:rsid w:val="4E65730F"/>
    <w:rsid w:val="4E6750D1"/>
    <w:rsid w:val="4E755B89"/>
    <w:rsid w:val="4E88547F"/>
    <w:rsid w:val="4EB46678"/>
    <w:rsid w:val="4EC1071A"/>
    <w:rsid w:val="4EE77DC3"/>
    <w:rsid w:val="4EF84D5E"/>
    <w:rsid w:val="4F03350A"/>
    <w:rsid w:val="4F1747AC"/>
    <w:rsid w:val="4F650514"/>
    <w:rsid w:val="4F734975"/>
    <w:rsid w:val="4F883027"/>
    <w:rsid w:val="4F8F6465"/>
    <w:rsid w:val="4FA77897"/>
    <w:rsid w:val="4FB60220"/>
    <w:rsid w:val="4FFD396F"/>
    <w:rsid w:val="5005661C"/>
    <w:rsid w:val="502744E6"/>
    <w:rsid w:val="50367A44"/>
    <w:rsid w:val="50480D64"/>
    <w:rsid w:val="50504B24"/>
    <w:rsid w:val="505419AE"/>
    <w:rsid w:val="50653AAC"/>
    <w:rsid w:val="50780A47"/>
    <w:rsid w:val="508A3130"/>
    <w:rsid w:val="50B80FB3"/>
    <w:rsid w:val="511F78B7"/>
    <w:rsid w:val="513A688A"/>
    <w:rsid w:val="513D65EF"/>
    <w:rsid w:val="5147031B"/>
    <w:rsid w:val="51620B0E"/>
    <w:rsid w:val="516B5E1B"/>
    <w:rsid w:val="517E3FA5"/>
    <w:rsid w:val="5182251A"/>
    <w:rsid w:val="519C4EE5"/>
    <w:rsid w:val="51A118EB"/>
    <w:rsid w:val="51A33E35"/>
    <w:rsid w:val="51C2635A"/>
    <w:rsid w:val="51CF46B5"/>
    <w:rsid w:val="51DF470B"/>
    <w:rsid w:val="51E97AF0"/>
    <w:rsid w:val="51EB41DA"/>
    <w:rsid w:val="5203657F"/>
    <w:rsid w:val="52096DE9"/>
    <w:rsid w:val="52337674"/>
    <w:rsid w:val="52353417"/>
    <w:rsid w:val="52646D6D"/>
    <w:rsid w:val="526B62A0"/>
    <w:rsid w:val="5292278C"/>
    <w:rsid w:val="529251AD"/>
    <w:rsid w:val="52CC5E4C"/>
    <w:rsid w:val="52E952FD"/>
    <w:rsid w:val="52F9620C"/>
    <w:rsid w:val="530442A8"/>
    <w:rsid w:val="53535C81"/>
    <w:rsid w:val="537457EA"/>
    <w:rsid w:val="53773725"/>
    <w:rsid w:val="539C1E69"/>
    <w:rsid w:val="53BA598E"/>
    <w:rsid w:val="53C26256"/>
    <w:rsid w:val="540C3079"/>
    <w:rsid w:val="5410247D"/>
    <w:rsid w:val="542D2801"/>
    <w:rsid w:val="54514E55"/>
    <w:rsid w:val="545275AC"/>
    <w:rsid w:val="546E2F20"/>
    <w:rsid w:val="5483345D"/>
    <w:rsid w:val="54AF369F"/>
    <w:rsid w:val="54B55A5D"/>
    <w:rsid w:val="54C56998"/>
    <w:rsid w:val="54D73C3B"/>
    <w:rsid w:val="54E53E2F"/>
    <w:rsid w:val="54FF061B"/>
    <w:rsid w:val="550963E9"/>
    <w:rsid w:val="554A4F09"/>
    <w:rsid w:val="556E0923"/>
    <w:rsid w:val="55760812"/>
    <w:rsid w:val="557833BF"/>
    <w:rsid w:val="557C109D"/>
    <w:rsid w:val="55861C4C"/>
    <w:rsid w:val="55A02B8C"/>
    <w:rsid w:val="55A2613C"/>
    <w:rsid w:val="55A62BF2"/>
    <w:rsid w:val="55D946D3"/>
    <w:rsid w:val="55F011E1"/>
    <w:rsid w:val="55F47364"/>
    <w:rsid w:val="56015004"/>
    <w:rsid w:val="562777A0"/>
    <w:rsid w:val="562831D9"/>
    <w:rsid w:val="56347BAE"/>
    <w:rsid w:val="567F2A46"/>
    <w:rsid w:val="56840005"/>
    <w:rsid w:val="569868B5"/>
    <w:rsid w:val="56A42426"/>
    <w:rsid w:val="56BB46C6"/>
    <w:rsid w:val="56DA4DF5"/>
    <w:rsid w:val="56EC13E9"/>
    <w:rsid w:val="572101AE"/>
    <w:rsid w:val="57501873"/>
    <w:rsid w:val="57543B1E"/>
    <w:rsid w:val="57667506"/>
    <w:rsid w:val="57802638"/>
    <w:rsid w:val="578568D1"/>
    <w:rsid w:val="57A6736D"/>
    <w:rsid w:val="57B61502"/>
    <w:rsid w:val="57B839F4"/>
    <w:rsid w:val="57E06EC7"/>
    <w:rsid w:val="57F21A48"/>
    <w:rsid w:val="57F602EF"/>
    <w:rsid w:val="580A40A5"/>
    <w:rsid w:val="58306171"/>
    <w:rsid w:val="583D1AFC"/>
    <w:rsid w:val="585F10C4"/>
    <w:rsid w:val="5862163C"/>
    <w:rsid w:val="58647F94"/>
    <w:rsid w:val="58A7150F"/>
    <w:rsid w:val="58B05F31"/>
    <w:rsid w:val="58C04846"/>
    <w:rsid w:val="58C54031"/>
    <w:rsid w:val="591B0492"/>
    <w:rsid w:val="59603819"/>
    <w:rsid w:val="596F632E"/>
    <w:rsid w:val="59854791"/>
    <w:rsid w:val="598D3A91"/>
    <w:rsid w:val="59954201"/>
    <w:rsid w:val="59BE653B"/>
    <w:rsid w:val="59C220B9"/>
    <w:rsid w:val="59E554A4"/>
    <w:rsid w:val="5A0125EB"/>
    <w:rsid w:val="5A205AC2"/>
    <w:rsid w:val="5A491E98"/>
    <w:rsid w:val="5A5B7912"/>
    <w:rsid w:val="5A6F0D98"/>
    <w:rsid w:val="5A810FD9"/>
    <w:rsid w:val="5A9664E6"/>
    <w:rsid w:val="5A9C38BA"/>
    <w:rsid w:val="5A9F68F2"/>
    <w:rsid w:val="5AAC54A6"/>
    <w:rsid w:val="5AB356A5"/>
    <w:rsid w:val="5AE7565E"/>
    <w:rsid w:val="5B2B11D2"/>
    <w:rsid w:val="5B2B5407"/>
    <w:rsid w:val="5B2D7EFB"/>
    <w:rsid w:val="5B494682"/>
    <w:rsid w:val="5B635C82"/>
    <w:rsid w:val="5B7D5633"/>
    <w:rsid w:val="5B864901"/>
    <w:rsid w:val="5B9529FF"/>
    <w:rsid w:val="5BBD2A62"/>
    <w:rsid w:val="5BD0664E"/>
    <w:rsid w:val="5BD10247"/>
    <w:rsid w:val="5BDE7431"/>
    <w:rsid w:val="5BE67F37"/>
    <w:rsid w:val="5BF87EB2"/>
    <w:rsid w:val="5BFF156E"/>
    <w:rsid w:val="5C06044D"/>
    <w:rsid w:val="5C086B20"/>
    <w:rsid w:val="5C0A1276"/>
    <w:rsid w:val="5C504EBA"/>
    <w:rsid w:val="5C6A0246"/>
    <w:rsid w:val="5C75167A"/>
    <w:rsid w:val="5C94649F"/>
    <w:rsid w:val="5CAB6356"/>
    <w:rsid w:val="5CF0708A"/>
    <w:rsid w:val="5CFC036E"/>
    <w:rsid w:val="5D3271CE"/>
    <w:rsid w:val="5D3B5D81"/>
    <w:rsid w:val="5D3E7524"/>
    <w:rsid w:val="5D8575DC"/>
    <w:rsid w:val="5D975D7A"/>
    <w:rsid w:val="5D9868A3"/>
    <w:rsid w:val="5DA14253"/>
    <w:rsid w:val="5E48738D"/>
    <w:rsid w:val="5E6F0850"/>
    <w:rsid w:val="5E7012AA"/>
    <w:rsid w:val="5E81387C"/>
    <w:rsid w:val="5E9778FF"/>
    <w:rsid w:val="5E9A0EE4"/>
    <w:rsid w:val="5EA94960"/>
    <w:rsid w:val="5EBE499A"/>
    <w:rsid w:val="5EE30AF4"/>
    <w:rsid w:val="5EEC4A06"/>
    <w:rsid w:val="5F177884"/>
    <w:rsid w:val="5F3A5724"/>
    <w:rsid w:val="5F3F6F8C"/>
    <w:rsid w:val="5F432B74"/>
    <w:rsid w:val="5F557D2C"/>
    <w:rsid w:val="5F6333F4"/>
    <w:rsid w:val="5F6969CE"/>
    <w:rsid w:val="5F757CEB"/>
    <w:rsid w:val="5F7E11D0"/>
    <w:rsid w:val="5F7F4FE4"/>
    <w:rsid w:val="5F8C2CA8"/>
    <w:rsid w:val="5FA112A8"/>
    <w:rsid w:val="5FAC0D6D"/>
    <w:rsid w:val="5FAC5BA8"/>
    <w:rsid w:val="5FAF1586"/>
    <w:rsid w:val="5FB24DFC"/>
    <w:rsid w:val="5FBB094E"/>
    <w:rsid w:val="5FBF151B"/>
    <w:rsid w:val="5FC45D0D"/>
    <w:rsid w:val="5FDA22F8"/>
    <w:rsid w:val="5FEF1085"/>
    <w:rsid w:val="60116829"/>
    <w:rsid w:val="602519D7"/>
    <w:rsid w:val="602629B6"/>
    <w:rsid w:val="60491D30"/>
    <w:rsid w:val="608D2E1C"/>
    <w:rsid w:val="60A32CCD"/>
    <w:rsid w:val="60BB6CC2"/>
    <w:rsid w:val="60BE1C31"/>
    <w:rsid w:val="60DB3716"/>
    <w:rsid w:val="60DF0FA6"/>
    <w:rsid w:val="60E40127"/>
    <w:rsid w:val="60EA2718"/>
    <w:rsid w:val="60ED52D7"/>
    <w:rsid w:val="6109119A"/>
    <w:rsid w:val="61102D83"/>
    <w:rsid w:val="611F6817"/>
    <w:rsid w:val="613731AD"/>
    <w:rsid w:val="61375227"/>
    <w:rsid w:val="613F41A8"/>
    <w:rsid w:val="61411A4F"/>
    <w:rsid w:val="61684843"/>
    <w:rsid w:val="618B50A5"/>
    <w:rsid w:val="61950261"/>
    <w:rsid w:val="61B96970"/>
    <w:rsid w:val="61E0741D"/>
    <w:rsid w:val="61F4351A"/>
    <w:rsid w:val="61F609D7"/>
    <w:rsid w:val="62383F10"/>
    <w:rsid w:val="624C0E01"/>
    <w:rsid w:val="625A7DBB"/>
    <w:rsid w:val="627C475A"/>
    <w:rsid w:val="62812FC5"/>
    <w:rsid w:val="62DB61AB"/>
    <w:rsid w:val="62EF74AE"/>
    <w:rsid w:val="62F9426E"/>
    <w:rsid w:val="6318492A"/>
    <w:rsid w:val="63400272"/>
    <w:rsid w:val="6352413C"/>
    <w:rsid w:val="63A36E83"/>
    <w:rsid w:val="63CC4D27"/>
    <w:rsid w:val="63D837DF"/>
    <w:rsid w:val="645E4F7F"/>
    <w:rsid w:val="64610426"/>
    <w:rsid w:val="646F69A6"/>
    <w:rsid w:val="64931A70"/>
    <w:rsid w:val="6493306C"/>
    <w:rsid w:val="649412BD"/>
    <w:rsid w:val="64E22636"/>
    <w:rsid w:val="64E246AA"/>
    <w:rsid w:val="64FD1224"/>
    <w:rsid w:val="652E6566"/>
    <w:rsid w:val="65350FAF"/>
    <w:rsid w:val="654C1D9B"/>
    <w:rsid w:val="65902FD0"/>
    <w:rsid w:val="65B832C1"/>
    <w:rsid w:val="65C731CE"/>
    <w:rsid w:val="65DD6D0B"/>
    <w:rsid w:val="65E40EB7"/>
    <w:rsid w:val="65E75355"/>
    <w:rsid w:val="660E4759"/>
    <w:rsid w:val="661012D6"/>
    <w:rsid w:val="66243049"/>
    <w:rsid w:val="66302208"/>
    <w:rsid w:val="66520E8A"/>
    <w:rsid w:val="66555C7E"/>
    <w:rsid w:val="666A5022"/>
    <w:rsid w:val="668322E3"/>
    <w:rsid w:val="669A76D6"/>
    <w:rsid w:val="66C130A1"/>
    <w:rsid w:val="66CA1754"/>
    <w:rsid w:val="66CE51DB"/>
    <w:rsid w:val="671762BF"/>
    <w:rsid w:val="67341E6D"/>
    <w:rsid w:val="67366B84"/>
    <w:rsid w:val="677149E3"/>
    <w:rsid w:val="67982831"/>
    <w:rsid w:val="67B61002"/>
    <w:rsid w:val="67B70A5D"/>
    <w:rsid w:val="67D5060E"/>
    <w:rsid w:val="67D776DE"/>
    <w:rsid w:val="67E80C7C"/>
    <w:rsid w:val="67FC36B1"/>
    <w:rsid w:val="68096E71"/>
    <w:rsid w:val="68484678"/>
    <w:rsid w:val="688E79E8"/>
    <w:rsid w:val="68B7628A"/>
    <w:rsid w:val="68D04FEB"/>
    <w:rsid w:val="68D720AA"/>
    <w:rsid w:val="68D81B34"/>
    <w:rsid w:val="68E720A5"/>
    <w:rsid w:val="69034E29"/>
    <w:rsid w:val="695A3ECF"/>
    <w:rsid w:val="696753E2"/>
    <w:rsid w:val="696F3AC9"/>
    <w:rsid w:val="69797527"/>
    <w:rsid w:val="697A7473"/>
    <w:rsid w:val="697D63B9"/>
    <w:rsid w:val="69A41A0A"/>
    <w:rsid w:val="69B20C96"/>
    <w:rsid w:val="69BB6CC3"/>
    <w:rsid w:val="69DF0952"/>
    <w:rsid w:val="6A0122FA"/>
    <w:rsid w:val="6A1108F3"/>
    <w:rsid w:val="6A1473BF"/>
    <w:rsid w:val="6A3114F3"/>
    <w:rsid w:val="6A37672D"/>
    <w:rsid w:val="6A46170D"/>
    <w:rsid w:val="6A5A72F3"/>
    <w:rsid w:val="6A7454C3"/>
    <w:rsid w:val="6A8056AB"/>
    <w:rsid w:val="6AAF0E18"/>
    <w:rsid w:val="6ACE1F8D"/>
    <w:rsid w:val="6AD67AF9"/>
    <w:rsid w:val="6AE36D75"/>
    <w:rsid w:val="6B226F65"/>
    <w:rsid w:val="6B252AA1"/>
    <w:rsid w:val="6B2A119A"/>
    <w:rsid w:val="6B2C5E54"/>
    <w:rsid w:val="6B382C68"/>
    <w:rsid w:val="6B4B50D9"/>
    <w:rsid w:val="6B8117D9"/>
    <w:rsid w:val="6BC32EE8"/>
    <w:rsid w:val="6BC65B73"/>
    <w:rsid w:val="6BD12BB7"/>
    <w:rsid w:val="6BE54432"/>
    <w:rsid w:val="6C066194"/>
    <w:rsid w:val="6C0774B4"/>
    <w:rsid w:val="6C286B97"/>
    <w:rsid w:val="6C8D31CC"/>
    <w:rsid w:val="6CC206EE"/>
    <w:rsid w:val="6CC216A8"/>
    <w:rsid w:val="6CE63046"/>
    <w:rsid w:val="6CEC342F"/>
    <w:rsid w:val="6D290AFE"/>
    <w:rsid w:val="6D2D7395"/>
    <w:rsid w:val="6D374FB7"/>
    <w:rsid w:val="6D5A1C5F"/>
    <w:rsid w:val="6D7E26B7"/>
    <w:rsid w:val="6DC85E48"/>
    <w:rsid w:val="6DD464A0"/>
    <w:rsid w:val="6DDB6E3B"/>
    <w:rsid w:val="6DE71817"/>
    <w:rsid w:val="6DEC0A16"/>
    <w:rsid w:val="6E176931"/>
    <w:rsid w:val="6E231C0A"/>
    <w:rsid w:val="6E410C1E"/>
    <w:rsid w:val="6E551418"/>
    <w:rsid w:val="6E7B7FE4"/>
    <w:rsid w:val="6E8C439E"/>
    <w:rsid w:val="6E905E02"/>
    <w:rsid w:val="6E924116"/>
    <w:rsid w:val="6EB80B6A"/>
    <w:rsid w:val="6ECA2060"/>
    <w:rsid w:val="6EE54DBD"/>
    <w:rsid w:val="6EEB10E9"/>
    <w:rsid w:val="6F1E1540"/>
    <w:rsid w:val="6F1E65D4"/>
    <w:rsid w:val="6F266C86"/>
    <w:rsid w:val="6F3D3975"/>
    <w:rsid w:val="6F5042C2"/>
    <w:rsid w:val="6F6526C1"/>
    <w:rsid w:val="6F8C015F"/>
    <w:rsid w:val="6F8E53E2"/>
    <w:rsid w:val="6FAC1A83"/>
    <w:rsid w:val="6FC36B2F"/>
    <w:rsid w:val="6FCE6277"/>
    <w:rsid w:val="6FE335C7"/>
    <w:rsid w:val="6FEC1F55"/>
    <w:rsid w:val="700115CD"/>
    <w:rsid w:val="70187A6C"/>
    <w:rsid w:val="703C4D68"/>
    <w:rsid w:val="7075053C"/>
    <w:rsid w:val="707D4D55"/>
    <w:rsid w:val="708609E1"/>
    <w:rsid w:val="708A390D"/>
    <w:rsid w:val="70CC0A12"/>
    <w:rsid w:val="70E95E74"/>
    <w:rsid w:val="70F900D9"/>
    <w:rsid w:val="70FF51E5"/>
    <w:rsid w:val="710869CB"/>
    <w:rsid w:val="710A6D12"/>
    <w:rsid w:val="71101AF5"/>
    <w:rsid w:val="71185D76"/>
    <w:rsid w:val="711F15ED"/>
    <w:rsid w:val="713C6FCC"/>
    <w:rsid w:val="71441488"/>
    <w:rsid w:val="71651DA8"/>
    <w:rsid w:val="71882B9D"/>
    <w:rsid w:val="71987004"/>
    <w:rsid w:val="71A54B89"/>
    <w:rsid w:val="71AB2962"/>
    <w:rsid w:val="71C55074"/>
    <w:rsid w:val="71CD6994"/>
    <w:rsid w:val="71F31126"/>
    <w:rsid w:val="71FA6A8D"/>
    <w:rsid w:val="720141FF"/>
    <w:rsid w:val="72112319"/>
    <w:rsid w:val="724564CB"/>
    <w:rsid w:val="726E3690"/>
    <w:rsid w:val="72776B83"/>
    <w:rsid w:val="729A746D"/>
    <w:rsid w:val="729F6337"/>
    <w:rsid w:val="72B47877"/>
    <w:rsid w:val="72B844D3"/>
    <w:rsid w:val="72CF5BB3"/>
    <w:rsid w:val="72D91039"/>
    <w:rsid w:val="72E56902"/>
    <w:rsid w:val="73117FA8"/>
    <w:rsid w:val="7319583D"/>
    <w:rsid w:val="736142BB"/>
    <w:rsid w:val="73716632"/>
    <w:rsid w:val="73981534"/>
    <w:rsid w:val="73CE1F1D"/>
    <w:rsid w:val="73D11F92"/>
    <w:rsid w:val="73EE7862"/>
    <w:rsid w:val="73F463DF"/>
    <w:rsid w:val="73F75C90"/>
    <w:rsid w:val="73FE6191"/>
    <w:rsid w:val="740623E2"/>
    <w:rsid w:val="74063D7B"/>
    <w:rsid w:val="74111895"/>
    <w:rsid w:val="7427300E"/>
    <w:rsid w:val="74316312"/>
    <w:rsid w:val="7438266E"/>
    <w:rsid w:val="74A83E82"/>
    <w:rsid w:val="75203DF4"/>
    <w:rsid w:val="75223783"/>
    <w:rsid w:val="75314649"/>
    <w:rsid w:val="75396B55"/>
    <w:rsid w:val="75A15EFB"/>
    <w:rsid w:val="75A4568E"/>
    <w:rsid w:val="75B86E09"/>
    <w:rsid w:val="75C14178"/>
    <w:rsid w:val="75E258CF"/>
    <w:rsid w:val="7604209F"/>
    <w:rsid w:val="760E0B2C"/>
    <w:rsid w:val="762F5542"/>
    <w:rsid w:val="76633F34"/>
    <w:rsid w:val="76670CF9"/>
    <w:rsid w:val="7672092F"/>
    <w:rsid w:val="768B0430"/>
    <w:rsid w:val="7699266A"/>
    <w:rsid w:val="76A92F96"/>
    <w:rsid w:val="76A975CA"/>
    <w:rsid w:val="76A97B76"/>
    <w:rsid w:val="76E9547D"/>
    <w:rsid w:val="76F15AD0"/>
    <w:rsid w:val="76FD408F"/>
    <w:rsid w:val="77042FA1"/>
    <w:rsid w:val="772115C3"/>
    <w:rsid w:val="77316E75"/>
    <w:rsid w:val="77324559"/>
    <w:rsid w:val="77370538"/>
    <w:rsid w:val="77535974"/>
    <w:rsid w:val="77542601"/>
    <w:rsid w:val="775A4920"/>
    <w:rsid w:val="777B3C70"/>
    <w:rsid w:val="777E0D0B"/>
    <w:rsid w:val="778F0DB1"/>
    <w:rsid w:val="77A208B7"/>
    <w:rsid w:val="77A45525"/>
    <w:rsid w:val="77AB7FE5"/>
    <w:rsid w:val="77B03877"/>
    <w:rsid w:val="77CD2343"/>
    <w:rsid w:val="77F0695C"/>
    <w:rsid w:val="77FA1872"/>
    <w:rsid w:val="780F13C8"/>
    <w:rsid w:val="780F1D29"/>
    <w:rsid w:val="783116A8"/>
    <w:rsid w:val="78512979"/>
    <w:rsid w:val="7897453D"/>
    <w:rsid w:val="78A64753"/>
    <w:rsid w:val="78E308E6"/>
    <w:rsid w:val="78E31B71"/>
    <w:rsid w:val="78F9314B"/>
    <w:rsid w:val="78FB7B2D"/>
    <w:rsid w:val="78FE2110"/>
    <w:rsid w:val="79006128"/>
    <w:rsid w:val="792267F8"/>
    <w:rsid w:val="79363B9C"/>
    <w:rsid w:val="795D5042"/>
    <w:rsid w:val="795E1CAB"/>
    <w:rsid w:val="796C58DE"/>
    <w:rsid w:val="797B6041"/>
    <w:rsid w:val="79837EFE"/>
    <w:rsid w:val="798706CD"/>
    <w:rsid w:val="79F212F4"/>
    <w:rsid w:val="79FA1B3E"/>
    <w:rsid w:val="7A034423"/>
    <w:rsid w:val="7A046655"/>
    <w:rsid w:val="7A1B2CC1"/>
    <w:rsid w:val="7A6666B0"/>
    <w:rsid w:val="7A830C45"/>
    <w:rsid w:val="7A963DB3"/>
    <w:rsid w:val="7AA36868"/>
    <w:rsid w:val="7AA63D37"/>
    <w:rsid w:val="7AAC2199"/>
    <w:rsid w:val="7AB214C9"/>
    <w:rsid w:val="7ABE23C4"/>
    <w:rsid w:val="7AD856F0"/>
    <w:rsid w:val="7AE94F97"/>
    <w:rsid w:val="7B147652"/>
    <w:rsid w:val="7B15568F"/>
    <w:rsid w:val="7B200A29"/>
    <w:rsid w:val="7B305D8F"/>
    <w:rsid w:val="7B982279"/>
    <w:rsid w:val="7BAB2387"/>
    <w:rsid w:val="7C042CA1"/>
    <w:rsid w:val="7C266E26"/>
    <w:rsid w:val="7C276E27"/>
    <w:rsid w:val="7C2838FC"/>
    <w:rsid w:val="7C291D7B"/>
    <w:rsid w:val="7C385448"/>
    <w:rsid w:val="7C5835DA"/>
    <w:rsid w:val="7C635CB1"/>
    <w:rsid w:val="7C685F5C"/>
    <w:rsid w:val="7C777D34"/>
    <w:rsid w:val="7C9A0E6D"/>
    <w:rsid w:val="7CA834D0"/>
    <w:rsid w:val="7CB3663D"/>
    <w:rsid w:val="7CB62F58"/>
    <w:rsid w:val="7D220D5B"/>
    <w:rsid w:val="7D27592E"/>
    <w:rsid w:val="7D4D29F0"/>
    <w:rsid w:val="7D540882"/>
    <w:rsid w:val="7D6B4F20"/>
    <w:rsid w:val="7D7C1880"/>
    <w:rsid w:val="7D835BA3"/>
    <w:rsid w:val="7D987618"/>
    <w:rsid w:val="7DA62549"/>
    <w:rsid w:val="7DA8125A"/>
    <w:rsid w:val="7DCA4D96"/>
    <w:rsid w:val="7DD61A3C"/>
    <w:rsid w:val="7E025F7F"/>
    <w:rsid w:val="7E127BB9"/>
    <w:rsid w:val="7E133488"/>
    <w:rsid w:val="7E177C56"/>
    <w:rsid w:val="7E292DCA"/>
    <w:rsid w:val="7E4A5745"/>
    <w:rsid w:val="7E7E5C9E"/>
    <w:rsid w:val="7E810220"/>
    <w:rsid w:val="7E8E4DD4"/>
    <w:rsid w:val="7E9A2B15"/>
    <w:rsid w:val="7EC60F44"/>
    <w:rsid w:val="7ECE0E29"/>
    <w:rsid w:val="7EDE0F62"/>
    <w:rsid w:val="7F3A16E7"/>
    <w:rsid w:val="7F4A1A7B"/>
    <w:rsid w:val="7F79550B"/>
    <w:rsid w:val="7FBE4413"/>
    <w:rsid w:val="D5FD3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4"/>
    <w:link w:val="3"/>
    <w:semiHidden/>
    <w:qFormat/>
    <w:uiPriority w:val="99"/>
    <w:rPr>
      <w:sz w:val="18"/>
      <w:szCs w:val="18"/>
    </w:rPr>
  </w:style>
  <w:style w:type="character" w:customStyle="1" w:styleId="8">
    <w:name w:val="页脚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Shanghai Jian Qiao University</Company>
  <Pages>6</Pages>
  <Words>3787</Words>
  <Characters>4156</Characters>
  <Lines>37</Lines>
  <Paragraphs>10</Paragraphs>
  <TotalTime>0</TotalTime>
  <ScaleCrop>false</ScaleCrop>
  <LinksUpToDate>false</LinksUpToDate>
  <CharactersWithSpaces>4228</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2022-09-23T12:42:00Z</dcterms:created>
  <dc:creator>juvg</dc:creator>
  <cp:lastModifiedBy>apple</cp:lastModifiedBy>
  <dcterms:modified xsi:type="dcterms:W3CDTF">2022-10-08T18:46:44Z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C0AE0F67904D499DAB9C2C685FE93009</vt:lpwstr>
  </property>
</Properties>
</file>