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790ED2">
      <w:pPr>
        <w:snapToGrid w:val="0"/>
        <w:jc w:val="center"/>
        <w:rPr>
          <w:sz w:val="6"/>
          <w:szCs w:val="6"/>
        </w:rPr>
      </w:pPr>
    </w:p>
    <w:p w14:paraId="7E3A78D5">
      <w:pPr>
        <w:snapToGrid w:val="0"/>
        <w:jc w:val="center"/>
        <w:rPr>
          <w:sz w:val="6"/>
          <w:szCs w:val="6"/>
        </w:rPr>
      </w:pPr>
    </w:p>
    <w:p w14:paraId="243A8ED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585E9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lang w:eastAsia="zh-CN"/>
        </w:rPr>
      </w:pPr>
      <w:r>
        <w:rPr>
          <w:rFonts w:ascii="黑体" w:hAnsi="黑体" w:eastAsia="黑体"/>
          <w:bCs/>
          <w:lang w:eastAsia="zh-CN"/>
        </w:rPr>
        <w:t>一</w:t>
      </w:r>
      <w:r>
        <w:rPr>
          <w:rFonts w:hint="eastAsia" w:ascii="黑体" w:hAnsi="黑体" w:eastAsia="黑体"/>
          <w:bCs/>
          <w:lang w:eastAsia="zh-CN"/>
        </w:rPr>
        <w:t>、</w:t>
      </w:r>
      <w:r>
        <w:rPr>
          <w:rFonts w:ascii="黑体" w:hAnsi="黑体" w:eastAsia="黑体"/>
          <w:bCs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9B5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5AC9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EA9D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老年常见疾病预防与照护</w:t>
            </w:r>
          </w:p>
        </w:tc>
      </w:tr>
      <w:tr w14:paraId="34AA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FB3D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F6ACB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2170101</w:t>
            </w:r>
          </w:p>
        </w:tc>
        <w:tc>
          <w:tcPr>
            <w:tcW w:w="1314" w:type="dxa"/>
            <w:vAlign w:val="center"/>
          </w:tcPr>
          <w:p w14:paraId="7F1C06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1288F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928</w:t>
            </w:r>
          </w:p>
        </w:tc>
        <w:tc>
          <w:tcPr>
            <w:tcW w:w="1753" w:type="dxa"/>
            <w:vAlign w:val="center"/>
          </w:tcPr>
          <w:p w14:paraId="3C1EC1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F9652B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32</w:t>
            </w:r>
          </w:p>
        </w:tc>
      </w:tr>
      <w:tr w14:paraId="0A8F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F305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18A3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丛娇</w:t>
            </w:r>
          </w:p>
        </w:tc>
        <w:tc>
          <w:tcPr>
            <w:tcW w:w="1314" w:type="dxa"/>
            <w:vAlign w:val="center"/>
          </w:tcPr>
          <w:p w14:paraId="404237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5099B5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15105</w:t>
            </w:r>
          </w:p>
        </w:tc>
        <w:tc>
          <w:tcPr>
            <w:tcW w:w="1753" w:type="dxa"/>
            <w:vAlign w:val="center"/>
          </w:tcPr>
          <w:p w14:paraId="7A257D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4FAC40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专职</w:t>
            </w:r>
          </w:p>
        </w:tc>
      </w:tr>
      <w:tr w14:paraId="08D0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EF86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20451E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养老服务B2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-1</w:t>
            </w:r>
          </w:p>
        </w:tc>
        <w:tc>
          <w:tcPr>
            <w:tcW w:w="1314" w:type="dxa"/>
            <w:vAlign w:val="center"/>
          </w:tcPr>
          <w:p w14:paraId="5AC794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58BE966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26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5385B5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B86AE11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二教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205</w:t>
            </w:r>
          </w:p>
        </w:tc>
      </w:tr>
      <w:tr w14:paraId="0631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7A08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A828C7">
            <w:pPr>
              <w:rPr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四上午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9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：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 xml:space="preserve">0 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健康管理学院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110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办公室</w:t>
            </w:r>
          </w:p>
        </w:tc>
      </w:tr>
      <w:tr w14:paraId="5D18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17B7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DA0C57">
            <w:pPr>
              <w:rPr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超星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https://mooc1.chaoxing.com/mooc-ans/mycourse</w:t>
            </w:r>
          </w:p>
        </w:tc>
      </w:tr>
      <w:tr w14:paraId="0AE0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EE05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D47143B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《慢性病社区防控与健康管理》（张帆、王凌云，化学工业出版社）</w:t>
            </w:r>
          </w:p>
        </w:tc>
      </w:tr>
      <w:tr w14:paraId="4906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09724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65CA19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1. 《内科学》（第九版，人民卫生出版社）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2. 《全科医学》（梁万年、路孝琴，人民卫生出版社）</w:t>
            </w:r>
          </w:p>
        </w:tc>
      </w:tr>
    </w:tbl>
    <w:p w14:paraId="2BB562D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position w:val="-20"/>
          <w:lang w:eastAsia="zh-CN"/>
        </w:rPr>
      </w:pPr>
    </w:p>
    <w:p w14:paraId="689D3F5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lang w:eastAsia="zh-CN"/>
        </w:rPr>
      </w:pPr>
      <w:r>
        <w:rPr>
          <w:rFonts w:hint="eastAsia" w:ascii="黑体" w:hAnsi="黑体" w:eastAsia="黑体"/>
          <w:bCs/>
          <w:lang w:eastAsia="zh-CN"/>
        </w:rPr>
        <w:t>二、课程教学进度安排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86"/>
        <w:gridCol w:w="3954"/>
        <w:gridCol w:w="1506"/>
        <w:gridCol w:w="1928"/>
      </w:tblGrid>
      <w:tr w14:paraId="0339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FFA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课次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DC50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课时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B184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教学内容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0799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教学方式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28C4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作业/实践任务</w:t>
            </w:r>
          </w:p>
        </w:tc>
      </w:tr>
      <w:tr w14:paraId="4A0F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0476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06F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2B6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慢性病概述</w:t>
            </w:r>
          </w:p>
          <w:p w14:paraId="37D1BB75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慢性病的定义、特点与分类</w:t>
            </w:r>
          </w:p>
          <w:p w14:paraId="04113B18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危险因素、流行现状与危害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B50D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讲授+案例分析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897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课后思考：慢性病防控意义</w:t>
            </w:r>
          </w:p>
        </w:tc>
      </w:tr>
      <w:tr w14:paraId="31A1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2F3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4442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BF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慢性病社区防治与管理</w:t>
            </w:r>
          </w:p>
          <w:p w14:paraId="3646637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社区管理原则、流程与模式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92D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372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模拟社区管理案例分析</w:t>
            </w:r>
          </w:p>
        </w:tc>
      </w:tr>
      <w:tr w14:paraId="5481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05D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B90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0B6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慢性病社区健康教育</w:t>
            </w:r>
          </w:p>
          <w:p w14:paraId="28E8F84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健康教育方案设计与实施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1A6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小组讨论+实践操作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B3B4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设计健康教育方案</w:t>
            </w:r>
          </w:p>
        </w:tc>
      </w:tr>
      <w:tr w14:paraId="1164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23A5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276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95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健康管理概述</w:t>
            </w:r>
          </w:p>
          <w:p w14:paraId="148DAF84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健康管理概念、步骤与我国现状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11CE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讲授+分组讨论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BDD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健康管理案例分析报告</w:t>
            </w:r>
          </w:p>
        </w:tc>
      </w:tr>
      <w:tr w14:paraId="26ED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8CDF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341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BA1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健康体检</w:t>
            </w:r>
          </w:p>
          <w:p w14:paraId="09B49804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体检项目选择、信息采集与异常结果处理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3E9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5645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模拟体检报告分析</w:t>
            </w:r>
          </w:p>
        </w:tc>
      </w:tr>
      <w:tr w14:paraId="1322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C8A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AC95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31D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高血压管理</w:t>
            </w:r>
          </w:p>
          <w:p w14:paraId="7A7A110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高血压分级、社区管理流程与健康教育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F2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案例分析+小组讨论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F013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高血压管理方案设计</w:t>
            </w:r>
          </w:p>
        </w:tc>
      </w:tr>
      <w:tr w14:paraId="6C54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298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F737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CF8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冠心病与介入术后管理</w:t>
            </w:r>
          </w:p>
          <w:p w14:paraId="6EBA19A6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临床表现、药物治疗与社区随访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EA9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讲授+模拟操作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0DC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冠心病患者随访计划</w:t>
            </w:r>
          </w:p>
        </w:tc>
      </w:tr>
      <w:tr w14:paraId="3E215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34D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F20D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B59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血脂异常管理</w:t>
            </w:r>
          </w:p>
          <w:p w14:paraId="74A625AA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分类、药物治疗与非药物治疗指导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D35C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39C8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血脂异常管理案例分析</w:t>
            </w:r>
          </w:p>
        </w:tc>
      </w:tr>
      <w:tr w14:paraId="2A33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289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A4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F3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脑卒中管理</w:t>
            </w:r>
          </w:p>
          <w:p w14:paraId="5EFE699D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评估、预防、康复与家庭指导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96CE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角色扮演+实践操作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56D2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脑卒中康复计划设计</w:t>
            </w:r>
          </w:p>
        </w:tc>
      </w:tr>
      <w:tr w14:paraId="2E153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A6C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DBF6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63C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糖尿病管理</w:t>
            </w:r>
          </w:p>
          <w:p w14:paraId="2B0DBE0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症状、并发症、药物治疗与社区随访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167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讲授+小组讨论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D49C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糖尿病健康教育方案</w:t>
            </w:r>
          </w:p>
        </w:tc>
      </w:tr>
      <w:tr w14:paraId="1A2D2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719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66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469D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高尿酸症及痛风管理</w:t>
            </w:r>
          </w:p>
          <w:p w14:paraId="607EC7E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临床表现、社区管理与健康教育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512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E2EA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痛风患者管理方案</w:t>
            </w:r>
          </w:p>
        </w:tc>
      </w:tr>
      <w:tr w14:paraId="44D1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641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AC16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6DC1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肥胖症管理</w:t>
            </w:r>
          </w:p>
          <w:p w14:paraId="717C73E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危险因素、健康管理目标与生活方式干预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B1B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讲授+小组讨论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835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肥胖症干预计划设计</w:t>
            </w:r>
          </w:p>
        </w:tc>
      </w:tr>
      <w:tr w14:paraId="3CC4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275C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D12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CCF9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慢性阻塞性肺疾病（COPD）管理</w:t>
            </w:r>
          </w:p>
          <w:p w14:paraId="13DF183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症状、治疗与健康教育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2D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案例分析+实践操作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77CA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COPD患者健康教育方案</w:t>
            </w:r>
          </w:p>
        </w:tc>
      </w:tr>
      <w:tr w14:paraId="5C1F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28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1AF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A714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慢性肾脏病管理</w:t>
            </w:r>
          </w:p>
          <w:p w14:paraId="6E8BA8AB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分期、治疗原则与社区干预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927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EFA9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慢性肾脏病随访计划</w:t>
            </w:r>
          </w:p>
        </w:tc>
      </w:tr>
      <w:tr w14:paraId="1B88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BDA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1AD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EA0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膝骨关节炎管理</w:t>
            </w:r>
          </w:p>
          <w:p w14:paraId="3CF025BA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诊断、药物治疗与社区康复指导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619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案例分析+模拟操作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3BA4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膝骨关节炎康复方案</w:t>
            </w:r>
          </w:p>
        </w:tc>
      </w:tr>
      <w:tr w14:paraId="5242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74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6AF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19B2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安宁疗护</w:t>
            </w:r>
          </w:p>
          <w:p w14:paraId="04C57478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服务理念、症状控制与社区实施</w:t>
            </w:r>
          </w:p>
          <w:p w14:paraId="61D6D66B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随堂测验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D8EB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讲授+文献研讨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6CA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安宁疗护案例分析报告</w:t>
            </w:r>
          </w:p>
        </w:tc>
      </w:tr>
    </w:tbl>
    <w:p w14:paraId="258CFA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lang w:eastAsia="zh-CN"/>
        </w:rPr>
      </w:pPr>
      <w:r>
        <w:rPr>
          <w:rFonts w:hint="eastAsia" w:ascii="黑体" w:hAnsi="黑体" w:eastAsia="黑体"/>
          <w:bCs/>
          <w:lang w:eastAsia="zh-CN"/>
        </w:rPr>
        <w:t>三、考核方式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552"/>
        <w:gridCol w:w="850"/>
        <w:gridCol w:w="851"/>
        <w:gridCol w:w="850"/>
        <w:gridCol w:w="993"/>
        <w:gridCol w:w="1134"/>
      </w:tblGrid>
      <w:tr w14:paraId="2A1C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5CA602">
            <w:pPr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</w:tcBorders>
            <w:vAlign w:val="center"/>
          </w:tcPr>
          <w:p w14:paraId="1C59577F">
            <w:pPr>
              <w:jc w:val="center"/>
              <w:outlineLvl w:val="0"/>
              <w:rPr>
                <w:rFonts w:eastAsia="黑体"/>
                <w:kern w:val="0"/>
                <w:sz w:val="28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255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7E6287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3544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96A225">
            <w:pPr>
              <w:jc w:val="center"/>
              <w:outlineLvl w:val="0"/>
              <w:rPr>
                <w:rFonts w:eastAsia="黑体"/>
                <w:kern w:val="0"/>
                <w:sz w:val="28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D73BC3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合计</w:t>
            </w:r>
          </w:p>
        </w:tc>
      </w:tr>
      <w:tr w14:paraId="77C2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vMerge w:val="continue"/>
            <w:tcBorders>
              <w:left w:val="single" w:color="auto" w:sz="12" w:space="0"/>
            </w:tcBorders>
          </w:tcPr>
          <w:p w14:paraId="1E57F38C">
            <w:pPr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continue"/>
          </w:tcPr>
          <w:p w14:paraId="2F26FE7A">
            <w:pPr>
              <w:jc w:val="both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vMerge w:val="continue"/>
            <w:tcBorders>
              <w:right w:val="double" w:color="auto" w:sz="4" w:space="0"/>
            </w:tcBorders>
          </w:tcPr>
          <w:p w14:paraId="05FD6624">
            <w:pPr>
              <w:jc w:val="both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6544220E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01DB6F05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5A3ED6ED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3" w:type="dxa"/>
            <w:vAlign w:val="center"/>
          </w:tcPr>
          <w:p w14:paraId="37C82036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Merge w:val="continue"/>
            <w:tcBorders>
              <w:right w:val="single" w:color="auto" w:sz="12" w:space="0"/>
            </w:tcBorders>
          </w:tcPr>
          <w:p w14:paraId="1388877E">
            <w:pPr>
              <w:jc w:val="center"/>
              <w:outlineLvl w:val="0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2B24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04281F48">
            <w:pPr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134" w:type="dxa"/>
          </w:tcPr>
          <w:p w14:paraId="1244CFEC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40%</w:t>
            </w:r>
          </w:p>
        </w:tc>
        <w:tc>
          <w:tcPr>
            <w:tcW w:w="2552" w:type="dxa"/>
            <w:tcBorders>
              <w:right w:val="double" w:color="auto" w:sz="4" w:space="0"/>
            </w:tcBorders>
          </w:tcPr>
          <w:p w14:paraId="74E93E23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Hans"/>
              </w:rPr>
              <w:t>随堂测验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3301C7C4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851" w:type="dxa"/>
            <w:vAlign w:val="center"/>
          </w:tcPr>
          <w:p w14:paraId="66597834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850" w:type="dxa"/>
            <w:vAlign w:val="center"/>
          </w:tcPr>
          <w:p w14:paraId="1165401B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7458FDC8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150CE7C8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  <w:tr w14:paraId="787F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3695BBB6">
            <w:pPr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134" w:type="dxa"/>
          </w:tcPr>
          <w:p w14:paraId="294F18B3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20%</w:t>
            </w:r>
          </w:p>
        </w:tc>
        <w:tc>
          <w:tcPr>
            <w:tcW w:w="2552" w:type="dxa"/>
            <w:tcBorders>
              <w:right w:val="double" w:color="auto" w:sz="4" w:space="0"/>
            </w:tcBorders>
          </w:tcPr>
          <w:p w14:paraId="5A734DDD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课堂</w:t>
            </w:r>
            <w:r>
              <w:rPr>
                <w:rFonts w:eastAsia="宋体"/>
                <w:kern w:val="0"/>
                <w:lang w:eastAsia="zh-Hans"/>
              </w:rPr>
              <w:t>作业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147EF207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51" w:type="dxa"/>
            <w:vAlign w:val="center"/>
          </w:tcPr>
          <w:p w14:paraId="6517A8BE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57B175B0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993" w:type="dxa"/>
            <w:vAlign w:val="center"/>
          </w:tcPr>
          <w:p w14:paraId="4DFCB3A8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7285223F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  <w:tr w14:paraId="6920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5ABB965F">
            <w:pPr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134" w:type="dxa"/>
          </w:tcPr>
          <w:p w14:paraId="6984AFEC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20%</w:t>
            </w:r>
          </w:p>
        </w:tc>
        <w:tc>
          <w:tcPr>
            <w:tcW w:w="2552" w:type="dxa"/>
            <w:tcBorders>
              <w:right w:val="double" w:color="auto" w:sz="4" w:space="0"/>
            </w:tcBorders>
          </w:tcPr>
          <w:p w14:paraId="225DE2C7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平时成绩（考勤+课堂表现）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06D1B14E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51" w:type="dxa"/>
            <w:vAlign w:val="center"/>
          </w:tcPr>
          <w:p w14:paraId="358BBBFA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850" w:type="dxa"/>
            <w:vAlign w:val="center"/>
          </w:tcPr>
          <w:p w14:paraId="4CB739F7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993" w:type="dxa"/>
            <w:vAlign w:val="center"/>
          </w:tcPr>
          <w:p w14:paraId="2C3791E6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6AE4DDDF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  <w:tr w14:paraId="5BF4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266C56A1">
            <w:pPr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kern w:val="0"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134" w:type="dxa"/>
          </w:tcPr>
          <w:p w14:paraId="25442393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20%</w:t>
            </w:r>
          </w:p>
        </w:tc>
        <w:tc>
          <w:tcPr>
            <w:tcW w:w="2552" w:type="dxa"/>
            <w:tcBorders>
              <w:right w:val="double" w:color="auto" w:sz="4" w:space="0"/>
            </w:tcBorders>
          </w:tcPr>
          <w:p w14:paraId="42158403">
            <w:pPr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汇报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4E76371D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51" w:type="dxa"/>
            <w:vAlign w:val="center"/>
          </w:tcPr>
          <w:p w14:paraId="282D2D14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50" w:type="dxa"/>
            <w:vAlign w:val="center"/>
          </w:tcPr>
          <w:p w14:paraId="68270E10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993" w:type="dxa"/>
            <w:vAlign w:val="center"/>
          </w:tcPr>
          <w:p w14:paraId="3D5365B0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4370DDAA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</w:tbl>
    <w:p w14:paraId="054ECBE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position w:val="-20"/>
          <w:lang w:eastAsia="zh-CN"/>
        </w:rPr>
      </w:pPr>
    </w:p>
    <w:p w14:paraId="6915819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0" distR="0">
            <wp:extent cx="603250" cy="236220"/>
            <wp:effectExtent l="0" t="0" r="635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580" cy="24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 系</w:t>
      </w:r>
      <w:r>
        <w:rPr>
          <w:rFonts w:hint="eastAsia" w:ascii="黑体" w:hAnsi="黑体" w:eastAsia="黑体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position w:val="-20"/>
          <w:sz w:val="21"/>
          <w:szCs w:val="21"/>
        </w:rPr>
        <w:drawing>
          <wp:inline distT="0" distB="0" distL="114300" distR="114300">
            <wp:extent cx="763905" cy="537845"/>
            <wp:effectExtent l="0" t="0" r="17145" b="14605"/>
            <wp:docPr id="4" name="图片 4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>026</w:t>
      </w:r>
      <w:r>
        <w:rPr>
          <w:rFonts w:hint="eastAsia" w:ascii="仿宋" w:hAnsi="仿宋" w:eastAsia="仿宋"/>
          <w:position w:val="-20"/>
          <w:sz w:val="28"/>
          <w:szCs w:val="28"/>
          <w:lang w:val="en-US" w:eastAsia="zh-CN"/>
        </w:rPr>
        <w:t>.3.9</w:t>
      </w:r>
      <w:r>
        <w:rPr>
          <w:rFonts w:ascii="黑体" w:hAnsi="黑体" w:eastAsia="黑体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8E3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DDC160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3153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172404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43D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FBA79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FBA79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297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zU1NTI0ZmVmZTVmNmY2ZTNhNDdhNTAzZmUyY2EifQ=="/>
  </w:docVars>
  <w:rsids>
    <w:rsidRoot w:val="00475657"/>
    <w:rsid w:val="00001805"/>
    <w:rsid w:val="00001A9A"/>
    <w:rsid w:val="0001153F"/>
    <w:rsid w:val="000138B2"/>
    <w:rsid w:val="00024BF1"/>
    <w:rsid w:val="000369D9"/>
    <w:rsid w:val="00040BAC"/>
    <w:rsid w:val="000439B6"/>
    <w:rsid w:val="000457BB"/>
    <w:rsid w:val="00045AE0"/>
    <w:rsid w:val="00047B9C"/>
    <w:rsid w:val="000509DC"/>
    <w:rsid w:val="00050C5D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BFD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810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A8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54A"/>
    <w:rsid w:val="00697452"/>
    <w:rsid w:val="006A006A"/>
    <w:rsid w:val="006A069C"/>
    <w:rsid w:val="006A2DDC"/>
    <w:rsid w:val="006A4FA3"/>
    <w:rsid w:val="006B0F20"/>
    <w:rsid w:val="006B1B20"/>
    <w:rsid w:val="006B2B71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8C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C83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507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B8B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A39"/>
    <w:rsid w:val="0091127F"/>
    <w:rsid w:val="00914040"/>
    <w:rsid w:val="009168F4"/>
    <w:rsid w:val="00920D39"/>
    <w:rsid w:val="00922B9C"/>
    <w:rsid w:val="0092367E"/>
    <w:rsid w:val="00925AAB"/>
    <w:rsid w:val="00925B62"/>
    <w:rsid w:val="00925F6A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32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D1"/>
    <w:rsid w:val="00A67CF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856"/>
    <w:rsid w:val="00BE747E"/>
    <w:rsid w:val="00BE7EFB"/>
    <w:rsid w:val="00BF7135"/>
    <w:rsid w:val="00C0211D"/>
    <w:rsid w:val="00C04815"/>
    <w:rsid w:val="00C1096C"/>
    <w:rsid w:val="00C13E75"/>
    <w:rsid w:val="00C15FA6"/>
    <w:rsid w:val="00C164B5"/>
    <w:rsid w:val="00C170D9"/>
    <w:rsid w:val="00C27FEC"/>
    <w:rsid w:val="00C3162C"/>
    <w:rsid w:val="00C3298F"/>
    <w:rsid w:val="00C32ED5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F22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47FD"/>
    <w:rsid w:val="00EA5341"/>
    <w:rsid w:val="00EA54AF"/>
    <w:rsid w:val="00EB4D8A"/>
    <w:rsid w:val="00EB65D8"/>
    <w:rsid w:val="00EB687A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1B0"/>
    <w:rsid w:val="00FD1B13"/>
    <w:rsid w:val="00FD313C"/>
    <w:rsid w:val="00FE319F"/>
    <w:rsid w:val="00FE6709"/>
    <w:rsid w:val="00FF2D60"/>
    <w:rsid w:val="0250298D"/>
    <w:rsid w:val="0B02141F"/>
    <w:rsid w:val="0D8F6931"/>
    <w:rsid w:val="0DB76A4A"/>
    <w:rsid w:val="0F6F1AE9"/>
    <w:rsid w:val="10971249"/>
    <w:rsid w:val="199D2E85"/>
    <w:rsid w:val="1B6A434C"/>
    <w:rsid w:val="1B9B294B"/>
    <w:rsid w:val="1EA26A2B"/>
    <w:rsid w:val="22AB1905"/>
    <w:rsid w:val="266E5FB5"/>
    <w:rsid w:val="290B5F4A"/>
    <w:rsid w:val="2E59298A"/>
    <w:rsid w:val="341547D8"/>
    <w:rsid w:val="37E50B00"/>
    <w:rsid w:val="38CC3AF8"/>
    <w:rsid w:val="39D81FB9"/>
    <w:rsid w:val="3F0C1AF0"/>
    <w:rsid w:val="40B7575B"/>
    <w:rsid w:val="42185761"/>
    <w:rsid w:val="49DF08B3"/>
    <w:rsid w:val="4A4E35B7"/>
    <w:rsid w:val="4B463B70"/>
    <w:rsid w:val="512670E5"/>
    <w:rsid w:val="5B1433B1"/>
    <w:rsid w:val="62FC6DD3"/>
    <w:rsid w:val="65310993"/>
    <w:rsid w:val="67036A9C"/>
    <w:rsid w:val="6E256335"/>
    <w:rsid w:val="700912C5"/>
    <w:rsid w:val="736D49F2"/>
    <w:rsid w:val="74F62C86"/>
    <w:rsid w:val="7D7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型1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978</Words>
  <Characters>1102</Characters>
  <Lines>9</Lines>
  <Paragraphs>2</Paragraphs>
  <TotalTime>1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2026-03-09T10:04:00Z</cp:lastPrinted>
  <dcterms:modified xsi:type="dcterms:W3CDTF">2026-03-12T05:30:58Z</dcterms:modified>
  <dc:title>上海建桥学院教学进度计划表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574A68995A374B569F2D0DDBE7630542_12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