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05E73">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lang w:val="en-US" w:eastAsia="zh-CN"/>
        </w:rPr>
        <w:t>医养结合养老服务</w:t>
      </w:r>
      <w:r>
        <w:rPr>
          <w:rFonts w:ascii="黑体" w:hAnsi="黑体" w:eastAsia="黑体"/>
          <w:bCs/>
          <w:sz w:val="32"/>
          <w:szCs w:val="32"/>
        </w:rPr>
        <w:t xml:space="preserve">   </w:t>
      </w:r>
      <w:r>
        <w:rPr>
          <w:rFonts w:hint="eastAsia" w:ascii="黑体" w:hAnsi="黑体" w:eastAsia="黑体"/>
          <w:bCs/>
          <w:sz w:val="32"/>
          <w:szCs w:val="32"/>
        </w:rPr>
        <w:t>》本科课程教学大纲</w:t>
      </w:r>
    </w:p>
    <w:p w14:paraId="07E67072">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2C6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07DED0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F94C473">
            <w:pPr>
              <w:widowControl w:val="0"/>
              <w:jc w:val="left"/>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医养结合养老服务</w:t>
            </w:r>
          </w:p>
        </w:tc>
      </w:tr>
      <w:tr w14:paraId="1F7F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FA651D6">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F14A67F">
            <w:pPr>
              <w:widowControl w:val="0"/>
              <w:jc w:val="left"/>
              <w:rPr>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Doctor combined with elderly care services</w:t>
            </w:r>
          </w:p>
        </w:tc>
      </w:tr>
      <w:tr w14:paraId="57E8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4DFEC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86C7CB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2170065</w:t>
            </w:r>
          </w:p>
        </w:tc>
        <w:tc>
          <w:tcPr>
            <w:tcW w:w="2126" w:type="dxa"/>
            <w:gridSpan w:val="2"/>
            <w:vAlign w:val="center"/>
          </w:tcPr>
          <w:p w14:paraId="48BB700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3C94BF0">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D33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1A37E7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310F5C8">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46EA6E0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FBA27B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771D2CF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971F4D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34DF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7E9B8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8228775">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7A479D5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5ED989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养老服务管理/大四</w:t>
            </w:r>
          </w:p>
        </w:tc>
      </w:tr>
      <w:tr w14:paraId="1403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593D2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DA2C02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w:t>
            </w:r>
          </w:p>
        </w:tc>
        <w:tc>
          <w:tcPr>
            <w:tcW w:w="2126" w:type="dxa"/>
            <w:gridSpan w:val="2"/>
            <w:vAlign w:val="center"/>
          </w:tcPr>
          <w:p w14:paraId="5BC837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0BC2A5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049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06CAA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1DF4E2A">
            <w:pPr>
              <w:widowControl w:val="0"/>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《医养结合概论》雷晓康、朱松梅，清华大学出版社，2021年6月第1版</w:t>
            </w:r>
          </w:p>
        </w:tc>
        <w:tc>
          <w:tcPr>
            <w:tcW w:w="1413" w:type="dxa"/>
            <w:gridSpan w:val="2"/>
            <w:vAlign w:val="center"/>
          </w:tcPr>
          <w:p w14:paraId="3C8519C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4277D8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354DC8E">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4C6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67A665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CFFA0DD">
            <w:pPr>
              <w:pStyle w:val="15"/>
              <w:widowControl w:val="0"/>
              <w:ind w:firstLine="210" w:firstLineChars="100"/>
              <w:jc w:val="both"/>
              <w:rPr>
                <w:rFonts w:hint="default" w:eastAsia="宋体"/>
                <w:lang w:val="en-US" w:eastAsia="zh-CN"/>
              </w:rPr>
            </w:pPr>
            <w:r>
              <w:rPr>
                <w:rFonts w:hint="eastAsia"/>
                <w:lang w:val="en-US" w:eastAsia="zh-CN"/>
              </w:rPr>
              <w:t>老年营养学2170054（2）、中医学基础2170055（2）</w:t>
            </w:r>
          </w:p>
        </w:tc>
      </w:tr>
      <w:tr w14:paraId="6A07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17" w:hRule="atLeast"/>
        </w:trPr>
        <w:tc>
          <w:tcPr>
            <w:tcW w:w="1691" w:type="dxa"/>
            <w:tcBorders>
              <w:left w:val="single" w:color="auto" w:sz="12" w:space="0"/>
            </w:tcBorders>
            <w:shd w:val="clear" w:color="auto" w:fill="auto"/>
            <w:vAlign w:val="center"/>
          </w:tcPr>
          <w:p w14:paraId="76A5DA6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073603F">
            <w:pPr>
              <w:pStyle w:val="4"/>
              <w:widowControl w:val="0"/>
              <w:spacing w:before="159" w:line="242" w:lineRule="auto"/>
              <w:ind w:right="316" w:firstLine="290"/>
              <w:jc w:val="both"/>
              <w:rPr>
                <w:rFonts w:hint="eastAsia"/>
                <w:sz w:val="21"/>
                <w:szCs w:val="21"/>
                <w:lang w:val="en-US" w:eastAsia="zh-CN"/>
              </w:rPr>
            </w:pPr>
            <w:r>
              <w:rPr>
                <w:rFonts w:hint="eastAsia"/>
                <w:sz w:val="21"/>
                <w:szCs w:val="21"/>
                <w:lang w:val="en-US" w:eastAsia="zh-CN"/>
              </w:rPr>
              <w:t>在我国国民经济发展十四五规划和2035年远景目标中提出，要实施积极应对人口老龄化国家战略，构建居家社区机构相协调，医养康养相结合的养老服务体系。医养结合已经成为我国实施积极应对人口老龄化国家战略的重要突破点。</w:t>
            </w:r>
          </w:p>
          <w:p w14:paraId="57987F4D">
            <w:pPr>
              <w:pStyle w:val="4"/>
              <w:widowControl w:val="0"/>
              <w:spacing w:before="159" w:line="242" w:lineRule="auto"/>
              <w:ind w:right="316" w:firstLine="290"/>
              <w:jc w:val="both"/>
              <w:rPr>
                <w:rFonts w:hint="eastAsia"/>
                <w:sz w:val="21"/>
                <w:szCs w:val="21"/>
                <w:lang w:val="en-US" w:eastAsia="zh-CN"/>
              </w:rPr>
            </w:pPr>
            <w:r>
              <w:rPr>
                <w:rFonts w:hint="eastAsia"/>
                <w:sz w:val="21"/>
                <w:szCs w:val="21"/>
                <w:lang w:val="en-US" w:eastAsia="zh-CN"/>
              </w:rPr>
              <w:t>医养结合养老服务是养老服务管理本科专业的一门重要模块选修课，该课程第1-3章重点讲述了我国医养结合的特征，系统总结我国医养结合发展面临的政策环境、人口环境、社会环境；第4-6章主要讲述医养结合的服务体系、服务内容、服务模式等，第7-8章重点分析了医养结合机构建设及相应的服务监管问题；第9-11章主要对医养结合相关的运行成本、经济负担及效益进行评价进行阐述；第12-14章从人力资源管理、财务保障制度等方面对医养结合所需的相关保障措施展开分析。</w:t>
            </w:r>
          </w:p>
          <w:p w14:paraId="245F8573">
            <w:pPr>
              <w:pStyle w:val="4"/>
              <w:widowControl w:val="0"/>
              <w:spacing w:before="159" w:line="242" w:lineRule="auto"/>
              <w:ind w:right="316" w:firstLine="290"/>
              <w:jc w:val="both"/>
              <w:rPr>
                <w:rFonts w:hint="default"/>
                <w:sz w:val="21"/>
                <w:szCs w:val="21"/>
                <w:lang w:val="en-US" w:eastAsia="zh-CN"/>
              </w:rPr>
            </w:pPr>
            <w:r>
              <w:rPr>
                <w:rFonts w:hint="eastAsia"/>
                <w:sz w:val="21"/>
                <w:szCs w:val="21"/>
                <w:lang w:val="en-US" w:eastAsia="zh-CN"/>
              </w:rPr>
              <w:t>通过该课程的学习，学生应知道我国医养结合在养老服务事业发展中的重要性，掌握医养结合服务体系模式，了解智能智慧技术手段前沿在医养结合中的运用，提升运用医养结合的知识理论促进老年事业产业发展的能力。</w:t>
            </w:r>
          </w:p>
        </w:tc>
      </w:tr>
      <w:tr w14:paraId="3613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1" w:hRule="atLeast"/>
        </w:trPr>
        <w:tc>
          <w:tcPr>
            <w:tcW w:w="1691" w:type="dxa"/>
            <w:tcBorders>
              <w:left w:val="single" w:color="auto" w:sz="12" w:space="0"/>
              <w:bottom w:val="double" w:color="auto" w:sz="4" w:space="0"/>
            </w:tcBorders>
            <w:shd w:val="clear" w:color="auto" w:fill="auto"/>
            <w:vAlign w:val="center"/>
          </w:tcPr>
          <w:p w14:paraId="29E482A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3A0A110">
            <w:pPr>
              <w:widowControl w:val="0"/>
              <w:snapToGrid w:val="0"/>
              <w:spacing w:line="288" w:lineRule="auto"/>
              <w:ind w:firstLine="420" w:firstLineChars="200"/>
              <w:jc w:val="both"/>
              <w:rPr>
                <w:color w:val="000000"/>
                <w:sz w:val="21"/>
                <w:szCs w:val="21"/>
              </w:rPr>
            </w:pPr>
            <w:r>
              <w:rPr>
                <w:color w:val="000000"/>
                <w:sz w:val="21"/>
                <w:szCs w:val="21"/>
              </w:rPr>
              <w:t>该课程适合</w:t>
            </w:r>
            <w:r>
              <w:rPr>
                <w:rFonts w:hint="eastAsia"/>
                <w:color w:val="000000"/>
                <w:sz w:val="21"/>
                <w:szCs w:val="21"/>
              </w:rPr>
              <w:t>于</w:t>
            </w:r>
            <w:r>
              <w:rPr>
                <w:rFonts w:hint="eastAsia"/>
                <w:color w:val="000000"/>
                <w:sz w:val="21"/>
                <w:szCs w:val="21"/>
                <w:lang w:val="en-US" w:eastAsia="zh-CN"/>
              </w:rPr>
              <w:t>养老服务管理</w:t>
            </w:r>
            <w:r>
              <w:rPr>
                <w:rFonts w:hint="eastAsia"/>
                <w:color w:val="000000"/>
                <w:sz w:val="21"/>
                <w:szCs w:val="21"/>
              </w:rPr>
              <w:t>本科</w:t>
            </w:r>
            <w:r>
              <w:rPr>
                <w:color w:val="000000"/>
                <w:sz w:val="21"/>
                <w:szCs w:val="21"/>
              </w:rPr>
              <w:t>专业、</w:t>
            </w:r>
            <w:r>
              <w:rPr>
                <w:rFonts w:hint="eastAsia"/>
                <w:color w:val="000000"/>
                <w:sz w:val="21"/>
                <w:szCs w:val="21"/>
                <w:lang w:val="en-US" w:eastAsia="zh-CN"/>
              </w:rPr>
              <w:t>四</w:t>
            </w:r>
            <w:r>
              <w:rPr>
                <w:color w:val="000000"/>
                <w:sz w:val="21"/>
                <w:szCs w:val="21"/>
              </w:rPr>
              <w:t>年级</w:t>
            </w:r>
            <w:r>
              <w:rPr>
                <w:rFonts w:hint="eastAsia"/>
                <w:color w:val="000000"/>
                <w:sz w:val="21"/>
                <w:szCs w:val="21"/>
                <w:lang w:val="en-US" w:eastAsia="zh-CN"/>
              </w:rPr>
              <w:t>上</w:t>
            </w:r>
            <w:r>
              <w:rPr>
                <w:rFonts w:hint="eastAsia"/>
                <w:color w:val="000000"/>
                <w:sz w:val="21"/>
                <w:szCs w:val="21"/>
              </w:rPr>
              <w:t>学期开设</w:t>
            </w:r>
            <w:r>
              <w:rPr>
                <w:color w:val="000000"/>
                <w:sz w:val="21"/>
                <w:szCs w:val="21"/>
              </w:rPr>
              <w:t>、</w:t>
            </w:r>
            <w:r>
              <w:rPr>
                <w:rFonts w:hint="eastAsia"/>
                <w:color w:val="000000"/>
                <w:sz w:val="21"/>
                <w:szCs w:val="21"/>
              </w:rPr>
              <w:t>学生需要对专业有一定的认识，并初步具有一定的</w:t>
            </w:r>
            <w:r>
              <w:rPr>
                <w:rFonts w:hint="eastAsia"/>
                <w:color w:val="000000"/>
                <w:sz w:val="21"/>
                <w:szCs w:val="21"/>
                <w:lang w:val="en-US" w:eastAsia="zh-CN"/>
              </w:rPr>
              <w:t>管理意识</w:t>
            </w:r>
            <w:r>
              <w:rPr>
                <w:color w:val="000000"/>
                <w:sz w:val="21"/>
                <w:szCs w:val="21"/>
              </w:rPr>
              <w:t>。</w:t>
            </w:r>
          </w:p>
        </w:tc>
      </w:tr>
      <w:tr w14:paraId="029C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BDCF54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3B0AF11">
            <w:pPr>
              <w:widowControl w:val="0"/>
              <w:jc w:val="right"/>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1"/>
                <w:szCs w:val="21"/>
              </w:rPr>
              <w:drawing>
                <wp:inline distT="0" distB="0" distL="114300" distR="114300">
                  <wp:extent cx="714375" cy="252095"/>
                  <wp:effectExtent l="0" t="0" r="9525" b="1905"/>
                  <wp:docPr id="3" name="图片 3" descr="微信图片_2024083115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831153434"/>
                          <pic:cNvPicPr>
                            <a:picLocks noChangeAspect="1"/>
                          </pic:cNvPicPr>
                        </pic:nvPicPr>
                        <pic:blipFill>
                          <a:blip r:embed="rId5"/>
                          <a:stretch>
                            <a:fillRect/>
                          </a:stretch>
                        </pic:blipFill>
                        <pic:spPr>
                          <a:xfrm>
                            <a:off x="0" y="0"/>
                            <a:ext cx="714375" cy="252095"/>
                          </a:xfrm>
                          <a:prstGeom prst="rect">
                            <a:avLst/>
                          </a:prstGeom>
                        </pic:spPr>
                      </pic:pic>
                    </a:graphicData>
                  </a:graphic>
                </wp:inline>
              </w:drawing>
            </w:r>
            <w:bookmarkStart w:id="6" w:name="_GoBack"/>
            <w:bookmarkEnd w:id="6"/>
            <w:r>
              <w:rPr>
                <w:rFonts w:hint="eastAsia"/>
                <w:sz w:val="21"/>
                <w:szCs w:val="21"/>
              </w:rPr>
              <w:t>（签名）</w:t>
            </w:r>
          </w:p>
        </w:tc>
        <w:tc>
          <w:tcPr>
            <w:tcW w:w="1425" w:type="dxa"/>
            <w:gridSpan w:val="2"/>
            <w:tcBorders>
              <w:top w:val="double" w:color="auto" w:sz="4" w:space="0"/>
            </w:tcBorders>
            <w:vAlign w:val="center"/>
          </w:tcPr>
          <w:p w14:paraId="78DCD89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1757480">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1BEE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642944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DD40B28">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616585" cy="434975"/>
                  <wp:effectExtent l="0" t="0" r="571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616585" cy="434975"/>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02D66FE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FFF887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4F95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9B17E3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8B523FE">
            <w:pPr>
              <w:widowControl w:val="0"/>
              <w:jc w:val="right"/>
              <w:rPr>
                <w:rFonts w:ascii="黑体" w:hAnsi="黑体" w:eastAsia="黑体"/>
                <w:color w:val="000000" w:themeColor="text1"/>
                <w:sz w:val="21"/>
                <w:szCs w:val="21"/>
                <w14:textFill>
                  <w14:solidFill>
                    <w14:schemeClr w14:val="tx1"/>
                  </w14:solidFill>
                </w14:textFill>
              </w:rPr>
            </w:pPr>
            <w:r>
              <w:rPr>
                <w:rFonts w:hint="eastAsia"/>
              </w:rPr>
              <w:drawing>
                <wp:inline distT="0" distB="0" distL="114300" distR="114300">
                  <wp:extent cx="664845" cy="413385"/>
                  <wp:effectExtent l="0" t="0" r="0" b="5715"/>
                  <wp:docPr id="2" name="图片 1" descr="1d8f3f3bcce92ea66d75b3569b2df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d8f3f3bcce92ea66d75b3569b2df67"/>
                          <pic:cNvPicPr>
                            <a:picLocks noChangeAspect="1"/>
                          </pic:cNvPicPr>
                        </pic:nvPicPr>
                        <pic:blipFill>
                          <a:blip r:embed="rId7"/>
                          <a:stretch>
                            <a:fillRect/>
                          </a:stretch>
                        </pic:blipFill>
                        <pic:spPr>
                          <a:xfrm>
                            <a:off x="0" y="0"/>
                            <a:ext cx="664845" cy="41338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5D6794E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DB7376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bl>
    <w:p w14:paraId="5E5B5412">
      <w:pPr>
        <w:spacing w:line="100" w:lineRule="exact"/>
        <w:rPr>
          <w:rFonts w:ascii="Arial" w:hAnsi="Arial" w:eastAsia="黑体"/>
        </w:rPr>
      </w:pPr>
      <w:r>
        <w:br w:type="page"/>
      </w:r>
    </w:p>
    <w:p w14:paraId="479E34B0">
      <w:pPr>
        <w:pStyle w:val="17"/>
        <w:spacing w:before="326" w:beforeLines="100" w:line="360" w:lineRule="auto"/>
        <w:rPr>
          <w:rFonts w:ascii="黑体" w:hAnsi="宋体"/>
        </w:rPr>
      </w:pPr>
      <w:r>
        <w:rPr>
          <w:rFonts w:hint="eastAsia" w:ascii="黑体" w:hAnsi="宋体"/>
        </w:rPr>
        <w:t>二、课程目标与毕业要求</w:t>
      </w:r>
    </w:p>
    <w:p w14:paraId="6994A94E">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EBBB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58749B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32159A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3C5730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E064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00D8C774">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D56D7C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EDD1461">
            <w:pPr>
              <w:pStyle w:val="15"/>
              <w:jc w:val="left"/>
              <w:rPr>
                <w:rFonts w:hint="default" w:ascii="宋体" w:hAnsi="宋体" w:eastAsia="宋体"/>
                <w:bCs/>
                <w:lang w:val="en-US" w:eastAsia="zh-CN"/>
              </w:rPr>
            </w:pPr>
            <w:r>
              <w:rPr>
                <w:rFonts w:hint="eastAsia" w:ascii="宋体" w:hAnsi="宋体"/>
                <w:bCs/>
                <w:lang w:val="en-US" w:eastAsia="zh-CN"/>
              </w:rPr>
              <w:t>掌握该课程的基础理论与知识，多角度思考医养结合发展面临的困境与问题，创新性地解决问题。</w:t>
            </w:r>
          </w:p>
        </w:tc>
      </w:tr>
      <w:tr w14:paraId="687FD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354A8AF6">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988892F">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4B8A6998">
            <w:pPr>
              <w:pStyle w:val="15"/>
              <w:jc w:val="left"/>
              <w:rPr>
                <w:rFonts w:hint="eastAsia" w:ascii="宋体" w:hAnsi="宋体" w:eastAsia="宋体"/>
                <w:bCs/>
                <w:lang w:val="en-US" w:eastAsia="zh-CN"/>
              </w:rPr>
            </w:pPr>
            <w:r>
              <w:rPr>
                <w:rFonts w:hint="eastAsia" w:ascii="宋体" w:hAnsi="宋体"/>
                <w:bCs/>
                <w:lang w:val="en-US" w:eastAsia="zh-CN"/>
              </w:rPr>
              <w:t>以老年康复护理、老年长期照护服务、老年生活照料服务、医养结合服务监管知识，以及现代人工智能、智慧技术全面评估老年人身心、社会健康。</w:t>
            </w:r>
          </w:p>
        </w:tc>
      </w:tr>
      <w:tr w14:paraId="48A00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1BA0DB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E046DFD">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9F6BEB9">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2F70493C">
            <w:pPr>
              <w:pStyle w:val="15"/>
              <w:jc w:val="left"/>
              <w:rPr>
                <w:rFonts w:ascii="宋体" w:hAnsi="宋体"/>
                <w:bCs/>
              </w:rPr>
            </w:pPr>
            <w:r>
              <w:rPr>
                <w:rFonts w:hint="eastAsia" w:ascii="宋体" w:hAnsi="宋体"/>
                <w:bCs/>
                <w:lang w:val="en-US" w:eastAsia="zh-CN"/>
              </w:rPr>
              <w:t>在基础知识学习中勤学多练，在医养结合服务企事业单位的实践中自觉遵守职业规范，具备良好的职业道德操守。</w:t>
            </w:r>
          </w:p>
        </w:tc>
      </w:tr>
      <w:tr w14:paraId="7FFD1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6FA5989">
            <w:pPr>
              <w:pStyle w:val="15"/>
              <w:rPr>
                <w:rFonts w:ascii="宋体" w:hAnsi="宋体"/>
              </w:rPr>
            </w:pPr>
          </w:p>
        </w:tc>
        <w:tc>
          <w:tcPr>
            <w:tcW w:w="782" w:type="dxa"/>
            <w:shd w:val="clear" w:color="auto" w:fill="auto"/>
            <w:vAlign w:val="center"/>
          </w:tcPr>
          <w:p w14:paraId="46CDD184">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0A2605C1">
            <w:pPr>
              <w:pStyle w:val="15"/>
              <w:jc w:val="left"/>
              <w:rPr>
                <w:rFonts w:ascii="宋体" w:hAnsi="宋体"/>
                <w:bCs/>
              </w:rPr>
            </w:pPr>
            <w:r>
              <w:rPr>
                <w:rFonts w:hint="eastAsia" w:ascii="宋体" w:hAnsi="宋体"/>
                <w:bCs/>
                <w:lang w:val="en-US" w:eastAsia="zh-CN"/>
              </w:rPr>
              <w:t>提高对劳动育人、健康发展的认识，为从事养老服务管理事业奠定持续发展的身心健康基础。</w:t>
            </w:r>
          </w:p>
        </w:tc>
      </w:tr>
    </w:tbl>
    <w:p w14:paraId="7A94A1C7">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FCD786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1867CFE">
            <w:pPr>
              <w:pStyle w:val="15"/>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51657B4D">
            <w:pPr>
              <w:pStyle w:val="15"/>
              <w:widowControl w:val="0"/>
              <w:jc w:val="left"/>
              <w:rPr>
                <w:rFonts w:hint="eastAsia" w:ascii="宋体" w:hAnsi="宋体"/>
                <w:bCs/>
              </w:rPr>
            </w:pPr>
            <w:r>
              <w:rPr>
                <w:rFonts w:hint="eastAsia" w:ascii="宋体" w:hAnsi="宋体"/>
                <w:bCs/>
              </w:rPr>
              <w:t>⑤爱岗敬业，热爱所学专业，勤学多练，锤炼技能。熟悉本专业相关的法律法规，在实习实践中自觉遵守职业规范，具备职业道德操守。</w:t>
            </w:r>
          </w:p>
        </w:tc>
      </w:tr>
      <w:tr w14:paraId="6ADCB9A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18C8407">
            <w:pPr>
              <w:pStyle w:val="15"/>
              <w:widowControl w:val="0"/>
              <w:jc w:val="left"/>
              <w:rPr>
                <w:rFonts w:hint="eastAsia" w:cs="Times New Roman"/>
              </w:rPr>
            </w:pPr>
            <w:r>
              <w:rPr>
                <w:rFonts w:hint="eastAsia" w:cs="Times New Roman"/>
                <w:lang w:val="en-US" w:eastAsia="zh-CN"/>
              </w:rPr>
              <w:t>LO2</w:t>
            </w:r>
            <w:r>
              <w:rPr>
                <w:rFonts w:hint="eastAsia" w:cs="Times New Roman"/>
              </w:rPr>
              <w:t>掌握管理学、社会学、护理学等学科基础理论和专门知识，能够熟练运用养老机构经营管理、老年健康管理、老年照护等专业技能，具备现代养老服务管理的理念和素养。</w:t>
            </w:r>
          </w:p>
          <w:p w14:paraId="3BE35722">
            <w:pPr>
              <w:pStyle w:val="15"/>
              <w:widowControl w:val="0"/>
              <w:jc w:val="left"/>
              <w:rPr>
                <w:rFonts w:hint="eastAsia" w:ascii="宋体" w:hAnsi="宋体"/>
                <w:bCs/>
              </w:rPr>
            </w:pPr>
            <w:r>
              <w:rPr>
                <w:rFonts w:hint="eastAsia" w:ascii="宋体" w:hAnsi="宋体"/>
                <w:bCs/>
              </w:rPr>
              <w:t>②健康评估能力：能全面评估老年人的身心、社会及精神方面的健康状态，具有健康监测、健康风险评估能力。</w:t>
            </w:r>
          </w:p>
        </w:tc>
      </w:tr>
      <w:tr w14:paraId="6B38911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5D7190C">
            <w:pPr>
              <w:pStyle w:val="15"/>
              <w:widowControl w:val="0"/>
              <w:jc w:val="left"/>
              <w:rPr>
                <w:rFonts w:hint="eastAsia" w:ascii="宋体" w:hAnsi="宋体"/>
                <w:bCs/>
              </w:rPr>
            </w:pPr>
            <w:r>
              <w:rPr>
                <w:rFonts w:hint="eastAsia" w:ascii="宋体" w:hAnsi="宋体"/>
                <w:bCs/>
              </w:rPr>
              <w:t>LO5健康发展：懂得审美、热爱劳动、为人热忱、身心健康、耐挫折，具有可持续发展的能力。</w:t>
            </w:r>
          </w:p>
          <w:p w14:paraId="647B4A78">
            <w:pPr>
              <w:pStyle w:val="15"/>
              <w:widowControl w:val="0"/>
              <w:jc w:val="left"/>
              <w:rPr>
                <w:rFonts w:hint="eastAsia" w:ascii="宋体" w:hAnsi="宋体"/>
                <w:bCs/>
              </w:rPr>
            </w:pPr>
            <w:r>
              <w:rPr>
                <w:rFonts w:hint="eastAsia" w:ascii="宋体" w:hAnsi="宋体"/>
                <w:bCs/>
              </w:rPr>
              <w:t>①身体健康，具有良好的卫生习惯，积极参加体育活动。</w:t>
            </w:r>
          </w:p>
        </w:tc>
      </w:tr>
      <w:tr w14:paraId="65E4487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483549A">
            <w:pPr>
              <w:pStyle w:val="15"/>
              <w:widowControl w:val="0"/>
              <w:jc w:val="left"/>
              <w:rPr>
                <w:rFonts w:hint="eastAsia" w:ascii="宋体" w:hAnsi="宋体"/>
                <w:bCs/>
              </w:rPr>
            </w:pPr>
            <w:r>
              <w:rPr>
                <w:rFonts w:hint="eastAsia" w:cs="Times New Roman"/>
                <w:lang w:val="en-US" w:eastAsia="zh-CN"/>
              </w:rPr>
              <w:t>LO6</w:t>
            </w:r>
            <w:r>
              <w:rPr>
                <w:rFonts w:hint="eastAsia" w:ascii="宋体" w:hAnsi="宋体"/>
                <w:bCs/>
              </w:rPr>
              <w:t>协同创新：同群体保持良好的合作关系，做集体中的积极成员，善于自我管理和团队管理；善于从多个维度思考问题，利用自己的知识与实践来提出新设想。</w:t>
            </w:r>
          </w:p>
          <w:p w14:paraId="1A21BFE0">
            <w:pPr>
              <w:pStyle w:val="15"/>
              <w:widowControl w:val="0"/>
              <w:jc w:val="left"/>
              <w:rPr>
                <w:rFonts w:hint="eastAsia" w:ascii="宋体" w:hAnsi="宋体"/>
                <w:bCs/>
              </w:rPr>
            </w:pPr>
            <w:r>
              <w:rPr>
                <w:rFonts w:hint="eastAsia" w:ascii="宋体" w:hAnsi="宋体"/>
                <w:bCs/>
              </w:rPr>
              <w:t>③能用创新的方法或者多种方法解决复杂问题或真实问题。</w:t>
            </w:r>
          </w:p>
        </w:tc>
      </w:tr>
    </w:tbl>
    <w:p w14:paraId="693A978A">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CC7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9495C26">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3C92C76">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1013E7D">
            <w:pPr>
              <w:pStyle w:val="14"/>
              <w:rPr>
                <w:szCs w:val="16"/>
              </w:rPr>
            </w:pPr>
            <w:r>
              <w:rPr>
                <w:rFonts w:hint="eastAsia"/>
                <w:szCs w:val="16"/>
              </w:rPr>
              <w:t>支撑度</w:t>
            </w:r>
          </w:p>
        </w:tc>
        <w:tc>
          <w:tcPr>
            <w:tcW w:w="4763" w:type="dxa"/>
            <w:tcBorders>
              <w:top w:val="single" w:color="auto" w:sz="12" w:space="0"/>
            </w:tcBorders>
            <w:vAlign w:val="center"/>
          </w:tcPr>
          <w:p w14:paraId="02F60875">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00C954C7">
            <w:pPr>
              <w:pStyle w:val="14"/>
              <w:rPr>
                <w:szCs w:val="16"/>
              </w:rPr>
            </w:pPr>
            <w:r>
              <w:rPr>
                <w:rFonts w:hint="eastAsia"/>
                <w:szCs w:val="16"/>
              </w:rPr>
              <w:t>对指标点的贡献度</w:t>
            </w:r>
          </w:p>
        </w:tc>
      </w:tr>
      <w:tr w14:paraId="6AAE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jc w:val="center"/>
        </w:trPr>
        <w:tc>
          <w:tcPr>
            <w:tcW w:w="777" w:type="dxa"/>
            <w:vMerge w:val="restart"/>
            <w:tcBorders>
              <w:left w:val="single" w:color="auto" w:sz="12" w:space="0"/>
              <w:right w:val="single" w:color="auto" w:sz="4" w:space="0"/>
            </w:tcBorders>
            <w:shd w:val="clear" w:color="auto" w:fill="auto"/>
            <w:vAlign w:val="center"/>
          </w:tcPr>
          <w:p w14:paraId="2F9EFA1A">
            <w:pPr>
              <w:pStyle w:val="15"/>
              <w:rPr>
                <w:rFonts w:hint="default" w:eastAsia="宋体"/>
                <w:lang w:val="en-US" w:eastAsia="zh-CN"/>
              </w:rPr>
            </w:pPr>
            <w:r>
              <w:rPr>
                <w:rFonts w:hint="eastAsia"/>
                <w:lang w:val="en-US" w:eastAsia="zh-CN"/>
              </w:rPr>
              <w:t>LO1</w:t>
            </w:r>
          </w:p>
        </w:tc>
        <w:tc>
          <w:tcPr>
            <w:tcW w:w="794" w:type="dxa"/>
            <w:vMerge w:val="restart"/>
            <w:tcBorders>
              <w:left w:val="single" w:color="auto" w:sz="4" w:space="0"/>
            </w:tcBorders>
            <w:vAlign w:val="center"/>
          </w:tcPr>
          <w:p w14:paraId="1F635ADC">
            <w:pPr>
              <w:pStyle w:val="15"/>
              <w:rPr>
                <w:rFonts w:hint="default" w:eastAsia="宋体" w:cs="Times New Roman"/>
                <w:bCs/>
                <w:lang w:val="en-US" w:eastAsia="zh-CN"/>
              </w:rPr>
            </w:pPr>
            <w:r>
              <w:rPr>
                <w:rFonts w:hint="eastAsia" w:ascii="宋体" w:hAnsi="宋体"/>
                <w:bCs/>
              </w:rPr>
              <w:t>⑤</w:t>
            </w:r>
          </w:p>
        </w:tc>
        <w:tc>
          <w:tcPr>
            <w:tcW w:w="794" w:type="dxa"/>
            <w:vMerge w:val="restart"/>
            <w:tcBorders>
              <w:right w:val="double" w:color="auto" w:sz="4" w:space="0"/>
            </w:tcBorders>
            <w:shd w:val="clear" w:color="auto" w:fill="auto"/>
            <w:vAlign w:val="center"/>
          </w:tcPr>
          <w:p w14:paraId="5C52F9FB">
            <w:pPr>
              <w:pStyle w:val="15"/>
              <w:rPr>
                <w:rFonts w:hint="eastAsia" w:ascii="宋体" w:hAnsi="宋体" w:eastAsia="宋体"/>
                <w:lang w:val="en-US" w:eastAsia="zh-CN"/>
              </w:rPr>
            </w:pPr>
            <w:r>
              <w:rPr>
                <w:rFonts w:hint="default" w:ascii="Times New Roman" w:hAnsi="Times New Roman" w:cs="Times New Roman"/>
                <w:lang w:val="en-US" w:eastAsia="zh-CN"/>
              </w:rPr>
              <w:t>H</w:t>
            </w:r>
          </w:p>
        </w:tc>
        <w:tc>
          <w:tcPr>
            <w:tcW w:w="4763" w:type="dxa"/>
            <w:vAlign w:val="center"/>
          </w:tcPr>
          <w:p w14:paraId="08E58A48">
            <w:pPr>
              <w:pStyle w:val="15"/>
              <w:rPr>
                <w:rFonts w:hint="default" w:ascii="宋体" w:hAnsi="宋体" w:eastAsia="宋体"/>
                <w:bCs/>
                <w:lang w:val="en-US" w:eastAsia="zh-CN"/>
              </w:rPr>
            </w:pPr>
            <w:r>
              <w:rPr>
                <w:rFonts w:hint="eastAsia" w:ascii="宋体" w:hAnsi="宋体"/>
                <w:bCs/>
                <w:lang w:val="en-US" w:eastAsia="zh-CN"/>
              </w:rPr>
              <w:t>3.在基础知识学习中勤学多练，在医养结合服务企事业单位的实践中自觉遵守职业规范，具备良好的职业道德操守。</w:t>
            </w:r>
          </w:p>
        </w:tc>
        <w:tc>
          <w:tcPr>
            <w:tcW w:w="1348" w:type="dxa"/>
            <w:tcBorders>
              <w:right w:val="single" w:color="auto" w:sz="12" w:space="0"/>
            </w:tcBorders>
            <w:vAlign w:val="center"/>
          </w:tcPr>
          <w:p w14:paraId="4AC30DF0">
            <w:pPr>
              <w:pStyle w:val="15"/>
              <w:rPr>
                <w:rFonts w:hint="default" w:ascii="宋体" w:hAnsi="宋体" w:eastAsia="宋体"/>
                <w:bCs/>
                <w:lang w:val="en-US" w:eastAsia="zh-CN"/>
              </w:rPr>
            </w:pPr>
            <w:r>
              <w:rPr>
                <w:rFonts w:hint="eastAsia" w:ascii="宋体" w:hAnsi="宋体"/>
                <w:bCs/>
                <w:lang w:val="en-US" w:eastAsia="zh-CN"/>
              </w:rPr>
              <w:t>100%</w:t>
            </w:r>
          </w:p>
        </w:tc>
      </w:tr>
      <w:tr w14:paraId="0B8D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A846DC7">
            <w:pPr>
              <w:pStyle w:val="15"/>
              <w:rPr>
                <w:rFonts w:hint="default" w:eastAsia="宋体"/>
                <w:lang w:val="en-US" w:eastAsia="zh-CN"/>
              </w:rPr>
            </w:pPr>
            <w:r>
              <w:rPr>
                <w:rFonts w:hint="eastAsia"/>
                <w:lang w:val="en-US" w:eastAsia="zh-CN"/>
              </w:rPr>
              <w:t>LO2</w:t>
            </w:r>
          </w:p>
        </w:tc>
        <w:tc>
          <w:tcPr>
            <w:tcW w:w="794" w:type="dxa"/>
            <w:vMerge w:val="restart"/>
            <w:tcBorders>
              <w:left w:val="single" w:color="auto" w:sz="4" w:space="0"/>
            </w:tcBorders>
            <w:vAlign w:val="center"/>
          </w:tcPr>
          <w:p w14:paraId="30D7F244">
            <w:pPr>
              <w:pStyle w:val="15"/>
              <w:rPr>
                <w:rFonts w:hint="default" w:eastAsia="宋体" w:cs="Times New Roman"/>
                <w:bCs/>
                <w:lang w:val="en-US" w:eastAsia="zh-CN"/>
              </w:rPr>
            </w:pPr>
            <w:r>
              <w:rPr>
                <w:rFonts w:hint="eastAsia" w:ascii="宋体" w:hAnsi="宋体"/>
                <w:bCs/>
              </w:rPr>
              <w:t>②</w:t>
            </w:r>
          </w:p>
        </w:tc>
        <w:tc>
          <w:tcPr>
            <w:tcW w:w="794" w:type="dxa"/>
            <w:vMerge w:val="restart"/>
            <w:tcBorders>
              <w:right w:val="double" w:color="auto" w:sz="4" w:space="0"/>
            </w:tcBorders>
            <w:shd w:val="clear" w:color="auto" w:fill="auto"/>
            <w:vAlign w:val="center"/>
          </w:tcPr>
          <w:p w14:paraId="6F539E5E">
            <w:pPr>
              <w:pStyle w:val="15"/>
              <w:rPr>
                <w:rFonts w:hint="eastAsia" w:ascii="宋体" w:hAnsi="宋体" w:eastAsia="宋体"/>
                <w:lang w:val="en-US" w:eastAsia="zh-CN"/>
              </w:rPr>
            </w:pPr>
            <w:r>
              <w:rPr>
                <w:rFonts w:hint="eastAsia" w:cs="Times New Roman"/>
                <w:lang w:val="en-US" w:eastAsia="zh-CN"/>
              </w:rPr>
              <w:t>M</w:t>
            </w:r>
          </w:p>
        </w:tc>
        <w:tc>
          <w:tcPr>
            <w:tcW w:w="4763" w:type="dxa"/>
            <w:vMerge w:val="restart"/>
            <w:vAlign w:val="center"/>
          </w:tcPr>
          <w:p w14:paraId="2F9C16EF">
            <w:pPr>
              <w:pStyle w:val="15"/>
              <w:jc w:val="left"/>
              <w:rPr>
                <w:rFonts w:hint="default" w:ascii="宋体" w:hAnsi="宋体" w:eastAsia="宋体"/>
                <w:bCs/>
                <w:lang w:val="en-US" w:eastAsia="zh-CN"/>
              </w:rPr>
            </w:pPr>
            <w:r>
              <w:rPr>
                <w:rFonts w:hint="eastAsia" w:ascii="宋体" w:hAnsi="宋体"/>
                <w:bCs/>
                <w:lang w:val="en-US" w:eastAsia="zh-CN"/>
              </w:rPr>
              <w:t>2.以老年康复护理、老年长期照护服务、老年生活照料服务、医养结合服务监管知识，以及现代人工智能、智慧技术全面评估老年人身心、社会健康。</w:t>
            </w:r>
          </w:p>
        </w:tc>
        <w:tc>
          <w:tcPr>
            <w:tcW w:w="1348" w:type="dxa"/>
            <w:tcBorders>
              <w:right w:val="single" w:color="auto" w:sz="12" w:space="0"/>
            </w:tcBorders>
            <w:vAlign w:val="center"/>
          </w:tcPr>
          <w:p w14:paraId="0F09A6E2">
            <w:pPr>
              <w:pStyle w:val="15"/>
              <w:rPr>
                <w:rFonts w:hint="default" w:ascii="宋体" w:hAnsi="宋体" w:eastAsia="宋体"/>
                <w:bCs/>
                <w:lang w:val="en-US" w:eastAsia="zh-CN"/>
              </w:rPr>
            </w:pPr>
            <w:r>
              <w:rPr>
                <w:rFonts w:hint="eastAsia" w:ascii="宋体" w:hAnsi="宋体"/>
                <w:bCs/>
                <w:lang w:val="en-US" w:eastAsia="zh-CN"/>
              </w:rPr>
              <w:t>100%</w:t>
            </w:r>
          </w:p>
        </w:tc>
      </w:tr>
      <w:tr w14:paraId="78DF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vMerge w:val="continue"/>
            <w:tcBorders>
              <w:left w:val="single" w:color="auto" w:sz="12" w:space="0"/>
              <w:right w:val="single" w:color="auto" w:sz="4" w:space="0"/>
            </w:tcBorders>
            <w:shd w:val="clear" w:color="auto" w:fill="auto"/>
            <w:vAlign w:val="center"/>
          </w:tcPr>
          <w:p w14:paraId="15F0DAA9">
            <w:pPr>
              <w:pStyle w:val="15"/>
            </w:pPr>
          </w:p>
        </w:tc>
        <w:tc>
          <w:tcPr>
            <w:tcW w:w="794" w:type="dxa"/>
            <w:vMerge w:val="continue"/>
            <w:tcBorders>
              <w:left w:val="single" w:color="auto" w:sz="4" w:space="0"/>
            </w:tcBorders>
            <w:vAlign w:val="center"/>
          </w:tcPr>
          <w:p w14:paraId="55CFC3CF">
            <w:pPr>
              <w:pStyle w:val="15"/>
              <w:rPr>
                <w:rFonts w:cs="Times New Roman"/>
                <w:bCs/>
              </w:rPr>
            </w:pPr>
          </w:p>
        </w:tc>
        <w:tc>
          <w:tcPr>
            <w:tcW w:w="794" w:type="dxa"/>
            <w:vMerge w:val="continue"/>
            <w:tcBorders>
              <w:right w:val="double" w:color="auto" w:sz="4" w:space="0"/>
            </w:tcBorders>
            <w:shd w:val="clear" w:color="auto" w:fill="auto"/>
            <w:vAlign w:val="center"/>
          </w:tcPr>
          <w:p w14:paraId="695A8598">
            <w:pPr>
              <w:pStyle w:val="15"/>
              <w:rPr>
                <w:rFonts w:ascii="宋体" w:hAnsi="宋体"/>
              </w:rPr>
            </w:pPr>
          </w:p>
        </w:tc>
        <w:tc>
          <w:tcPr>
            <w:tcW w:w="4763" w:type="dxa"/>
            <w:vMerge w:val="continue"/>
            <w:vAlign w:val="center"/>
          </w:tcPr>
          <w:p w14:paraId="62D0424D">
            <w:pPr>
              <w:pStyle w:val="15"/>
              <w:jc w:val="left"/>
              <w:rPr>
                <w:rFonts w:hint="eastAsia" w:ascii="宋体" w:hAnsi="宋体" w:eastAsia="宋体"/>
                <w:bCs/>
                <w:lang w:val="en-US" w:eastAsia="zh-CN"/>
              </w:rPr>
            </w:pPr>
          </w:p>
        </w:tc>
        <w:tc>
          <w:tcPr>
            <w:tcW w:w="1348" w:type="dxa"/>
            <w:tcBorders>
              <w:right w:val="single" w:color="auto" w:sz="12" w:space="0"/>
            </w:tcBorders>
            <w:vAlign w:val="center"/>
          </w:tcPr>
          <w:p w14:paraId="4D60856F">
            <w:pPr>
              <w:pStyle w:val="15"/>
              <w:jc w:val="both"/>
              <w:rPr>
                <w:rFonts w:hint="default" w:ascii="宋体" w:hAnsi="宋体" w:eastAsia="宋体"/>
                <w:bCs/>
                <w:lang w:val="en-US" w:eastAsia="zh-CN"/>
              </w:rPr>
            </w:pPr>
          </w:p>
        </w:tc>
      </w:tr>
      <w:tr w14:paraId="5D4C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100630A4">
            <w:pPr>
              <w:pStyle w:val="15"/>
              <w:rPr>
                <w:rFonts w:hint="default" w:eastAsia="宋体"/>
                <w:lang w:val="en-US" w:eastAsia="zh-CN"/>
              </w:rPr>
            </w:pPr>
            <w:r>
              <w:rPr>
                <w:rFonts w:hint="eastAsia"/>
                <w:lang w:val="en-US" w:eastAsia="zh-CN"/>
              </w:rPr>
              <w:t>LO5</w:t>
            </w:r>
          </w:p>
        </w:tc>
        <w:tc>
          <w:tcPr>
            <w:tcW w:w="794" w:type="dxa"/>
            <w:tcBorders>
              <w:left w:val="single" w:color="auto" w:sz="4" w:space="0"/>
            </w:tcBorders>
            <w:vAlign w:val="center"/>
          </w:tcPr>
          <w:p w14:paraId="45936D6A">
            <w:pPr>
              <w:pStyle w:val="15"/>
              <w:rPr>
                <w:rFonts w:hint="default" w:eastAsia="宋体" w:cs="Times New Roman"/>
                <w:bCs/>
                <w:lang w:val="en-US" w:eastAsia="zh-CN"/>
              </w:rPr>
            </w:pPr>
            <w:r>
              <w:rPr>
                <w:rFonts w:hint="eastAsia" w:ascii="宋体" w:hAnsi="宋体"/>
                <w:bCs/>
              </w:rPr>
              <w:t>①</w:t>
            </w:r>
          </w:p>
        </w:tc>
        <w:tc>
          <w:tcPr>
            <w:tcW w:w="794" w:type="dxa"/>
            <w:tcBorders>
              <w:right w:val="double" w:color="auto" w:sz="4" w:space="0"/>
            </w:tcBorders>
            <w:shd w:val="clear" w:color="auto" w:fill="auto"/>
            <w:vAlign w:val="center"/>
          </w:tcPr>
          <w:p w14:paraId="6AE49A4A">
            <w:pPr>
              <w:pStyle w:val="15"/>
              <w:rPr>
                <w:rFonts w:hint="default" w:ascii="Times New Roman" w:hAnsi="Times New Roman" w:cs="Times New Roman"/>
                <w:lang w:val="en-US" w:eastAsia="zh-CN"/>
              </w:rPr>
            </w:pPr>
            <w:r>
              <w:rPr>
                <w:rFonts w:hint="eastAsia" w:cs="Times New Roman"/>
                <w:lang w:val="en-US" w:eastAsia="zh-CN"/>
              </w:rPr>
              <w:t>H</w:t>
            </w:r>
          </w:p>
        </w:tc>
        <w:tc>
          <w:tcPr>
            <w:tcW w:w="4763" w:type="dxa"/>
            <w:vAlign w:val="center"/>
          </w:tcPr>
          <w:p w14:paraId="1263AC55">
            <w:pPr>
              <w:pStyle w:val="15"/>
              <w:jc w:val="left"/>
              <w:rPr>
                <w:rFonts w:hint="default" w:ascii="宋体" w:hAnsi="宋体" w:eastAsia="宋体"/>
                <w:bCs/>
                <w:lang w:val="en-US" w:eastAsia="zh-CN"/>
              </w:rPr>
            </w:pPr>
            <w:r>
              <w:rPr>
                <w:rFonts w:hint="eastAsia" w:ascii="宋体" w:hAnsi="宋体"/>
                <w:bCs/>
                <w:lang w:val="en-US" w:eastAsia="zh-CN"/>
              </w:rPr>
              <w:t>4.提高对劳动育人、健康发展的认识，为从事养老服务管理事业奠定持续发展的身心健康基础。</w:t>
            </w:r>
          </w:p>
        </w:tc>
        <w:tc>
          <w:tcPr>
            <w:tcW w:w="1348" w:type="dxa"/>
            <w:tcBorders>
              <w:right w:val="single" w:color="auto" w:sz="12" w:space="0"/>
            </w:tcBorders>
            <w:vAlign w:val="center"/>
          </w:tcPr>
          <w:p w14:paraId="1649B066">
            <w:pPr>
              <w:pStyle w:val="15"/>
              <w:rPr>
                <w:rFonts w:hint="default" w:ascii="宋体" w:hAnsi="宋体" w:eastAsia="宋体"/>
                <w:bCs/>
                <w:lang w:val="en-US" w:eastAsia="zh-CN"/>
              </w:rPr>
            </w:pPr>
            <w:r>
              <w:rPr>
                <w:rFonts w:hint="eastAsia" w:ascii="宋体" w:hAnsi="宋体"/>
                <w:bCs/>
                <w:lang w:val="en-US" w:eastAsia="zh-CN"/>
              </w:rPr>
              <w:t>100%</w:t>
            </w:r>
          </w:p>
        </w:tc>
      </w:tr>
      <w:tr w14:paraId="1678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608DF54D">
            <w:pPr>
              <w:pStyle w:val="15"/>
              <w:rPr>
                <w:rFonts w:hint="default"/>
                <w:lang w:val="en-US" w:eastAsia="zh-CN"/>
              </w:rPr>
            </w:pPr>
            <w:r>
              <w:rPr>
                <w:rFonts w:hint="eastAsia"/>
                <w:lang w:val="en-US" w:eastAsia="zh-CN"/>
              </w:rPr>
              <w:t>LO6</w:t>
            </w:r>
          </w:p>
        </w:tc>
        <w:tc>
          <w:tcPr>
            <w:tcW w:w="794" w:type="dxa"/>
            <w:tcBorders>
              <w:left w:val="single" w:color="auto" w:sz="4" w:space="0"/>
            </w:tcBorders>
            <w:vAlign w:val="center"/>
          </w:tcPr>
          <w:p w14:paraId="055F9E85">
            <w:pPr>
              <w:pStyle w:val="15"/>
              <w:rPr>
                <w:rFonts w:hint="default" w:cs="Times New Roman"/>
                <w:bCs/>
                <w:lang w:val="en-US" w:eastAsia="zh-CN"/>
              </w:rPr>
            </w:pPr>
            <w:r>
              <w:rPr>
                <w:rFonts w:hint="eastAsia"/>
                <w:bCs/>
              </w:rPr>
              <w:t>③</w:t>
            </w:r>
          </w:p>
        </w:tc>
        <w:tc>
          <w:tcPr>
            <w:tcW w:w="794" w:type="dxa"/>
            <w:tcBorders>
              <w:right w:val="double" w:color="auto" w:sz="4" w:space="0"/>
            </w:tcBorders>
            <w:shd w:val="clear" w:color="auto" w:fill="auto"/>
            <w:vAlign w:val="center"/>
          </w:tcPr>
          <w:p w14:paraId="07415DF0">
            <w:pPr>
              <w:pStyle w:val="15"/>
              <w:rPr>
                <w:rFonts w:hint="eastAsia" w:ascii="Times New Roman" w:hAnsi="Times New Roman" w:cs="Times New Roman"/>
                <w:lang w:val="en-US" w:eastAsia="zh-CN"/>
              </w:rPr>
            </w:pPr>
            <w:r>
              <w:rPr>
                <w:rFonts w:hint="eastAsia" w:ascii="Times New Roman" w:hAnsi="Times New Roman" w:cs="Times New Roman"/>
                <w:lang w:val="en-US" w:eastAsia="zh-CN"/>
              </w:rPr>
              <w:t>H</w:t>
            </w:r>
          </w:p>
        </w:tc>
        <w:tc>
          <w:tcPr>
            <w:tcW w:w="4763" w:type="dxa"/>
            <w:vAlign w:val="center"/>
          </w:tcPr>
          <w:p w14:paraId="3C6A597E">
            <w:pPr>
              <w:pStyle w:val="15"/>
              <w:jc w:val="left"/>
              <w:rPr>
                <w:rFonts w:hint="default" w:ascii="宋体" w:hAnsi="宋体" w:eastAsia="宋体"/>
                <w:bCs/>
                <w:lang w:val="en-US" w:eastAsia="zh-CN"/>
              </w:rPr>
            </w:pPr>
            <w:r>
              <w:rPr>
                <w:rFonts w:hint="eastAsia" w:ascii="宋体" w:hAnsi="宋体"/>
                <w:bCs/>
                <w:lang w:val="en-US" w:eastAsia="zh-CN"/>
              </w:rPr>
              <w:t>1.掌握该课程的基础理论与知识，多角度思考医养结合发展面临的困境与问题，创新性地解决问题。</w:t>
            </w:r>
          </w:p>
        </w:tc>
        <w:tc>
          <w:tcPr>
            <w:tcW w:w="1348" w:type="dxa"/>
            <w:tcBorders>
              <w:right w:val="single" w:color="auto" w:sz="12" w:space="0"/>
            </w:tcBorders>
            <w:vAlign w:val="center"/>
          </w:tcPr>
          <w:p w14:paraId="6888F972">
            <w:pPr>
              <w:pStyle w:val="15"/>
              <w:rPr>
                <w:rFonts w:hint="default" w:ascii="宋体" w:hAnsi="宋体" w:eastAsia="宋体"/>
                <w:bCs/>
                <w:lang w:val="en-US" w:eastAsia="zh-CN"/>
              </w:rPr>
            </w:pPr>
            <w:r>
              <w:rPr>
                <w:rFonts w:hint="eastAsia" w:ascii="宋体" w:hAnsi="宋体"/>
                <w:bCs/>
                <w:lang w:val="en-US" w:eastAsia="zh-CN"/>
              </w:rPr>
              <w:t>100%</w:t>
            </w:r>
          </w:p>
        </w:tc>
      </w:tr>
    </w:tbl>
    <w:p w14:paraId="517BBD97">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EBEA728">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7F054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6C2A4528">
            <w:pPr>
              <w:pStyle w:val="15"/>
              <w:widowControl w:val="0"/>
              <w:jc w:val="left"/>
              <w:rPr>
                <w:rFonts w:hint="default" w:ascii="宋体" w:hAnsi="宋体"/>
                <w:b/>
                <w:bCs w:val="0"/>
                <w:lang w:val="en-US" w:eastAsia="zh-CN"/>
              </w:rPr>
            </w:pPr>
            <w:bookmarkStart w:id="0" w:name="OLE_LINK5"/>
            <w:bookmarkStart w:id="1" w:name="OLE_LINK6"/>
            <w:r>
              <w:rPr>
                <w:rFonts w:hint="eastAsia" w:ascii="宋体" w:hAnsi="宋体"/>
                <w:b/>
                <w:bCs w:val="0"/>
                <w:lang w:val="en-US" w:eastAsia="zh-CN"/>
              </w:rPr>
              <w:t>1 绪论</w:t>
            </w:r>
          </w:p>
          <w:p w14:paraId="4029391E">
            <w:pPr>
              <w:widowControl w:val="0"/>
              <w:snapToGrid w:val="0"/>
              <w:spacing w:line="288" w:lineRule="auto"/>
              <w:jc w:val="left"/>
              <w:rPr>
                <w:rFonts w:hint="eastAsia" w:ascii="宋体" w:hAnsi="宋体"/>
                <w:b/>
                <w:bCs w:val="0"/>
                <w:sz w:val="21"/>
                <w:szCs w:val="21"/>
                <w:lang w:val="en-US" w:eastAsia="zh-CN"/>
              </w:rPr>
            </w:pPr>
            <w:r>
              <w:rPr>
                <w:rFonts w:hint="eastAsia" w:ascii="宋体" w:hAnsi="宋体"/>
                <w:b/>
                <w:bCs w:val="0"/>
                <w:sz w:val="21"/>
                <w:szCs w:val="21"/>
                <w:lang w:val="en-US" w:eastAsia="zh-CN"/>
              </w:rPr>
              <w:t>知识点：</w:t>
            </w:r>
          </w:p>
          <w:p w14:paraId="09A8861C">
            <w:pPr>
              <w:widowControl w:val="0"/>
              <w:snapToGrid w:val="0"/>
              <w:spacing w:line="288" w:lineRule="auto"/>
              <w:jc w:val="left"/>
              <w:rPr>
                <w:rFonts w:hint="eastAsia"/>
                <w:b w:val="0"/>
                <w:bCs/>
                <w:sz w:val="21"/>
                <w:szCs w:val="21"/>
                <w:lang w:val="en-US" w:eastAsia="zh-CN"/>
              </w:rPr>
            </w:pPr>
            <w:r>
              <w:rPr>
                <w:rFonts w:hint="eastAsia"/>
                <w:b w:val="0"/>
                <w:bCs/>
                <w:sz w:val="21"/>
                <w:szCs w:val="21"/>
                <w:lang w:val="en-US" w:eastAsia="zh-CN"/>
              </w:rPr>
              <w:t>了解医养结合的内涵与基本特征；</w:t>
            </w:r>
          </w:p>
          <w:p w14:paraId="5584F58E">
            <w:pPr>
              <w:widowControl w:val="0"/>
              <w:snapToGrid w:val="0"/>
              <w:spacing w:line="288" w:lineRule="auto"/>
              <w:jc w:val="left"/>
              <w:rPr>
                <w:rFonts w:hint="default"/>
                <w:b w:val="0"/>
                <w:bCs/>
                <w:sz w:val="21"/>
                <w:szCs w:val="21"/>
                <w:lang w:val="en-US" w:eastAsia="zh-CN"/>
              </w:rPr>
            </w:pPr>
            <w:r>
              <w:rPr>
                <w:rFonts w:hint="eastAsia"/>
                <w:b w:val="0"/>
                <w:bCs/>
                <w:sz w:val="21"/>
                <w:szCs w:val="21"/>
                <w:lang w:val="en-US" w:eastAsia="zh-CN"/>
              </w:rPr>
              <w:t>掌握医养结合服务的构成；了解不同国家医养结合服务的范畴；</w:t>
            </w:r>
          </w:p>
          <w:p w14:paraId="548DADFA">
            <w:pPr>
              <w:widowControl w:val="0"/>
              <w:snapToGrid w:val="0"/>
              <w:spacing w:line="288" w:lineRule="auto"/>
              <w:jc w:val="left"/>
              <w:rPr>
                <w:rFonts w:hint="default"/>
                <w:b w:val="0"/>
                <w:bCs/>
                <w:sz w:val="21"/>
                <w:szCs w:val="21"/>
                <w:lang w:val="en-US" w:eastAsia="zh-CN"/>
              </w:rPr>
            </w:pPr>
            <w:r>
              <w:rPr>
                <w:rFonts w:hint="eastAsia"/>
                <w:b w:val="0"/>
                <w:bCs/>
                <w:sz w:val="21"/>
                <w:szCs w:val="21"/>
                <w:lang w:val="en-US" w:eastAsia="zh-CN"/>
              </w:rPr>
              <w:t>掌握我国医养结合服务的主要供给模式；</w:t>
            </w:r>
          </w:p>
          <w:p w14:paraId="7B7C9844">
            <w:pPr>
              <w:widowControl w:val="0"/>
              <w:snapToGrid w:val="0"/>
              <w:spacing w:line="288" w:lineRule="auto"/>
              <w:jc w:val="left"/>
              <w:rPr>
                <w:rFonts w:hint="default"/>
                <w:b w:val="0"/>
                <w:bCs/>
                <w:sz w:val="21"/>
                <w:szCs w:val="21"/>
                <w:lang w:val="en-US" w:eastAsia="zh-CN"/>
              </w:rPr>
            </w:pPr>
          </w:p>
          <w:p w14:paraId="67ED36E3">
            <w:pPr>
              <w:widowControl w:val="0"/>
              <w:numPr>
                <w:ilvl w:val="0"/>
                <w:numId w:val="0"/>
              </w:numPr>
              <w:snapToGrid w:val="0"/>
              <w:spacing w:line="288" w:lineRule="auto"/>
              <w:jc w:val="left"/>
              <w:rPr>
                <w:rFonts w:hint="eastAsia" w:cs="宋体"/>
                <w:b w:val="0"/>
                <w:bCs w:val="0"/>
                <w:sz w:val="21"/>
                <w:szCs w:val="21"/>
                <w:lang w:val="en-US" w:eastAsia="zh-CN"/>
              </w:rPr>
            </w:pPr>
            <w:r>
              <w:rPr>
                <w:rFonts w:hint="eastAsia" w:cs="宋体"/>
                <w:b/>
                <w:bCs/>
                <w:sz w:val="21"/>
                <w:szCs w:val="21"/>
                <w:lang w:val="en-US" w:eastAsia="zh-CN"/>
              </w:rPr>
              <w:t>教学难点</w:t>
            </w:r>
            <w:r>
              <w:rPr>
                <w:rFonts w:hint="eastAsia" w:cs="宋体"/>
                <w:b w:val="0"/>
                <w:bCs w:val="0"/>
                <w:sz w:val="21"/>
                <w:szCs w:val="21"/>
                <w:lang w:val="en-US" w:eastAsia="zh-CN"/>
              </w:rPr>
              <w:t>：</w:t>
            </w:r>
          </w:p>
          <w:p w14:paraId="710AA7F5">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医养结合的特征：普惠性、公平性；</w:t>
            </w:r>
          </w:p>
          <w:p w14:paraId="2392159D">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社会性医养结合服务、商业性医养结合服务、志愿性医养结合服务；</w:t>
            </w:r>
          </w:p>
          <w:p w14:paraId="30100F84">
            <w:pPr>
              <w:widowControl w:val="0"/>
              <w:numPr>
                <w:ilvl w:val="0"/>
                <w:numId w:val="0"/>
              </w:numPr>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机构医养结合服务、社区医养结合服务、家庭医养结合服务；</w:t>
            </w:r>
          </w:p>
          <w:p w14:paraId="794C9363">
            <w:pPr>
              <w:widowControl w:val="0"/>
              <w:numPr>
                <w:ilvl w:val="0"/>
                <w:numId w:val="0"/>
              </w:numPr>
              <w:snapToGrid w:val="0"/>
              <w:spacing w:line="288" w:lineRule="auto"/>
              <w:jc w:val="left"/>
              <w:rPr>
                <w:rFonts w:hint="default" w:cs="宋体"/>
                <w:b/>
                <w:bCs/>
                <w:sz w:val="21"/>
                <w:szCs w:val="21"/>
                <w:lang w:val="en-US" w:eastAsia="zh-CN"/>
              </w:rPr>
            </w:pPr>
            <w:r>
              <w:rPr>
                <w:rFonts w:hint="eastAsia" w:cs="宋体"/>
                <w:b/>
                <w:bCs/>
                <w:sz w:val="21"/>
                <w:szCs w:val="21"/>
                <w:lang w:val="en-US" w:eastAsia="zh-CN"/>
              </w:rPr>
              <w:t>能力要求：</w:t>
            </w:r>
          </w:p>
          <w:p w14:paraId="2BA182F7">
            <w:pPr>
              <w:pStyle w:val="15"/>
              <w:widowControl w:val="0"/>
              <w:jc w:val="left"/>
              <w:rPr>
                <w:rFonts w:hint="eastAsia" w:ascii="宋体" w:hAnsi="宋体" w:cs="宋体"/>
                <w:b w:val="0"/>
                <w:bCs w:val="0"/>
                <w:color w:val="000000"/>
                <w:sz w:val="21"/>
                <w:szCs w:val="21"/>
                <w:lang w:val="en-US" w:eastAsia="zh-CN"/>
              </w:rPr>
            </w:pPr>
            <w:r>
              <w:rPr>
                <w:rFonts w:hint="eastAsia" w:ascii="宋体" w:hAnsi="宋体" w:eastAsia="宋体" w:cs="宋体"/>
                <w:b w:val="0"/>
                <w:bCs w:val="0"/>
                <w:color w:val="000000"/>
                <w:sz w:val="21"/>
                <w:szCs w:val="21"/>
              </w:rPr>
              <w:t>能</w:t>
            </w:r>
            <w:r>
              <w:rPr>
                <w:rFonts w:hint="eastAsia" w:ascii="宋体" w:hAnsi="宋体" w:cs="宋体"/>
                <w:b w:val="0"/>
                <w:bCs w:val="0"/>
                <w:color w:val="000000"/>
                <w:sz w:val="21"/>
                <w:szCs w:val="21"/>
                <w:lang w:val="en-US" w:eastAsia="zh-CN"/>
              </w:rPr>
              <w:t>综合分析各医养结合服务构成的特征；</w:t>
            </w:r>
          </w:p>
          <w:p w14:paraId="2A7FED6F">
            <w:pPr>
              <w:pStyle w:val="15"/>
              <w:widowControl w:val="0"/>
              <w:jc w:val="left"/>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能结合社会实践，分析世界各国不同医养结合服务模式的特点及发展现状与问题。</w:t>
            </w:r>
          </w:p>
          <w:p w14:paraId="13E21EDD">
            <w:pPr>
              <w:pStyle w:val="15"/>
              <w:widowControl w:val="0"/>
              <w:jc w:val="left"/>
              <w:rPr>
                <w:rFonts w:hint="default" w:ascii="宋体" w:hAnsi="宋体" w:eastAsia="宋体" w:cs="宋体"/>
                <w:b w:val="0"/>
                <w:bCs w:val="0"/>
                <w:color w:val="000000"/>
                <w:sz w:val="21"/>
                <w:szCs w:val="21"/>
                <w:lang w:val="en-US" w:eastAsia="zh-CN"/>
              </w:rPr>
            </w:pPr>
          </w:p>
          <w:p w14:paraId="66671618">
            <w:pPr>
              <w:pStyle w:val="15"/>
              <w:widowControl w:val="0"/>
              <w:jc w:val="left"/>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2.医养结合相关理论</w:t>
            </w:r>
          </w:p>
          <w:p w14:paraId="22343B80">
            <w:pPr>
              <w:widowControl w:val="0"/>
              <w:snapToGrid w:val="0"/>
              <w:spacing w:line="288" w:lineRule="auto"/>
              <w:jc w:val="left"/>
              <w:rPr>
                <w:rFonts w:hint="eastAsia" w:ascii="宋体" w:hAnsi="宋体"/>
                <w:b/>
                <w:bCs w:val="0"/>
                <w:sz w:val="21"/>
                <w:szCs w:val="21"/>
                <w:lang w:val="en-US" w:eastAsia="zh-CN"/>
              </w:rPr>
            </w:pPr>
            <w:r>
              <w:rPr>
                <w:rFonts w:hint="eastAsia" w:ascii="宋体" w:hAnsi="宋体"/>
                <w:b/>
                <w:bCs w:val="0"/>
                <w:sz w:val="21"/>
                <w:szCs w:val="21"/>
                <w:lang w:val="en-US" w:eastAsia="zh-CN"/>
              </w:rPr>
              <w:t>知识点：</w:t>
            </w:r>
          </w:p>
          <w:p w14:paraId="3A5F12FD">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了解医养结合相关理论的缘起与内涵；</w:t>
            </w:r>
          </w:p>
          <w:p w14:paraId="5C075F0E">
            <w:pPr>
              <w:widowControl w:val="0"/>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掌握相关理论在医养结合发展中的具体应用</w:t>
            </w:r>
          </w:p>
          <w:p w14:paraId="7B6A7C2F">
            <w:pPr>
              <w:widowControl w:val="0"/>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w:t>
            </w:r>
          </w:p>
          <w:p w14:paraId="3334EE4B">
            <w:pPr>
              <w:widowControl w:val="0"/>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福利多元主义理论、非政府组织理论、公共产品理论、需求层次理论、社会分层理论、协同理论、博弈论</w:t>
            </w:r>
          </w:p>
          <w:p w14:paraId="1E23C98B">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3A72EE2B">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能运用不同的理论分析并解决医养服务模式体系中的复杂问题。</w:t>
            </w:r>
          </w:p>
          <w:p w14:paraId="3BD025BD">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 xml:space="preserve"> </w:t>
            </w:r>
          </w:p>
          <w:p w14:paraId="3C64737C">
            <w:pPr>
              <w:widowControl w:val="0"/>
              <w:snapToGrid w:val="0"/>
              <w:spacing w:line="288" w:lineRule="auto"/>
              <w:jc w:val="left"/>
              <w:rPr>
                <w:rFonts w:hint="default" w:cs="宋体"/>
                <w:b/>
                <w:bCs/>
                <w:color w:val="000000"/>
                <w:sz w:val="21"/>
                <w:szCs w:val="21"/>
                <w:lang w:val="en-US" w:eastAsia="zh-CN"/>
              </w:rPr>
            </w:pPr>
            <w:r>
              <w:rPr>
                <w:rFonts w:hint="eastAsia" w:cs="宋体"/>
                <w:b/>
                <w:bCs/>
                <w:color w:val="000000"/>
                <w:sz w:val="21"/>
                <w:szCs w:val="21"/>
                <w:lang w:val="en-US" w:eastAsia="zh-CN"/>
              </w:rPr>
              <w:t>3.医养结合环境</w:t>
            </w:r>
          </w:p>
          <w:p w14:paraId="32F5C9C1">
            <w:pPr>
              <w:widowControl w:val="0"/>
              <w:numPr>
                <w:ilvl w:val="0"/>
                <w:numId w:val="0"/>
              </w:numPr>
              <w:snapToGrid w:val="0"/>
              <w:spacing w:line="288" w:lineRule="auto"/>
              <w:jc w:val="left"/>
              <w:rPr>
                <w:rFonts w:hint="eastAsia" w:ascii="宋体" w:hAnsi="宋体"/>
                <w:b/>
                <w:bCs w:val="0"/>
                <w:sz w:val="21"/>
                <w:szCs w:val="21"/>
                <w:lang w:val="en-US" w:eastAsia="zh-CN"/>
              </w:rPr>
            </w:pPr>
            <w:r>
              <w:rPr>
                <w:rFonts w:hint="eastAsia" w:ascii="宋体" w:hAnsi="宋体"/>
                <w:b/>
                <w:bCs w:val="0"/>
                <w:sz w:val="21"/>
                <w:szCs w:val="21"/>
                <w:lang w:val="en-US" w:eastAsia="zh-CN"/>
              </w:rPr>
              <w:t>知识点：</w:t>
            </w:r>
          </w:p>
          <w:p w14:paraId="269F7906">
            <w:pPr>
              <w:widowControl w:val="0"/>
              <w:numPr>
                <w:ilvl w:val="0"/>
                <w:numId w:val="0"/>
              </w:numPr>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医养结合的政策环境、医养结合的经济环境、医养结合的人口环境、医养结合的社会环境；</w:t>
            </w:r>
          </w:p>
          <w:p w14:paraId="51C0DE1D">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w:t>
            </w:r>
          </w:p>
          <w:p w14:paraId="53B45CF7">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医养结合政策的整合、创新；</w:t>
            </w:r>
          </w:p>
          <w:p w14:paraId="428899C5">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医养结合的市机市场与潜在市场；</w:t>
            </w:r>
          </w:p>
          <w:p w14:paraId="6F1D4B82">
            <w:pPr>
              <w:widowControl w:val="0"/>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老年人医养结合需求的现状与问题；</w:t>
            </w:r>
          </w:p>
          <w:p w14:paraId="12C66866">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094660DA">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能结合医养结合的政策环境、经济环境、人口环境、社会环境四个维度对医养结合环境有一个基本的总体认识；</w:t>
            </w:r>
          </w:p>
          <w:p w14:paraId="49943BDC">
            <w:pPr>
              <w:widowControl w:val="0"/>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把握中国医养结合政策的发展，了解目前经济、人口、社会环境第医养结合制度的实施提供的支持及带来的压力，从而能够对医养结合制度的持续、稳定、均衡、协调发展提出新问题、新建议。</w:t>
            </w:r>
          </w:p>
          <w:p w14:paraId="629311F4">
            <w:pPr>
              <w:widowControl w:val="0"/>
              <w:numPr>
                <w:ilvl w:val="0"/>
                <w:numId w:val="1"/>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医养结合服务体系</w:t>
            </w:r>
          </w:p>
          <w:p w14:paraId="707610C7">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知识点</w:t>
            </w:r>
            <w:r>
              <w:rPr>
                <w:rFonts w:hint="eastAsia" w:cs="宋体"/>
                <w:b w:val="0"/>
                <w:bCs w:val="0"/>
                <w:color w:val="000000"/>
                <w:sz w:val="21"/>
                <w:szCs w:val="21"/>
                <w:lang w:val="en-US" w:eastAsia="zh-CN"/>
              </w:rPr>
              <w:t>：</w:t>
            </w:r>
          </w:p>
          <w:p w14:paraId="14769B03">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了解医养结合服务的主体；</w:t>
            </w:r>
          </w:p>
          <w:p w14:paraId="646EFB48">
            <w:pPr>
              <w:widowControl w:val="0"/>
              <w:numPr>
                <w:ilvl w:val="0"/>
                <w:numId w:val="0"/>
              </w:numPr>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了解医养结合服务的支持系统；</w:t>
            </w:r>
          </w:p>
          <w:p w14:paraId="301DC850">
            <w:pPr>
              <w:widowControl w:val="0"/>
              <w:numPr>
                <w:ilvl w:val="0"/>
                <w:numId w:val="0"/>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1F67419F">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政府、医疗机构、社区、养老机构在医养结合服务中的作用；</w:t>
            </w:r>
          </w:p>
          <w:p w14:paraId="544842E6">
            <w:pPr>
              <w:widowControl w:val="0"/>
              <w:numPr>
                <w:ilvl w:val="0"/>
                <w:numId w:val="0"/>
              </w:numPr>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政策法规系统、资金支持系统、组织支持系统、设施环境支持系统、监督管理支持系统对医养结合的支持体现；</w:t>
            </w:r>
          </w:p>
          <w:p w14:paraId="0635AB89">
            <w:pPr>
              <w:widowControl w:val="0"/>
              <w:numPr>
                <w:ilvl w:val="0"/>
                <w:numId w:val="0"/>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3BD54809">
            <w:pPr>
              <w:widowControl w:val="0"/>
              <w:numPr>
                <w:ilvl w:val="0"/>
                <w:numId w:val="0"/>
              </w:numPr>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能够结合社会实践综合分析我国医养结合服务的支持系统运作现状、问题及发展趋势</w:t>
            </w:r>
          </w:p>
          <w:p w14:paraId="3805F2D7">
            <w:pPr>
              <w:widowControl w:val="0"/>
              <w:numPr>
                <w:ilvl w:val="0"/>
                <w:numId w:val="0"/>
              </w:numPr>
              <w:snapToGrid w:val="0"/>
              <w:spacing w:line="288" w:lineRule="auto"/>
              <w:jc w:val="left"/>
              <w:rPr>
                <w:rFonts w:hint="eastAsia" w:cs="宋体"/>
                <w:b w:val="0"/>
                <w:bCs w:val="0"/>
                <w:color w:val="000000"/>
                <w:sz w:val="21"/>
                <w:szCs w:val="21"/>
                <w:lang w:val="en-US" w:eastAsia="zh-CN"/>
              </w:rPr>
            </w:pPr>
          </w:p>
          <w:p w14:paraId="58DE0EA0">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医养结合服务模式</w:t>
            </w:r>
          </w:p>
          <w:p w14:paraId="1882DB5F">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知识点：</w:t>
            </w:r>
          </w:p>
          <w:p w14:paraId="43EE994D">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居家医养结合的概念、特征、组织模式；机构医养结合的概念特征、类型、组织模式；社区医养结合的模式的概念、特征、组织模式；</w:t>
            </w:r>
          </w:p>
          <w:p w14:paraId="475E18CE">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65187821">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居家医养结合的优势、与组织模式；</w:t>
            </w:r>
          </w:p>
          <w:p w14:paraId="045FB5DC">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机构医养结合的组织模式：功能整合模式、联合运行模式、支撑辐射模式；</w:t>
            </w:r>
          </w:p>
          <w:p w14:paraId="79C15DBB">
            <w:pPr>
              <w:widowControl w:val="0"/>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政企合作和市场主导的社区医养模式；</w:t>
            </w:r>
          </w:p>
          <w:p w14:paraId="5F1F0071">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66EB9DDA">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对医养结合服务模式有一个系统、全面的认知；</w:t>
            </w:r>
          </w:p>
          <w:p w14:paraId="5AC82CAF">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了解不同医养结合服务模式的特点与差异；</w:t>
            </w:r>
          </w:p>
          <w:p w14:paraId="321D4782">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了解不同医养结合服务模式的实现途径，并有效运用在实践工作中。</w:t>
            </w:r>
          </w:p>
          <w:p w14:paraId="59DAD8EB">
            <w:pPr>
              <w:widowControl w:val="0"/>
              <w:snapToGrid w:val="0"/>
              <w:spacing w:line="288" w:lineRule="auto"/>
              <w:jc w:val="left"/>
              <w:rPr>
                <w:rFonts w:hint="default" w:cs="宋体"/>
                <w:b w:val="0"/>
                <w:bCs w:val="0"/>
                <w:color w:val="000000"/>
                <w:sz w:val="21"/>
                <w:szCs w:val="21"/>
                <w:lang w:val="en-US" w:eastAsia="zh-CN"/>
              </w:rPr>
            </w:pPr>
          </w:p>
          <w:p w14:paraId="6EF7EC3A">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医养结合服务内容</w:t>
            </w:r>
          </w:p>
          <w:p w14:paraId="073BC141">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知识点:</w:t>
            </w:r>
          </w:p>
          <w:p w14:paraId="35831A9C">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熟悉医养结合服务包含的具体内容；</w:t>
            </w:r>
          </w:p>
          <w:p w14:paraId="79F77871">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理解老年疾病诊疗服务的内涵、需求的特殊性，了解以社区卫生服务中心为代表的服务提供者的发展现状；</w:t>
            </w:r>
          </w:p>
          <w:p w14:paraId="40741AC5">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熟悉老年康复护理服务的内涵、类型和发展特点；</w:t>
            </w:r>
          </w:p>
          <w:p w14:paraId="0830EC5A">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掌握老年长期照护服务的概念、内容，了解国外安宁疗护服务的发展情况；</w:t>
            </w:r>
          </w:p>
          <w:p w14:paraId="522C30D1">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理解安宁疗护服务的概念、内容，了解国外安宁疗护服务的发展情况；</w:t>
            </w:r>
          </w:p>
          <w:p w14:paraId="14D91028">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掌握老年生活照料服务的概念、类型和内容。</w:t>
            </w:r>
          </w:p>
          <w:p w14:paraId="27F50011">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06253042">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老年长期照护服务的内涵、模式、评估机制；长期照护保险制度；ADL方法；</w:t>
            </w:r>
          </w:p>
          <w:p w14:paraId="1667A601">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安宁疗护服务的内容、方法级国内外的发展</w:t>
            </w:r>
          </w:p>
          <w:p w14:paraId="501C0605">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0A812D1A">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能够以所学知识设计老年康复护理评估方案；</w:t>
            </w:r>
          </w:p>
          <w:p w14:paraId="46D10592">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能够结合我国长期照护保险制度提出优化促进老年长期照护制度的相关措施；</w:t>
            </w:r>
          </w:p>
          <w:p w14:paraId="73257C10">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能够运用安宁疗护服务的知识开展志愿者活动或社会实践。</w:t>
            </w:r>
          </w:p>
          <w:p w14:paraId="6528F03E">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p>
          <w:p w14:paraId="2E694DE6">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医养结合机构管理与建设</w:t>
            </w:r>
          </w:p>
          <w:p w14:paraId="6FA290CE">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知识点:</w:t>
            </w:r>
          </w:p>
          <w:p w14:paraId="5490495E">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了解什么是医养结合机构；</w:t>
            </w:r>
          </w:p>
          <w:p w14:paraId="6BBAB988">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熟悉和掌握医养结合机构管理的概念、特点；</w:t>
            </w:r>
          </w:p>
          <w:p w14:paraId="0780686D">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掌握医养结合机构安全管理、质量管理和标准化建设的相关内容；</w:t>
            </w:r>
          </w:p>
          <w:p w14:paraId="1923D48B">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了解医养结合机构管理中存在的问题；</w:t>
            </w:r>
          </w:p>
          <w:p w14:paraId="0787B83E">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11E16DAB">
            <w:pPr>
              <w:widowControl w:val="0"/>
              <w:numPr>
                <w:ilvl w:val="0"/>
                <w:numId w:val="0"/>
              </w:numPr>
              <w:snapToGrid w:val="0"/>
              <w:spacing w:line="288" w:lineRule="auto"/>
              <w:ind w:leftChars="0"/>
              <w:jc w:val="left"/>
              <w:rPr>
                <w:rFonts w:hint="eastAsia" w:cs="宋体"/>
                <w:b/>
                <w:bCs/>
                <w:color w:val="000000"/>
                <w:sz w:val="21"/>
                <w:szCs w:val="21"/>
                <w:lang w:val="en-US" w:eastAsia="zh-CN"/>
              </w:rPr>
            </w:pPr>
          </w:p>
          <w:p w14:paraId="648534EF">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能力要求：</w:t>
            </w:r>
          </w:p>
          <w:p w14:paraId="273A5365">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能够运用人员配备的相关理论，组织管理人员的配备全程工作</w:t>
            </w:r>
          </w:p>
          <w:p w14:paraId="3503E0DC">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p>
          <w:p w14:paraId="33200C63">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医养结合服务监管</w:t>
            </w:r>
          </w:p>
          <w:p w14:paraId="325B553F">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知识点：</w:t>
            </w:r>
          </w:p>
          <w:p w14:paraId="19A98590">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了解医养结合服务监管的基本理论；</w:t>
            </w:r>
          </w:p>
          <w:p w14:paraId="2EC497DA">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了解医养结合服务监管的具体方式；</w:t>
            </w:r>
          </w:p>
          <w:p w14:paraId="71B130E4">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里哦啊接主要的一样结合服务监管机制。</w:t>
            </w:r>
          </w:p>
          <w:p w14:paraId="46DAE34A">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w:t>
            </w:r>
          </w:p>
          <w:p w14:paraId="313A2DA3">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公共利益理论、服务行政理论、政府责任理论；</w:t>
            </w:r>
          </w:p>
          <w:p w14:paraId="4BE8AFC4">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医养结合服务监管原则、监管的内容；</w:t>
            </w:r>
          </w:p>
          <w:p w14:paraId="05B34AAC">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能力要求：</w:t>
            </w:r>
          </w:p>
          <w:p w14:paraId="079A7A96">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能够运用相关理论分析优化监管的制度、政策。</w:t>
            </w:r>
          </w:p>
          <w:p w14:paraId="6412BD1E">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p>
          <w:p w14:paraId="0F696053">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医养结合服务成本测算</w:t>
            </w:r>
          </w:p>
          <w:p w14:paraId="7A8E21EC">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知识点：</w:t>
            </w:r>
          </w:p>
          <w:p w14:paraId="67B749C4">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了解为什么要对医养结合服务成本进行测算；</w:t>
            </w:r>
          </w:p>
          <w:p w14:paraId="4232A75C">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了解医养结合服务成本测算的方法。</w:t>
            </w:r>
          </w:p>
          <w:p w14:paraId="263FB423">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3FCF305E">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医养结合服务成本核算现存的主要问题；</w:t>
            </w:r>
          </w:p>
          <w:p w14:paraId="77518B23">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医养结合服务项目成本测算、医养结合服务项目人力成本测算；</w:t>
            </w:r>
          </w:p>
          <w:p w14:paraId="7F15AF41">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医养结合服务中国家基本公共卫生服务成本测算方法。</w:t>
            </w:r>
          </w:p>
          <w:p w14:paraId="286C57C6">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4C497E7B">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能够运用各种测算方法对医养结合服务的各项成本进行正确计算。</w:t>
            </w:r>
          </w:p>
          <w:p w14:paraId="3C51C45A">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p>
          <w:p w14:paraId="7C55165B">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10.医养结合服务经济负担</w:t>
            </w:r>
          </w:p>
          <w:p w14:paraId="794A3260">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知识点：</w:t>
            </w:r>
          </w:p>
          <w:p w14:paraId="52546CFD">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了解什么是医养结合经济负担；</w:t>
            </w:r>
          </w:p>
          <w:p w14:paraId="1D5ABE83">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了解不同医养结合模式下经济负担的情况；</w:t>
            </w:r>
          </w:p>
          <w:p w14:paraId="10EF4742">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熟悉和掌握医养结合经济负担计算指标和方法。</w:t>
            </w:r>
          </w:p>
          <w:p w14:paraId="22881026">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43FED85C">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医疗服务经济负担的概念与构成；养护服务经济负担；</w:t>
            </w:r>
          </w:p>
          <w:p w14:paraId="0EFC0AB0">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医养结合服务经济负担的范围；</w:t>
            </w:r>
          </w:p>
          <w:p w14:paraId="7E0617FD">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医养结合服务经济负担的计算。</w:t>
            </w:r>
          </w:p>
          <w:p w14:paraId="474066C2">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能力要求：</w:t>
            </w:r>
          </w:p>
          <w:p w14:paraId="493E7676">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能够运用相关经济负担的计算方法正确计算医养结合服务的经济负担。</w:t>
            </w:r>
          </w:p>
          <w:p w14:paraId="77D8D322">
            <w:pPr>
              <w:widowControl w:val="0"/>
              <w:numPr>
                <w:ilvl w:val="0"/>
                <w:numId w:val="0"/>
              </w:numPr>
              <w:snapToGrid w:val="0"/>
              <w:spacing w:line="288" w:lineRule="auto"/>
              <w:ind w:leftChars="0"/>
              <w:jc w:val="left"/>
              <w:rPr>
                <w:rFonts w:hint="default" w:cs="宋体"/>
                <w:b w:val="0"/>
                <w:bCs w:val="0"/>
                <w:sz w:val="21"/>
                <w:szCs w:val="21"/>
                <w:lang w:val="en-US" w:eastAsia="zh-CN"/>
              </w:rPr>
            </w:pPr>
          </w:p>
          <w:p w14:paraId="6EED4C54">
            <w:pPr>
              <w:widowControl w:val="0"/>
              <w:numPr>
                <w:ilvl w:val="0"/>
                <w:numId w:val="0"/>
              </w:numPr>
              <w:snapToGrid w:val="0"/>
              <w:spacing w:line="288" w:lineRule="auto"/>
              <w:ind w:leftChars="0"/>
              <w:jc w:val="left"/>
              <w:rPr>
                <w:rFonts w:hint="default" w:cs="宋体"/>
                <w:b/>
                <w:bCs/>
                <w:sz w:val="21"/>
                <w:szCs w:val="21"/>
                <w:lang w:val="en-US" w:eastAsia="zh-CN"/>
              </w:rPr>
            </w:pPr>
            <w:r>
              <w:rPr>
                <w:rFonts w:hint="eastAsia" w:cs="宋体"/>
                <w:b/>
                <w:bCs/>
                <w:sz w:val="21"/>
                <w:szCs w:val="21"/>
                <w:lang w:val="en-US" w:eastAsia="zh-CN"/>
              </w:rPr>
              <w:t>11.养老服务经济分析与评价</w:t>
            </w:r>
          </w:p>
          <w:p w14:paraId="6A53AF15">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知识点：</w:t>
            </w:r>
          </w:p>
          <w:p w14:paraId="65ADC526">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了解养老服务经济分析与评价的目的；</w:t>
            </w:r>
          </w:p>
          <w:p w14:paraId="1B5C53A9">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了解和熟悉养老服务经济分析与评价的有关基本概念，对养老服务经济分析与评价有一个全面、清晰的认知；</w:t>
            </w:r>
          </w:p>
          <w:p w14:paraId="6C1DE803">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理解和掌握养老服务经济分析与评价的三种方法。</w:t>
            </w:r>
          </w:p>
          <w:p w14:paraId="7D345212">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教学难点：</w:t>
            </w:r>
          </w:p>
          <w:p w14:paraId="36592815">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成本效益分析的方法：静态分析法、动态分析法</w:t>
            </w:r>
          </w:p>
          <w:p w14:paraId="4D83E119">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成本效用分析的方法：等级衡量法、标准博弈法、时间权衡法</w:t>
            </w:r>
          </w:p>
          <w:p w14:paraId="391623FC">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能力要求：</w:t>
            </w:r>
          </w:p>
          <w:p w14:paraId="0C984D7B">
            <w:pPr>
              <w:widowControl w:val="0"/>
              <w:snapToGrid w:val="0"/>
              <w:spacing w:line="288" w:lineRule="auto"/>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能很好的与他人开展沟通；</w:t>
            </w:r>
          </w:p>
          <w:p w14:paraId="65648C6F">
            <w:pPr>
              <w:widowControl w:val="0"/>
              <w:numPr>
                <w:ilvl w:val="0"/>
                <w:numId w:val="0"/>
              </w:numPr>
              <w:snapToGrid w:val="0"/>
              <w:spacing w:line="288" w:lineRule="auto"/>
              <w:ind w:leftChars="0"/>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学会提建设性意见。</w:t>
            </w:r>
          </w:p>
          <w:p w14:paraId="6FBEAF38">
            <w:pPr>
              <w:widowControl w:val="0"/>
              <w:numPr>
                <w:ilvl w:val="0"/>
                <w:numId w:val="0"/>
              </w:numPr>
              <w:snapToGrid w:val="0"/>
              <w:spacing w:line="288" w:lineRule="auto"/>
              <w:ind w:leftChars="0"/>
              <w:jc w:val="left"/>
              <w:rPr>
                <w:rFonts w:hint="eastAsia" w:ascii="宋体" w:hAnsi="宋体" w:eastAsia="宋体" w:cs="宋体"/>
                <w:b w:val="0"/>
                <w:bCs w:val="0"/>
                <w:color w:val="000000"/>
                <w:sz w:val="21"/>
                <w:szCs w:val="21"/>
                <w:lang w:val="en-US" w:eastAsia="zh-CN"/>
              </w:rPr>
            </w:pPr>
          </w:p>
          <w:p w14:paraId="03AA3F27">
            <w:pPr>
              <w:widowControl w:val="0"/>
              <w:numPr>
                <w:ilvl w:val="0"/>
                <w:numId w:val="0"/>
              </w:numPr>
              <w:snapToGrid w:val="0"/>
              <w:spacing w:line="288" w:lineRule="auto"/>
              <w:ind w:leftChars="0"/>
              <w:jc w:val="left"/>
              <w:rPr>
                <w:rFonts w:hint="default" w:cs="宋体"/>
                <w:b/>
                <w:bCs/>
                <w:sz w:val="21"/>
                <w:szCs w:val="21"/>
                <w:lang w:val="en-US" w:eastAsia="zh-CN"/>
              </w:rPr>
            </w:pPr>
            <w:r>
              <w:rPr>
                <w:rFonts w:hint="eastAsia" w:cs="宋体"/>
                <w:b/>
                <w:bCs/>
                <w:sz w:val="21"/>
                <w:szCs w:val="21"/>
                <w:lang w:val="en-US" w:eastAsia="zh-CN"/>
              </w:rPr>
              <w:t>12.医养结合人力资源管理</w:t>
            </w:r>
          </w:p>
          <w:p w14:paraId="46660324">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知识点：</w:t>
            </w:r>
          </w:p>
          <w:p w14:paraId="4AEE3A20">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了解医养结合人力资源管理发展的背景和前沿信息，对医养结合人力资源的现状和问题有一个全面、清晰的认知；</w:t>
            </w:r>
          </w:p>
          <w:p w14:paraId="210F1CC5">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了解和熟悉医养结合人力资源专项文件；</w:t>
            </w:r>
          </w:p>
          <w:p w14:paraId="4625EDB4">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理解和掌握国内外医养结合管理的前沿经验；</w:t>
            </w:r>
          </w:p>
          <w:p w14:paraId="62EED363">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熟悉和掌握医养结合人力资源职业标准和管理机制。</w:t>
            </w:r>
          </w:p>
          <w:p w14:paraId="109BF64D">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教学难点：</w:t>
            </w:r>
          </w:p>
          <w:p w14:paraId="5F7C338E">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医养结合人力资源专项文件的解读</w:t>
            </w:r>
          </w:p>
          <w:p w14:paraId="2FD990AE">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医养结合人力资源职业标准和管理机制；</w:t>
            </w:r>
          </w:p>
          <w:p w14:paraId="080AD430">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能力要求：</w:t>
            </w:r>
          </w:p>
          <w:p w14:paraId="17143310">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在熟悉医养结合人力资源相关政策管理机制的基础上，做好医养结合服务机构的各项人力资源管理工作。</w:t>
            </w:r>
          </w:p>
          <w:p w14:paraId="7F227228">
            <w:pPr>
              <w:widowControl w:val="0"/>
              <w:numPr>
                <w:ilvl w:val="0"/>
                <w:numId w:val="0"/>
              </w:numPr>
              <w:snapToGrid w:val="0"/>
              <w:spacing w:line="288" w:lineRule="auto"/>
              <w:ind w:leftChars="0"/>
              <w:jc w:val="left"/>
              <w:rPr>
                <w:rFonts w:hint="default" w:cs="宋体"/>
                <w:b w:val="0"/>
                <w:bCs w:val="0"/>
                <w:sz w:val="21"/>
                <w:szCs w:val="21"/>
                <w:lang w:val="en-US" w:eastAsia="zh-CN"/>
              </w:rPr>
            </w:pPr>
          </w:p>
          <w:p w14:paraId="7C4E2185">
            <w:pPr>
              <w:widowControl w:val="0"/>
              <w:numPr>
                <w:ilvl w:val="0"/>
                <w:numId w:val="0"/>
              </w:numPr>
              <w:snapToGrid w:val="0"/>
              <w:spacing w:line="288" w:lineRule="auto"/>
              <w:ind w:leftChars="0"/>
              <w:jc w:val="left"/>
              <w:rPr>
                <w:rFonts w:hint="default" w:cs="宋体"/>
                <w:b/>
                <w:bCs/>
                <w:sz w:val="21"/>
                <w:szCs w:val="21"/>
                <w:lang w:val="en-US" w:eastAsia="zh-CN"/>
              </w:rPr>
            </w:pPr>
            <w:r>
              <w:rPr>
                <w:rFonts w:hint="eastAsia" w:cs="宋体"/>
                <w:b/>
                <w:bCs/>
                <w:sz w:val="21"/>
                <w:szCs w:val="21"/>
                <w:lang w:val="en-US" w:eastAsia="zh-CN"/>
              </w:rPr>
              <w:t>13.医养结合财务保障制度</w:t>
            </w:r>
          </w:p>
          <w:p w14:paraId="5EC8C666">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bCs/>
                <w:sz w:val="21"/>
                <w:szCs w:val="21"/>
                <w:lang w:val="en-US" w:eastAsia="zh-CN"/>
              </w:rPr>
              <w:t>知识点：</w:t>
            </w:r>
            <w:r>
              <w:rPr>
                <w:rFonts w:hint="eastAsia" w:cs="宋体"/>
                <w:b w:val="0"/>
                <w:bCs w:val="0"/>
                <w:sz w:val="21"/>
                <w:szCs w:val="21"/>
                <w:lang w:val="en-US" w:eastAsia="zh-CN"/>
              </w:rPr>
              <w:t>熟悉长期护理保险制度的概念、产生背景、发展历程及基本框架；</w:t>
            </w:r>
          </w:p>
          <w:p w14:paraId="543FD3BF">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掌握如何通过优化长期护理保险制度来使其更好地助力医养结合；</w:t>
            </w:r>
          </w:p>
          <w:p w14:paraId="6BC61CEA">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了解医疗保险从哪些方面助力医养结合；</w:t>
            </w:r>
          </w:p>
          <w:p w14:paraId="3CCE4C38">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理解养老保险制度助力“医养结合”的财务保障机制。</w:t>
            </w:r>
          </w:p>
          <w:p w14:paraId="2E73A6FD">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bCs/>
                <w:sz w:val="21"/>
                <w:szCs w:val="21"/>
                <w:lang w:val="en-US" w:eastAsia="zh-CN"/>
              </w:rPr>
              <w:t>教学难点：</w:t>
            </w:r>
          </w:p>
          <w:p w14:paraId="62B1DE3A">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“医养结合”资金从何而来？</w:t>
            </w:r>
          </w:p>
          <w:p w14:paraId="73A3C0A9">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长期护理保险的发展历程与优化；</w:t>
            </w:r>
          </w:p>
          <w:p w14:paraId="407E76AD">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养老保险如何“以样促医”？</w:t>
            </w:r>
          </w:p>
          <w:p w14:paraId="4B56D731">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sz w:val="21"/>
                <w:szCs w:val="21"/>
                <w:lang w:val="en-US" w:eastAsia="zh-CN"/>
              </w:rPr>
              <w:t>能力要求：</w:t>
            </w:r>
            <w:r>
              <w:rPr>
                <w:rFonts w:hint="eastAsia" w:cs="宋体"/>
                <w:b w:val="0"/>
                <w:bCs w:val="0"/>
                <w:color w:val="000000"/>
                <w:sz w:val="21"/>
                <w:szCs w:val="21"/>
                <w:lang w:val="en-US" w:eastAsia="zh-CN"/>
              </w:rPr>
              <w:t>能够结合本章知识分析我国医养接恶化财务保障的现状、问题与优化方法</w:t>
            </w:r>
          </w:p>
          <w:p w14:paraId="5689DABA">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p>
          <w:p w14:paraId="3C3DF46E">
            <w:pPr>
              <w:widowControl w:val="0"/>
              <w:numPr>
                <w:ilvl w:val="0"/>
                <w:numId w:val="0"/>
              </w:numPr>
              <w:snapToGrid w:val="0"/>
              <w:spacing w:line="288" w:lineRule="auto"/>
              <w:ind w:leftChars="0"/>
              <w:jc w:val="left"/>
              <w:rPr>
                <w:rFonts w:hint="default" w:ascii="宋体" w:hAnsi="宋体" w:cs="宋体"/>
                <w:b/>
                <w:bCs/>
                <w:color w:val="000000"/>
                <w:sz w:val="21"/>
                <w:szCs w:val="21"/>
                <w:lang w:val="en-US" w:eastAsia="zh-CN"/>
              </w:rPr>
            </w:pPr>
            <w:r>
              <w:rPr>
                <w:rFonts w:hint="eastAsia" w:cs="宋体"/>
                <w:b/>
                <w:bCs/>
                <w:color w:val="000000"/>
                <w:sz w:val="21"/>
                <w:szCs w:val="21"/>
                <w:lang w:val="en-US" w:eastAsia="zh-CN"/>
              </w:rPr>
              <w:t>14.医养结合发展趋势及前景</w:t>
            </w:r>
          </w:p>
          <w:p w14:paraId="64387DF1">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知识点：</w:t>
            </w:r>
          </w:p>
          <w:p w14:paraId="216754E3">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了解医养结合发展趋势：健康治理数字化趋势、管理主体多元化趋势、人才队伍专业化趋势、疾病控制长效化趋势及医养结合自身创新发展的优势；</w:t>
            </w:r>
          </w:p>
          <w:p w14:paraId="4A48A2B8">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了解医养结合发展前景：市场前景、福利前景、产业前景、制度前景及政策前景</w:t>
            </w:r>
          </w:p>
          <w:p w14:paraId="0C8FB588">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bCs/>
                <w:sz w:val="21"/>
                <w:szCs w:val="21"/>
                <w:lang w:val="en-US" w:eastAsia="zh-CN"/>
              </w:rPr>
              <w:t>教学难点：</w:t>
            </w:r>
          </w:p>
          <w:p w14:paraId="522D7D5C">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健康治理数字化应用实践体现；</w:t>
            </w:r>
          </w:p>
          <w:p w14:paraId="5B4289DD">
            <w:pPr>
              <w:widowControl w:val="0"/>
              <w:numPr>
                <w:ilvl w:val="0"/>
                <w:numId w:val="0"/>
              </w:numPr>
              <w:snapToGrid w:val="0"/>
              <w:spacing w:line="288" w:lineRule="auto"/>
              <w:ind w:leftChars="0"/>
              <w:jc w:val="left"/>
              <w:rPr>
                <w:rFonts w:hint="default" w:cs="宋体"/>
                <w:b w:val="0"/>
                <w:bCs w:val="0"/>
                <w:sz w:val="21"/>
                <w:szCs w:val="21"/>
                <w:lang w:val="en-US" w:eastAsia="zh-CN"/>
              </w:rPr>
            </w:pPr>
            <w:r>
              <w:rPr>
                <w:rFonts w:hint="eastAsia" w:cs="宋体"/>
                <w:b w:val="0"/>
                <w:bCs w:val="0"/>
                <w:sz w:val="21"/>
                <w:szCs w:val="21"/>
                <w:lang w:val="en-US" w:eastAsia="zh-CN"/>
              </w:rPr>
              <w:t>医养结合发展的前沿趋势。</w:t>
            </w:r>
          </w:p>
          <w:p w14:paraId="3B45CB97">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bCs/>
                <w:sz w:val="21"/>
                <w:szCs w:val="21"/>
                <w:lang w:val="en-US" w:eastAsia="zh-CN"/>
              </w:rPr>
              <w:t>能力要求：</w:t>
            </w:r>
            <w:r>
              <w:rPr>
                <w:rFonts w:hint="eastAsia" w:cs="宋体"/>
                <w:b w:val="0"/>
                <w:bCs w:val="0"/>
                <w:color w:val="000000"/>
                <w:sz w:val="21"/>
                <w:szCs w:val="21"/>
                <w:lang w:val="en-US" w:eastAsia="zh-CN"/>
              </w:rPr>
              <w:t>能够结合国内外现状分析医养结合发展的趋势，进行相关领域的研究。</w:t>
            </w:r>
          </w:p>
          <w:p w14:paraId="4C709F8C">
            <w:pPr>
              <w:widowControl w:val="0"/>
              <w:numPr>
                <w:ilvl w:val="0"/>
                <w:numId w:val="0"/>
              </w:numPr>
              <w:snapToGrid w:val="0"/>
              <w:spacing w:line="288" w:lineRule="auto"/>
              <w:ind w:leftChars="0"/>
              <w:jc w:val="left"/>
              <w:rPr>
                <w:rFonts w:hint="default" w:cs="宋体"/>
                <w:b/>
                <w:bCs/>
                <w:sz w:val="20"/>
                <w:szCs w:val="20"/>
                <w:lang w:val="en-US" w:eastAsia="zh-CN"/>
              </w:rPr>
            </w:pPr>
          </w:p>
        </w:tc>
      </w:tr>
      <w:bookmarkEnd w:id="0"/>
      <w:bookmarkEnd w:id="1"/>
    </w:tbl>
    <w:p w14:paraId="3BE34692">
      <w:pPr>
        <w:pStyle w:val="18"/>
        <w:spacing w:before="81" w:after="163"/>
      </w:pPr>
      <w:r>
        <w:rPr>
          <w:rFonts w:hint="eastAsia"/>
        </w:rPr>
        <w:t>（二）教学单元对课程目标的支撑关系</w:t>
      </w:r>
    </w:p>
    <w:tbl>
      <w:tblPr>
        <w:tblStyle w:val="8"/>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45"/>
        <w:gridCol w:w="1100"/>
        <w:gridCol w:w="1100"/>
        <w:gridCol w:w="1100"/>
        <w:gridCol w:w="1099"/>
      </w:tblGrid>
      <w:tr w14:paraId="4646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045" w:type="dxa"/>
            <w:tcBorders>
              <w:top w:val="single" w:color="auto" w:sz="12" w:space="0"/>
              <w:left w:val="single" w:color="auto" w:sz="12" w:space="0"/>
              <w:tl2br w:val="single" w:color="auto" w:sz="4" w:space="0"/>
            </w:tcBorders>
          </w:tcPr>
          <w:p w14:paraId="7DD9267C">
            <w:pPr>
              <w:pStyle w:val="14"/>
              <w:ind w:firstLine="489"/>
              <w:jc w:val="right"/>
              <w:rPr>
                <w:szCs w:val="16"/>
              </w:rPr>
            </w:pPr>
            <w:r>
              <w:rPr>
                <w:rFonts w:hint="eastAsia"/>
                <w:szCs w:val="16"/>
              </w:rPr>
              <w:t>课程目标</w:t>
            </w:r>
          </w:p>
          <w:p w14:paraId="26DA0A7D">
            <w:pPr>
              <w:pStyle w:val="14"/>
              <w:ind w:right="210"/>
              <w:jc w:val="left"/>
              <w:rPr>
                <w:rFonts w:hint="eastAsia"/>
                <w:szCs w:val="16"/>
              </w:rPr>
            </w:pPr>
          </w:p>
          <w:p w14:paraId="11D480B0">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7D9564CD">
            <w:pPr>
              <w:pStyle w:val="14"/>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1D61B7F5">
            <w:pPr>
              <w:pStyle w:val="14"/>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78E73D71">
            <w:pPr>
              <w:pStyle w:val="14"/>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1179C7D9">
            <w:pPr>
              <w:pStyle w:val="14"/>
              <w:rPr>
                <w:rFonts w:hint="eastAsia" w:eastAsia="黑体"/>
                <w:szCs w:val="16"/>
                <w:lang w:val="en-US" w:eastAsia="zh-CN"/>
              </w:rPr>
            </w:pPr>
            <w:r>
              <w:rPr>
                <w:rFonts w:hint="eastAsia"/>
                <w:szCs w:val="16"/>
                <w:lang w:val="en-US" w:eastAsia="zh-CN"/>
              </w:rPr>
              <w:t>4</w:t>
            </w:r>
          </w:p>
        </w:tc>
      </w:tr>
      <w:tr w14:paraId="23E4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06468DB6">
            <w:pPr>
              <w:pStyle w:val="15"/>
              <w:rPr>
                <w:rFonts w:hint="default" w:eastAsia="宋体"/>
                <w:lang w:val="en-US" w:eastAsia="zh-CN"/>
              </w:rPr>
            </w:pPr>
            <w:r>
              <w:rPr>
                <w:rFonts w:hint="eastAsia"/>
                <w:lang w:val="en-US" w:eastAsia="zh-CN"/>
              </w:rPr>
              <w:t>1.绪论</w:t>
            </w:r>
          </w:p>
        </w:tc>
        <w:tc>
          <w:tcPr>
            <w:tcW w:w="1100" w:type="dxa"/>
            <w:vAlign w:val="center"/>
          </w:tcPr>
          <w:p w14:paraId="40E068AA">
            <w:pPr>
              <w:pStyle w:val="15"/>
            </w:pPr>
            <w:r>
              <w:rPr>
                <w:rFonts w:ascii="宋体" w:hAnsi="宋体"/>
                <w:color w:val="000000" w:themeColor="text1"/>
                <w14:textFill>
                  <w14:solidFill>
                    <w14:schemeClr w14:val="tx1"/>
                  </w14:solidFill>
                </w14:textFill>
              </w:rPr>
              <w:t>√</w:t>
            </w:r>
          </w:p>
        </w:tc>
        <w:tc>
          <w:tcPr>
            <w:tcW w:w="1100" w:type="dxa"/>
            <w:vAlign w:val="center"/>
          </w:tcPr>
          <w:p w14:paraId="47926FCD">
            <w:pPr>
              <w:pStyle w:val="15"/>
            </w:pPr>
          </w:p>
        </w:tc>
        <w:tc>
          <w:tcPr>
            <w:tcW w:w="1100" w:type="dxa"/>
            <w:vAlign w:val="center"/>
          </w:tcPr>
          <w:p w14:paraId="4CD8915E">
            <w:pPr>
              <w:pStyle w:val="15"/>
            </w:pPr>
            <w:r>
              <w:rPr>
                <w:rFonts w:ascii="宋体" w:hAnsi="宋体"/>
                <w:color w:val="000000" w:themeColor="text1"/>
                <w14:textFill>
                  <w14:solidFill>
                    <w14:schemeClr w14:val="tx1"/>
                  </w14:solidFill>
                </w14:textFill>
              </w:rPr>
              <w:t>√</w:t>
            </w:r>
          </w:p>
        </w:tc>
        <w:tc>
          <w:tcPr>
            <w:tcW w:w="1099" w:type="dxa"/>
            <w:vAlign w:val="center"/>
          </w:tcPr>
          <w:p w14:paraId="073B99FF">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r>
      <w:tr w14:paraId="44B1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3CA73F1F">
            <w:pPr>
              <w:pStyle w:val="15"/>
              <w:rPr>
                <w:rFonts w:hint="default" w:eastAsia="宋体"/>
                <w:lang w:val="en-US" w:eastAsia="zh-CN"/>
              </w:rPr>
            </w:pPr>
            <w:r>
              <w:rPr>
                <w:rFonts w:hint="eastAsia"/>
                <w:lang w:val="en-US" w:eastAsia="zh-CN"/>
              </w:rPr>
              <w:t>2.医养结合相关理论</w:t>
            </w:r>
          </w:p>
        </w:tc>
        <w:tc>
          <w:tcPr>
            <w:tcW w:w="1100" w:type="dxa"/>
            <w:vAlign w:val="center"/>
          </w:tcPr>
          <w:p w14:paraId="5F68D9E1">
            <w:pPr>
              <w:pStyle w:val="15"/>
            </w:pPr>
            <w:r>
              <w:rPr>
                <w:rFonts w:ascii="宋体" w:hAnsi="宋体"/>
                <w:color w:val="000000" w:themeColor="text1"/>
                <w14:textFill>
                  <w14:solidFill>
                    <w14:schemeClr w14:val="tx1"/>
                  </w14:solidFill>
                </w14:textFill>
              </w:rPr>
              <w:t>√</w:t>
            </w:r>
          </w:p>
        </w:tc>
        <w:tc>
          <w:tcPr>
            <w:tcW w:w="1100" w:type="dxa"/>
            <w:vAlign w:val="center"/>
          </w:tcPr>
          <w:p w14:paraId="60161260">
            <w:pPr>
              <w:pStyle w:val="15"/>
            </w:pPr>
          </w:p>
        </w:tc>
        <w:tc>
          <w:tcPr>
            <w:tcW w:w="1100" w:type="dxa"/>
            <w:vAlign w:val="center"/>
          </w:tcPr>
          <w:p w14:paraId="3063BD8F">
            <w:pPr>
              <w:pStyle w:val="15"/>
            </w:pPr>
            <w:r>
              <w:rPr>
                <w:rFonts w:ascii="宋体" w:hAnsi="宋体"/>
                <w:color w:val="000000" w:themeColor="text1"/>
                <w14:textFill>
                  <w14:solidFill>
                    <w14:schemeClr w14:val="tx1"/>
                  </w14:solidFill>
                </w14:textFill>
              </w:rPr>
              <w:t>√</w:t>
            </w:r>
          </w:p>
        </w:tc>
        <w:tc>
          <w:tcPr>
            <w:tcW w:w="1099" w:type="dxa"/>
            <w:vAlign w:val="center"/>
          </w:tcPr>
          <w:p w14:paraId="31FF88F7">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r>
      <w:tr w14:paraId="1C41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7C6D5703">
            <w:pPr>
              <w:pStyle w:val="15"/>
              <w:rPr>
                <w:rFonts w:hint="default" w:eastAsia="宋体"/>
                <w:lang w:val="en-US" w:eastAsia="zh-CN"/>
              </w:rPr>
            </w:pPr>
            <w:r>
              <w:rPr>
                <w:rFonts w:hint="eastAsia"/>
                <w:lang w:val="en-US" w:eastAsia="zh-CN"/>
              </w:rPr>
              <w:t>3.医养结合环境</w:t>
            </w:r>
          </w:p>
        </w:tc>
        <w:tc>
          <w:tcPr>
            <w:tcW w:w="1100" w:type="dxa"/>
            <w:vAlign w:val="center"/>
          </w:tcPr>
          <w:p w14:paraId="4E8FC76A">
            <w:pPr>
              <w:pStyle w:val="15"/>
            </w:pPr>
            <w:r>
              <w:rPr>
                <w:rFonts w:ascii="宋体" w:hAnsi="宋体"/>
                <w:color w:val="000000" w:themeColor="text1"/>
                <w14:textFill>
                  <w14:solidFill>
                    <w14:schemeClr w14:val="tx1"/>
                  </w14:solidFill>
                </w14:textFill>
              </w:rPr>
              <w:t>√</w:t>
            </w:r>
          </w:p>
        </w:tc>
        <w:tc>
          <w:tcPr>
            <w:tcW w:w="1100" w:type="dxa"/>
            <w:vAlign w:val="center"/>
          </w:tcPr>
          <w:p w14:paraId="36CCF5F3">
            <w:pPr>
              <w:pStyle w:val="15"/>
            </w:pPr>
          </w:p>
        </w:tc>
        <w:tc>
          <w:tcPr>
            <w:tcW w:w="1100" w:type="dxa"/>
            <w:vAlign w:val="center"/>
          </w:tcPr>
          <w:p w14:paraId="0C3BF9B8">
            <w:pPr>
              <w:pStyle w:val="15"/>
            </w:pPr>
            <w:r>
              <w:rPr>
                <w:rFonts w:ascii="宋体" w:hAnsi="宋体"/>
                <w:color w:val="000000" w:themeColor="text1"/>
                <w14:textFill>
                  <w14:solidFill>
                    <w14:schemeClr w14:val="tx1"/>
                  </w14:solidFill>
                </w14:textFill>
              </w:rPr>
              <w:t>√</w:t>
            </w:r>
          </w:p>
        </w:tc>
        <w:tc>
          <w:tcPr>
            <w:tcW w:w="1099" w:type="dxa"/>
            <w:vAlign w:val="center"/>
          </w:tcPr>
          <w:p w14:paraId="2EC1A524">
            <w:pPr>
              <w:pStyle w:val="15"/>
            </w:pPr>
            <w:r>
              <w:rPr>
                <w:rFonts w:ascii="宋体" w:hAnsi="宋体"/>
                <w:color w:val="000000" w:themeColor="text1"/>
                <w14:textFill>
                  <w14:solidFill>
                    <w14:schemeClr w14:val="tx1"/>
                  </w14:solidFill>
                </w14:textFill>
              </w:rPr>
              <w:t>√</w:t>
            </w:r>
          </w:p>
        </w:tc>
      </w:tr>
      <w:tr w14:paraId="6070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6AA6E245">
            <w:pPr>
              <w:pStyle w:val="15"/>
              <w:rPr>
                <w:rFonts w:hint="default"/>
                <w:lang w:val="en-US" w:eastAsia="zh-CN"/>
              </w:rPr>
            </w:pPr>
            <w:r>
              <w:rPr>
                <w:rFonts w:hint="eastAsia"/>
                <w:lang w:val="en-US" w:eastAsia="zh-CN"/>
              </w:rPr>
              <w:t>4.医养结合服务体系</w:t>
            </w:r>
          </w:p>
        </w:tc>
        <w:tc>
          <w:tcPr>
            <w:tcW w:w="1100" w:type="dxa"/>
            <w:vAlign w:val="center"/>
          </w:tcPr>
          <w:p w14:paraId="1F9CBB38">
            <w:pPr>
              <w:pStyle w:val="15"/>
            </w:pPr>
            <w:r>
              <w:rPr>
                <w:rFonts w:ascii="宋体" w:hAnsi="宋体"/>
                <w:color w:val="000000" w:themeColor="text1"/>
                <w14:textFill>
                  <w14:solidFill>
                    <w14:schemeClr w14:val="tx1"/>
                  </w14:solidFill>
                </w14:textFill>
              </w:rPr>
              <w:t>√</w:t>
            </w:r>
          </w:p>
        </w:tc>
        <w:tc>
          <w:tcPr>
            <w:tcW w:w="1100" w:type="dxa"/>
            <w:vAlign w:val="center"/>
          </w:tcPr>
          <w:p w14:paraId="1BB5EE91">
            <w:pPr>
              <w:pStyle w:val="15"/>
            </w:pPr>
            <w:r>
              <w:rPr>
                <w:rFonts w:ascii="宋体" w:hAnsi="宋体"/>
                <w:color w:val="000000" w:themeColor="text1"/>
                <w14:textFill>
                  <w14:solidFill>
                    <w14:schemeClr w14:val="tx1"/>
                  </w14:solidFill>
                </w14:textFill>
              </w:rPr>
              <w:t>√</w:t>
            </w:r>
          </w:p>
        </w:tc>
        <w:tc>
          <w:tcPr>
            <w:tcW w:w="1100" w:type="dxa"/>
            <w:vAlign w:val="center"/>
          </w:tcPr>
          <w:p w14:paraId="4703B231">
            <w:pPr>
              <w:pStyle w:val="15"/>
            </w:pPr>
          </w:p>
        </w:tc>
        <w:tc>
          <w:tcPr>
            <w:tcW w:w="1099" w:type="dxa"/>
            <w:vAlign w:val="center"/>
          </w:tcPr>
          <w:p w14:paraId="2B7C2C9C">
            <w:pPr>
              <w:pStyle w:val="15"/>
            </w:pPr>
          </w:p>
        </w:tc>
      </w:tr>
      <w:tr w14:paraId="55BF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19248A36">
            <w:pPr>
              <w:pStyle w:val="15"/>
              <w:rPr>
                <w:rFonts w:hint="default"/>
                <w:lang w:val="en-US" w:eastAsia="zh-CN"/>
              </w:rPr>
            </w:pPr>
            <w:r>
              <w:rPr>
                <w:rFonts w:hint="eastAsia"/>
                <w:lang w:val="en-US" w:eastAsia="zh-CN"/>
              </w:rPr>
              <w:t>5.医养结合服务模式</w:t>
            </w:r>
          </w:p>
        </w:tc>
        <w:tc>
          <w:tcPr>
            <w:tcW w:w="1100" w:type="dxa"/>
            <w:vAlign w:val="center"/>
          </w:tcPr>
          <w:p w14:paraId="4EF32811">
            <w:pPr>
              <w:pStyle w:val="15"/>
            </w:pPr>
            <w:r>
              <w:rPr>
                <w:rFonts w:ascii="宋体" w:hAnsi="宋体"/>
                <w:color w:val="000000" w:themeColor="text1"/>
                <w14:textFill>
                  <w14:solidFill>
                    <w14:schemeClr w14:val="tx1"/>
                  </w14:solidFill>
                </w14:textFill>
              </w:rPr>
              <w:t>√</w:t>
            </w:r>
          </w:p>
        </w:tc>
        <w:tc>
          <w:tcPr>
            <w:tcW w:w="1100" w:type="dxa"/>
            <w:vAlign w:val="center"/>
          </w:tcPr>
          <w:p w14:paraId="52B4C220">
            <w:pPr>
              <w:pStyle w:val="15"/>
            </w:pPr>
            <w:r>
              <w:rPr>
                <w:rFonts w:ascii="宋体" w:hAnsi="宋体"/>
                <w:color w:val="000000" w:themeColor="text1"/>
                <w14:textFill>
                  <w14:solidFill>
                    <w14:schemeClr w14:val="tx1"/>
                  </w14:solidFill>
                </w14:textFill>
              </w:rPr>
              <w:t>√</w:t>
            </w:r>
          </w:p>
        </w:tc>
        <w:tc>
          <w:tcPr>
            <w:tcW w:w="1100" w:type="dxa"/>
            <w:vAlign w:val="center"/>
          </w:tcPr>
          <w:p w14:paraId="1547DCDD">
            <w:pPr>
              <w:pStyle w:val="15"/>
            </w:pPr>
          </w:p>
        </w:tc>
        <w:tc>
          <w:tcPr>
            <w:tcW w:w="1099" w:type="dxa"/>
            <w:vAlign w:val="center"/>
          </w:tcPr>
          <w:p w14:paraId="7A423E1E">
            <w:pPr>
              <w:pStyle w:val="15"/>
            </w:pPr>
          </w:p>
        </w:tc>
      </w:tr>
      <w:tr w14:paraId="1A34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2CB13E89">
            <w:pPr>
              <w:pStyle w:val="15"/>
              <w:rPr>
                <w:rFonts w:hint="default"/>
                <w:lang w:val="en-US" w:eastAsia="zh-CN"/>
              </w:rPr>
            </w:pPr>
            <w:r>
              <w:rPr>
                <w:rFonts w:hint="eastAsia"/>
                <w:lang w:val="en-US" w:eastAsia="zh-CN"/>
              </w:rPr>
              <w:t>6.医养结合服务内容</w:t>
            </w:r>
          </w:p>
        </w:tc>
        <w:tc>
          <w:tcPr>
            <w:tcW w:w="1100" w:type="dxa"/>
            <w:vAlign w:val="center"/>
          </w:tcPr>
          <w:p w14:paraId="26314B70">
            <w:pPr>
              <w:pStyle w:val="15"/>
            </w:pPr>
            <w:r>
              <w:rPr>
                <w:rFonts w:ascii="宋体" w:hAnsi="宋体"/>
                <w:color w:val="000000" w:themeColor="text1"/>
                <w14:textFill>
                  <w14:solidFill>
                    <w14:schemeClr w14:val="tx1"/>
                  </w14:solidFill>
                </w14:textFill>
              </w:rPr>
              <w:t>√</w:t>
            </w:r>
          </w:p>
        </w:tc>
        <w:tc>
          <w:tcPr>
            <w:tcW w:w="1100" w:type="dxa"/>
            <w:vAlign w:val="center"/>
          </w:tcPr>
          <w:p w14:paraId="7DA3A64B">
            <w:pPr>
              <w:pStyle w:val="15"/>
            </w:pPr>
            <w:r>
              <w:rPr>
                <w:rFonts w:ascii="宋体" w:hAnsi="宋体"/>
                <w:color w:val="000000" w:themeColor="text1"/>
                <w14:textFill>
                  <w14:solidFill>
                    <w14:schemeClr w14:val="tx1"/>
                  </w14:solidFill>
                </w14:textFill>
              </w:rPr>
              <w:t>√</w:t>
            </w:r>
          </w:p>
        </w:tc>
        <w:tc>
          <w:tcPr>
            <w:tcW w:w="1100" w:type="dxa"/>
            <w:vAlign w:val="center"/>
          </w:tcPr>
          <w:p w14:paraId="1A033C1E">
            <w:pPr>
              <w:pStyle w:val="15"/>
            </w:pPr>
            <w:r>
              <w:rPr>
                <w:rFonts w:ascii="宋体" w:hAnsi="宋体"/>
                <w:color w:val="000000" w:themeColor="text1"/>
                <w14:textFill>
                  <w14:solidFill>
                    <w14:schemeClr w14:val="tx1"/>
                  </w14:solidFill>
                </w14:textFill>
              </w:rPr>
              <w:t>√</w:t>
            </w:r>
          </w:p>
        </w:tc>
        <w:tc>
          <w:tcPr>
            <w:tcW w:w="1099" w:type="dxa"/>
            <w:vAlign w:val="center"/>
          </w:tcPr>
          <w:p w14:paraId="521474DA">
            <w:pPr>
              <w:pStyle w:val="15"/>
            </w:pPr>
          </w:p>
        </w:tc>
      </w:tr>
      <w:tr w14:paraId="1FB8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51F082D3">
            <w:pPr>
              <w:pStyle w:val="15"/>
              <w:rPr>
                <w:rFonts w:hint="default"/>
                <w:lang w:val="en-US" w:eastAsia="zh-CN"/>
              </w:rPr>
            </w:pPr>
            <w:r>
              <w:rPr>
                <w:rFonts w:hint="eastAsia"/>
                <w:lang w:val="en-US" w:eastAsia="zh-CN"/>
              </w:rPr>
              <w:t>7.医养结合机构管理与建设</w:t>
            </w:r>
          </w:p>
        </w:tc>
        <w:tc>
          <w:tcPr>
            <w:tcW w:w="1100" w:type="dxa"/>
            <w:vAlign w:val="center"/>
          </w:tcPr>
          <w:p w14:paraId="5D0A26FB">
            <w:pPr>
              <w:pStyle w:val="15"/>
            </w:pPr>
            <w:r>
              <w:rPr>
                <w:rFonts w:ascii="宋体" w:hAnsi="宋体"/>
                <w:color w:val="000000" w:themeColor="text1"/>
                <w14:textFill>
                  <w14:solidFill>
                    <w14:schemeClr w14:val="tx1"/>
                  </w14:solidFill>
                </w14:textFill>
              </w:rPr>
              <w:t>√</w:t>
            </w:r>
          </w:p>
        </w:tc>
        <w:tc>
          <w:tcPr>
            <w:tcW w:w="1100" w:type="dxa"/>
            <w:vAlign w:val="center"/>
          </w:tcPr>
          <w:p w14:paraId="3FF4C864">
            <w:pPr>
              <w:pStyle w:val="15"/>
            </w:pPr>
            <w:r>
              <w:rPr>
                <w:rFonts w:ascii="宋体" w:hAnsi="宋体"/>
                <w:color w:val="000000" w:themeColor="text1"/>
                <w14:textFill>
                  <w14:solidFill>
                    <w14:schemeClr w14:val="tx1"/>
                  </w14:solidFill>
                </w14:textFill>
              </w:rPr>
              <w:t>√</w:t>
            </w:r>
          </w:p>
        </w:tc>
        <w:tc>
          <w:tcPr>
            <w:tcW w:w="1100" w:type="dxa"/>
            <w:vAlign w:val="center"/>
          </w:tcPr>
          <w:p w14:paraId="0E489333">
            <w:pPr>
              <w:pStyle w:val="15"/>
            </w:pPr>
          </w:p>
        </w:tc>
        <w:tc>
          <w:tcPr>
            <w:tcW w:w="1099" w:type="dxa"/>
            <w:vAlign w:val="center"/>
          </w:tcPr>
          <w:p w14:paraId="00786924">
            <w:pPr>
              <w:pStyle w:val="15"/>
            </w:pPr>
            <w:r>
              <w:rPr>
                <w:rFonts w:ascii="宋体" w:hAnsi="宋体"/>
                <w:color w:val="000000" w:themeColor="text1"/>
                <w14:textFill>
                  <w14:solidFill>
                    <w14:schemeClr w14:val="tx1"/>
                  </w14:solidFill>
                </w14:textFill>
              </w:rPr>
              <w:t>√</w:t>
            </w:r>
          </w:p>
        </w:tc>
      </w:tr>
      <w:tr w14:paraId="4CB6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2B97D5B1">
            <w:pPr>
              <w:pStyle w:val="15"/>
              <w:rPr>
                <w:rFonts w:hint="default"/>
                <w:lang w:val="en-US" w:eastAsia="zh-CN"/>
              </w:rPr>
            </w:pPr>
            <w:r>
              <w:rPr>
                <w:rFonts w:hint="eastAsia"/>
                <w:lang w:val="en-US" w:eastAsia="zh-CN"/>
              </w:rPr>
              <w:t>8.医养结合服务监管</w:t>
            </w:r>
          </w:p>
        </w:tc>
        <w:tc>
          <w:tcPr>
            <w:tcW w:w="1100" w:type="dxa"/>
            <w:vAlign w:val="center"/>
          </w:tcPr>
          <w:p w14:paraId="0194E475">
            <w:pPr>
              <w:pStyle w:val="15"/>
            </w:pPr>
          </w:p>
        </w:tc>
        <w:tc>
          <w:tcPr>
            <w:tcW w:w="1100" w:type="dxa"/>
            <w:vAlign w:val="center"/>
          </w:tcPr>
          <w:p w14:paraId="59E54257">
            <w:pPr>
              <w:pStyle w:val="15"/>
            </w:pPr>
          </w:p>
        </w:tc>
        <w:tc>
          <w:tcPr>
            <w:tcW w:w="1100" w:type="dxa"/>
            <w:vAlign w:val="center"/>
          </w:tcPr>
          <w:p w14:paraId="5E525705">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099" w:type="dxa"/>
            <w:vAlign w:val="center"/>
          </w:tcPr>
          <w:p w14:paraId="7243A2F4">
            <w:pPr>
              <w:pStyle w:val="15"/>
            </w:pPr>
          </w:p>
        </w:tc>
      </w:tr>
      <w:tr w14:paraId="39AA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43F1439A">
            <w:pPr>
              <w:pStyle w:val="15"/>
              <w:rPr>
                <w:rFonts w:hint="default"/>
                <w:lang w:val="en-US" w:eastAsia="zh-CN"/>
              </w:rPr>
            </w:pPr>
            <w:r>
              <w:rPr>
                <w:rFonts w:hint="eastAsia"/>
                <w:lang w:val="en-US" w:eastAsia="zh-CN"/>
              </w:rPr>
              <w:t>9.医养结合服务成本测算</w:t>
            </w:r>
          </w:p>
        </w:tc>
        <w:tc>
          <w:tcPr>
            <w:tcW w:w="1100" w:type="dxa"/>
            <w:vAlign w:val="center"/>
          </w:tcPr>
          <w:p w14:paraId="71D2C05B">
            <w:pPr>
              <w:pStyle w:val="15"/>
            </w:pPr>
          </w:p>
        </w:tc>
        <w:tc>
          <w:tcPr>
            <w:tcW w:w="1100" w:type="dxa"/>
            <w:vAlign w:val="center"/>
          </w:tcPr>
          <w:p w14:paraId="053D9874">
            <w:pPr>
              <w:pStyle w:val="15"/>
            </w:pPr>
            <w:r>
              <w:rPr>
                <w:rFonts w:ascii="宋体" w:hAnsi="宋体"/>
                <w:color w:val="000000" w:themeColor="text1"/>
                <w14:textFill>
                  <w14:solidFill>
                    <w14:schemeClr w14:val="tx1"/>
                  </w14:solidFill>
                </w14:textFill>
              </w:rPr>
              <w:t>√</w:t>
            </w:r>
          </w:p>
        </w:tc>
        <w:tc>
          <w:tcPr>
            <w:tcW w:w="1100" w:type="dxa"/>
            <w:vAlign w:val="center"/>
          </w:tcPr>
          <w:p w14:paraId="383E0761">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099" w:type="dxa"/>
            <w:vAlign w:val="center"/>
          </w:tcPr>
          <w:p w14:paraId="5CA46389">
            <w:pPr>
              <w:pStyle w:val="15"/>
            </w:pPr>
            <w:r>
              <w:rPr>
                <w:rFonts w:ascii="宋体" w:hAnsi="宋体"/>
                <w:color w:val="000000" w:themeColor="text1"/>
                <w14:textFill>
                  <w14:solidFill>
                    <w14:schemeClr w14:val="tx1"/>
                  </w14:solidFill>
                </w14:textFill>
              </w:rPr>
              <w:t>√</w:t>
            </w:r>
          </w:p>
        </w:tc>
      </w:tr>
      <w:tr w14:paraId="6D2A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65497F29">
            <w:pPr>
              <w:pStyle w:val="15"/>
              <w:rPr>
                <w:rFonts w:hint="default"/>
                <w:lang w:val="en-US" w:eastAsia="zh-CN"/>
              </w:rPr>
            </w:pPr>
            <w:r>
              <w:rPr>
                <w:rFonts w:hint="eastAsia"/>
                <w:lang w:val="en-US" w:eastAsia="zh-CN"/>
              </w:rPr>
              <w:t>10.医养结合服务经济负担</w:t>
            </w:r>
          </w:p>
        </w:tc>
        <w:tc>
          <w:tcPr>
            <w:tcW w:w="1100" w:type="dxa"/>
            <w:vAlign w:val="center"/>
          </w:tcPr>
          <w:p w14:paraId="2867FEDE">
            <w:pPr>
              <w:pStyle w:val="15"/>
            </w:pPr>
          </w:p>
        </w:tc>
        <w:tc>
          <w:tcPr>
            <w:tcW w:w="1100" w:type="dxa"/>
            <w:vAlign w:val="center"/>
          </w:tcPr>
          <w:p w14:paraId="1A9A8D9A">
            <w:pPr>
              <w:pStyle w:val="15"/>
            </w:pPr>
            <w:r>
              <w:rPr>
                <w:rFonts w:ascii="宋体" w:hAnsi="宋体"/>
                <w:color w:val="000000" w:themeColor="text1"/>
                <w14:textFill>
                  <w14:solidFill>
                    <w14:schemeClr w14:val="tx1"/>
                  </w14:solidFill>
                </w14:textFill>
              </w:rPr>
              <w:t>√</w:t>
            </w:r>
          </w:p>
        </w:tc>
        <w:tc>
          <w:tcPr>
            <w:tcW w:w="1100" w:type="dxa"/>
            <w:vAlign w:val="center"/>
          </w:tcPr>
          <w:p w14:paraId="1F37D913">
            <w:pPr>
              <w:pStyle w:val="15"/>
            </w:pPr>
          </w:p>
        </w:tc>
        <w:tc>
          <w:tcPr>
            <w:tcW w:w="1099" w:type="dxa"/>
            <w:vAlign w:val="center"/>
          </w:tcPr>
          <w:p w14:paraId="76FD9845">
            <w:pPr>
              <w:pStyle w:val="15"/>
            </w:pPr>
            <w:r>
              <w:rPr>
                <w:rFonts w:ascii="宋体" w:hAnsi="宋体"/>
                <w:color w:val="000000" w:themeColor="text1"/>
                <w14:textFill>
                  <w14:solidFill>
                    <w14:schemeClr w14:val="tx1"/>
                  </w14:solidFill>
                </w14:textFill>
              </w:rPr>
              <w:t>√</w:t>
            </w:r>
          </w:p>
        </w:tc>
      </w:tr>
      <w:tr w14:paraId="5957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7770343A">
            <w:pPr>
              <w:pStyle w:val="15"/>
              <w:rPr>
                <w:rFonts w:hint="default"/>
                <w:lang w:val="en-US" w:eastAsia="zh-CN"/>
              </w:rPr>
            </w:pPr>
            <w:r>
              <w:rPr>
                <w:rFonts w:hint="eastAsia"/>
                <w:lang w:val="en-US" w:eastAsia="zh-CN"/>
              </w:rPr>
              <w:t>11.养老服务经济分析与评价</w:t>
            </w:r>
          </w:p>
        </w:tc>
        <w:tc>
          <w:tcPr>
            <w:tcW w:w="1100" w:type="dxa"/>
            <w:vAlign w:val="center"/>
          </w:tcPr>
          <w:p w14:paraId="64034EB2">
            <w:pPr>
              <w:pStyle w:val="15"/>
            </w:pPr>
          </w:p>
        </w:tc>
        <w:tc>
          <w:tcPr>
            <w:tcW w:w="1100" w:type="dxa"/>
            <w:vAlign w:val="center"/>
          </w:tcPr>
          <w:p w14:paraId="7DBAFF49">
            <w:pPr>
              <w:pStyle w:val="15"/>
            </w:pPr>
            <w:r>
              <w:rPr>
                <w:rFonts w:ascii="宋体" w:hAnsi="宋体"/>
                <w:color w:val="000000" w:themeColor="text1"/>
                <w14:textFill>
                  <w14:solidFill>
                    <w14:schemeClr w14:val="tx1"/>
                  </w14:solidFill>
                </w14:textFill>
              </w:rPr>
              <w:t>√</w:t>
            </w:r>
          </w:p>
        </w:tc>
        <w:tc>
          <w:tcPr>
            <w:tcW w:w="1100" w:type="dxa"/>
            <w:vAlign w:val="center"/>
          </w:tcPr>
          <w:p w14:paraId="0386FB82">
            <w:pPr>
              <w:pStyle w:val="15"/>
            </w:pPr>
          </w:p>
        </w:tc>
        <w:tc>
          <w:tcPr>
            <w:tcW w:w="1099" w:type="dxa"/>
            <w:vAlign w:val="center"/>
          </w:tcPr>
          <w:p w14:paraId="0A6CC16C">
            <w:pPr>
              <w:pStyle w:val="15"/>
            </w:pPr>
          </w:p>
        </w:tc>
      </w:tr>
      <w:tr w14:paraId="1954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6FF92DAA">
            <w:pPr>
              <w:pStyle w:val="15"/>
              <w:rPr>
                <w:rFonts w:hint="default"/>
                <w:lang w:val="en-US" w:eastAsia="zh-CN"/>
              </w:rPr>
            </w:pPr>
            <w:r>
              <w:rPr>
                <w:rFonts w:hint="eastAsia"/>
                <w:lang w:val="en-US" w:eastAsia="zh-CN"/>
              </w:rPr>
              <w:t>12.医养结合人力资源管理</w:t>
            </w:r>
          </w:p>
        </w:tc>
        <w:tc>
          <w:tcPr>
            <w:tcW w:w="1100" w:type="dxa"/>
            <w:vAlign w:val="center"/>
          </w:tcPr>
          <w:p w14:paraId="666B0274">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100" w:type="dxa"/>
            <w:vAlign w:val="center"/>
          </w:tcPr>
          <w:p w14:paraId="2D74D97F">
            <w:pPr>
              <w:pStyle w:val="15"/>
            </w:pPr>
          </w:p>
        </w:tc>
        <w:tc>
          <w:tcPr>
            <w:tcW w:w="1100" w:type="dxa"/>
            <w:vAlign w:val="center"/>
          </w:tcPr>
          <w:p w14:paraId="51CADF8D">
            <w:pPr>
              <w:pStyle w:val="15"/>
            </w:pPr>
          </w:p>
        </w:tc>
        <w:tc>
          <w:tcPr>
            <w:tcW w:w="1099" w:type="dxa"/>
            <w:vAlign w:val="center"/>
          </w:tcPr>
          <w:p w14:paraId="32FBD861">
            <w:pPr>
              <w:pStyle w:val="15"/>
            </w:pPr>
            <w:r>
              <w:rPr>
                <w:rFonts w:ascii="宋体" w:hAnsi="宋体"/>
                <w:color w:val="000000" w:themeColor="text1"/>
                <w14:textFill>
                  <w14:solidFill>
                    <w14:schemeClr w14:val="tx1"/>
                  </w14:solidFill>
                </w14:textFill>
              </w:rPr>
              <w:t>√</w:t>
            </w:r>
          </w:p>
        </w:tc>
      </w:tr>
      <w:tr w14:paraId="2447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tcBorders>
          </w:tcPr>
          <w:p w14:paraId="57EC2579">
            <w:pPr>
              <w:pStyle w:val="15"/>
              <w:rPr>
                <w:rFonts w:hint="default"/>
                <w:lang w:val="en-US" w:eastAsia="zh-CN"/>
              </w:rPr>
            </w:pPr>
            <w:r>
              <w:rPr>
                <w:rFonts w:hint="eastAsia"/>
                <w:lang w:val="en-US" w:eastAsia="zh-CN"/>
              </w:rPr>
              <w:t>13.医养结合财务保障制度</w:t>
            </w:r>
          </w:p>
        </w:tc>
        <w:tc>
          <w:tcPr>
            <w:tcW w:w="1100" w:type="dxa"/>
            <w:vAlign w:val="center"/>
          </w:tcPr>
          <w:p w14:paraId="04EF5DD3">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100" w:type="dxa"/>
            <w:vAlign w:val="center"/>
          </w:tcPr>
          <w:p w14:paraId="18D2EC8D">
            <w:pPr>
              <w:pStyle w:val="15"/>
            </w:pPr>
          </w:p>
        </w:tc>
        <w:tc>
          <w:tcPr>
            <w:tcW w:w="1100" w:type="dxa"/>
            <w:vAlign w:val="center"/>
          </w:tcPr>
          <w:p w14:paraId="65FEB712">
            <w:pPr>
              <w:pStyle w:val="15"/>
            </w:pPr>
          </w:p>
        </w:tc>
        <w:tc>
          <w:tcPr>
            <w:tcW w:w="1099" w:type="dxa"/>
            <w:vAlign w:val="center"/>
          </w:tcPr>
          <w:p w14:paraId="770AA867">
            <w:pPr>
              <w:pStyle w:val="15"/>
            </w:pPr>
          </w:p>
        </w:tc>
      </w:tr>
      <w:tr w14:paraId="1EBB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45" w:type="dxa"/>
            <w:tcBorders>
              <w:left w:val="single" w:color="auto" w:sz="12" w:space="0"/>
              <w:bottom w:val="single" w:color="auto" w:sz="12" w:space="0"/>
            </w:tcBorders>
          </w:tcPr>
          <w:p w14:paraId="79A737B7">
            <w:pPr>
              <w:pStyle w:val="15"/>
              <w:rPr>
                <w:rFonts w:hint="default"/>
                <w:lang w:val="en-US" w:eastAsia="zh-CN"/>
              </w:rPr>
            </w:pPr>
            <w:r>
              <w:rPr>
                <w:rFonts w:hint="eastAsia"/>
                <w:lang w:val="en-US" w:eastAsia="zh-CN"/>
              </w:rPr>
              <w:t>14.医养结合发展趋势及前景</w:t>
            </w:r>
          </w:p>
        </w:tc>
        <w:tc>
          <w:tcPr>
            <w:tcW w:w="1100" w:type="dxa"/>
            <w:tcBorders>
              <w:bottom w:val="single" w:color="auto" w:sz="12" w:space="0"/>
            </w:tcBorders>
            <w:vAlign w:val="center"/>
          </w:tcPr>
          <w:p w14:paraId="378E977D">
            <w:pPr>
              <w:pStyle w:val="15"/>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1797397C">
            <w:pPr>
              <w:pStyle w:val="15"/>
            </w:pPr>
          </w:p>
        </w:tc>
        <w:tc>
          <w:tcPr>
            <w:tcW w:w="1100" w:type="dxa"/>
            <w:tcBorders>
              <w:bottom w:val="single" w:color="auto" w:sz="12" w:space="0"/>
            </w:tcBorders>
            <w:vAlign w:val="center"/>
          </w:tcPr>
          <w:p w14:paraId="68309BE7">
            <w:pPr>
              <w:pStyle w:val="15"/>
            </w:pPr>
            <w:r>
              <w:rPr>
                <w:rFonts w:ascii="宋体" w:hAnsi="宋体"/>
                <w:color w:val="000000" w:themeColor="text1"/>
                <w14:textFill>
                  <w14:solidFill>
                    <w14:schemeClr w14:val="tx1"/>
                  </w14:solidFill>
                </w14:textFill>
              </w:rPr>
              <w:t>√</w:t>
            </w:r>
          </w:p>
        </w:tc>
        <w:tc>
          <w:tcPr>
            <w:tcW w:w="1099" w:type="dxa"/>
            <w:tcBorders>
              <w:bottom w:val="single" w:color="auto" w:sz="12" w:space="0"/>
            </w:tcBorders>
            <w:vAlign w:val="center"/>
          </w:tcPr>
          <w:p w14:paraId="46547769">
            <w:pPr>
              <w:pStyle w:val="15"/>
            </w:pPr>
          </w:p>
        </w:tc>
      </w:tr>
    </w:tbl>
    <w:p w14:paraId="6B12326E">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43"/>
        <w:gridCol w:w="2484"/>
        <w:gridCol w:w="1738"/>
        <w:gridCol w:w="725"/>
        <w:gridCol w:w="669"/>
        <w:gridCol w:w="717"/>
      </w:tblGrid>
      <w:tr w14:paraId="5BE8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43" w:type="dxa"/>
            <w:vMerge w:val="restart"/>
            <w:tcBorders>
              <w:top w:val="single" w:color="auto" w:sz="12" w:space="0"/>
              <w:left w:val="single" w:color="auto" w:sz="12" w:space="0"/>
            </w:tcBorders>
            <w:vAlign w:val="center"/>
          </w:tcPr>
          <w:p w14:paraId="7936F4B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484" w:type="dxa"/>
            <w:vMerge w:val="restart"/>
            <w:tcBorders>
              <w:top w:val="single" w:color="auto" w:sz="12" w:space="0"/>
            </w:tcBorders>
            <w:vAlign w:val="center"/>
          </w:tcPr>
          <w:p w14:paraId="4A027D9B">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693EF17">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73E4A31A">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D7A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43" w:type="dxa"/>
            <w:vMerge w:val="continue"/>
            <w:tcBorders>
              <w:left w:val="single" w:color="auto" w:sz="12" w:space="0"/>
            </w:tcBorders>
          </w:tcPr>
          <w:p w14:paraId="255EAB1E">
            <w:pPr>
              <w:widowControl w:val="0"/>
              <w:snapToGrid w:val="0"/>
              <w:jc w:val="center"/>
              <w:rPr>
                <w:rFonts w:ascii="黑体" w:hAnsi="黑体" w:eastAsia="黑体"/>
                <w:bCs/>
                <w:sz w:val="21"/>
                <w:szCs w:val="21"/>
              </w:rPr>
            </w:pPr>
          </w:p>
        </w:tc>
        <w:tc>
          <w:tcPr>
            <w:tcW w:w="2484" w:type="dxa"/>
            <w:vMerge w:val="continue"/>
          </w:tcPr>
          <w:p w14:paraId="35F28AD9">
            <w:pPr>
              <w:widowControl w:val="0"/>
              <w:snapToGrid w:val="0"/>
              <w:jc w:val="center"/>
              <w:rPr>
                <w:rFonts w:ascii="黑体" w:hAnsi="黑体" w:eastAsia="黑体"/>
                <w:bCs/>
                <w:sz w:val="21"/>
                <w:szCs w:val="21"/>
              </w:rPr>
            </w:pPr>
          </w:p>
        </w:tc>
        <w:tc>
          <w:tcPr>
            <w:tcW w:w="1738" w:type="dxa"/>
            <w:vMerge w:val="continue"/>
          </w:tcPr>
          <w:p w14:paraId="32600B12">
            <w:pPr>
              <w:widowControl w:val="0"/>
              <w:snapToGrid w:val="0"/>
              <w:jc w:val="center"/>
              <w:rPr>
                <w:rFonts w:ascii="黑体" w:hAnsi="黑体" w:eastAsia="黑体"/>
                <w:bCs/>
                <w:sz w:val="21"/>
                <w:szCs w:val="21"/>
              </w:rPr>
            </w:pPr>
          </w:p>
        </w:tc>
        <w:tc>
          <w:tcPr>
            <w:tcW w:w="725" w:type="dxa"/>
            <w:vAlign w:val="center"/>
          </w:tcPr>
          <w:p w14:paraId="391AAF7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827BE6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A4337C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9D3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143" w:type="dxa"/>
            <w:tcBorders>
              <w:left w:val="single" w:color="auto" w:sz="12" w:space="0"/>
            </w:tcBorders>
            <w:vAlign w:val="top"/>
          </w:tcPr>
          <w:p w14:paraId="0CAC542E">
            <w:pPr>
              <w:pStyle w:val="15"/>
              <w:widowControl w:val="0"/>
              <w:rPr>
                <w:rFonts w:hint="default" w:ascii="Times New Roman" w:hAnsi="Times New Roman" w:eastAsia="宋体" w:cs="宋体"/>
                <w:color w:val="000000"/>
                <w:sz w:val="21"/>
                <w:szCs w:val="21"/>
                <w:lang w:val="en-US" w:eastAsia="zh-CN" w:bidi="ar-SA"/>
              </w:rPr>
            </w:pPr>
            <w:r>
              <w:rPr>
                <w:rFonts w:hint="eastAsia"/>
                <w:sz w:val="21"/>
                <w:szCs w:val="21"/>
                <w:lang w:val="en-US" w:eastAsia="zh-CN"/>
              </w:rPr>
              <w:t>1.绪论</w:t>
            </w:r>
          </w:p>
        </w:tc>
        <w:tc>
          <w:tcPr>
            <w:tcW w:w="2484" w:type="dxa"/>
            <w:vAlign w:val="top"/>
          </w:tcPr>
          <w:p w14:paraId="1C581478">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5587155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6EE8027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47FF92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98F77B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780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1BAF9347">
            <w:pPr>
              <w:pStyle w:val="15"/>
              <w:widowControl w:val="0"/>
              <w:rPr>
                <w:rFonts w:hint="default" w:ascii="Times New Roman" w:hAnsi="Times New Roman" w:eastAsia="宋体" w:cs="宋体"/>
                <w:color w:val="000000"/>
                <w:sz w:val="21"/>
                <w:szCs w:val="21"/>
                <w:lang w:val="en-US" w:eastAsia="zh-CN" w:bidi="ar-SA"/>
              </w:rPr>
            </w:pPr>
            <w:r>
              <w:rPr>
                <w:rFonts w:hint="eastAsia"/>
                <w:sz w:val="21"/>
                <w:szCs w:val="21"/>
                <w:lang w:val="en-US" w:eastAsia="zh-CN"/>
              </w:rPr>
              <w:t>2.医养结合相关理论</w:t>
            </w:r>
          </w:p>
        </w:tc>
        <w:tc>
          <w:tcPr>
            <w:tcW w:w="2484" w:type="dxa"/>
            <w:vAlign w:val="top"/>
          </w:tcPr>
          <w:p w14:paraId="2CFB1A7D">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+讨论</w:t>
            </w:r>
          </w:p>
        </w:tc>
        <w:tc>
          <w:tcPr>
            <w:tcW w:w="1738" w:type="dxa"/>
            <w:vAlign w:val="center"/>
          </w:tcPr>
          <w:p w14:paraId="4780F0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同辈评估、课堂测验</w:t>
            </w:r>
          </w:p>
        </w:tc>
        <w:tc>
          <w:tcPr>
            <w:tcW w:w="725" w:type="dxa"/>
            <w:vAlign w:val="center"/>
          </w:tcPr>
          <w:p w14:paraId="25F4F4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08BF6FD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6634EC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2F3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3CEEE07D">
            <w:pPr>
              <w:pStyle w:val="15"/>
              <w:widowControl w:val="0"/>
              <w:rPr>
                <w:rFonts w:hint="default" w:ascii="Times New Roman" w:hAnsi="Times New Roman" w:eastAsia="宋体" w:cs="宋体"/>
                <w:color w:val="000000"/>
                <w:sz w:val="21"/>
                <w:szCs w:val="21"/>
                <w:lang w:val="en-US" w:eastAsia="zh-CN" w:bidi="ar-SA"/>
              </w:rPr>
            </w:pPr>
            <w:r>
              <w:rPr>
                <w:rFonts w:hint="eastAsia"/>
                <w:sz w:val="21"/>
                <w:szCs w:val="21"/>
                <w:lang w:val="en-US" w:eastAsia="zh-CN"/>
              </w:rPr>
              <w:t>3.医养结合环境</w:t>
            </w:r>
          </w:p>
        </w:tc>
        <w:tc>
          <w:tcPr>
            <w:tcW w:w="2484" w:type="dxa"/>
            <w:vAlign w:val="top"/>
          </w:tcPr>
          <w:p w14:paraId="4C412252">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+案例分析</w:t>
            </w:r>
          </w:p>
        </w:tc>
        <w:tc>
          <w:tcPr>
            <w:tcW w:w="1738" w:type="dxa"/>
            <w:vAlign w:val="top"/>
          </w:tcPr>
          <w:p w14:paraId="1175514E">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案例分析</w:t>
            </w:r>
          </w:p>
        </w:tc>
        <w:tc>
          <w:tcPr>
            <w:tcW w:w="725" w:type="dxa"/>
            <w:vAlign w:val="center"/>
          </w:tcPr>
          <w:p w14:paraId="6990428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C4B516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003841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D05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47AD12F1">
            <w:pPr>
              <w:pStyle w:val="15"/>
              <w:widowControl w:val="0"/>
              <w:rPr>
                <w:rFonts w:hint="eastAsia"/>
                <w:sz w:val="21"/>
                <w:szCs w:val="21"/>
                <w:lang w:val="en-US" w:eastAsia="zh-CN"/>
              </w:rPr>
            </w:pPr>
            <w:r>
              <w:rPr>
                <w:rFonts w:hint="eastAsia"/>
                <w:sz w:val="21"/>
                <w:szCs w:val="21"/>
                <w:lang w:val="en-US" w:eastAsia="zh-CN"/>
              </w:rPr>
              <w:t>4.医养结合服务体系</w:t>
            </w:r>
          </w:p>
        </w:tc>
        <w:tc>
          <w:tcPr>
            <w:tcW w:w="2484" w:type="dxa"/>
            <w:vAlign w:val="top"/>
          </w:tcPr>
          <w:p w14:paraId="284B67A7">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+练习</w:t>
            </w:r>
          </w:p>
        </w:tc>
        <w:tc>
          <w:tcPr>
            <w:tcW w:w="1738" w:type="dxa"/>
            <w:vAlign w:val="top"/>
          </w:tcPr>
          <w:p w14:paraId="32220BC1">
            <w:pPr>
              <w:widowControl/>
              <w:jc w:val="center"/>
              <w:rPr>
                <w:rFonts w:hint="default" w:ascii="宋体" w:hAnsi="宋体" w:eastAsia="宋体" w:cs="Arial"/>
                <w:kern w:val="0"/>
                <w:sz w:val="21"/>
                <w:szCs w:val="21"/>
                <w:lang w:val="en-US" w:eastAsia="zh-CN" w:bidi="ar-SA"/>
              </w:rPr>
            </w:pPr>
            <w:r>
              <w:rPr>
                <w:rFonts w:hint="eastAsia" w:cs="Arial"/>
                <w:kern w:val="0"/>
                <w:sz w:val="21"/>
                <w:szCs w:val="21"/>
                <w:lang w:val="en-US" w:eastAsia="zh-CN" w:bidi="ar-SA"/>
              </w:rPr>
              <w:t>课堂小测验</w:t>
            </w:r>
          </w:p>
        </w:tc>
        <w:tc>
          <w:tcPr>
            <w:tcW w:w="725" w:type="dxa"/>
            <w:vAlign w:val="center"/>
          </w:tcPr>
          <w:p w14:paraId="6F8014E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0D4B6C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44034E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899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1F62A623">
            <w:pPr>
              <w:pStyle w:val="15"/>
              <w:widowControl w:val="0"/>
              <w:rPr>
                <w:rFonts w:hint="eastAsia"/>
                <w:sz w:val="21"/>
                <w:szCs w:val="21"/>
                <w:lang w:val="en-US" w:eastAsia="zh-CN"/>
              </w:rPr>
            </w:pPr>
            <w:r>
              <w:rPr>
                <w:rFonts w:hint="eastAsia"/>
                <w:sz w:val="21"/>
                <w:szCs w:val="21"/>
                <w:lang w:val="en-US" w:eastAsia="zh-CN"/>
              </w:rPr>
              <w:t>5.医养结合服务模式</w:t>
            </w:r>
          </w:p>
        </w:tc>
        <w:tc>
          <w:tcPr>
            <w:tcW w:w="2484" w:type="dxa"/>
            <w:vAlign w:val="top"/>
          </w:tcPr>
          <w:p w14:paraId="6828EB26">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top"/>
          </w:tcPr>
          <w:p w14:paraId="6607FB95">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计划书</w:t>
            </w:r>
          </w:p>
        </w:tc>
        <w:tc>
          <w:tcPr>
            <w:tcW w:w="725" w:type="dxa"/>
            <w:vAlign w:val="center"/>
          </w:tcPr>
          <w:p w14:paraId="54E8618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31C320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4E454D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6B4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140F0BC2">
            <w:pPr>
              <w:pStyle w:val="15"/>
              <w:widowControl w:val="0"/>
              <w:rPr>
                <w:rFonts w:hint="eastAsia" w:ascii="Times New Roman" w:hAnsi="Times New Roman" w:eastAsia="宋体" w:cs="宋体"/>
                <w:color w:val="000000"/>
                <w:sz w:val="21"/>
                <w:szCs w:val="21"/>
                <w:lang w:val="en-US" w:eastAsia="zh-CN" w:bidi="ar-SA"/>
              </w:rPr>
            </w:pPr>
            <w:r>
              <w:rPr>
                <w:rFonts w:hint="eastAsia"/>
                <w:sz w:val="21"/>
                <w:szCs w:val="21"/>
                <w:lang w:val="en-US" w:eastAsia="zh-CN"/>
              </w:rPr>
              <w:t>6.医养结合服务内容</w:t>
            </w:r>
          </w:p>
        </w:tc>
        <w:tc>
          <w:tcPr>
            <w:tcW w:w="2484" w:type="dxa"/>
            <w:vAlign w:val="top"/>
          </w:tcPr>
          <w:p w14:paraId="34D521B7">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top"/>
          </w:tcPr>
          <w:p w14:paraId="023EC6CB">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组织结构识别、分析</w:t>
            </w:r>
          </w:p>
        </w:tc>
        <w:tc>
          <w:tcPr>
            <w:tcW w:w="725" w:type="dxa"/>
            <w:vAlign w:val="center"/>
          </w:tcPr>
          <w:p w14:paraId="3B3F404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3D0098B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0148D61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C80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143" w:type="dxa"/>
            <w:tcBorders>
              <w:left w:val="single" w:color="auto" w:sz="12" w:space="0"/>
            </w:tcBorders>
            <w:vAlign w:val="top"/>
          </w:tcPr>
          <w:p w14:paraId="359B5554">
            <w:pPr>
              <w:pStyle w:val="15"/>
              <w:widowControl w:val="0"/>
              <w:rPr>
                <w:rFonts w:hint="eastAsia" w:ascii="Times New Roman" w:hAnsi="Times New Roman" w:eastAsia="宋体" w:cs="宋体"/>
                <w:color w:val="000000"/>
                <w:sz w:val="21"/>
                <w:szCs w:val="21"/>
                <w:lang w:val="en-US" w:eastAsia="zh-CN" w:bidi="ar-SA"/>
              </w:rPr>
            </w:pPr>
            <w:r>
              <w:rPr>
                <w:rFonts w:hint="eastAsia"/>
                <w:sz w:val="21"/>
                <w:szCs w:val="21"/>
                <w:lang w:val="en-US" w:eastAsia="zh-CN"/>
              </w:rPr>
              <w:t>7.医养结合机构管理与建设</w:t>
            </w:r>
          </w:p>
        </w:tc>
        <w:tc>
          <w:tcPr>
            <w:tcW w:w="2484" w:type="dxa"/>
            <w:vAlign w:val="top"/>
          </w:tcPr>
          <w:p w14:paraId="6303CD7C">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187BB4B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反思</w:t>
            </w:r>
          </w:p>
        </w:tc>
        <w:tc>
          <w:tcPr>
            <w:tcW w:w="725" w:type="dxa"/>
            <w:vAlign w:val="center"/>
          </w:tcPr>
          <w:p w14:paraId="2054611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775E0D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1C605A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A3C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03773677">
            <w:pPr>
              <w:pStyle w:val="15"/>
              <w:widowControl w:val="0"/>
              <w:rPr>
                <w:rFonts w:hint="eastAsia" w:ascii="Times New Roman" w:hAnsi="Times New Roman" w:eastAsia="宋体" w:cs="宋体"/>
                <w:color w:val="000000"/>
                <w:sz w:val="21"/>
                <w:szCs w:val="21"/>
                <w:lang w:val="en-US" w:eastAsia="zh-CN" w:bidi="ar-SA"/>
              </w:rPr>
            </w:pPr>
            <w:r>
              <w:rPr>
                <w:rFonts w:hint="eastAsia"/>
                <w:sz w:val="21"/>
                <w:szCs w:val="21"/>
                <w:lang w:val="en-US" w:eastAsia="zh-CN"/>
              </w:rPr>
              <w:t>8.医养结合服务监管</w:t>
            </w:r>
          </w:p>
        </w:tc>
        <w:tc>
          <w:tcPr>
            <w:tcW w:w="2484" w:type="dxa"/>
            <w:vAlign w:val="top"/>
          </w:tcPr>
          <w:p w14:paraId="471687E5">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61AB305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案例</w:t>
            </w:r>
          </w:p>
        </w:tc>
        <w:tc>
          <w:tcPr>
            <w:tcW w:w="725" w:type="dxa"/>
            <w:vAlign w:val="center"/>
          </w:tcPr>
          <w:p w14:paraId="6EAEA4E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0941F9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AFBA78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D5E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5D286117">
            <w:pPr>
              <w:pStyle w:val="15"/>
              <w:widowControl w:val="0"/>
              <w:rPr>
                <w:rFonts w:hint="eastAsia" w:ascii="Times New Roman" w:hAnsi="Times New Roman" w:eastAsia="宋体" w:cs="宋体"/>
                <w:color w:val="000000"/>
                <w:sz w:val="21"/>
                <w:szCs w:val="21"/>
                <w:lang w:val="en-US" w:eastAsia="zh-CN" w:bidi="ar-SA"/>
              </w:rPr>
            </w:pPr>
            <w:r>
              <w:rPr>
                <w:rFonts w:hint="eastAsia"/>
                <w:sz w:val="21"/>
                <w:szCs w:val="21"/>
                <w:lang w:val="en-US" w:eastAsia="zh-CN"/>
              </w:rPr>
              <w:t>9.医养结合服务成本测算</w:t>
            </w:r>
          </w:p>
        </w:tc>
        <w:tc>
          <w:tcPr>
            <w:tcW w:w="2484" w:type="dxa"/>
            <w:vAlign w:val="center"/>
          </w:tcPr>
          <w:p w14:paraId="48A087BE">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教授+情景模拟</w:t>
            </w:r>
          </w:p>
        </w:tc>
        <w:tc>
          <w:tcPr>
            <w:tcW w:w="1738" w:type="dxa"/>
            <w:vAlign w:val="center"/>
          </w:tcPr>
          <w:p w14:paraId="3388561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w:t>
            </w:r>
          </w:p>
        </w:tc>
        <w:tc>
          <w:tcPr>
            <w:tcW w:w="725" w:type="dxa"/>
            <w:vAlign w:val="center"/>
          </w:tcPr>
          <w:p w14:paraId="45938B1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4FE6D3B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BE7F72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E51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7E9CAC06">
            <w:pPr>
              <w:pStyle w:val="15"/>
              <w:widowControl w:val="0"/>
              <w:rPr>
                <w:rFonts w:hint="eastAsia" w:ascii="Times New Roman" w:hAnsi="Times New Roman" w:eastAsia="宋体" w:cs="宋体"/>
                <w:color w:val="000000"/>
                <w:sz w:val="21"/>
                <w:szCs w:val="21"/>
                <w:lang w:val="en-US" w:eastAsia="zh-CN" w:bidi="ar-SA"/>
              </w:rPr>
            </w:pPr>
            <w:r>
              <w:rPr>
                <w:rFonts w:hint="eastAsia"/>
                <w:sz w:val="21"/>
                <w:szCs w:val="21"/>
                <w:lang w:val="en-US" w:eastAsia="zh-CN"/>
              </w:rPr>
              <w:t>10.医养结合服务经济负担</w:t>
            </w:r>
          </w:p>
        </w:tc>
        <w:tc>
          <w:tcPr>
            <w:tcW w:w="2484" w:type="dxa"/>
            <w:vAlign w:val="top"/>
          </w:tcPr>
          <w:p w14:paraId="381CCD06">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5442466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课堂小测验</w:t>
            </w:r>
          </w:p>
        </w:tc>
        <w:tc>
          <w:tcPr>
            <w:tcW w:w="725" w:type="dxa"/>
            <w:vAlign w:val="center"/>
          </w:tcPr>
          <w:p w14:paraId="72E8092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6C1A34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EA47E0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9FE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21F4BC91">
            <w:pPr>
              <w:pStyle w:val="15"/>
              <w:widowControl w:val="0"/>
              <w:rPr>
                <w:rFonts w:hint="eastAsia" w:ascii="Times New Roman" w:hAnsi="Times New Roman" w:eastAsia="宋体" w:cs="宋体"/>
                <w:color w:val="000000"/>
                <w:sz w:val="21"/>
                <w:szCs w:val="21"/>
                <w:lang w:val="en-US" w:eastAsia="zh-CN" w:bidi="ar-SA"/>
              </w:rPr>
            </w:pPr>
            <w:r>
              <w:rPr>
                <w:rFonts w:hint="eastAsia"/>
                <w:sz w:val="21"/>
                <w:szCs w:val="21"/>
                <w:lang w:val="en-US" w:eastAsia="zh-CN"/>
              </w:rPr>
              <w:t>11.养老服务经济分析与评价</w:t>
            </w:r>
          </w:p>
        </w:tc>
        <w:tc>
          <w:tcPr>
            <w:tcW w:w="2484" w:type="dxa"/>
            <w:vAlign w:val="top"/>
          </w:tcPr>
          <w:p w14:paraId="4C8CD627">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58F1246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课堂展示、自我评估</w:t>
            </w:r>
          </w:p>
        </w:tc>
        <w:tc>
          <w:tcPr>
            <w:tcW w:w="725" w:type="dxa"/>
            <w:vAlign w:val="center"/>
          </w:tcPr>
          <w:p w14:paraId="4B12A2F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0B2ACA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E85EFD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9F0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04083B52">
            <w:pPr>
              <w:pStyle w:val="15"/>
              <w:widowControl w:val="0"/>
              <w:rPr>
                <w:rFonts w:hint="eastAsia" w:ascii="Times New Roman" w:hAnsi="Times New Roman" w:eastAsia="宋体" w:cs="宋体"/>
                <w:color w:val="000000"/>
                <w:sz w:val="21"/>
                <w:szCs w:val="21"/>
                <w:lang w:val="en-US" w:eastAsia="zh-CN" w:bidi="ar-SA"/>
              </w:rPr>
            </w:pPr>
            <w:r>
              <w:rPr>
                <w:rFonts w:hint="eastAsia"/>
                <w:sz w:val="21"/>
                <w:szCs w:val="21"/>
                <w:lang w:val="en-US" w:eastAsia="zh-CN"/>
              </w:rPr>
              <w:t>12.医养结合人力资源管理</w:t>
            </w:r>
          </w:p>
        </w:tc>
        <w:tc>
          <w:tcPr>
            <w:tcW w:w="2484" w:type="dxa"/>
            <w:vAlign w:val="center"/>
          </w:tcPr>
          <w:p w14:paraId="5242E0C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教授</w:t>
            </w:r>
          </w:p>
        </w:tc>
        <w:tc>
          <w:tcPr>
            <w:tcW w:w="1738" w:type="dxa"/>
            <w:vAlign w:val="center"/>
          </w:tcPr>
          <w:p w14:paraId="594401A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54CB163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4F627F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CF41B7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AD1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7BDB39BE">
            <w:pPr>
              <w:pStyle w:val="15"/>
              <w:widowControl w:val="0"/>
              <w:rPr>
                <w:rFonts w:hint="eastAsia" w:ascii="Times New Roman" w:hAnsi="Times New Roman" w:eastAsia="宋体" w:cs="宋体"/>
                <w:color w:val="000000"/>
                <w:sz w:val="21"/>
                <w:szCs w:val="21"/>
                <w:lang w:val="en-US" w:eastAsia="zh-CN" w:bidi="ar-SA"/>
              </w:rPr>
            </w:pPr>
            <w:r>
              <w:rPr>
                <w:rFonts w:hint="eastAsia"/>
                <w:sz w:val="21"/>
                <w:szCs w:val="21"/>
                <w:lang w:val="en-US" w:eastAsia="zh-CN"/>
              </w:rPr>
              <w:t>13.医养结合财务保障制度</w:t>
            </w:r>
          </w:p>
        </w:tc>
        <w:tc>
          <w:tcPr>
            <w:tcW w:w="2484" w:type="dxa"/>
            <w:vAlign w:val="center"/>
          </w:tcPr>
          <w:p w14:paraId="1AE5AE0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教授</w:t>
            </w:r>
          </w:p>
        </w:tc>
        <w:tc>
          <w:tcPr>
            <w:tcW w:w="1738" w:type="dxa"/>
            <w:vAlign w:val="center"/>
          </w:tcPr>
          <w:p w14:paraId="4467BEA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0729658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242263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1C2139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DA5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43" w:type="dxa"/>
            <w:tcBorders>
              <w:left w:val="single" w:color="auto" w:sz="12" w:space="0"/>
            </w:tcBorders>
            <w:vAlign w:val="top"/>
          </w:tcPr>
          <w:p w14:paraId="219D5D7C">
            <w:pPr>
              <w:pStyle w:val="15"/>
              <w:widowControl w:val="0"/>
              <w:rPr>
                <w:rFonts w:hint="default"/>
                <w:sz w:val="21"/>
                <w:szCs w:val="21"/>
                <w:lang w:val="en-US" w:eastAsia="zh-CN"/>
              </w:rPr>
            </w:pPr>
            <w:r>
              <w:rPr>
                <w:rFonts w:hint="eastAsia"/>
                <w:sz w:val="21"/>
                <w:szCs w:val="21"/>
                <w:lang w:val="en-US" w:eastAsia="zh-CN"/>
              </w:rPr>
              <w:t>14.医养结合发展趋势及前景</w:t>
            </w:r>
          </w:p>
        </w:tc>
        <w:tc>
          <w:tcPr>
            <w:tcW w:w="2484" w:type="dxa"/>
            <w:vAlign w:val="center"/>
          </w:tcPr>
          <w:p w14:paraId="72CF3DBD">
            <w:pPr>
              <w:widowControl w:val="0"/>
              <w:snapToGrid w:val="0"/>
              <w:jc w:val="center"/>
              <w:rPr>
                <w:rFonts w:hint="eastAsia" w:ascii="Times New Roman" w:hAnsi="Times New Roman"/>
                <w:bCs/>
                <w:sz w:val="21"/>
                <w:szCs w:val="21"/>
                <w:lang w:val="en-US" w:eastAsia="zh-CN"/>
              </w:rPr>
            </w:pPr>
          </w:p>
        </w:tc>
        <w:tc>
          <w:tcPr>
            <w:tcW w:w="1738" w:type="dxa"/>
            <w:vAlign w:val="center"/>
          </w:tcPr>
          <w:p w14:paraId="33E38129">
            <w:pPr>
              <w:widowControl w:val="0"/>
              <w:snapToGrid w:val="0"/>
              <w:jc w:val="center"/>
              <w:rPr>
                <w:rFonts w:hint="eastAsia" w:ascii="Times New Roman" w:hAnsi="Times New Roman"/>
                <w:bCs/>
                <w:sz w:val="21"/>
                <w:szCs w:val="21"/>
                <w:lang w:val="en-US" w:eastAsia="zh-CN"/>
              </w:rPr>
            </w:pPr>
          </w:p>
        </w:tc>
        <w:tc>
          <w:tcPr>
            <w:tcW w:w="725" w:type="dxa"/>
            <w:vAlign w:val="center"/>
          </w:tcPr>
          <w:p w14:paraId="78698F2D">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0</w:t>
            </w:r>
          </w:p>
        </w:tc>
        <w:tc>
          <w:tcPr>
            <w:tcW w:w="669" w:type="dxa"/>
            <w:vAlign w:val="center"/>
          </w:tcPr>
          <w:p w14:paraId="2B462988">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BFBB97D">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1004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top"/>
          </w:tcPr>
          <w:p w14:paraId="6387B245">
            <w:pPr>
              <w:pStyle w:val="15"/>
              <w:widowControl w:val="0"/>
              <w:rPr>
                <w:rFonts w:hint="default" w:ascii="Times New Roman" w:hAnsi="Times New Roman" w:eastAsia="宋体" w:cs="宋体"/>
                <w:color w:val="000000"/>
                <w:sz w:val="21"/>
                <w:szCs w:val="21"/>
                <w:lang w:val="en-US" w:eastAsia="zh-CN" w:bidi="ar-SA"/>
              </w:rPr>
            </w:pPr>
          </w:p>
        </w:tc>
        <w:tc>
          <w:tcPr>
            <w:tcW w:w="725" w:type="dxa"/>
            <w:tcBorders>
              <w:bottom w:val="single" w:color="auto" w:sz="12" w:space="0"/>
            </w:tcBorders>
            <w:vAlign w:val="center"/>
          </w:tcPr>
          <w:p w14:paraId="58D3C0B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14:paraId="6E0C0F6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3AAED9B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53EE2873">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2D37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5E06B21">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147FCA7A">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6BB3768F">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4C8DFBFC">
            <w:pPr>
              <w:pStyle w:val="14"/>
              <w:rPr>
                <w:szCs w:val="16"/>
              </w:rPr>
            </w:pPr>
            <w:r>
              <w:rPr>
                <w:rFonts w:hint="eastAsia"/>
                <w:szCs w:val="16"/>
              </w:rPr>
              <w:t>实验</w:t>
            </w:r>
          </w:p>
          <w:p w14:paraId="3BE21B99">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2A5DCDA1">
            <w:pPr>
              <w:pStyle w:val="14"/>
              <w:rPr>
                <w:szCs w:val="16"/>
              </w:rPr>
            </w:pPr>
            <w:r>
              <w:rPr>
                <w:rFonts w:hint="eastAsia"/>
                <w:szCs w:val="16"/>
              </w:rPr>
              <w:t>实验</w:t>
            </w:r>
          </w:p>
          <w:p w14:paraId="3AA3D570">
            <w:pPr>
              <w:pStyle w:val="14"/>
              <w:rPr>
                <w:szCs w:val="16"/>
              </w:rPr>
            </w:pPr>
            <w:r>
              <w:rPr>
                <w:rFonts w:hint="eastAsia"/>
                <w:szCs w:val="16"/>
              </w:rPr>
              <w:t>类型</w:t>
            </w:r>
          </w:p>
        </w:tc>
      </w:tr>
    </w:tbl>
    <w:p w14:paraId="466566FF">
      <w:pPr>
        <w:pStyle w:val="15"/>
        <w:rPr>
          <w:rFonts w:hint="eastAsia"/>
        </w:rPr>
      </w:pPr>
      <w:r>
        <w:rPr>
          <w:rFonts w:hint="eastAsia"/>
        </w:rPr>
        <w:br w:type="page"/>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BB1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06A91D2">
            <w:pPr>
              <w:pStyle w:val="15"/>
              <w:rPr>
                <w:sz w:val="21"/>
                <w:szCs w:val="21"/>
              </w:rPr>
            </w:pPr>
            <w:r>
              <w:rPr>
                <w:rFonts w:hint="eastAsia"/>
                <w:sz w:val="21"/>
                <w:szCs w:val="21"/>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294AFCC">
            <w:pPr>
              <w:snapToGrid w:val="0"/>
              <w:spacing w:line="288" w:lineRule="auto"/>
              <w:jc w:val="center"/>
              <w:rPr>
                <w:rFonts w:hint="default" w:ascii="宋体" w:hAnsi="宋体" w:eastAsia="宋体" w:cs="宋体"/>
                <w:color w:val="000000"/>
                <w:sz w:val="21"/>
                <w:szCs w:val="21"/>
                <w:lang w:val="en-US" w:eastAsia="zh-CN" w:bidi="ar-SA"/>
              </w:rPr>
            </w:pPr>
            <w:r>
              <w:rPr>
                <w:rFonts w:hint="eastAsia"/>
                <w:color w:val="000000"/>
                <w:sz w:val="21"/>
                <w:szCs w:val="21"/>
                <w:lang w:val="en-US" w:eastAsia="zh-CN"/>
              </w:rPr>
              <w:t>医养结合服务内容</w:t>
            </w:r>
          </w:p>
        </w:tc>
        <w:tc>
          <w:tcPr>
            <w:tcW w:w="4061" w:type="dxa"/>
            <w:tcBorders>
              <w:top w:val="single" w:color="auto" w:sz="4" w:space="0"/>
              <w:left w:val="single" w:color="auto" w:sz="4" w:space="0"/>
              <w:bottom w:val="single" w:color="auto" w:sz="4" w:space="0"/>
              <w:right w:val="single" w:color="auto" w:sz="4" w:space="0"/>
            </w:tcBorders>
            <w:vAlign w:val="center"/>
          </w:tcPr>
          <w:p w14:paraId="7B001881">
            <w:pPr>
              <w:numPr>
                <w:ilvl w:val="0"/>
                <w:numId w:val="2"/>
              </w:numPr>
              <w:snapToGrid w:val="0"/>
              <w:spacing w:line="288" w:lineRule="auto"/>
              <w:rPr>
                <w:rFonts w:hint="eastAsia" w:cs="宋体"/>
                <w:color w:val="000000"/>
                <w:sz w:val="21"/>
                <w:szCs w:val="21"/>
                <w:lang w:val="en-US" w:eastAsia="zh-CN" w:bidi="ar-SA"/>
              </w:rPr>
            </w:pPr>
            <w:r>
              <w:rPr>
                <w:rFonts w:hint="eastAsia" w:cs="宋体"/>
                <w:color w:val="000000"/>
                <w:sz w:val="21"/>
                <w:szCs w:val="21"/>
                <w:lang w:val="en-US" w:eastAsia="zh-CN" w:bidi="ar-SA"/>
              </w:rPr>
              <w:t>康复护理模拟</w:t>
            </w:r>
          </w:p>
          <w:p w14:paraId="0221B952">
            <w:pPr>
              <w:numPr>
                <w:ilvl w:val="0"/>
                <w:numId w:val="2"/>
              </w:numPr>
              <w:snapToGrid w:val="0"/>
              <w:spacing w:line="288" w:lineRule="auto"/>
              <w:rPr>
                <w:rFonts w:hint="default" w:ascii="宋体" w:hAnsi="宋体" w:eastAsia="宋体" w:cs="宋体"/>
                <w:color w:val="000000"/>
                <w:sz w:val="21"/>
                <w:szCs w:val="21"/>
                <w:lang w:val="en-US" w:eastAsia="zh-CN" w:bidi="ar-SA"/>
              </w:rPr>
            </w:pPr>
            <w:r>
              <w:rPr>
                <w:rFonts w:hint="eastAsia" w:cs="宋体"/>
                <w:color w:val="000000"/>
                <w:sz w:val="21"/>
                <w:szCs w:val="21"/>
                <w:lang w:val="en-US" w:eastAsia="zh-CN" w:bidi="ar-SA"/>
              </w:rPr>
              <w:t>安宁疗护服务情景模拟</w:t>
            </w:r>
          </w:p>
        </w:tc>
        <w:tc>
          <w:tcPr>
            <w:tcW w:w="862" w:type="dxa"/>
            <w:tcBorders>
              <w:left w:val="single" w:color="auto" w:sz="4" w:space="0"/>
              <w:right w:val="single" w:color="auto" w:sz="4" w:space="0"/>
            </w:tcBorders>
            <w:shd w:val="clear" w:color="auto" w:fill="auto"/>
            <w:vAlign w:val="center"/>
          </w:tcPr>
          <w:p w14:paraId="238F910C">
            <w:pPr>
              <w:pStyle w:val="15"/>
              <w:rPr>
                <w:rFonts w:hint="eastAsia" w:eastAsia="宋体"/>
                <w:sz w:val="21"/>
                <w:szCs w:val="21"/>
                <w:lang w:val="en-US" w:eastAsia="zh-CN"/>
              </w:rPr>
            </w:pPr>
            <w:r>
              <w:rPr>
                <w:rFonts w:hint="eastAsia"/>
                <w:sz w:val="21"/>
                <w:szCs w:val="21"/>
                <w:lang w:val="en-US" w:eastAsia="zh-CN"/>
              </w:rPr>
              <w:t>4</w:t>
            </w:r>
          </w:p>
        </w:tc>
        <w:tc>
          <w:tcPr>
            <w:tcW w:w="950" w:type="dxa"/>
            <w:tcBorders>
              <w:left w:val="single" w:color="auto" w:sz="4" w:space="0"/>
              <w:right w:val="single" w:color="auto" w:sz="12" w:space="0"/>
            </w:tcBorders>
            <w:shd w:val="clear" w:color="auto" w:fill="auto"/>
            <w:vAlign w:val="center"/>
          </w:tcPr>
          <w:p w14:paraId="46FAB43F">
            <w:pPr>
              <w:pStyle w:val="15"/>
              <w:rPr>
                <w:rFonts w:hint="default" w:eastAsia="宋体"/>
                <w:sz w:val="21"/>
                <w:szCs w:val="21"/>
                <w:lang w:val="en-US" w:eastAsia="zh-CN"/>
              </w:rPr>
            </w:pPr>
            <w:r>
              <w:rPr>
                <w:rFonts w:hint="eastAsia"/>
                <w:sz w:val="21"/>
                <w:szCs w:val="21"/>
                <w:lang w:val="en-US" w:eastAsia="zh-CN"/>
              </w:rPr>
              <w:t>综合型</w:t>
            </w:r>
          </w:p>
        </w:tc>
      </w:tr>
      <w:tr w14:paraId="7F4F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4DF1B8B">
            <w:pPr>
              <w:pStyle w:val="15"/>
              <w:rPr>
                <w:sz w:val="21"/>
                <w:szCs w:val="21"/>
              </w:rPr>
            </w:pPr>
            <w:r>
              <w:rPr>
                <w:rFonts w:hint="eastAsia"/>
                <w:sz w:val="21"/>
                <w:szCs w:val="21"/>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1C87838">
            <w:pPr>
              <w:snapToGrid w:val="0"/>
              <w:spacing w:line="288" w:lineRule="auto"/>
              <w:jc w:val="center"/>
              <w:rPr>
                <w:rFonts w:hint="default" w:ascii="宋体" w:hAnsi="宋体" w:eastAsia="宋体" w:cs="宋体"/>
                <w:color w:val="000000"/>
                <w:sz w:val="21"/>
                <w:szCs w:val="21"/>
                <w:lang w:val="en-US" w:eastAsia="zh-CN" w:bidi="ar-SA"/>
              </w:rPr>
            </w:pPr>
            <w:r>
              <w:rPr>
                <w:rFonts w:hint="eastAsia"/>
                <w:color w:val="000000"/>
                <w:sz w:val="21"/>
                <w:szCs w:val="21"/>
                <w:lang w:val="en-US" w:eastAsia="zh-CN"/>
              </w:rPr>
              <w:t>医养结合服务成本测算</w:t>
            </w:r>
          </w:p>
        </w:tc>
        <w:tc>
          <w:tcPr>
            <w:tcW w:w="4061" w:type="dxa"/>
            <w:tcBorders>
              <w:top w:val="single" w:color="auto" w:sz="4" w:space="0"/>
              <w:left w:val="single" w:color="auto" w:sz="4" w:space="0"/>
              <w:bottom w:val="single" w:color="auto" w:sz="4" w:space="0"/>
              <w:right w:val="single" w:color="auto" w:sz="4" w:space="0"/>
            </w:tcBorders>
            <w:vAlign w:val="center"/>
          </w:tcPr>
          <w:p w14:paraId="5914C9A8">
            <w:pPr>
              <w:snapToGrid w:val="0"/>
              <w:spacing w:line="288" w:lineRule="auto"/>
              <w:rPr>
                <w:rFonts w:hint="default" w:ascii="宋体" w:hAnsi="宋体" w:eastAsia="宋体" w:cs="宋体"/>
                <w:color w:val="000000"/>
                <w:sz w:val="21"/>
                <w:szCs w:val="21"/>
                <w:lang w:val="en-US" w:eastAsia="zh-CN" w:bidi="ar-SA"/>
              </w:rPr>
            </w:pPr>
            <w:r>
              <w:rPr>
                <w:rFonts w:hint="eastAsia"/>
                <w:color w:val="000000"/>
                <w:sz w:val="21"/>
                <w:szCs w:val="21"/>
                <w:lang w:val="en-US" w:eastAsia="zh-CN"/>
              </w:rPr>
              <w:t>医养结合服务成本的测算方法应用</w:t>
            </w:r>
          </w:p>
        </w:tc>
        <w:tc>
          <w:tcPr>
            <w:tcW w:w="862" w:type="dxa"/>
            <w:tcBorders>
              <w:left w:val="single" w:color="auto" w:sz="4" w:space="0"/>
              <w:bottom w:val="single" w:color="auto" w:sz="4" w:space="0"/>
              <w:right w:val="single" w:color="auto" w:sz="4" w:space="0"/>
            </w:tcBorders>
            <w:shd w:val="clear" w:color="auto" w:fill="auto"/>
            <w:vAlign w:val="center"/>
          </w:tcPr>
          <w:p w14:paraId="4AE97179">
            <w:pPr>
              <w:pStyle w:val="15"/>
              <w:rPr>
                <w:rFonts w:hint="eastAsia" w:ascii="Times New Roman" w:hAnsi="Times New Roman" w:eastAsia="宋体" w:cs="宋体"/>
                <w:color w:val="000000"/>
                <w:sz w:val="21"/>
                <w:szCs w:val="21"/>
                <w:lang w:val="en-US" w:eastAsia="zh-CN" w:bidi="ar-SA"/>
              </w:rPr>
            </w:pPr>
            <w:r>
              <w:rPr>
                <w:rFonts w:hint="eastAsia"/>
                <w:sz w:val="21"/>
                <w:szCs w:val="21"/>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720FF03F">
            <w:pPr>
              <w:pStyle w:val="15"/>
              <w:rPr>
                <w:rFonts w:hint="default" w:ascii="Times New Roman" w:hAnsi="Times New Roman" w:eastAsia="宋体" w:cs="宋体"/>
                <w:color w:val="000000"/>
                <w:sz w:val="21"/>
                <w:szCs w:val="21"/>
                <w:lang w:val="en-US" w:eastAsia="zh-CN" w:bidi="ar-SA"/>
              </w:rPr>
            </w:pPr>
            <w:r>
              <w:rPr>
                <w:rFonts w:hint="eastAsia"/>
                <w:sz w:val="21"/>
                <w:szCs w:val="21"/>
                <w:lang w:val="en-US" w:eastAsia="zh-CN"/>
              </w:rPr>
              <w:t>综合型</w:t>
            </w:r>
          </w:p>
        </w:tc>
      </w:tr>
      <w:tr w14:paraId="0AB3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1811859">
            <w:pPr>
              <w:pStyle w:val="15"/>
              <w:rPr>
                <w:sz w:val="21"/>
                <w:szCs w:val="21"/>
              </w:rPr>
            </w:pPr>
            <w:r>
              <w:rPr>
                <w:rFonts w:hint="eastAsia"/>
                <w:sz w:val="21"/>
                <w:szCs w:val="21"/>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BBAB09D">
            <w:pPr>
              <w:snapToGrid w:val="0"/>
              <w:spacing w:line="288" w:lineRule="auto"/>
              <w:jc w:val="center"/>
              <w:rPr>
                <w:rFonts w:hint="default" w:ascii="宋体" w:hAnsi="宋体" w:eastAsia="宋体" w:cs="宋体"/>
                <w:color w:val="000000"/>
                <w:sz w:val="21"/>
                <w:szCs w:val="21"/>
                <w:lang w:val="en-US" w:eastAsia="zh-CN" w:bidi="ar-SA"/>
              </w:rPr>
            </w:pPr>
            <w:r>
              <w:rPr>
                <w:rFonts w:hint="eastAsia"/>
                <w:color w:val="000000"/>
                <w:sz w:val="21"/>
                <w:szCs w:val="21"/>
                <w:lang w:val="en-US" w:eastAsia="zh-CN"/>
              </w:rPr>
              <w:t>医养结合发展趋势及前景</w:t>
            </w:r>
          </w:p>
        </w:tc>
        <w:tc>
          <w:tcPr>
            <w:tcW w:w="4061" w:type="dxa"/>
            <w:tcBorders>
              <w:top w:val="single" w:color="auto" w:sz="4" w:space="0"/>
              <w:left w:val="single" w:color="auto" w:sz="4" w:space="0"/>
              <w:bottom w:val="single" w:color="auto" w:sz="4" w:space="0"/>
              <w:right w:val="single" w:color="auto" w:sz="4" w:space="0"/>
            </w:tcBorders>
            <w:vAlign w:val="center"/>
          </w:tcPr>
          <w:p w14:paraId="41C4D3DA">
            <w:pPr>
              <w:snapToGrid w:val="0"/>
              <w:spacing w:line="288" w:lineRule="auto"/>
              <w:rPr>
                <w:rFonts w:hint="default" w:ascii="宋体" w:hAnsi="宋体" w:eastAsia="宋体" w:cs="宋体"/>
                <w:color w:val="000000"/>
                <w:sz w:val="21"/>
                <w:szCs w:val="21"/>
                <w:lang w:val="en-US" w:eastAsia="zh-CN" w:bidi="ar-SA"/>
              </w:rPr>
            </w:pPr>
            <w:r>
              <w:rPr>
                <w:rFonts w:hint="eastAsia"/>
                <w:color w:val="000000"/>
                <w:sz w:val="21"/>
                <w:szCs w:val="21"/>
                <w:lang w:val="en-US" w:eastAsia="zh-CN"/>
              </w:rPr>
              <w:t>综合汇报展示</w:t>
            </w:r>
          </w:p>
        </w:tc>
        <w:tc>
          <w:tcPr>
            <w:tcW w:w="862" w:type="dxa"/>
            <w:tcBorders>
              <w:left w:val="single" w:color="auto" w:sz="4" w:space="0"/>
              <w:right w:val="single" w:color="auto" w:sz="4" w:space="0"/>
            </w:tcBorders>
            <w:shd w:val="clear" w:color="auto" w:fill="auto"/>
            <w:vAlign w:val="center"/>
          </w:tcPr>
          <w:p w14:paraId="193EF161">
            <w:pPr>
              <w:pStyle w:val="15"/>
              <w:rPr>
                <w:rFonts w:hint="eastAsia" w:ascii="Times New Roman" w:hAnsi="Times New Roman" w:eastAsia="宋体" w:cs="宋体"/>
                <w:color w:val="000000"/>
                <w:sz w:val="21"/>
                <w:szCs w:val="21"/>
                <w:lang w:val="en-US" w:eastAsia="zh-CN" w:bidi="ar-SA"/>
              </w:rPr>
            </w:pPr>
            <w:r>
              <w:rPr>
                <w:rFonts w:hint="eastAsia"/>
                <w:sz w:val="21"/>
                <w:szCs w:val="21"/>
                <w:lang w:val="en-US" w:eastAsia="zh-CN"/>
              </w:rPr>
              <w:t>2</w:t>
            </w:r>
          </w:p>
        </w:tc>
        <w:tc>
          <w:tcPr>
            <w:tcW w:w="950" w:type="dxa"/>
            <w:tcBorders>
              <w:left w:val="single" w:color="auto" w:sz="4" w:space="0"/>
              <w:right w:val="single" w:color="auto" w:sz="12" w:space="0"/>
            </w:tcBorders>
            <w:shd w:val="clear" w:color="auto" w:fill="auto"/>
            <w:vAlign w:val="center"/>
          </w:tcPr>
          <w:p w14:paraId="48F51C15">
            <w:pPr>
              <w:pStyle w:val="15"/>
              <w:rPr>
                <w:rFonts w:hint="default" w:ascii="Times New Roman" w:hAnsi="Times New Roman" w:eastAsia="宋体" w:cs="宋体"/>
                <w:color w:val="000000"/>
                <w:sz w:val="21"/>
                <w:szCs w:val="21"/>
                <w:lang w:val="en-US" w:eastAsia="zh-CN" w:bidi="ar-SA"/>
              </w:rPr>
            </w:pPr>
            <w:r>
              <w:rPr>
                <w:rFonts w:hint="eastAsia"/>
                <w:sz w:val="21"/>
                <w:szCs w:val="21"/>
                <w:lang w:val="en-US" w:eastAsia="zh-CN"/>
              </w:rPr>
              <w:t>综合型</w:t>
            </w:r>
          </w:p>
        </w:tc>
      </w:tr>
      <w:tr w14:paraId="0813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69CE87BB">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93A8EB9">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553F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06AAD58">
            <w:pPr>
              <w:pStyle w:val="15"/>
              <w:widowControl w:val="0"/>
              <w:jc w:val="left"/>
              <w:rPr>
                <w:rFonts w:hint="eastAsia"/>
                <w:lang w:val="en-US" w:eastAsia="zh-CN"/>
              </w:rPr>
            </w:pPr>
            <w:r>
              <w:rPr>
                <w:rFonts w:hint="eastAsia"/>
                <w:lang w:val="en-US" w:eastAsia="zh-CN"/>
              </w:rPr>
              <w:t>主要思政点：职业发展使命感、民族文化自信、服务人民服务长者的服务奉献精神、创新意识；</w:t>
            </w:r>
          </w:p>
          <w:p w14:paraId="479B38F2">
            <w:pPr>
              <w:pStyle w:val="15"/>
              <w:widowControl w:val="0"/>
              <w:jc w:val="left"/>
              <w:rPr>
                <w:rFonts w:hint="eastAsia"/>
                <w:lang w:val="en-US" w:eastAsia="zh-CN"/>
              </w:rPr>
            </w:pPr>
            <w:r>
              <w:rPr>
                <w:rFonts w:hint="eastAsia"/>
                <w:lang w:val="en-US" w:eastAsia="zh-CN"/>
              </w:rPr>
              <w:t>融入路径概述：</w:t>
            </w:r>
          </w:p>
          <w:p w14:paraId="2DBB440C">
            <w:pPr>
              <w:pStyle w:val="15"/>
              <w:widowControl w:val="0"/>
              <w:numPr>
                <w:ilvl w:val="0"/>
                <w:numId w:val="3"/>
              </w:numPr>
              <w:jc w:val="left"/>
              <w:rPr>
                <w:rFonts w:hint="eastAsia"/>
                <w:lang w:val="en-US" w:eastAsia="zh-CN"/>
              </w:rPr>
            </w:pPr>
            <w:r>
              <w:rPr>
                <w:rFonts w:hint="eastAsia"/>
                <w:lang w:val="en-US" w:eastAsia="zh-CN"/>
              </w:rPr>
              <w:t>介绍《健康中国2030规划纲要》，让学生了解国家的健康政策，介绍医养结合的相关政策，让学生了解医养结合发展的前景，提升职业使命感。</w:t>
            </w:r>
          </w:p>
          <w:p w14:paraId="251E08E8">
            <w:pPr>
              <w:pStyle w:val="15"/>
              <w:widowControl w:val="0"/>
              <w:numPr>
                <w:ilvl w:val="0"/>
                <w:numId w:val="3"/>
              </w:numPr>
              <w:jc w:val="left"/>
              <w:rPr>
                <w:rFonts w:hint="eastAsia"/>
                <w:lang w:val="en-US" w:eastAsia="zh-CN"/>
              </w:rPr>
            </w:pPr>
            <w:r>
              <w:rPr>
                <w:rFonts w:hint="eastAsia"/>
                <w:lang w:val="en-US" w:eastAsia="zh-CN"/>
              </w:rPr>
              <w:t>介绍医养结合的内容模块，包括对老年康复护理、老年生活照料服务、安宁疗护服务等内容的讲解，让学生了解老年人的身心特征，深化其尊敬长者、热爱劳动、扎根专业的精神；</w:t>
            </w:r>
          </w:p>
          <w:p w14:paraId="1E068C08">
            <w:pPr>
              <w:pStyle w:val="15"/>
              <w:widowControl w:val="0"/>
              <w:numPr>
                <w:ilvl w:val="0"/>
                <w:numId w:val="3"/>
              </w:numPr>
              <w:ind w:left="0" w:leftChars="0" w:firstLine="0" w:firstLineChars="0"/>
              <w:jc w:val="left"/>
              <w:rPr>
                <w:rFonts w:hint="eastAsia"/>
                <w:lang w:val="en-US" w:eastAsia="zh-CN"/>
              </w:rPr>
            </w:pPr>
            <w:r>
              <w:rPr>
                <w:rFonts w:hint="eastAsia"/>
                <w:lang w:val="en-US" w:eastAsia="zh-CN"/>
              </w:rPr>
              <w:t>通过医养结合服务提供、机构管理中的问题，启发学生扎实基础知识，多角度思考，创新性地解决现实问题。</w:t>
            </w:r>
          </w:p>
          <w:p w14:paraId="26613C4A">
            <w:pPr>
              <w:pStyle w:val="15"/>
              <w:widowControl w:val="0"/>
              <w:numPr>
                <w:ilvl w:val="0"/>
                <w:numId w:val="3"/>
              </w:numPr>
              <w:ind w:left="0" w:leftChars="0" w:firstLine="0" w:firstLineChars="0"/>
              <w:jc w:val="left"/>
              <w:rPr>
                <w:rFonts w:hint="default"/>
                <w:lang w:val="en-US" w:eastAsia="zh-CN"/>
              </w:rPr>
            </w:pPr>
            <w:r>
              <w:rPr>
                <w:rFonts w:hint="eastAsia"/>
                <w:lang w:val="en-US" w:eastAsia="zh-CN"/>
              </w:rPr>
              <w:t>通过医养结合的最终目的，促进老年健康和社会参与，产生健康的概念，引导学生关注健康问题，膳食合理、适量运动、养成良好的生活习惯、心理平衡等注重健康及医养结束的掌握；</w:t>
            </w:r>
          </w:p>
          <w:p w14:paraId="65450622">
            <w:pPr>
              <w:pStyle w:val="15"/>
              <w:widowControl w:val="0"/>
              <w:jc w:val="left"/>
              <w:rPr>
                <w:rFonts w:hint="default"/>
                <w:lang w:val="en-US" w:eastAsia="zh-CN"/>
              </w:rPr>
            </w:pPr>
            <w:r>
              <w:rPr>
                <w:rFonts w:hint="eastAsia"/>
                <w:lang w:val="en-US" w:eastAsia="zh-CN"/>
              </w:rPr>
              <w:t>通过介绍医养结合技术中有关中医养生、中医学基础的知识与技术，培养学生的民族自信、文化自信。</w:t>
            </w:r>
          </w:p>
        </w:tc>
      </w:tr>
    </w:tbl>
    <w:p w14:paraId="02D84CAF">
      <w:pPr>
        <w:pStyle w:val="17"/>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738"/>
        <w:gridCol w:w="1804"/>
      </w:tblGrid>
      <w:tr w14:paraId="5095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F663B2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2417635">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7C43E03">
            <w:pPr>
              <w:pStyle w:val="17"/>
              <w:widowControl w:val="0"/>
              <w:jc w:val="center"/>
              <w:rPr>
                <w:rFonts w:ascii="黑体" w:hAnsi="黑体"/>
                <w:bCs/>
                <w:sz w:val="21"/>
                <w:szCs w:val="21"/>
              </w:rPr>
            </w:pPr>
            <w:r>
              <w:rPr>
                <w:rFonts w:hint="eastAsia" w:ascii="黑体" w:hAnsi="黑体"/>
                <w:bCs/>
                <w:sz w:val="21"/>
                <w:szCs w:val="21"/>
              </w:rPr>
              <w:t>考核方式</w:t>
            </w:r>
          </w:p>
        </w:tc>
        <w:tc>
          <w:tcPr>
            <w:tcW w:w="2574" w:type="dxa"/>
            <w:gridSpan w:val="4"/>
            <w:tcBorders>
              <w:top w:val="single" w:color="auto" w:sz="12" w:space="0"/>
              <w:left w:val="double" w:color="auto" w:sz="4" w:space="0"/>
            </w:tcBorders>
            <w:vAlign w:val="center"/>
          </w:tcPr>
          <w:p w14:paraId="1CFF91D6">
            <w:pPr>
              <w:pStyle w:val="17"/>
              <w:widowControl w:val="0"/>
              <w:spacing w:line="240" w:lineRule="auto"/>
              <w:jc w:val="center"/>
              <w:rPr>
                <w:rFonts w:ascii="黑体" w:hAnsi="宋体"/>
              </w:rPr>
            </w:pPr>
            <w:r>
              <w:rPr>
                <w:rFonts w:hint="eastAsia" w:ascii="黑体" w:hAnsi="黑体"/>
                <w:bCs/>
                <w:sz w:val="21"/>
                <w:szCs w:val="21"/>
              </w:rPr>
              <w:t>课程目标</w:t>
            </w:r>
          </w:p>
        </w:tc>
        <w:tc>
          <w:tcPr>
            <w:tcW w:w="1804" w:type="dxa"/>
            <w:vMerge w:val="restart"/>
            <w:tcBorders>
              <w:top w:val="single" w:color="auto" w:sz="12" w:space="0"/>
              <w:right w:val="single" w:color="auto" w:sz="12" w:space="0"/>
            </w:tcBorders>
            <w:vAlign w:val="center"/>
          </w:tcPr>
          <w:p w14:paraId="4F5D9631">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5282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63123EA">
            <w:pPr>
              <w:widowControl w:val="0"/>
              <w:snapToGrid w:val="0"/>
              <w:jc w:val="center"/>
              <w:rPr>
                <w:rFonts w:ascii="黑体" w:hAnsi="黑体" w:eastAsia="黑体"/>
                <w:bCs/>
                <w:sz w:val="21"/>
                <w:szCs w:val="21"/>
              </w:rPr>
            </w:pPr>
          </w:p>
        </w:tc>
        <w:tc>
          <w:tcPr>
            <w:tcW w:w="709" w:type="dxa"/>
            <w:vMerge w:val="continue"/>
          </w:tcPr>
          <w:p w14:paraId="68CDF5CF">
            <w:pPr>
              <w:pStyle w:val="17"/>
              <w:widowControl w:val="0"/>
              <w:jc w:val="both"/>
              <w:rPr>
                <w:rFonts w:ascii="黑体" w:hAnsi="黑体"/>
                <w:bCs/>
                <w:sz w:val="21"/>
                <w:szCs w:val="21"/>
              </w:rPr>
            </w:pPr>
          </w:p>
        </w:tc>
        <w:tc>
          <w:tcPr>
            <w:tcW w:w="2353" w:type="dxa"/>
            <w:vMerge w:val="continue"/>
            <w:tcBorders>
              <w:right w:val="double" w:color="auto" w:sz="4" w:space="0"/>
            </w:tcBorders>
          </w:tcPr>
          <w:p w14:paraId="1F11DCEB">
            <w:pPr>
              <w:pStyle w:val="17"/>
              <w:widowControl w:val="0"/>
              <w:jc w:val="both"/>
              <w:rPr>
                <w:rFonts w:ascii="黑体" w:hAnsi="黑体"/>
                <w:bCs/>
                <w:sz w:val="21"/>
                <w:szCs w:val="21"/>
              </w:rPr>
            </w:pPr>
          </w:p>
        </w:tc>
        <w:tc>
          <w:tcPr>
            <w:tcW w:w="612" w:type="dxa"/>
            <w:tcBorders>
              <w:left w:val="double" w:color="auto" w:sz="4" w:space="0"/>
            </w:tcBorders>
            <w:vAlign w:val="center"/>
          </w:tcPr>
          <w:p w14:paraId="0A102358">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7218A65E">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64F742A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738" w:type="dxa"/>
            <w:vAlign w:val="center"/>
          </w:tcPr>
          <w:p w14:paraId="55A67F4E">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1804" w:type="dxa"/>
            <w:vMerge w:val="continue"/>
            <w:tcBorders>
              <w:right w:val="single" w:color="auto" w:sz="12" w:space="0"/>
            </w:tcBorders>
          </w:tcPr>
          <w:p w14:paraId="5E7A908E">
            <w:pPr>
              <w:pStyle w:val="17"/>
              <w:widowControl w:val="0"/>
              <w:spacing w:line="240" w:lineRule="auto"/>
              <w:jc w:val="center"/>
              <w:rPr>
                <w:rFonts w:ascii="黑体" w:hAnsi="黑体"/>
                <w:bCs/>
                <w:sz w:val="21"/>
                <w:szCs w:val="21"/>
              </w:rPr>
            </w:pPr>
          </w:p>
        </w:tc>
      </w:tr>
      <w:tr w14:paraId="2808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BABB0E0">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X1</w:t>
            </w:r>
          </w:p>
        </w:tc>
        <w:tc>
          <w:tcPr>
            <w:tcW w:w="709" w:type="dxa"/>
            <w:vAlign w:val="top"/>
          </w:tcPr>
          <w:p w14:paraId="7B9C4F1A">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40%</w:t>
            </w:r>
          </w:p>
        </w:tc>
        <w:tc>
          <w:tcPr>
            <w:tcW w:w="2353" w:type="dxa"/>
            <w:tcBorders>
              <w:right w:val="double" w:color="auto" w:sz="4" w:space="0"/>
            </w:tcBorders>
            <w:vAlign w:val="center"/>
          </w:tcPr>
          <w:p w14:paraId="08D6FC21">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随堂测试</w:t>
            </w:r>
          </w:p>
        </w:tc>
        <w:tc>
          <w:tcPr>
            <w:tcW w:w="612" w:type="dxa"/>
            <w:tcBorders>
              <w:left w:val="double" w:color="auto" w:sz="4" w:space="0"/>
            </w:tcBorders>
            <w:vAlign w:val="center"/>
          </w:tcPr>
          <w:p w14:paraId="47D0D238">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25</w:t>
            </w:r>
          </w:p>
        </w:tc>
        <w:tc>
          <w:tcPr>
            <w:tcW w:w="612" w:type="dxa"/>
            <w:vAlign w:val="center"/>
          </w:tcPr>
          <w:p w14:paraId="6F520043">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25</w:t>
            </w:r>
          </w:p>
        </w:tc>
        <w:tc>
          <w:tcPr>
            <w:tcW w:w="612" w:type="dxa"/>
            <w:vAlign w:val="center"/>
          </w:tcPr>
          <w:p w14:paraId="55AFB1F5">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738" w:type="dxa"/>
            <w:vAlign w:val="center"/>
          </w:tcPr>
          <w:p w14:paraId="5A0E5DDB">
            <w:pPr>
              <w:pStyle w:val="15"/>
              <w:widowControl w:val="0"/>
              <w:rPr>
                <w:rFonts w:hint="default" w:ascii="Times New Roman" w:hAnsi="Times New Roman" w:eastAsia="宋体" w:cs="宋体"/>
                <w:color w:val="000000"/>
                <w:sz w:val="21"/>
                <w:szCs w:val="21"/>
                <w:lang w:val="en-US" w:eastAsia="zh-CN" w:bidi="ar-SA"/>
              </w:rPr>
            </w:pPr>
            <w:r>
              <w:rPr>
                <w:rFonts w:hint="eastAsia"/>
              </w:rPr>
              <w:t>1</w:t>
            </w:r>
            <w:r>
              <w:t>0</w:t>
            </w:r>
          </w:p>
        </w:tc>
        <w:tc>
          <w:tcPr>
            <w:tcW w:w="1804" w:type="dxa"/>
            <w:tcBorders>
              <w:right w:val="single" w:color="auto" w:sz="12" w:space="0"/>
            </w:tcBorders>
            <w:vAlign w:val="center"/>
          </w:tcPr>
          <w:p w14:paraId="5CFA534F">
            <w:pPr>
              <w:pStyle w:val="15"/>
              <w:widowControl w:val="0"/>
            </w:pPr>
            <w:r>
              <w:rPr>
                <w:rFonts w:hint="eastAsia"/>
              </w:rPr>
              <w:t>1</w:t>
            </w:r>
            <w:r>
              <w:t>00</w:t>
            </w:r>
          </w:p>
        </w:tc>
      </w:tr>
      <w:tr w14:paraId="14A4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16511F">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X2</w:t>
            </w:r>
          </w:p>
        </w:tc>
        <w:tc>
          <w:tcPr>
            <w:tcW w:w="709" w:type="dxa"/>
            <w:vAlign w:val="top"/>
          </w:tcPr>
          <w:p w14:paraId="37916B05">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30%</w:t>
            </w:r>
          </w:p>
        </w:tc>
        <w:tc>
          <w:tcPr>
            <w:tcW w:w="2353" w:type="dxa"/>
            <w:tcBorders>
              <w:right w:val="double" w:color="auto" w:sz="4" w:space="0"/>
            </w:tcBorders>
            <w:vAlign w:val="center"/>
          </w:tcPr>
          <w:p w14:paraId="6F098356">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课堂作业</w:t>
            </w:r>
          </w:p>
        </w:tc>
        <w:tc>
          <w:tcPr>
            <w:tcW w:w="612" w:type="dxa"/>
            <w:tcBorders>
              <w:left w:val="double" w:color="auto" w:sz="4" w:space="0"/>
            </w:tcBorders>
            <w:vAlign w:val="center"/>
          </w:tcPr>
          <w:p w14:paraId="0AA81D29">
            <w:pPr>
              <w:pStyle w:val="15"/>
              <w:widowControl w:val="0"/>
              <w:rPr>
                <w:rFonts w:ascii="Times New Roman" w:hAnsi="Times New Roman" w:eastAsia="宋体" w:cs="宋体"/>
                <w:color w:val="000000"/>
                <w:sz w:val="21"/>
                <w:szCs w:val="21"/>
                <w:lang w:val="en-US" w:eastAsia="zh-CN" w:bidi="ar-SA"/>
              </w:rPr>
            </w:pPr>
            <w:r>
              <w:rPr>
                <w:rFonts w:hint="eastAsia"/>
              </w:rPr>
              <w:t>3</w:t>
            </w:r>
            <w:r>
              <w:t>0</w:t>
            </w:r>
          </w:p>
        </w:tc>
        <w:tc>
          <w:tcPr>
            <w:tcW w:w="612" w:type="dxa"/>
            <w:vAlign w:val="center"/>
          </w:tcPr>
          <w:p w14:paraId="6CDE9B27">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14:paraId="1A496563">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30</w:t>
            </w:r>
          </w:p>
        </w:tc>
        <w:tc>
          <w:tcPr>
            <w:tcW w:w="738" w:type="dxa"/>
            <w:vAlign w:val="center"/>
          </w:tcPr>
          <w:p w14:paraId="52487A39">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1804" w:type="dxa"/>
            <w:tcBorders>
              <w:right w:val="single" w:color="auto" w:sz="12" w:space="0"/>
            </w:tcBorders>
            <w:vAlign w:val="center"/>
          </w:tcPr>
          <w:p w14:paraId="2C406B36">
            <w:pPr>
              <w:pStyle w:val="15"/>
              <w:widowControl w:val="0"/>
            </w:pPr>
            <w:r>
              <w:rPr>
                <w:rFonts w:hint="eastAsia"/>
              </w:rPr>
              <w:t>1</w:t>
            </w:r>
            <w:r>
              <w:t>00</w:t>
            </w:r>
          </w:p>
        </w:tc>
      </w:tr>
      <w:tr w14:paraId="4237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8AA5AF9">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X3</w:t>
            </w:r>
          </w:p>
        </w:tc>
        <w:tc>
          <w:tcPr>
            <w:tcW w:w="709" w:type="dxa"/>
            <w:vAlign w:val="top"/>
          </w:tcPr>
          <w:p w14:paraId="475808CC">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20%</w:t>
            </w:r>
          </w:p>
        </w:tc>
        <w:tc>
          <w:tcPr>
            <w:tcW w:w="2353" w:type="dxa"/>
            <w:tcBorders>
              <w:right w:val="double" w:color="auto" w:sz="4" w:space="0"/>
            </w:tcBorders>
            <w:vAlign w:val="center"/>
          </w:tcPr>
          <w:p w14:paraId="2BB0116D">
            <w:pPr>
              <w:keepNext w:val="0"/>
              <w:keepLines w:val="0"/>
              <w:pageBreakBefore w:val="0"/>
              <w:widowControl w:val="0"/>
              <w:kinsoku/>
              <w:wordWrap/>
              <w:overflowPunct/>
              <w:topLinePunct w:val="0"/>
              <w:autoSpaceDE/>
              <w:autoSpaceDN/>
              <w:bidi w:val="0"/>
              <w:adjustRightInd/>
              <w:snapToGrid w:val="0"/>
              <w:jc w:val="center"/>
              <w:textAlignment w:val="auto"/>
              <w:rPr>
                <w:rFonts w:hint="eastAsia"/>
                <w:bCs/>
                <w:color w:val="000000"/>
                <w:sz w:val="21"/>
                <w:szCs w:val="21"/>
                <w:lang w:val="en-US" w:eastAsia="zh-CN"/>
              </w:rPr>
            </w:pPr>
            <w:r>
              <w:rPr>
                <w:rFonts w:hint="eastAsia"/>
                <w:bCs/>
                <w:color w:val="000000"/>
                <w:sz w:val="21"/>
                <w:szCs w:val="21"/>
                <w:lang w:val="en-US" w:eastAsia="zh-CN"/>
              </w:rPr>
              <w:t>平时成绩</w:t>
            </w:r>
          </w:p>
          <w:p w14:paraId="37323643">
            <w:pPr>
              <w:keepNext w:val="0"/>
              <w:keepLines w:val="0"/>
              <w:pageBreakBefore w:val="0"/>
              <w:widowControl w:val="0"/>
              <w:kinsoku/>
              <w:wordWrap/>
              <w:overflowPunct/>
              <w:topLinePunct w:val="0"/>
              <w:autoSpaceDE/>
              <w:autoSpaceDN/>
              <w:bidi w:val="0"/>
              <w:adjustRightInd/>
              <w:snapToGrid w:val="0"/>
              <w:jc w:val="center"/>
              <w:textAlignment w:val="auto"/>
              <w:rPr>
                <w:rFonts w:hint="default"/>
                <w:bCs/>
                <w:color w:val="000000"/>
                <w:sz w:val="21"/>
                <w:szCs w:val="21"/>
                <w:lang w:val="en-US" w:eastAsia="zh-CN"/>
              </w:rPr>
            </w:pPr>
            <w:r>
              <w:rPr>
                <w:rFonts w:hint="eastAsia"/>
                <w:bCs/>
                <w:color w:val="000000"/>
                <w:sz w:val="21"/>
                <w:szCs w:val="21"/>
                <w:lang w:val="en-US" w:eastAsia="zh-CN"/>
              </w:rPr>
              <w:t>（考勤+课堂表现）</w:t>
            </w:r>
          </w:p>
        </w:tc>
        <w:tc>
          <w:tcPr>
            <w:tcW w:w="612" w:type="dxa"/>
            <w:tcBorders>
              <w:left w:val="double" w:color="auto" w:sz="4" w:space="0"/>
            </w:tcBorders>
            <w:vAlign w:val="center"/>
          </w:tcPr>
          <w:p w14:paraId="3A837ABF">
            <w:pPr>
              <w:pStyle w:val="15"/>
              <w:widowControl w:val="0"/>
              <w:rPr>
                <w:rFonts w:ascii="Times New Roman" w:hAnsi="Times New Roman" w:eastAsia="宋体" w:cs="宋体"/>
                <w:color w:val="000000"/>
                <w:sz w:val="21"/>
                <w:szCs w:val="21"/>
                <w:lang w:val="en-US" w:eastAsia="zh-CN" w:bidi="ar-SA"/>
              </w:rPr>
            </w:pPr>
            <w:r>
              <w:rPr>
                <w:rFonts w:hint="eastAsia"/>
              </w:rPr>
              <w:t>3</w:t>
            </w:r>
            <w:r>
              <w:t>0</w:t>
            </w:r>
          </w:p>
        </w:tc>
        <w:tc>
          <w:tcPr>
            <w:tcW w:w="612" w:type="dxa"/>
            <w:vAlign w:val="center"/>
          </w:tcPr>
          <w:p w14:paraId="7F2E0ECA">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40</w:t>
            </w:r>
          </w:p>
        </w:tc>
        <w:tc>
          <w:tcPr>
            <w:tcW w:w="612" w:type="dxa"/>
            <w:vAlign w:val="center"/>
          </w:tcPr>
          <w:p w14:paraId="2193F745">
            <w:pPr>
              <w:pStyle w:val="15"/>
              <w:widowControl w:val="0"/>
              <w:rPr>
                <w:rFonts w:ascii="Times New Roman" w:hAnsi="Times New Roman" w:eastAsia="宋体" w:cs="宋体"/>
                <w:color w:val="000000"/>
                <w:sz w:val="21"/>
                <w:szCs w:val="21"/>
                <w:lang w:val="en-US" w:eastAsia="zh-CN" w:bidi="ar-SA"/>
              </w:rPr>
            </w:pPr>
            <w:r>
              <w:rPr>
                <w:rFonts w:hint="eastAsia"/>
              </w:rPr>
              <w:t>3</w:t>
            </w:r>
            <w:r>
              <w:t>0</w:t>
            </w:r>
          </w:p>
        </w:tc>
        <w:tc>
          <w:tcPr>
            <w:tcW w:w="738" w:type="dxa"/>
            <w:vAlign w:val="center"/>
          </w:tcPr>
          <w:p w14:paraId="7393EB38">
            <w:pPr>
              <w:pStyle w:val="15"/>
              <w:widowControl w:val="0"/>
              <w:rPr>
                <w:rFonts w:ascii="Times New Roman" w:hAnsi="Times New Roman" w:eastAsia="宋体" w:cs="宋体"/>
                <w:color w:val="000000"/>
                <w:sz w:val="21"/>
                <w:szCs w:val="21"/>
                <w:lang w:val="en-US" w:eastAsia="zh-CN" w:bidi="ar-SA"/>
              </w:rPr>
            </w:pPr>
          </w:p>
        </w:tc>
        <w:tc>
          <w:tcPr>
            <w:tcW w:w="1804" w:type="dxa"/>
            <w:tcBorders>
              <w:right w:val="single" w:color="auto" w:sz="12" w:space="0"/>
            </w:tcBorders>
            <w:vAlign w:val="center"/>
          </w:tcPr>
          <w:p w14:paraId="17DF06A3">
            <w:pPr>
              <w:pStyle w:val="15"/>
              <w:widowControl w:val="0"/>
            </w:pPr>
            <w:r>
              <w:rPr>
                <w:rFonts w:hint="eastAsia"/>
              </w:rPr>
              <w:t>1</w:t>
            </w:r>
            <w:r>
              <w:t>00</w:t>
            </w:r>
          </w:p>
        </w:tc>
      </w:tr>
      <w:tr w14:paraId="7031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3BDA9B7">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X4</w:t>
            </w:r>
          </w:p>
        </w:tc>
        <w:tc>
          <w:tcPr>
            <w:tcW w:w="709" w:type="dxa"/>
            <w:vAlign w:val="top"/>
          </w:tcPr>
          <w:p w14:paraId="1A9A44C7">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10%</w:t>
            </w:r>
          </w:p>
        </w:tc>
        <w:tc>
          <w:tcPr>
            <w:tcW w:w="2353" w:type="dxa"/>
            <w:tcBorders>
              <w:right w:val="double" w:color="auto" w:sz="4" w:space="0"/>
            </w:tcBorders>
            <w:vAlign w:val="top"/>
          </w:tcPr>
          <w:p w14:paraId="712E44D0">
            <w:pPr>
              <w:widowControl w:val="0"/>
              <w:snapToGrid w:val="0"/>
              <w:spacing w:before="156" w:beforeLines="50" w:after="156" w:afterLines="50"/>
              <w:jc w:val="center"/>
              <w:rPr>
                <w:rFonts w:hint="eastAsia"/>
                <w:bCs/>
                <w:color w:val="000000"/>
                <w:sz w:val="21"/>
                <w:szCs w:val="21"/>
                <w:lang w:val="en-US" w:eastAsia="zh-CN"/>
              </w:rPr>
            </w:pPr>
            <w:r>
              <w:rPr>
                <w:rFonts w:hint="eastAsia"/>
                <w:bCs/>
                <w:color w:val="000000"/>
                <w:sz w:val="21"/>
                <w:szCs w:val="21"/>
                <w:lang w:val="en-US" w:eastAsia="zh-CN"/>
              </w:rPr>
              <w:t>实训报告</w:t>
            </w:r>
          </w:p>
        </w:tc>
        <w:tc>
          <w:tcPr>
            <w:tcW w:w="612" w:type="dxa"/>
            <w:tcBorders>
              <w:left w:val="double" w:color="auto" w:sz="4" w:space="0"/>
            </w:tcBorders>
            <w:vAlign w:val="center"/>
          </w:tcPr>
          <w:p w14:paraId="729D3BE7">
            <w:pPr>
              <w:pStyle w:val="15"/>
              <w:widowControl w:val="0"/>
              <w:rPr>
                <w:rFonts w:ascii="Times New Roman" w:hAnsi="Times New Roman" w:eastAsia="宋体" w:cs="宋体"/>
                <w:color w:val="000000"/>
                <w:sz w:val="21"/>
                <w:szCs w:val="21"/>
                <w:lang w:val="en-US" w:eastAsia="zh-CN" w:bidi="ar-SA"/>
              </w:rPr>
            </w:pPr>
          </w:p>
        </w:tc>
        <w:tc>
          <w:tcPr>
            <w:tcW w:w="612" w:type="dxa"/>
            <w:vAlign w:val="center"/>
          </w:tcPr>
          <w:p w14:paraId="576E79CB">
            <w:pPr>
              <w:pStyle w:val="15"/>
              <w:widowControl w:val="0"/>
              <w:rPr>
                <w:rFonts w:ascii="Times New Roman" w:hAnsi="Times New Roman" w:eastAsia="宋体" w:cs="宋体"/>
                <w:color w:val="000000"/>
                <w:sz w:val="21"/>
                <w:szCs w:val="21"/>
                <w:lang w:val="en-US" w:eastAsia="zh-CN" w:bidi="ar-SA"/>
              </w:rPr>
            </w:pPr>
          </w:p>
        </w:tc>
        <w:tc>
          <w:tcPr>
            <w:tcW w:w="612" w:type="dxa"/>
            <w:vAlign w:val="center"/>
          </w:tcPr>
          <w:p w14:paraId="2B5C996B">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50</w:t>
            </w:r>
          </w:p>
        </w:tc>
        <w:tc>
          <w:tcPr>
            <w:tcW w:w="738" w:type="dxa"/>
            <w:vAlign w:val="center"/>
          </w:tcPr>
          <w:p w14:paraId="5510D78D">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50</w:t>
            </w:r>
          </w:p>
        </w:tc>
        <w:tc>
          <w:tcPr>
            <w:tcW w:w="1804" w:type="dxa"/>
            <w:tcBorders>
              <w:right w:val="single" w:color="auto" w:sz="12" w:space="0"/>
            </w:tcBorders>
            <w:vAlign w:val="center"/>
          </w:tcPr>
          <w:p w14:paraId="43C11A36">
            <w:pPr>
              <w:pStyle w:val="15"/>
              <w:widowControl w:val="0"/>
            </w:pPr>
            <w:r>
              <w:rPr>
                <w:rFonts w:hint="eastAsia"/>
              </w:rPr>
              <w:t>1</w:t>
            </w:r>
            <w:r>
              <w:t>00</w:t>
            </w:r>
          </w:p>
        </w:tc>
      </w:tr>
    </w:tbl>
    <w:p w14:paraId="7046C526">
      <w:pPr>
        <w:pStyle w:val="17"/>
        <w:spacing w:before="312"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EF5F2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53A74C9">
            <w:pPr>
              <w:pStyle w:val="15"/>
              <w:widowControl w:val="0"/>
              <w:jc w:val="left"/>
              <w:rPr>
                <w:rFonts w:ascii="仿宋" w:hAnsi="仿宋" w:eastAsia="仿宋" w:cs="仿宋"/>
              </w:rPr>
            </w:pPr>
          </w:p>
          <w:p w14:paraId="1C3EF1F5">
            <w:pPr>
              <w:pStyle w:val="15"/>
              <w:widowControl w:val="0"/>
              <w:jc w:val="left"/>
              <w:rPr>
                <w:rFonts w:hint="eastAsia" w:ascii="宋体" w:hAnsi="宋体" w:eastAsia="宋体"/>
                <w:bCs/>
                <w:lang w:val="en-US" w:eastAsia="zh-CN"/>
              </w:rPr>
            </w:pPr>
            <w:r>
              <w:rPr>
                <w:rFonts w:hint="eastAsia" w:ascii="宋体" w:hAnsi="宋体"/>
                <w:bCs/>
                <w:lang w:val="en-US" w:eastAsia="zh-CN"/>
              </w:rPr>
              <w:t>无</w:t>
            </w:r>
          </w:p>
          <w:p w14:paraId="19345394">
            <w:pPr>
              <w:pStyle w:val="15"/>
              <w:widowControl w:val="0"/>
              <w:jc w:val="left"/>
              <w:rPr>
                <w:rFonts w:ascii="黑体"/>
              </w:rPr>
            </w:pPr>
          </w:p>
        </w:tc>
      </w:tr>
    </w:tbl>
    <w:p w14:paraId="40C18372">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1A67">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B08DE93">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B08DE93">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4AEF7"/>
    <w:multiLevelType w:val="singleLevel"/>
    <w:tmpl w:val="87A4AEF7"/>
    <w:lvl w:ilvl="0" w:tentative="0">
      <w:start w:val="1"/>
      <w:numFmt w:val="decimal"/>
      <w:suff w:val="nothing"/>
      <w:lvlText w:val="%1、"/>
      <w:lvlJc w:val="left"/>
    </w:lvl>
  </w:abstractNum>
  <w:abstractNum w:abstractNumId="1">
    <w:nsid w:val="EB19D0E6"/>
    <w:multiLevelType w:val="singleLevel"/>
    <w:tmpl w:val="EB19D0E6"/>
    <w:lvl w:ilvl="0" w:tentative="0">
      <w:start w:val="1"/>
      <w:numFmt w:val="decimal"/>
      <w:lvlText w:val="%1."/>
      <w:lvlJc w:val="left"/>
      <w:pPr>
        <w:tabs>
          <w:tab w:val="left" w:pos="312"/>
        </w:tabs>
      </w:pPr>
    </w:lvl>
  </w:abstractNum>
  <w:abstractNum w:abstractNumId="2">
    <w:nsid w:val="48768B60"/>
    <w:multiLevelType w:val="singleLevel"/>
    <w:tmpl w:val="48768B60"/>
    <w:lvl w:ilvl="0" w:tentative="0">
      <w:start w:val="4"/>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yYzU1NTI0ZmVmZTVmNmY2ZTNhNDdhNTAzZmUyY2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5347"/>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1203F4"/>
    <w:rsid w:val="0768676B"/>
    <w:rsid w:val="0A8128A6"/>
    <w:rsid w:val="0BF32A1B"/>
    <w:rsid w:val="0C0F0F2B"/>
    <w:rsid w:val="0DA61477"/>
    <w:rsid w:val="0FC401FA"/>
    <w:rsid w:val="10BD2C22"/>
    <w:rsid w:val="15972EC0"/>
    <w:rsid w:val="215B186F"/>
    <w:rsid w:val="22987C80"/>
    <w:rsid w:val="23234FEB"/>
    <w:rsid w:val="24192CCC"/>
    <w:rsid w:val="292F0982"/>
    <w:rsid w:val="2C016606"/>
    <w:rsid w:val="2D5A7B2B"/>
    <w:rsid w:val="2EBF6305"/>
    <w:rsid w:val="39A66CD4"/>
    <w:rsid w:val="3C917734"/>
    <w:rsid w:val="3CD52CE1"/>
    <w:rsid w:val="3E1250E5"/>
    <w:rsid w:val="410F2E6A"/>
    <w:rsid w:val="4430136C"/>
    <w:rsid w:val="46A165C4"/>
    <w:rsid w:val="47477B71"/>
    <w:rsid w:val="47DB5B06"/>
    <w:rsid w:val="4A4C2CEB"/>
    <w:rsid w:val="4AB0382B"/>
    <w:rsid w:val="4BB3503D"/>
    <w:rsid w:val="4DD12D36"/>
    <w:rsid w:val="519136D9"/>
    <w:rsid w:val="569868B5"/>
    <w:rsid w:val="56DE4CCA"/>
    <w:rsid w:val="593A4B28"/>
    <w:rsid w:val="5AB346C0"/>
    <w:rsid w:val="60786190"/>
    <w:rsid w:val="611F6817"/>
    <w:rsid w:val="664B5F82"/>
    <w:rsid w:val="66CA1754"/>
    <w:rsid w:val="6A741568"/>
    <w:rsid w:val="6F1E65D4"/>
    <w:rsid w:val="6F266C86"/>
    <w:rsid w:val="6F5042C2"/>
    <w:rsid w:val="712A7252"/>
    <w:rsid w:val="730D5D09"/>
    <w:rsid w:val="74316312"/>
    <w:rsid w:val="780F13C8"/>
    <w:rsid w:val="7A1545F8"/>
    <w:rsid w:val="7B332F87"/>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pPr>
      <w:spacing w:before="55"/>
      <w:ind w:left="216"/>
    </w:pPr>
    <w:rPr>
      <w:rFonts w:ascii="宋体" w:hAnsi="宋体" w:eastAsia="宋体" w:cs="宋体"/>
      <w:sz w:val="20"/>
      <w:szCs w:val="20"/>
      <w:lang w:val="en-US" w:eastAsia="en-US" w:bidi="en-US"/>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widowControl/>
      <w:ind w:left="720" w:firstLine="360"/>
      <w:contextualSpacing/>
      <w:jc w:val="left"/>
    </w:pPr>
    <w:rPr>
      <w:rFonts w:ascii="Calibri" w:hAnsi="Calibri"/>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1254</Words>
  <Characters>1346</Characters>
  <Lines>6</Lines>
  <Paragraphs>1</Paragraphs>
  <TotalTime>0</TotalTime>
  <ScaleCrop>false</ScaleCrop>
  <LinksUpToDate>false</LinksUpToDate>
  <CharactersWithSpaces>1359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CZEDU</cp:lastModifiedBy>
  <cp:lastPrinted>2023-11-21T00:52:00Z</cp:lastPrinted>
  <dcterms:modified xsi:type="dcterms:W3CDTF">2025-09-17T10:34:38Z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C8E340B1C1414E9490335416DC2BC3AF_13</vt:lpwstr>
  </property>
  <property fmtid="{D5CDD505-2E9C-101B-9397-08002B2CF9AE}" pid="4" name="KSOTemplateDocerSaveRecord">
    <vt:lpwstr>eyJoZGlkIjoiYzg1MjI1ZTcxYWRhOTZjZTA2ZDUyYjU5ODc2YTk3NGQiLCJ1c2VySWQiOiI0NjEyMTY0NjgifQ==</vt:lpwstr>
  </property>
</Properties>
</file>