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理论课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Medical Statistics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1170014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护理学专升本、三年级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医学统计学．李康．ISBN：9787117266765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北京：人民卫生出版社，201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大学信息技术 2050710（2）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高等数学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2050234</w:t>
            </w:r>
            <w:r>
              <w:rPr>
                <w:rFonts w:hint="eastAsia"/>
                <w:color w:val="000000"/>
                <w:sz w:val="20"/>
                <w:szCs w:val="20"/>
              </w:rPr>
              <w:t>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医学统计学》是开展医学研究的重要手段，是认识和揭示医学领域里各种数量特征的科学分析方法，是使医学科研得以成功的一种重要辅助工具。科技的迅速发展，大量信息的产生要求我们面对纷乱复杂的数据世界能够正确、科学地去认识和处理，医学统计分析是医学生教育培训必修课程，特别是中、高级医学人才的培养，应该使其懂得和掌握一些基本的医学科研设计原则或实验研究方法，能正确处理医学信息和数据，在未来的实践工作中发挥作用。医学统计是一种有力工具。它同科研的总体设计、资料采集、整理、分析直到最后做出结论都有密切关系。掌握了这个工具可以使用较少的人力、物力和时间获得比较可靠的结果。只有正确运用统计分析方法，才不致于造成不应有的缺陷或得出错误的结论。数据作为信息的主要载体广泛存在。我们就要借助统计学这个工具，在混沌中发现规律。统计学就是研究数据及其存在规律的科学。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通过课程的学习，学生可以处理医学中的数据，发现医学中的规律，为医学研究奠定基础。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本课程</w:t>
            </w:r>
            <w:r>
              <w:rPr>
                <w:rFonts w:hint="eastAsia"/>
                <w:color w:val="000000"/>
                <w:sz w:val="20"/>
                <w:szCs w:val="20"/>
              </w:rPr>
              <w:t>适用于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健康服务与管理、养老服务与管理、</w:t>
            </w:r>
            <w:r>
              <w:rPr>
                <w:rFonts w:hint="eastAsia"/>
                <w:color w:val="000000"/>
                <w:sz w:val="20"/>
                <w:szCs w:val="20"/>
              </w:rPr>
              <w:t>护理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学、护理学专升本</w:t>
            </w:r>
            <w:r>
              <w:rPr>
                <w:rFonts w:hint="eastAsia"/>
                <w:color w:val="000000"/>
                <w:sz w:val="20"/>
                <w:szCs w:val="20"/>
              </w:rPr>
              <w:t>专业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方向的</w:t>
            </w:r>
            <w:r>
              <w:rPr>
                <w:rFonts w:hint="eastAsia"/>
                <w:color w:val="000000"/>
                <w:sz w:val="20"/>
                <w:szCs w:val="20"/>
              </w:rPr>
              <w:t>二年级或三年级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本科生授课，要求学生具有一定的数理基础，计算机使用基础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4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09905" cy="274320"/>
                  <wp:effectExtent l="0" t="0" r="10795" b="5080"/>
                  <wp:docPr id="1" name="图片 1" descr="bec1da65b9a675311b65cb0c66b3a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ec1da65b9a675311b65cb0c66b3a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0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left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/>
                <w:position w:val="-2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-23495</wp:posOffset>
                  </wp:positionV>
                  <wp:extent cx="654685" cy="362585"/>
                  <wp:effectExtent l="0" t="0" r="50165" b="37465"/>
                  <wp:wrapTight wrapText="bothSides">
                    <wp:wrapPolygon>
                      <wp:start x="0" y="0"/>
                      <wp:lineTo x="0" y="20427"/>
                      <wp:lineTo x="20741" y="20427"/>
                      <wp:lineTo x="20741" y="0"/>
                      <wp:lineTo x="0" y="0"/>
                    </wp:wrapPolygon>
                  </wp:wrapTight>
                  <wp:docPr id="5" name="图片 5" descr="b4c3cc5e633c06bb76e1d8d6703ba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4c3cc5e633c06bb76e1d8d6703ba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>
            <w:pPr>
              <w:pStyle w:val="15"/>
              <w:jc w:val="both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掌握医学统计学中的基本概念，如总体和样本，医学参考值范围，置信区间，抽样误差等，定量和定性数据的统计描述指标及其相应的图表表达。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>
            <w:pPr>
              <w:pStyle w:val="15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掌握医学统计学中常用的统计学方法（如t检验，方差分析，卡方检验，秩和检验，线性回归与相关）适用的条件，以及结果的解释。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会利用统计软件进行数据处理，包括统计指标的计算，正态分布的检验，t检验，方差分析，卡方检验，秩和检验。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自主学习能力：根据课堂的内容，会自己独立思考，并能根据课程内容进行扩展和延伸。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应用技能：掌握统计分析技能，会利用统计软件进行数据分析，并解读结果。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48" w:hRule="atLeast"/>
          <w:jc w:val="center"/>
        </w:trPr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6</w:t>
            </w:r>
          </w:p>
        </w:tc>
        <w:tc>
          <w:tcPr>
            <w:tcW w:w="6459" w:type="dxa"/>
            <w:vAlign w:val="center"/>
          </w:tcPr>
          <w:p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严谨的科学态度：数据收集、分析、解读过程中能做到实事求是，不弄虚作假，有着严谨的科学态度。团队意识和社会责任感：医学统计是一门工具性学科，在处理医学问题中需要互相协助，有团队意识，与他人沟通，承担自己的责任。</w:t>
            </w:r>
          </w:p>
        </w:tc>
      </w:tr>
    </w:tbl>
    <w:p>
      <w:pPr>
        <w:pStyle w:val="18"/>
        <w:spacing w:before="163" w:beforeLines="50" w:after="163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8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tcBorders>
              <w:tl2br w:val="nil"/>
              <w:tr2bl w:val="nil"/>
            </w:tcBorders>
          </w:tcPr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highlight w:val="none"/>
              </w:rPr>
              <w:t>LO1品德修养：</w:t>
            </w:r>
            <w:r>
              <w:rPr>
                <w:rFonts w:hint="eastAsia"/>
                <w:bCs/>
                <w:sz w:val="21"/>
                <w:szCs w:val="21"/>
                <w:highlight w:val="none"/>
              </w:rPr>
              <w:t>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/>
                <w:bCs/>
                <w:sz w:val="21"/>
                <w:szCs w:val="21"/>
                <w:lang w:val="en-US" w:bidi="ar-SA"/>
              </w:rPr>
            </w:pPr>
            <w:r>
              <w:rPr>
                <w:rFonts w:hint="eastAsia"/>
                <w:bCs/>
                <w:sz w:val="21"/>
                <w:szCs w:val="21"/>
                <w:highlight w:val="none"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LO2专业能力：</w:t>
            </w:r>
            <w:r>
              <w:rPr>
                <w:rFonts w:hint="eastAsia"/>
                <w:bCs/>
                <w:sz w:val="21"/>
                <w:szCs w:val="21"/>
              </w:rPr>
              <w:t>具有人文科学素养，具备从事护理工作或专业的理论知识、实践能力。</w:t>
            </w:r>
          </w:p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highlight w:val="none"/>
              </w:rPr>
              <w:t xml:space="preserve">②专业基础能力：掌握人体正常结构、功能、人的心理状态及其发展变化的知识；掌握基本的药理知识和临床用药及药品管理知识；掌握护理学基础理论和基本知识。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LO4自主学习：</w:t>
            </w:r>
            <w:r>
              <w:rPr>
                <w:rFonts w:hint="eastAsia"/>
                <w:bCs/>
                <w:sz w:val="21"/>
                <w:szCs w:val="21"/>
              </w:rPr>
              <w:t>能根据环境需要确定自己的学习目标，并主动地通过搜集信息、分析信息、讨论、实践、质疑、创造等方法来实现学习目标。</w:t>
            </w:r>
          </w:p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>②能搜集、获取达到目标所需要的学习资源，实施学习计划、反思学习计划、持续改进，达到学习目标。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LO7信息应用：</w:t>
            </w:r>
            <w:r>
              <w:rPr>
                <w:rFonts w:hint="eastAsia"/>
                <w:bCs/>
                <w:sz w:val="21"/>
                <w:szCs w:val="21"/>
              </w:rPr>
              <w:t>具备一定的信息素养，并能在工作中应用信息技术和工具解决问题。</w:t>
            </w:r>
          </w:p>
          <w:p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②能够使用适合的工具来搜集信息，并对信息加以分析、鉴别、判断与整合。</w:t>
            </w:r>
          </w:p>
        </w:tc>
      </w:tr>
    </w:tbl>
    <w:p>
      <w:pPr>
        <w:pStyle w:val="18"/>
        <w:spacing w:before="163" w:beforeLines="50" w:after="163"/>
        <w:rPr>
          <w:rFonts w:hint="eastAsia"/>
        </w:rPr>
      </w:pPr>
    </w:p>
    <w:p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hint="default" w:eastAsia="宋体" w:cs="Times New Roman" w:asciiTheme="majorAscii" w:hAnsiTheme="majorAscii"/>
                <w:bCs/>
                <w:lang w:val="en-US" w:eastAsia="zh-CN"/>
              </w:rPr>
            </w:pPr>
            <w:r>
              <w:rPr>
                <w:rFonts w:hint="default" w:asciiTheme="majorAscii" w:hAnsiTheme="majorAscii"/>
                <w:bCs/>
                <w:sz w:val="21"/>
                <w:szCs w:val="21"/>
                <w:highlight w:val="none"/>
              </w:rPr>
              <w:t>⑤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pStyle w:val="15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.严谨的科学态度：数据收集、分析、解读过程中能做到实事求是，不弄虚作假，有着严谨的科学态度。团队意识和社会责任感：医学统计是一门工具性学科，在处理医学问题中需要互相协助，有团队意识，与他人沟通，承担自己的责任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hint="default" w:eastAsia="宋体" w:cs="Calibri" w:asciiTheme="majorAscii" w:hAnsiTheme="majorAscii"/>
                <w:bCs/>
                <w:lang w:val="en-US" w:eastAsia="zh-CN"/>
              </w:rPr>
            </w:pPr>
            <w:r>
              <w:rPr>
                <w:rFonts w:hint="default" w:eastAsia="宋体" w:cs="Calibri" w:asciiTheme="majorAscii" w:hAnsiTheme="majorAscii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>
            <w:pPr>
              <w:pStyle w:val="15"/>
              <w:jc w:val="both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1.掌握医学统计学中的基本概念(如总体和样本，医学参考值范围，置信区间，抽样误差等)，定量和定性数据的统计描述指标及其相应的图表表达。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62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hint="default" w:eastAsia="宋体" w:cs="Calibri" w:asciiTheme="majorAscii" w:hAnsiTheme="majorAscii"/>
                <w:bCs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763" w:type="dxa"/>
            <w:vAlign w:val="center"/>
          </w:tcPr>
          <w:p>
            <w:pPr>
              <w:pStyle w:val="15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2.掌握医学统计学中常用的统计学方法（如t检验，方差分析，卡方检验，秩和检验，线性回归与相关）适用的条件，以及结果的解释。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hint="default" w:asciiTheme="majorAscii" w:hAnsiTheme="majorAscii"/>
                <w:bCs/>
                <w:sz w:val="21"/>
                <w:szCs w:val="21"/>
              </w:rPr>
            </w:pPr>
            <w:r>
              <w:rPr>
                <w:rFonts w:hint="default" w:eastAsia="宋体" w:cs="Calibri" w:asciiTheme="majorAscii" w:hAnsiTheme="majorAscii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pStyle w:val="15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4.自主学习能力：根据课堂的内容，会自己独立思考，并能根据课程内容进行扩展和延伸。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L07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hint="default" w:cs="Times New Roman" w:asciiTheme="majorAscii" w:hAnsiTheme="majorAscii"/>
                <w:bCs/>
                <w:lang w:val="en-US" w:eastAsia="zh-CN"/>
              </w:rPr>
            </w:pPr>
            <w:r>
              <w:rPr>
                <w:rFonts w:hint="default" w:eastAsia="宋体" w:cs="Calibri" w:asciiTheme="majorAscii" w:hAnsiTheme="majorAscii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5.应用技能：掌握统计分析技能，会利用统计软件进行数据分析，并解读结果。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5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eastAsia="宋体" w:cs="Calibri" w:asciiTheme="majorAscii" w:hAnsiTheme="majorAscii"/>
                <w:bCs/>
                <w:lang w:val="en-US" w:eastAsia="zh-CN"/>
              </w:rPr>
            </w:pP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3.会利用统计软件进行数据处理，包括统计指标的计算，正态分布的检验，t检验，方差分析，卡方检验，秩和检验。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</w:tbl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18"/>
        <w:spacing w:before="81" w:after="163"/>
        <w:rPr>
          <w:rFonts w:hint="eastAsia"/>
        </w:rPr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第一单元：绪论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预期成果：能够掌握常用的统计学基本概念和数据分型。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核心知识点：理解统计学相关的基本概念，如总体，样本，变异和同质；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不同数据的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类型和统计中的三种误差。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能力要求：理解常用的统计学基本概念，会判断不同数据的数据类型，会对误差类别进行判断。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难点：数据的类型。</w:t>
            </w: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第二单元：定量数据的统计描述</w:t>
            </w: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能够描述计量资料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和定性资料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集中趋势和离散趋势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统计指标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核心知识点：运用公式计算定量数据的集中趋势（均数，中位数）和离散趋势的统计指标（标准差，方差，四分位间距）；理解变异系数；知道几何均数，极差等。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能力要求：能够根据数据特点</w:t>
            </w: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计算</w:t>
            </w:r>
            <w:r>
              <w:rPr>
                <w:rFonts w:hint="eastAsia" w:ascii="宋体" w:hAnsi="宋体"/>
                <w:bCs/>
                <w:lang w:val="en-US" w:eastAsia="zh-CN"/>
              </w:rPr>
              <w:t>相应的集中趋势和离散趋势统计指标。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难点：判断不同数据类型应该使用的统计指标。</w:t>
            </w: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第三单元：正态分布与医学参考值范围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预期成果：根据正态分布及其特性，会计算人群医学参考值范围。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核心知识点：理解正态分布曲线位置参数和形状参数性质及其曲线下面积的意义；会运用公式计算人群医学参考范围；理解医学参考值范围的意义。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能力要求：计算医学参考值范围。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难点：正态分布曲线下的面积，医学参考值的计算。</w:t>
            </w: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第四单元：定性数据的统计描述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预期成果：了解医学中常用的定性资料的医学指标。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核心知识点：理解构成比和率的概念；知道标准化率应用的条件；知道患病率，发病率，病死率，的定义及其含义；理解相对数中的相对危险度和比值比。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能力要求：区分构成比和率，计算各种医学中相对数指标。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难点：标化率、相对危险度、比值比的计算。</w:t>
            </w: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第五单元：统计表与统计图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预期成果：可以选择合适的图形表达相应的数据。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核心知识点：理解统计表和统计图的编制原则；知道直方图，线图，箱式图，误差条图，散点图，条图的特点和对应的数据形式。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能力要求：初步具备用图表来表达数据的能力。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难点：根据数据特点选择合适的统计图表。</w:t>
            </w: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第六单元：参数估计与假设检验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预期成果：参数区间估计和假设检验的用途。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核心知识点：理解抽样误差的概念，会运用公式计算参数的可信区间，知道假设检验的基本原理。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能力要求：具备理解假设检验原理的能力。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难点：参数估计原理</w:t>
            </w:r>
            <w:bookmarkStart w:id="6" w:name="_GoBack"/>
            <w:bookmarkEnd w:id="6"/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第七单元：t检验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预期成果：会利用t检验分析定量数据两样本比较的研究设计。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核心知识点：理解t检验的原理及适用的研究设计类型；会运用SPSS软件进行单样本t检验，两独立样本t检验，配对样本t检验，正态性检验。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能力要求：利用SPSS软件进行t检验。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难点：判断研究类型</w:t>
            </w: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第八单元：方差分析</w:t>
            </w: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预期成果：会利用方差分析分析定量数据三组及以上样本比较的研究设计。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核心知识点：理解方差分析的原理及适用的研究设计类型；会运用SPSS软件进行完全随机设计的方差分析，随机区组设计的方差分析。</w:t>
            </w: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能力要求：利用SPSS软件进行方差分析。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难点：方差分析的原理</w:t>
            </w: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第九单元：卡方检验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预期成果：会利用卡方检验分析定性数据的研究设计。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核心知识点：理解卡方检验的原理及适用的研究设计类型；会运用SPSS软件进行四格表资料的卡方检验、配对四格表资料的卡方检验，R×C列联表资料的卡方检验。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能力要求：利用SPSS软件进行卡方检验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难点：卡方检验的原理</w:t>
            </w: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第十单元：非参数秩和检验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预期成果：会利用非参数秩和检验分析符合特点的数据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核心知识点：理解秩和检验的原理及非参数检验适用的数据类型；会运用SPSS软件进行配对设计资料的符号秩和检验，两独立样本比较的秩和检验，多个独立样本比较的秩和检验。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能力要求：利用SPSS软件进行秩和检验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难点：秩和检验的原理</w:t>
            </w: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第十一单元：线性回归与相关</w:t>
            </w: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预期成果：会利用线性回归分析相关数据。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核心知识点：理解线性回归和相关的基本原理；会运用SPSS软件线性回归和相关；知道线性回归与相关的注意事项。</w:t>
            </w:r>
          </w:p>
          <w:p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能力要求：利用SPSS软件进行线性回归和相关分析</w:t>
            </w:r>
          </w:p>
          <w:p>
            <w:pPr>
              <w:pStyle w:val="15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难点：线性回归和相关的基本原理</w:t>
            </w:r>
          </w:p>
        </w:tc>
      </w:tr>
      <w:bookmarkEnd w:id="0"/>
      <w:bookmarkEnd w:id="1"/>
    </w:tbl>
    <w:p>
      <w:pPr>
        <w:pStyle w:val="18"/>
        <w:spacing w:before="81" w:after="163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（二）教学单元对课程目标的支撑关系</w:t>
      </w:r>
      <w:r>
        <w:rPr>
          <w:rFonts w:hint="eastAsia"/>
          <w:highlight w:val="none"/>
          <w:lang w:val="en-US" w:eastAsia="zh-CN"/>
        </w:rPr>
        <w:t xml:space="preserve"> </w:t>
      </w:r>
    </w:p>
    <w:tbl>
      <w:tblPr>
        <w:tblStyle w:val="8"/>
        <w:tblW w:w="49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171"/>
        <w:gridCol w:w="835"/>
        <w:gridCol w:w="769"/>
        <w:gridCol w:w="875"/>
        <w:gridCol w:w="850"/>
        <w:gridCol w:w="758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171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4"/>
              <w:ind w:right="210"/>
              <w:jc w:val="left"/>
              <w:rPr>
                <w:rFonts w:hint="eastAsia"/>
                <w:szCs w:val="16"/>
              </w:rPr>
            </w:pPr>
          </w:p>
          <w:p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835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目标1</w:t>
            </w:r>
          </w:p>
        </w:tc>
        <w:tc>
          <w:tcPr>
            <w:tcW w:w="769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/>
                <w:szCs w:val="16"/>
                <w:lang w:val="en-US" w:eastAsia="zh-CN"/>
              </w:rPr>
              <w:t>目标2</w:t>
            </w:r>
          </w:p>
        </w:tc>
        <w:tc>
          <w:tcPr>
            <w:tcW w:w="875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/>
                <w:szCs w:val="16"/>
                <w:lang w:val="en-US" w:eastAsia="zh-CN"/>
              </w:rPr>
              <w:t>目标3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目标4</w:t>
            </w:r>
          </w:p>
        </w:tc>
        <w:tc>
          <w:tcPr>
            <w:tcW w:w="758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目标5</w:t>
            </w:r>
          </w:p>
        </w:tc>
        <w:tc>
          <w:tcPr>
            <w:tcW w:w="115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目标6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第一单元：绪论</w:t>
            </w:r>
          </w:p>
        </w:tc>
        <w:tc>
          <w:tcPr>
            <w:tcW w:w="835" w:type="dxa"/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第二单元：定量数据的统计描述</w:t>
            </w:r>
          </w:p>
        </w:tc>
        <w:tc>
          <w:tcPr>
            <w:tcW w:w="835" w:type="dxa"/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第三单元：正态分布与医学参考值范围</w:t>
            </w:r>
          </w:p>
        </w:tc>
        <w:tc>
          <w:tcPr>
            <w:tcW w:w="835" w:type="dxa"/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第四单元：定性数据的统计描述</w:t>
            </w:r>
          </w:p>
        </w:tc>
        <w:tc>
          <w:tcPr>
            <w:tcW w:w="835" w:type="dxa"/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第五单元：统计表与统计图</w:t>
            </w:r>
          </w:p>
        </w:tc>
        <w:tc>
          <w:tcPr>
            <w:tcW w:w="835" w:type="dxa"/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第六单元：参数估计与假设检验</w:t>
            </w:r>
          </w:p>
        </w:tc>
        <w:tc>
          <w:tcPr>
            <w:tcW w:w="835" w:type="dxa"/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第七单元：t检验</w:t>
            </w:r>
          </w:p>
        </w:tc>
        <w:tc>
          <w:tcPr>
            <w:tcW w:w="835" w:type="dxa"/>
            <w:vAlign w:val="center"/>
          </w:tcPr>
          <w:p>
            <w:pPr>
              <w:pStyle w:val="15"/>
            </w:pPr>
          </w:p>
        </w:tc>
        <w:tc>
          <w:tcPr>
            <w:tcW w:w="769" w:type="dxa"/>
            <w:vAlign w:val="center"/>
          </w:tcPr>
          <w:p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5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第八单元：方差分析</w:t>
            </w:r>
          </w:p>
        </w:tc>
        <w:tc>
          <w:tcPr>
            <w:tcW w:w="835" w:type="dxa"/>
            <w:vAlign w:val="center"/>
          </w:tcPr>
          <w:p>
            <w:pPr>
              <w:pStyle w:val="15"/>
            </w:pPr>
          </w:p>
        </w:tc>
        <w:tc>
          <w:tcPr>
            <w:tcW w:w="769" w:type="dxa"/>
            <w:vAlign w:val="center"/>
          </w:tcPr>
          <w:p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5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第九单元：卡方检验</w:t>
            </w:r>
          </w:p>
        </w:tc>
        <w:tc>
          <w:tcPr>
            <w:tcW w:w="835" w:type="dxa"/>
            <w:vAlign w:val="center"/>
          </w:tcPr>
          <w:p>
            <w:pPr>
              <w:pStyle w:val="15"/>
            </w:pPr>
          </w:p>
        </w:tc>
        <w:tc>
          <w:tcPr>
            <w:tcW w:w="769" w:type="dxa"/>
            <w:vAlign w:val="center"/>
          </w:tcPr>
          <w:p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5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第十单元：非参数秩和检验</w:t>
            </w:r>
          </w:p>
        </w:tc>
        <w:tc>
          <w:tcPr>
            <w:tcW w:w="835" w:type="dxa"/>
            <w:vAlign w:val="center"/>
          </w:tcPr>
          <w:p>
            <w:pPr>
              <w:pStyle w:val="15"/>
            </w:pPr>
          </w:p>
        </w:tc>
        <w:tc>
          <w:tcPr>
            <w:tcW w:w="769" w:type="dxa"/>
            <w:vAlign w:val="center"/>
          </w:tcPr>
          <w:p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75" w:type="dxa"/>
            <w:vAlign w:val="center"/>
          </w:tcPr>
          <w:p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pStyle w:val="15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第十一单元：线性回归与相关</w:t>
            </w:r>
          </w:p>
        </w:tc>
        <w:tc>
          <w:tcPr>
            <w:tcW w:w="835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</w:pPr>
          </w:p>
        </w:tc>
        <w:tc>
          <w:tcPr>
            <w:tcW w:w="769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75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tcBorders>
              <w:bottom w:val="single" w:color="auto" w:sz="12" w:space="0"/>
            </w:tcBorders>
            <w:vAlign w:val="center"/>
          </w:tcPr>
          <w:p>
            <w:pPr>
              <w:pStyle w:val="15"/>
            </w:pPr>
          </w:p>
        </w:tc>
        <w:tc>
          <w:tcPr>
            <w:tcW w:w="115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</w:tbl>
    <w:p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044"/>
        <w:gridCol w:w="1733"/>
        <w:gridCol w:w="1588"/>
        <w:gridCol w:w="725"/>
        <w:gridCol w:w="669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4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173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58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44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3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第一单元：绪论</w:t>
            </w:r>
          </w:p>
        </w:tc>
        <w:tc>
          <w:tcPr>
            <w:tcW w:w="173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pStyle w:val="4"/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分析报告+提问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第二单元：定量数据的统计描述</w:t>
            </w:r>
          </w:p>
        </w:tc>
        <w:tc>
          <w:tcPr>
            <w:tcW w:w="173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分析报告+提问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第三单元：正态分布与医学参考值范围</w:t>
            </w:r>
          </w:p>
        </w:tc>
        <w:tc>
          <w:tcPr>
            <w:tcW w:w="173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分析报告+提问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第四单元：定性数据的统计描述</w:t>
            </w:r>
          </w:p>
        </w:tc>
        <w:tc>
          <w:tcPr>
            <w:tcW w:w="173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分析报告+提问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第五单元：统计表与统计图</w:t>
            </w:r>
          </w:p>
        </w:tc>
        <w:tc>
          <w:tcPr>
            <w:tcW w:w="173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snapToGrid w:val="0"/>
              <w:jc w:val="both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分析报告+提问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第六单元：参数估计与假设检验</w:t>
            </w:r>
          </w:p>
        </w:tc>
        <w:tc>
          <w:tcPr>
            <w:tcW w:w="173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分析报告+提问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第七单元：t检验</w:t>
            </w:r>
          </w:p>
        </w:tc>
        <w:tc>
          <w:tcPr>
            <w:tcW w:w="173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讲述+练习+示范</w:t>
            </w:r>
          </w:p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操作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snapToGrid w:val="0"/>
              <w:jc w:val="both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分析报告+实训报告+作业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第八单元：方差分析</w:t>
            </w:r>
          </w:p>
        </w:tc>
        <w:tc>
          <w:tcPr>
            <w:tcW w:w="173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讲述+练习+示范</w:t>
            </w:r>
          </w:p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操作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分析报告+实训报告+作业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第九单元：卡方检验</w:t>
            </w:r>
          </w:p>
        </w:tc>
        <w:tc>
          <w:tcPr>
            <w:tcW w:w="173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讲述+练习+示范</w:t>
            </w:r>
          </w:p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操作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分析报告+实训报告+作业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第十单元：非参数秩和检验</w:t>
            </w:r>
          </w:p>
        </w:tc>
        <w:tc>
          <w:tcPr>
            <w:tcW w:w="173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讲述+练习+示范</w:t>
            </w:r>
          </w:p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操作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分析报告+实训报告+作业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第七单元--第十单元</w:t>
            </w:r>
          </w:p>
        </w:tc>
        <w:tc>
          <w:tcPr>
            <w:tcW w:w="173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讨论</w:t>
            </w:r>
          </w:p>
          <w:p>
            <w:pPr>
              <w:pStyle w:val="4"/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作业+提问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  <w:t>第十单元：案例分析</w:t>
            </w:r>
          </w:p>
        </w:tc>
        <w:tc>
          <w:tcPr>
            <w:tcW w:w="173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分析报告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>
      <w:pPr>
        <w:pStyle w:val="18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t检验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会利用SPSS软件进行t检验，主要内容包括：两独立样本t检验，配对样本t检验，t</w:t>
            </w:r>
            <w:r>
              <w:rPr>
                <w:rFonts w:hint="eastAsia"/>
                <w:sz w:val="24"/>
                <w:szCs w:val="24"/>
                <w:vertAlign w:val="superscript"/>
                <w:lang w:val="en-US" w:eastAsia="zh-CN"/>
              </w:rPr>
              <w:t>,</w:t>
            </w:r>
            <w:r>
              <w:rPr>
                <w:rFonts w:hint="eastAsia"/>
                <w:lang w:val="en-US" w:eastAsia="zh-CN"/>
              </w:rPr>
              <w:t>检验。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asciiTheme="minorAscii" w:hAnsiTheme="minorAscii"/>
              </w:rPr>
            </w:pPr>
            <w:r>
              <w:rPr>
                <w:rFonts w:hint="default" w:eastAsia="微软雅黑" w:cs="微软雅黑" w:asciiTheme="minorAscii" w:hAnsiTheme="minorAscii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方差分析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会利用SPSS软件进行方差分析，主要内容包括：完全随机设计的方差分析，随机区组设计的方差分析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asciiTheme="minorAscii" w:hAnsiTheme="minorAscii"/>
              </w:rPr>
            </w:pPr>
            <w:r>
              <w:rPr>
                <w:rFonts w:hint="default" w:eastAsia="微软雅黑" w:cs="微软雅黑" w:asciiTheme="minorAscii" w:hAnsiTheme="minorAscii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卡方检验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会利用SPSS软件进行卡方检验，主要内容包括：可个表资料的卡方检验，配对四格表资料的卡方检验，R×C列联表的卡方检验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asciiTheme="minorAscii" w:hAnsiTheme="minorAscii"/>
              </w:rPr>
            </w:pPr>
            <w:r>
              <w:rPr>
                <w:rFonts w:hint="default" w:eastAsia="微软雅黑" w:cs="微软雅黑" w:asciiTheme="minorAscii" w:hAnsiTheme="minorAscii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非参数秩和检验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会利用SPSS软件进行非参数的秩和检验，主要内容包括：配对设计资料的符号秩和检验，两独立样本比较的秩和检验，多个独立样本比较的秩和检验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asciiTheme="minorAscii" w:hAnsiTheme="minorAscii"/>
              </w:rPr>
            </w:pPr>
            <w:r>
              <w:rPr>
                <w:rFonts w:hint="default" w:eastAsia="微软雅黑" w:cs="微软雅黑" w:asciiTheme="minorAscii" w:hAnsiTheme="minorAscii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>
            <w:pPr>
              <w:pStyle w:val="15"/>
              <w:widowControl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《医学统计学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是一门医学工具类学科，旨在通过数据的收集，整理，分析，总结中发现医学相关的规律，因此学生在学习的过程中始终要保持着严谨的科学态度。在处理数据的每个环节都需要严谨的科学态度。同时数理统计的学习过程中需要与医学工作者有团队合作，在合作过程中，需要学生有团队合作精神，本着学以致用，服务社会的心态，在团队中做好自己的本职工作。</w:t>
            </w:r>
          </w:p>
          <w:p>
            <w:pPr>
              <w:pStyle w:val="15"/>
              <w:widowControl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收集数据，分析数据和数据解读过程中应该本着诚实守信，实事求是的原则，不弄虚作假，本着严谨的科学态度进行数据整理和分析。如在数据收集过程中，要统一度量设备，对数据收集人员进行统一培训，研究的收集每一个数据，不弄虚作假，减少数据误差。在数据分析中更需要严谨的科学态度，首先保证数据分析方法的正确性，不仅仅是照搬硬套，按着科学事实进行数据分析。其次当遇到极端值和各种不预期结结果时，能按照科学依据进行分析，而不是主观判断，依据预期结果进行分析，以保证最科学的研究结果。</w:t>
            </w:r>
          </w:p>
          <w:p>
            <w:pPr>
              <w:pStyle w:val="15"/>
              <w:widowControl w:val="0"/>
              <w:ind w:firstLine="420" w:firstLineChars="20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此外，医学统计学的目的是寻找医学不确定事件的规律，因此需要学生在认真学习的基础上，更要具有一定的独立思考和变通能力，更需要有一定的创新思维，才能使统计学更好的服务与医学。在与医科合作的过程中，需要具有服务社会的心态，做好自己的本职工作，使得研究结果科学可靠，为社会服务。</w:t>
            </w:r>
          </w:p>
        </w:tc>
      </w:tr>
    </w:tbl>
    <w:p>
      <w:pPr>
        <w:pStyle w:val="17"/>
        <w:spacing w:before="326" w:beforeLines="100" w:line="360" w:lineRule="auto"/>
        <w:rPr>
          <w:rFonts w:ascii="黑体" w:hAnsi="宋体"/>
          <w:highlight w:val="none"/>
        </w:rPr>
      </w:pPr>
      <w:r>
        <w:rPr>
          <w:rFonts w:hint="eastAsia" w:ascii="黑体" w:hAnsi="宋体"/>
          <w:highlight w:val="none"/>
        </w:rPr>
        <w:t>五、课程考核</w:t>
      </w:r>
      <w:bookmarkStart w:id="4" w:name="OLE_LINK3"/>
      <w:bookmarkEnd w:id="4"/>
      <w:bookmarkStart w:id="5" w:name="OLE_LINK4"/>
      <w:bookmarkEnd w:id="5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pStyle w:val="18"/>
        <w:spacing w:before="326" w:beforeLines="100" w:after="163"/>
        <w:jc w:val="center"/>
        <w:rPr>
          <w:rFonts w:hint="eastAsia"/>
        </w:rPr>
      </w:pPr>
    </w:p>
    <w:p>
      <w:pPr>
        <w:pStyle w:val="18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7"/>
              <w:widowControl/>
              <w:shd w:val="clear" w:color="auto" w:fill="FFFFFF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无</w:t>
            </w:r>
          </w:p>
          <w:p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>
      <w:pPr>
        <w:pStyle w:val="17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ZTdhZWMxOTE3MWNjMzk4MzAyNWEyNjY2MjU1Y2I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3107017"/>
    <w:rsid w:val="0460225B"/>
    <w:rsid w:val="07646D91"/>
    <w:rsid w:val="09FF719F"/>
    <w:rsid w:val="0A8128A6"/>
    <w:rsid w:val="0B460AB5"/>
    <w:rsid w:val="0BF32A1B"/>
    <w:rsid w:val="0DCB34F3"/>
    <w:rsid w:val="10BD2C22"/>
    <w:rsid w:val="112A13AE"/>
    <w:rsid w:val="12560DC4"/>
    <w:rsid w:val="14C546F7"/>
    <w:rsid w:val="19B53665"/>
    <w:rsid w:val="1E23455A"/>
    <w:rsid w:val="20B50C21"/>
    <w:rsid w:val="22477195"/>
    <w:rsid w:val="22987C80"/>
    <w:rsid w:val="24192CCC"/>
    <w:rsid w:val="24565389"/>
    <w:rsid w:val="26F4679D"/>
    <w:rsid w:val="289A3F01"/>
    <w:rsid w:val="28BB1603"/>
    <w:rsid w:val="2E860EAE"/>
    <w:rsid w:val="30EB518F"/>
    <w:rsid w:val="33A7045B"/>
    <w:rsid w:val="33B15CDD"/>
    <w:rsid w:val="39132993"/>
    <w:rsid w:val="39A66CD4"/>
    <w:rsid w:val="39C91E5D"/>
    <w:rsid w:val="3BE50D48"/>
    <w:rsid w:val="3C96786D"/>
    <w:rsid w:val="3CD52CE1"/>
    <w:rsid w:val="3CE84C78"/>
    <w:rsid w:val="3E61418B"/>
    <w:rsid w:val="3FF30789"/>
    <w:rsid w:val="40F718CE"/>
    <w:rsid w:val="410F2E6A"/>
    <w:rsid w:val="41CE3E47"/>
    <w:rsid w:val="41E96EB6"/>
    <w:rsid w:val="42416C18"/>
    <w:rsid w:val="4430136C"/>
    <w:rsid w:val="46057227"/>
    <w:rsid w:val="4AB0382B"/>
    <w:rsid w:val="4ABD5C40"/>
    <w:rsid w:val="4D2B252B"/>
    <w:rsid w:val="4EE57F2D"/>
    <w:rsid w:val="4F382A60"/>
    <w:rsid w:val="537D3F15"/>
    <w:rsid w:val="569868B5"/>
    <w:rsid w:val="597B2CA5"/>
    <w:rsid w:val="5A1A58D8"/>
    <w:rsid w:val="5A64084A"/>
    <w:rsid w:val="5DF2572A"/>
    <w:rsid w:val="611F6817"/>
    <w:rsid w:val="63A31776"/>
    <w:rsid w:val="65C10F42"/>
    <w:rsid w:val="66636F9A"/>
    <w:rsid w:val="66CA1754"/>
    <w:rsid w:val="695A6582"/>
    <w:rsid w:val="6AE34B4E"/>
    <w:rsid w:val="6B6C069F"/>
    <w:rsid w:val="6C2F3156"/>
    <w:rsid w:val="6F1E65D4"/>
    <w:rsid w:val="6F266C86"/>
    <w:rsid w:val="6F5042C2"/>
    <w:rsid w:val="72190E55"/>
    <w:rsid w:val="734D4FC3"/>
    <w:rsid w:val="74316312"/>
    <w:rsid w:val="748A7DE8"/>
    <w:rsid w:val="74CE54BD"/>
    <w:rsid w:val="76C9263C"/>
    <w:rsid w:val="780F13C8"/>
    <w:rsid w:val="78CF29B7"/>
    <w:rsid w:val="7933494E"/>
    <w:rsid w:val="7C2F7326"/>
    <w:rsid w:val="7C385448"/>
    <w:rsid w:val="7CB3663D"/>
    <w:rsid w:val="7FA97F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autoRedefine/>
    <w:qFormat/>
    <w:uiPriority w:val="0"/>
  </w:style>
  <w:style w:type="character" w:styleId="23">
    <w:name w:val="Placeholder Text"/>
    <w:basedOn w:val="10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</Words>
  <Characters>833</Characters>
  <Lines>6</Lines>
  <Paragraphs>1</Paragraphs>
  <TotalTime>1</TotalTime>
  <ScaleCrop>false</ScaleCrop>
  <LinksUpToDate>false</LinksUpToDate>
  <CharactersWithSpaces>978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郭永洪</cp:lastModifiedBy>
  <cp:lastPrinted>2023-11-21T00:52:00Z</cp:lastPrinted>
  <dcterms:modified xsi:type="dcterms:W3CDTF">2024-03-09T07:24:11Z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B8588DEF0F9F45EEA60E8230054E83AB_12</vt:lpwstr>
  </property>
</Properties>
</file>